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4697" w14:textId="77777777" w:rsidR="00887675" w:rsidRDefault="00887675" w:rsidP="00292EF0">
      <w:pPr>
        <w:pStyle w:val="Titolo2"/>
        <w:spacing w:line="480" w:lineRule="auto"/>
        <w:rPr>
          <w:color w:val="auto"/>
          <w:lang w:val="en-US"/>
        </w:rPr>
      </w:pPr>
    </w:p>
    <w:p w14:paraId="43482F6F" w14:textId="77777777" w:rsidR="00887675" w:rsidRPr="004646C1" w:rsidRDefault="00887675" w:rsidP="00887675">
      <w:pPr>
        <w:jc w:val="center"/>
        <w:rPr>
          <w:sz w:val="48"/>
          <w:szCs w:val="48"/>
          <w:lang w:val="en-US"/>
        </w:rPr>
      </w:pPr>
      <w:r w:rsidRPr="004646C1">
        <w:rPr>
          <w:sz w:val="48"/>
          <w:szCs w:val="48"/>
          <w:lang w:val="en-US"/>
        </w:rPr>
        <w:t>Testing for localization with entropy-based measures</w:t>
      </w:r>
    </w:p>
    <w:p w14:paraId="4350856C" w14:textId="77777777" w:rsidR="00887675" w:rsidRPr="004646C1" w:rsidRDefault="00887675" w:rsidP="00887675">
      <w:pPr>
        <w:jc w:val="center"/>
        <w:rPr>
          <w:sz w:val="48"/>
          <w:szCs w:val="48"/>
          <w:lang w:val="en-US"/>
        </w:rPr>
      </w:pPr>
    </w:p>
    <w:p w14:paraId="031B60BF" w14:textId="77777777" w:rsidR="00887675" w:rsidRPr="004646C1" w:rsidRDefault="00887675" w:rsidP="00887675">
      <w:pPr>
        <w:jc w:val="center"/>
        <w:rPr>
          <w:sz w:val="32"/>
          <w:szCs w:val="32"/>
          <w:lang w:val="en-US"/>
        </w:rPr>
      </w:pPr>
      <w:r w:rsidRPr="004646C1">
        <w:rPr>
          <w:sz w:val="32"/>
          <w:szCs w:val="32"/>
          <w:lang w:val="en-US"/>
        </w:rPr>
        <w:t>Roy Cerqueti</w:t>
      </w:r>
    </w:p>
    <w:p w14:paraId="4C5B3110" w14:textId="77777777" w:rsidR="00887675" w:rsidRPr="003455AD" w:rsidRDefault="00887675" w:rsidP="00887675">
      <w:pPr>
        <w:jc w:val="center"/>
        <w:rPr>
          <w:lang w:val="en-US"/>
        </w:rPr>
      </w:pPr>
      <w:r w:rsidRPr="003455AD">
        <w:rPr>
          <w:lang w:val="en-US"/>
        </w:rPr>
        <w:t>Sapienza University of Rome</w:t>
      </w:r>
      <w:r>
        <w:rPr>
          <w:lang w:val="en-US"/>
        </w:rPr>
        <w:t>,</w:t>
      </w:r>
      <w:r w:rsidRPr="003455AD">
        <w:rPr>
          <w:lang w:val="en-US"/>
        </w:rPr>
        <w:t xml:space="preserve"> Department </w:t>
      </w:r>
      <w:r>
        <w:rPr>
          <w:lang w:val="en-US"/>
        </w:rPr>
        <w:t>of Social and Economic Sciences</w:t>
      </w:r>
      <w:r w:rsidRPr="003455AD">
        <w:rPr>
          <w:lang w:val="en-US"/>
        </w:rPr>
        <w:t xml:space="preserve"> </w:t>
      </w:r>
    </w:p>
    <w:p w14:paraId="61761D10" w14:textId="77777777" w:rsidR="00887675" w:rsidRPr="00F378A9" w:rsidRDefault="00887675" w:rsidP="00887675">
      <w:pPr>
        <w:jc w:val="center"/>
      </w:pPr>
      <w:r w:rsidRPr="00F378A9">
        <w:t xml:space="preserve">Piazzale Aldo Moro, 5 - I-00185 - Rome, </w:t>
      </w:r>
      <w:proofErr w:type="spellStart"/>
      <w:r w:rsidRPr="00F378A9">
        <w:t>Italy</w:t>
      </w:r>
      <w:proofErr w:type="spellEnd"/>
      <w:r w:rsidRPr="00F378A9">
        <w:t>.</w:t>
      </w:r>
    </w:p>
    <w:p w14:paraId="110A9CAE" w14:textId="77777777" w:rsidR="00887675" w:rsidRDefault="00887675" w:rsidP="00887675">
      <w:pPr>
        <w:jc w:val="center"/>
        <w:rPr>
          <w:lang w:val="en-US"/>
        </w:rPr>
      </w:pPr>
      <w:r>
        <w:rPr>
          <w:lang w:val="en-US"/>
        </w:rPr>
        <w:t xml:space="preserve">Email: </w:t>
      </w:r>
      <w:hyperlink r:id="rId8" w:history="1">
        <w:r w:rsidRPr="00343E84">
          <w:rPr>
            <w:rStyle w:val="Collegamentoipertestuale"/>
            <w:lang w:val="en-US"/>
          </w:rPr>
          <w:t>roy.cerqueti@uniroma1.it</w:t>
        </w:r>
      </w:hyperlink>
    </w:p>
    <w:p w14:paraId="0B45CF06" w14:textId="57B96AD9" w:rsidR="00887675" w:rsidRDefault="00887675" w:rsidP="00887675">
      <w:pPr>
        <w:jc w:val="center"/>
        <w:rPr>
          <w:lang w:val="en-US"/>
        </w:rPr>
      </w:pPr>
    </w:p>
    <w:p w14:paraId="1023D55A" w14:textId="77777777" w:rsidR="00887675" w:rsidRPr="003455AD" w:rsidRDefault="00887675" w:rsidP="00887675">
      <w:pPr>
        <w:jc w:val="center"/>
        <w:rPr>
          <w:lang w:val="en-US"/>
        </w:rPr>
      </w:pPr>
      <w:r>
        <w:rPr>
          <w:lang w:val="en-US"/>
        </w:rPr>
        <w:t>and</w:t>
      </w:r>
    </w:p>
    <w:p w14:paraId="49BC8BB3" w14:textId="77777777" w:rsidR="00887675" w:rsidRPr="003455AD" w:rsidRDefault="00887675" w:rsidP="00887675">
      <w:pPr>
        <w:jc w:val="center"/>
        <w:rPr>
          <w:lang w:val="en-US"/>
        </w:rPr>
      </w:pPr>
      <w:r w:rsidRPr="003455AD">
        <w:rPr>
          <w:lang w:val="en-US"/>
        </w:rPr>
        <w:t>London South Bank University</w:t>
      </w:r>
      <w:r>
        <w:rPr>
          <w:lang w:val="en-US"/>
        </w:rPr>
        <w:t>,</w:t>
      </w:r>
      <w:r w:rsidRPr="003455AD">
        <w:rPr>
          <w:lang w:val="en-US"/>
        </w:rPr>
        <w:t xml:space="preserve"> School</w:t>
      </w:r>
      <w:r>
        <w:rPr>
          <w:lang w:val="en-US"/>
        </w:rPr>
        <w:t xml:space="preserve"> of Business</w:t>
      </w:r>
      <w:r w:rsidRPr="003455AD">
        <w:rPr>
          <w:lang w:val="en-US"/>
        </w:rPr>
        <w:t xml:space="preserve"> </w:t>
      </w:r>
    </w:p>
    <w:p w14:paraId="61484018" w14:textId="77777777" w:rsidR="00887675" w:rsidRPr="003455AD" w:rsidRDefault="00887675" w:rsidP="00887675">
      <w:pPr>
        <w:jc w:val="center"/>
        <w:rPr>
          <w:lang w:val="en-US"/>
        </w:rPr>
      </w:pPr>
      <w:r w:rsidRPr="003455AD">
        <w:rPr>
          <w:lang w:val="en-US"/>
        </w:rPr>
        <w:t>103 Borough Rd - SE1 0AA - London, UK</w:t>
      </w:r>
    </w:p>
    <w:p w14:paraId="2BCFD267" w14:textId="77777777" w:rsidR="00887675" w:rsidRPr="00F378A9" w:rsidRDefault="00887675" w:rsidP="00887675">
      <w:pPr>
        <w:jc w:val="center"/>
        <w:rPr>
          <w:sz w:val="36"/>
          <w:szCs w:val="36"/>
          <w:lang w:val="en-US"/>
        </w:rPr>
      </w:pPr>
    </w:p>
    <w:p w14:paraId="5EC792A8" w14:textId="77777777" w:rsidR="00887675" w:rsidRPr="004646C1" w:rsidRDefault="00887675" w:rsidP="00887675">
      <w:pPr>
        <w:jc w:val="center"/>
        <w:rPr>
          <w:sz w:val="32"/>
          <w:szCs w:val="32"/>
          <w:lang w:val="en-US"/>
        </w:rPr>
      </w:pPr>
      <w:r w:rsidRPr="00F378A9">
        <w:rPr>
          <w:sz w:val="36"/>
          <w:szCs w:val="36"/>
          <w:lang w:val="en-US"/>
        </w:rPr>
        <w:t xml:space="preserve"> </w:t>
      </w:r>
      <w:r w:rsidRPr="004646C1">
        <w:rPr>
          <w:sz w:val="32"/>
          <w:szCs w:val="32"/>
          <w:lang w:val="en-US"/>
        </w:rPr>
        <w:t>Eleonora Cutrini</w:t>
      </w:r>
    </w:p>
    <w:p w14:paraId="29521DAF" w14:textId="77777777" w:rsidR="00887675" w:rsidRPr="004646C1" w:rsidRDefault="00887675" w:rsidP="00887675">
      <w:pPr>
        <w:jc w:val="center"/>
        <w:rPr>
          <w:lang w:val="en-US"/>
        </w:rPr>
      </w:pPr>
      <w:r w:rsidRPr="004646C1">
        <w:rPr>
          <w:lang w:val="en-US"/>
        </w:rPr>
        <w:t xml:space="preserve">University of Macerata, Department of </w:t>
      </w:r>
      <w:r>
        <w:rPr>
          <w:lang w:val="en-US"/>
        </w:rPr>
        <w:t xml:space="preserve">Economics and </w:t>
      </w:r>
      <w:r w:rsidRPr="004646C1">
        <w:rPr>
          <w:lang w:val="en-US"/>
        </w:rPr>
        <w:t>Law</w:t>
      </w:r>
    </w:p>
    <w:p w14:paraId="4E499691" w14:textId="77777777" w:rsidR="00887675" w:rsidRPr="00B763F6" w:rsidRDefault="00887675" w:rsidP="00887675">
      <w:pPr>
        <w:jc w:val="center"/>
      </w:pPr>
      <w:r>
        <w:t xml:space="preserve">Via </w:t>
      </w:r>
      <w:proofErr w:type="spellStart"/>
      <w:r>
        <w:t>Crescimbeni</w:t>
      </w:r>
      <w:proofErr w:type="spellEnd"/>
      <w:r w:rsidRPr="004646C1">
        <w:t xml:space="preserve">, </w:t>
      </w:r>
      <w:r>
        <w:t xml:space="preserve">14 </w:t>
      </w:r>
      <w:r w:rsidRPr="004646C1">
        <w:t xml:space="preserve">I-62100, Macerata, </w:t>
      </w:r>
      <w:proofErr w:type="spellStart"/>
      <w:r w:rsidRPr="004646C1">
        <w:t>Italy</w:t>
      </w:r>
      <w:proofErr w:type="spellEnd"/>
    </w:p>
    <w:p w14:paraId="78222A44" w14:textId="77777777" w:rsidR="00887675" w:rsidRPr="00090377" w:rsidRDefault="00887675" w:rsidP="00887675">
      <w:pPr>
        <w:jc w:val="center"/>
        <w:rPr>
          <w:rStyle w:val="Collegamentoipertestuale"/>
        </w:rPr>
      </w:pPr>
      <w:r w:rsidRPr="00090377">
        <w:t xml:space="preserve">Email: </w:t>
      </w:r>
      <w:hyperlink r:id="rId9" w:history="1">
        <w:r w:rsidRPr="00090377">
          <w:rPr>
            <w:rStyle w:val="Collegamentoipertestuale"/>
          </w:rPr>
          <w:t>eleonora.cutrini@unimc.it</w:t>
        </w:r>
      </w:hyperlink>
    </w:p>
    <w:p w14:paraId="51BC5AA1" w14:textId="77777777" w:rsidR="00887675" w:rsidRPr="00090377" w:rsidRDefault="00887675" w:rsidP="00887675">
      <w:pPr>
        <w:pStyle w:val="Titolo2"/>
        <w:spacing w:line="480" w:lineRule="auto"/>
        <w:rPr>
          <w:color w:val="auto"/>
        </w:rPr>
      </w:pPr>
    </w:p>
    <w:p w14:paraId="41EDA9EE" w14:textId="77777777" w:rsidR="00887675" w:rsidRPr="004646C1" w:rsidRDefault="00887675" w:rsidP="00887675">
      <w:pPr>
        <w:pStyle w:val="Titolo2"/>
        <w:spacing w:line="480" w:lineRule="auto"/>
        <w:rPr>
          <w:color w:val="auto"/>
          <w:lang w:val="en-US"/>
        </w:rPr>
      </w:pPr>
      <w:r w:rsidRPr="004646C1">
        <w:rPr>
          <w:color w:val="auto"/>
          <w:lang w:val="en-US"/>
        </w:rPr>
        <w:t>Abstract</w:t>
      </w:r>
    </w:p>
    <w:p w14:paraId="559CE853" w14:textId="0FDF1E7F" w:rsidR="00887675" w:rsidRPr="00120F0D" w:rsidRDefault="00887675" w:rsidP="00887675">
      <w:pPr>
        <w:pStyle w:val="Titolo2"/>
        <w:jc w:val="both"/>
        <w:rPr>
          <w:rFonts w:ascii="Times New Roman" w:hAnsi="Times New Roman"/>
          <w:b w:val="0"/>
          <w:bCs w:val="0"/>
          <w:color w:val="auto"/>
          <w:sz w:val="24"/>
          <w:szCs w:val="24"/>
          <w:lang w:val="en-US"/>
        </w:rPr>
      </w:pPr>
      <w:r w:rsidRPr="004646C1">
        <w:rPr>
          <w:rFonts w:ascii="Times New Roman" w:hAnsi="Times New Roman"/>
          <w:b w:val="0"/>
          <w:bCs w:val="0"/>
          <w:color w:val="auto"/>
          <w:sz w:val="24"/>
          <w:szCs w:val="24"/>
          <w:lang w:val="en-US"/>
        </w:rPr>
        <w:t xml:space="preserve">This paper aims to give statistical significance to the measurement of spatial concentration in the context of entropy-based approaches. We simulate confidence intervals based on a null hypothesis able to </w:t>
      </w:r>
      <w:r>
        <w:rPr>
          <w:rFonts w:ascii="Times New Roman" w:hAnsi="Times New Roman"/>
          <w:b w:val="0"/>
          <w:bCs w:val="0"/>
          <w:color w:val="auto"/>
          <w:sz w:val="24"/>
          <w:szCs w:val="24"/>
          <w:lang w:val="en-US"/>
        </w:rPr>
        <w:t>capture</w:t>
      </w:r>
      <w:r w:rsidRPr="004646C1">
        <w:rPr>
          <w:rFonts w:ascii="Times New Roman" w:hAnsi="Times New Roman"/>
          <w:b w:val="0"/>
          <w:bCs w:val="0"/>
          <w:color w:val="auto"/>
          <w:sz w:val="24"/>
          <w:szCs w:val="24"/>
          <w:lang w:val="en-US"/>
        </w:rPr>
        <w:t xml:space="preserve"> systematic</w:t>
      </w:r>
      <w:r>
        <w:rPr>
          <w:rFonts w:ascii="Times New Roman" w:hAnsi="Times New Roman"/>
          <w:b w:val="0"/>
          <w:bCs w:val="0"/>
          <w:color w:val="auto"/>
          <w:sz w:val="24"/>
          <w:szCs w:val="24"/>
          <w:lang w:val="en-US"/>
        </w:rPr>
        <w:t xml:space="preserve"> spatial concentration of firms </w:t>
      </w:r>
      <w:r w:rsidRPr="004646C1">
        <w:rPr>
          <w:rFonts w:ascii="Times New Roman" w:hAnsi="Times New Roman"/>
          <w:b w:val="0"/>
          <w:bCs w:val="0"/>
          <w:color w:val="auto"/>
          <w:sz w:val="24"/>
          <w:szCs w:val="24"/>
          <w:lang w:val="en-US"/>
        </w:rPr>
        <w:t xml:space="preserve">from random patterns, and </w:t>
      </w:r>
      <w:r>
        <w:rPr>
          <w:rFonts w:ascii="Times New Roman" w:hAnsi="Times New Roman"/>
          <w:b w:val="0"/>
          <w:bCs w:val="0"/>
          <w:color w:val="auto"/>
          <w:sz w:val="24"/>
          <w:szCs w:val="24"/>
          <w:lang w:val="en-US"/>
        </w:rPr>
        <w:t>dis</w:t>
      </w:r>
      <w:r w:rsidRPr="004646C1">
        <w:rPr>
          <w:rFonts w:ascii="Times New Roman" w:hAnsi="Times New Roman"/>
          <w:b w:val="0"/>
          <w:bCs w:val="0"/>
          <w:color w:val="auto"/>
          <w:sz w:val="24"/>
          <w:szCs w:val="24"/>
          <w:lang w:val="en-US"/>
        </w:rPr>
        <w:t xml:space="preserve">similarities between the distributions of firms and employees. We implement this </w:t>
      </w:r>
      <w:r>
        <w:rPr>
          <w:rFonts w:ascii="Times New Roman" w:hAnsi="Times New Roman"/>
          <w:b w:val="0"/>
          <w:bCs w:val="0"/>
          <w:color w:val="auto"/>
          <w:sz w:val="24"/>
          <w:szCs w:val="24"/>
          <w:lang w:val="en-US"/>
        </w:rPr>
        <w:t xml:space="preserve">two-step </w:t>
      </w:r>
      <w:r w:rsidRPr="004646C1">
        <w:rPr>
          <w:rFonts w:ascii="Times New Roman" w:hAnsi="Times New Roman"/>
          <w:b w:val="0"/>
          <w:bCs w:val="0"/>
          <w:color w:val="auto"/>
          <w:sz w:val="24"/>
          <w:szCs w:val="24"/>
          <w:lang w:val="en-US"/>
        </w:rPr>
        <w:t xml:space="preserve">methodology to the European manufacturing economy, and we find a substantive spatial clustering of establishments whereby </w:t>
      </w:r>
      <w:r>
        <w:rPr>
          <w:rFonts w:ascii="Times New Roman" w:hAnsi="Times New Roman"/>
          <w:b w:val="0"/>
          <w:bCs w:val="0"/>
          <w:color w:val="auto"/>
          <w:sz w:val="24"/>
          <w:szCs w:val="24"/>
          <w:lang w:val="en-US"/>
        </w:rPr>
        <w:t xml:space="preserve">the spatial divergence between employees and firms </w:t>
      </w:r>
      <w:r w:rsidRPr="004646C1">
        <w:rPr>
          <w:rFonts w:ascii="Times New Roman" w:hAnsi="Times New Roman"/>
          <w:b w:val="0"/>
          <w:bCs w:val="0"/>
          <w:color w:val="auto"/>
          <w:sz w:val="24"/>
          <w:szCs w:val="24"/>
          <w:lang w:val="en-US"/>
        </w:rPr>
        <w:t xml:space="preserve">is significant both for small-scale industries typically considered as localized because of industry-specific Marshallian external economies and for those industries characterized by considerable internal scale economies. </w:t>
      </w:r>
      <w:r>
        <w:rPr>
          <w:rFonts w:ascii="Times New Roman" w:hAnsi="Times New Roman"/>
          <w:b w:val="0"/>
          <w:bCs w:val="0"/>
          <w:color w:val="auto"/>
          <w:sz w:val="24"/>
          <w:szCs w:val="24"/>
          <w:lang w:val="en-US"/>
        </w:rPr>
        <w:t>We suggest that a high heterogeneity in firm size may have</w:t>
      </w:r>
      <w:r w:rsidRPr="000770A7">
        <w:rPr>
          <w:rFonts w:ascii="Times New Roman" w:hAnsi="Times New Roman"/>
          <w:b w:val="0"/>
          <w:bCs w:val="0"/>
          <w:color w:val="auto"/>
          <w:sz w:val="24"/>
          <w:szCs w:val="24"/>
          <w:lang w:val="en-US"/>
        </w:rPr>
        <w:t xml:space="preserve"> positive implications for aggregate competitiveness at the sectoral level. </w:t>
      </w:r>
    </w:p>
    <w:p w14:paraId="7F89A252" w14:textId="77777777" w:rsidR="00887675" w:rsidRPr="00504D7E" w:rsidRDefault="00887675" w:rsidP="00887675">
      <w:pPr>
        <w:jc w:val="both"/>
        <w:rPr>
          <w:rFonts w:ascii="Times New Roman" w:hAnsi="Times New Roman"/>
          <w:lang w:val="en-US"/>
        </w:rPr>
      </w:pPr>
    </w:p>
    <w:p w14:paraId="5E2532C0" w14:textId="77777777" w:rsidR="00887675" w:rsidRPr="00504D7E" w:rsidRDefault="00887675" w:rsidP="00887675">
      <w:pPr>
        <w:rPr>
          <w:lang w:val="en-US"/>
        </w:rPr>
      </w:pPr>
      <w:r w:rsidRPr="00504D7E">
        <w:rPr>
          <w:lang w:val="en-US"/>
        </w:rPr>
        <w:t>JEL codes: C43, C46, C12, L60, R12</w:t>
      </w:r>
    </w:p>
    <w:p w14:paraId="5418DF78" w14:textId="77777777" w:rsidR="00887675" w:rsidRPr="00504D7E" w:rsidRDefault="00887675" w:rsidP="00887675">
      <w:pPr>
        <w:rPr>
          <w:lang w:val="en-US"/>
        </w:rPr>
      </w:pPr>
    </w:p>
    <w:p w14:paraId="5941D1C3" w14:textId="77777777" w:rsidR="00887675" w:rsidRPr="00504D7E" w:rsidRDefault="00887675" w:rsidP="00887675">
      <w:pPr>
        <w:rPr>
          <w:lang w:val="en-US"/>
        </w:rPr>
      </w:pPr>
      <w:r w:rsidRPr="00504D7E">
        <w:rPr>
          <w:lang w:val="en-US"/>
        </w:rPr>
        <w:t xml:space="preserve">Keywords: </w:t>
      </w:r>
      <w:r>
        <w:rPr>
          <w:lang w:val="en-US"/>
        </w:rPr>
        <w:t>Statistical testing, Spatial</w:t>
      </w:r>
      <w:r w:rsidRPr="00504D7E">
        <w:rPr>
          <w:lang w:val="en-US"/>
        </w:rPr>
        <w:t xml:space="preserve"> Concentration, </w:t>
      </w:r>
      <w:r>
        <w:rPr>
          <w:lang w:val="en-US"/>
        </w:rPr>
        <w:t>E</w:t>
      </w:r>
      <w:r w:rsidRPr="00504D7E">
        <w:rPr>
          <w:lang w:val="en-US"/>
        </w:rPr>
        <w:t>ntropy</w:t>
      </w:r>
      <w:r>
        <w:rPr>
          <w:lang w:val="en-US"/>
        </w:rPr>
        <w:t xml:space="preserve"> measures</w:t>
      </w:r>
      <w:r w:rsidRPr="00504D7E">
        <w:rPr>
          <w:lang w:val="en-US"/>
        </w:rPr>
        <w:t>, Confidence interval</w:t>
      </w:r>
    </w:p>
    <w:p w14:paraId="4D191781" w14:textId="77777777" w:rsidR="00887675" w:rsidRPr="00FC3419" w:rsidRDefault="00887675" w:rsidP="00887675">
      <w:pPr>
        <w:rPr>
          <w:lang w:val="en-US"/>
        </w:rPr>
      </w:pPr>
    </w:p>
    <w:p w14:paraId="6673368C" w14:textId="77777777" w:rsidR="00887675" w:rsidRDefault="00887675" w:rsidP="00292EF0">
      <w:pPr>
        <w:pStyle w:val="Titolo2"/>
        <w:spacing w:line="480" w:lineRule="auto"/>
        <w:rPr>
          <w:color w:val="auto"/>
          <w:lang w:val="en-US"/>
        </w:rPr>
      </w:pPr>
    </w:p>
    <w:p w14:paraId="46E95B6E" w14:textId="77777777" w:rsidR="00887675" w:rsidRDefault="00887675" w:rsidP="00292EF0">
      <w:pPr>
        <w:pStyle w:val="Titolo2"/>
        <w:spacing w:line="480" w:lineRule="auto"/>
        <w:rPr>
          <w:color w:val="auto"/>
          <w:lang w:val="en-US"/>
        </w:rPr>
      </w:pPr>
    </w:p>
    <w:p w14:paraId="29C1DF2E" w14:textId="77777777" w:rsidR="00887675" w:rsidRDefault="00887675" w:rsidP="00292EF0">
      <w:pPr>
        <w:pStyle w:val="Titolo2"/>
        <w:spacing w:line="480" w:lineRule="auto"/>
        <w:rPr>
          <w:color w:val="auto"/>
          <w:lang w:val="en-US"/>
        </w:rPr>
      </w:pPr>
    </w:p>
    <w:p w14:paraId="2A7CE57C" w14:textId="77777777" w:rsidR="00887675" w:rsidRDefault="00887675" w:rsidP="00292EF0">
      <w:pPr>
        <w:pStyle w:val="Titolo2"/>
        <w:spacing w:line="480" w:lineRule="auto"/>
        <w:rPr>
          <w:color w:val="auto"/>
          <w:lang w:val="en-US"/>
        </w:rPr>
      </w:pPr>
    </w:p>
    <w:p w14:paraId="414AE71D" w14:textId="0D9BBBB6" w:rsidR="00292EF0" w:rsidRPr="004646C1" w:rsidRDefault="00292EF0" w:rsidP="00292EF0">
      <w:pPr>
        <w:pStyle w:val="Titolo2"/>
        <w:spacing w:line="480" w:lineRule="auto"/>
        <w:rPr>
          <w:color w:val="auto"/>
          <w:lang w:val="en-US"/>
        </w:rPr>
      </w:pPr>
      <w:r w:rsidRPr="004646C1">
        <w:rPr>
          <w:color w:val="auto"/>
          <w:lang w:val="en-US"/>
        </w:rPr>
        <w:t>Abstract</w:t>
      </w:r>
    </w:p>
    <w:p w14:paraId="0B523641" w14:textId="511CC8FE" w:rsidR="00085EEE" w:rsidRDefault="00292EF0" w:rsidP="00903B23">
      <w:pPr>
        <w:pStyle w:val="Titolo2"/>
        <w:jc w:val="both"/>
        <w:rPr>
          <w:rFonts w:ascii="Times New Roman" w:hAnsi="Times New Roman"/>
          <w:b w:val="0"/>
          <w:bCs w:val="0"/>
          <w:color w:val="auto"/>
          <w:sz w:val="24"/>
          <w:szCs w:val="24"/>
          <w:lang w:val="en-US"/>
        </w:rPr>
      </w:pPr>
      <w:r w:rsidRPr="004646C1">
        <w:rPr>
          <w:rFonts w:ascii="Times New Roman" w:hAnsi="Times New Roman"/>
          <w:b w:val="0"/>
          <w:bCs w:val="0"/>
          <w:color w:val="auto"/>
          <w:sz w:val="24"/>
          <w:szCs w:val="24"/>
          <w:lang w:val="en-US"/>
        </w:rPr>
        <w:t xml:space="preserve">This paper aims to give statistical significance to the measurement of spatial concentration in the context of entropy-based approaches. </w:t>
      </w:r>
      <w:r w:rsidR="00903B23" w:rsidRPr="004646C1">
        <w:rPr>
          <w:rFonts w:ascii="Times New Roman" w:hAnsi="Times New Roman"/>
          <w:b w:val="0"/>
          <w:bCs w:val="0"/>
          <w:color w:val="auto"/>
          <w:sz w:val="24"/>
          <w:szCs w:val="24"/>
          <w:lang w:val="en-US"/>
        </w:rPr>
        <w:t xml:space="preserve">We </w:t>
      </w:r>
      <w:r w:rsidRPr="004646C1">
        <w:rPr>
          <w:rFonts w:ascii="Times New Roman" w:hAnsi="Times New Roman"/>
          <w:b w:val="0"/>
          <w:bCs w:val="0"/>
          <w:color w:val="auto"/>
          <w:sz w:val="24"/>
          <w:szCs w:val="24"/>
          <w:lang w:val="en-US"/>
        </w:rPr>
        <w:t xml:space="preserve">simulate confidence intervals based on a null hypothesis able to </w:t>
      </w:r>
      <w:r w:rsidR="006A0810">
        <w:rPr>
          <w:rFonts w:ascii="Times New Roman" w:hAnsi="Times New Roman"/>
          <w:b w:val="0"/>
          <w:bCs w:val="0"/>
          <w:color w:val="auto"/>
          <w:sz w:val="24"/>
          <w:szCs w:val="24"/>
          <w:lang w:val="en-US"/>
        </w:rPr>
        <w:t>capture</w:t>
      </w:r>
      <w:r w:rsidRPr="004646C1">
        <w:rPr>
          <w:rFonts w:ascii="Times New Roman" w:hAnsi="Times New Roman"/>
          <w:b w:val="0"/>
          <w:bCs w:val="0"/>
          <w:color w:val="auto"/>
          <w:sz w:val="24"/>
          <w:szCs w:val="24"/>
          <w:lang w:val="en-US"/>
        </w:rPr>
        <w:t xml:space="preserve"> systematic</w:t>
      </w:r>
      <w:r w:rsidR="00E21ACE">
        <w:rPr>
          <w:rFonts w:ascii="Times New Roman" w:hAnsi="Times New Roman"/>
          <w:b w:val="0"/>
          <w:bCs w:val="0"/>
          <w:color w:val="auto"/>
          <w:sz w:val="24"/>
          <w:szCs w:val="24"/>
          <w:lang w:val="en-US"/>
        </w:rPr>
        <w:t xml:space="preserve"> </w:t>
      </w:r>
      <w:r w:rsidR="006A0810">
        <w:rPr>
          <w:rFonts w:ascii="Times New Roman" w:hAnsi="Times New Roman"/>
          <w:b w:val="0"/>
          <w:bCs w:val="0"/>
          <w:color w:val="auto"/>
          <w:sz w:val="24"/>
          <w:szCs w:val="24"/>
          <w:lang w:val="en-US"/>
        </w:rPr>
        <w:t>spatial concentration</w:t>
      </w:r>
      <w:r w:rsidRPr="004646C1">
        <w:rPr>
          <w:rFonts w:ascii="Times New Roman" w:hAnsi="Times New Roman"/>
          <w:b w:val="0"/>
          <w:bCs w:val="0"/>
          <w:color w:val="auto"/>
          <w:sz w:val="24"/>
          <w:szCs w:val="24"/>
          <w:lang w:val="en-US"/>
        </w:rPr>
        <w:t xml:space="preserve"> </w:t>
      </w:r>
      <w:r w:rsidR="00E21ACE">
        <w:rPr>
          <w:rFonts w:ascii="Times New Roman" w:hAnsi="Times New Roman"/>
          <w:b w:val="0"/>
          <w:bCs w:val="0"/>
          <w:color w:val="auto"/>
          <w:sz w:val="24"/>
          <w:szCs w:val="24"/>
          <w:lang w:val="en-US"/>
        </w:rPr>
        <w:t xml:space="preserve">of firms </w:t>
      </w:r>
      <w:r w:rsidRPr="004646C1">
        <w:rPr>
          <w:rFonts w:ascii="Times New Roman" w:hAnsi="Times New Roman"/>
          <w:b w:val="0"/>
          <w:bCs w:val="0"/>
          <w:color w:val="auto"/>
          <w:sz w:val="24"/>
          <w:szCs w:val="24"/>
          <w:lang w:val="en-US"/>
        </w:rPr>
        <w:t xml:space="preserve">from random patterns, </w:t>
      </w:r>
      <w:r w:rsidR="00085EEE" w:rsidRPr="004646C1">
        <w:rPr>
          <w:rFonts w:ascii="Times New Roman" w:hAnsi="Times New Roman"/>
          <w:b w:val="0"/>
          <w:bCs w:val="0"/>
          <w:color w:val="auto"/>
          <w:sz w:val="24"/>
          <w:szCs w:val="24"/>
          <w:lang w:val="en-US"/>
        </w:rPr>
        <w:t xml:space="preserve">and </w:t>
      </w:r>
      <w:r w:rsidR="006A0810">
        <w:rPr>
          <w:rFonts w:ascii="Times New Roman" w:hAnsi="Times New Roman"/>
          <w:b w:val="0"/>
          <w:bCs w:val="0"/>
          <w:color w:val="auto"/>
          <w:sz w:val="24"/>
          <w:szCs w:val="24"/>
          <w:lang w:val="en-US"/>
        </w:rPr>
        <w:t>dis</w:t>
      </w:r>
      <w:r w:rsidR="00085EEE" w:rsidRPr="004646C1">
        <w:rPr>
          <w:rFonts w:ascii="Times New Roman" w:hAnsi="Times New Roman"/>
          <w:b w:val="0"/>
          <w:bCs w:val="0"/>
          <w:color w:val="auto"/>
          <w:sz w:val="24"/>
          <w:szCs w:val="24"/>
          <w:lang w:val="en-US"/>
        </w:rPr>
        <w:t>similarities between the distributions of firms and employees</w:t>
      </w:r>
      <w:r w:rsidRPr="004646C1">
        <w:rPr>
          <w:rFonts w:ascii="Times New Roman" w:hAnsi="Times New Roman"/>
          <w:b w:val="0"/>
          <w:bCs w:val="0"/>
          <w:color w:val="auto"/>
          <w:sz w:val="24"/>
          <w:szCs w:val="24"/>
          <w:lang w:val="en-US"/>
        </w:rPr>
        <w:t xml:space="preserve">. We implement this </w:t>
      </w:r>
      <w:r w:rsidR="0064167A">
        <w:rPr>
          <w:rFonts w:ascii="Times New Roman" w:hAnsi="Times New Roman"/>
          <w:b w:val="0"/>
          <w:bCs w:val="0"/>
          <w:color w:val="auto"/>
          <w:sz w:val="24"/>
          <w:szCs w:val="24"/>
          <w:lang w:val="en-US"/>
        </w:rPr>
        <w:t xml:space="preserve">two-step </w:t>
      </w:r>
      <w:r w:rsidRPr="004646C1">
        <w:rPr>
          <w:rFonts w:ascii="Times New Roman" w:hAnsi="Times New Roman"/>
          <w:b w:val="0"/>
          <w:bCs w:val="0"/>
          <w:color w:val="auto"/>
          <w:sz w:val="24"/>
          <w:szCs w:val="24"/>
          <w:lang w:val="en-US"/>
        </w:rPr>
        <w:t xml:space="preserve">methodology to the European manufacturing </w:t>
      </w:r>
      <w:r w:rsidR="005F500B" w:rsidRPr="004646C1">
        <w:rPr>
          <w:rFonts w:ascii="Times New Roman" w:hAnsi="Times New Roman"/>
          <w:b w:val="0"/>
          <w:bCs w:val="0"/>
          <w:color w:val="auto"/>
          <w:sz w:val="24"/>
          <w:szCs w:val="24"/>
          <w:lang w:val="en-US"/>
        </w:rPr>
        <w:t>economy,</w:t>
      </w:r>
      <w:r w:rsidRPr="004646C1">
        <w:rPr>
          <w:rFonts w:ascii="Times New Roman" w:hAnsi="Times New Roman"/>
          <w:b w:val="0"/>
          <w:bCs w:val="0"/>
          <w:color w:val="auto"/>
          <w:sz w:val="24"/>
          <w:szCs w:val="24"/>
          <w:lang w:val="en-US"/>
        </w:rPr>
        <w:t xml:space="preserve"> and we find a substantive </w:t>
      </w:r>
      <w:r w:rsidR="00085EEE" w:rsidRPr="004646C1">
        <w:rPr>
          <w:rFonts w:ascii="Times New Roman" w:hAnsi="Times New Roman"/>
          <w:b w:val="0"/>
          <w:bCs w:val="0"/>
          <w:color w:val="auto"/>
          <w:sz w:val="24"/>
          <w:szCs w:val="24"/>
          <w:lang w:val="en-US"/>
        </w:rPr>
        <w:t>spatial clustering of establishments</w:t>
      </w:r>
      <w:r w:rsidRPr="004646C1">
        <w:rPr>
          <w:rFonts w:ascii="Times New Roman" w:hAnsi="Times New Roman"/>
          <w:b w:val="0"/>
          <w:bCs w:val="0"/>
          <w:color w:val="auto"/>
          <w:sz w:val="24"/>
          <w:szCs w:val="24"/>
          <w:lang w:val="en-US"/>
        </w:rPr>
        <w:t xml:space="preserve"> whereby </w:t>
      </w:r>
      <w:r w:rsidR="0064167A">
        <w:rPr>
          <w:rFonts w:ascii="Times New Roman" w:hAnsi="Times New Roman"/>
          <w:b w:val="0"/>
          <w:bCs w:val="0"/>
          <w:color w:val="auto"/>
          <w:sz w:val="24"/>
          <w:szCs w:val="24"/>
          <w:lang w:val="en-US"/>
        </w:rPr>
        <w:t xml:space="preserve">the spatial </w:t>
      </w:r>
      <w:r w:rsidR="000770A7">
        <w:rPr>
          <w:rFonts w:ascii="Times New Roman" w:hAnsi="Times New Roman"/>
          <w:b w:val="0"/>
          <w:bCs w:val="0"/>
          <w:color w:val="auto"/>
          <w:sz w:val="24"/>
          <w:szCs w:val="24"/>
          <w:lang w:val="en-US"/>
        </w:rPr>
        <w:t>divergence between</w:t>
      </w:r>
      <w:r w:rsidR="0064167A">
        <w:rPr>
          <w:rFonts w:ascii="Times New Roman" w:hAnsi="Times New Roman"/>
          <w:b w:val="0"/>
          <w:bCs w:val="0"/>
          <w:color w:val="auto"/>
          <w:sz w:val="24"/>
          <w:szCs w:val="24"/>
          <w:lang w:val="en-US"/>
        </w:rPr>
        <w:t xml:space="preserve"> employ</w:t>
      </w:r>
      <w:r w:rsidR="000770A7">
        <w:rPr>
          <w:rFonts w:ascii="Times New Roman" w:hAnsi="Times New Roman"/>
          <w:b w:val="0"/>
          <w:bCs w:val="0"/>
          <w:color w:val="auto"/>
          <w:sz w:val="24"/>
          <w:szCs w:val="24"/>
          <w:lang w:val="en-US"/>
        </w:rPr>
        <w:t xml:space="preserve">ees and firms </w:t>
      </w:r>
      <w:r w:rsidRPr="004646C1">
        <w:rPr>
          <w:rFonts w:ascii="Times New Roman" w:hAnsi="Times New Roman"/>
          <w:b w:val="0"/>
          <w:bCs w:val="0"/>
          <w:color w:val="auto"/>
          <w:sz w:val="24"/>
          <w:szCs w:val="24"/>
          <w:lang w:val="en-US"/>
        </w:rPr>
        <w:t xml:space="preserve">is significant both for small-scale industries typically considered as localized because of industry-specific Marshallian external economies and for those industries characterized by considerable internal scale economies. </w:t>
      </w:r>
      <w:r w:rsidR="000770A7">
        <w:rPr>
          <w:rFonts w:ascii="Times New Roman" w:hAnsi="Times New Roman"/>
          <w:b w:val="0"/>
          <w:bCs w:val="0"/>
          <w:color w:val="auto"/>
          <w:sz w:val="24"/>
          <w:szCs w:val="24"/>
          <w:lang w:val="en-US"/>
        </w:rPr>
        <w:t>We suggest that</w:t>
      </w:r>
      <w:r w:rsidR="007379FD">
        <w:rPr>
          <w:rFonts w:ascii="Times New Roman" w:hAnsi="Times New Roman"/>
          <w:b w:val="0"/>
          <w:bCs w:val="0"/>
          <w:color w:val="auto"/>
          <w:sz w:val="24"/>
          <w:szCs w:val="24"/>
          <w:lang w:val="en-US"/>
        </w:rPr>
        <w:t xml:space="preserve"> a</w:t>
      </w:r>
      <w:r w:rsidR="000770A7">
        <w:rPr>
          <w:rFonts w:ascii="Times New Roman" w:hAnsi="Times New Roman"/>
          <w:b w:val="0"/>
          <w:bCs w:val="0"/>
          <w:color w:val="auto"/>
          <w:sz w:val="24"/>
          <w:szCs w:val="24"/>
          <w:lang w:val="en-US"/>
        </w:rPr>
        <w:t xml:space="preserve"> high </w:t>
      </w:r>
      <w:r w:rsidR="007379FD">
        <w:rPr>
          <w:rFonts w:ascii="Times New Roman" w:hAnsi="Times New Roman"/>
          <w:b w:val="0"/>
          <w:bCs w:val="0"/>
          <w:color w:val="auto"/>
          <w:sz w:val="24"/>
          <w:szCs w:val="24"/>
          <w:lang w:val="en-US"/>
        </w:rPr>
        <w:t xml:space="preserve">regional </w:t>
      </w:r>
      <w:r w:rsidR="000770A7">
        <w:rPr>
          <w:rFonts w:ascii="Times New Roman" w:hAnsi="Times New Roman"/>
          <w:b w:val="0"/>
          <w:bCs w:val="0"/>
          <w:color w:val="auto"/>
          <w:sz w:val="24"/>
          <w:szCs w:val="24"/>
          <w:lang w:val="en-US"/>
        </w:rPr>
        <w:t xml:space="preserve">heterogeneity in firm size </w:t>
      </w:r>
      <w:r w:rsidR="007379FD">
        <w:rPr>
          <w:rFonts w:ascii="Times New Roman" w:hAnsi="Times New Roman"/>
          <w:b w:val="0"/>
          <w:bCs w:val="0"/>
          <w:color w:val="auto"/>
          <w:sz w:val="24"/>
          <w:szCs w:val="24"/>
          <w:lang w:val="en-US"/>
        </w:rPr>
        <w:t>may have</w:t>
      </w:r>
      <w:r w:rsidR="007379FD" w:rsidRPr="000770A7">
        <w:rPr>
          <w:rFonts w:ascii="Times New Roman" w:hAnsi="Times New Roman"/>
          <w:b w:val="0"/>
          <w:bCs w:val="0"/>
          <w:color w:val="auto"/>
          <w:sz w:val="24"/>
          <w:szCs w:val="24"/>
          <w:lang w:val="en-US"/>
        </w:rPr>
        <w:t xml:space="preserve"> </w:t>
      </w:r>
      <w:r w:rsidR="000770A7" w:rsidRPr="000770A7">
        <w:rPr>
          <w:rFonts w:ascii="Times New Roman" w:hAnsi="Times New Roman"/>
          <w:b w:val="0"/>
          <w:bCs w:val="0"/>
          <w:color w:val="auto"/>
          <w:sz w:val="24"/>
          <w:szCs w:val="24"/>
          <w:lang w:val="en-US"/>
        </w:rPr>
        <w:t xml:space="preserve">positive implications for aggregate competitiveness at the sectoral level. </w:t>
      </w:r>
    </w:p>
    <w:p w14:paraId="512BF940" w14:textId="77777777" w:rsidR="007379FD" w:rsidRPr="008A4429" w:rsidRDefault="007379FD" w:rsidP="008A4429">
      <w:pPr>
        <w:rPr>
          <w:b/>
          <w:bCs/>
          <w:lang w:val="en-US"/>
        </w:rPr>
      </w:pPr>
    </w:p>
    <w:p w14:paraId="66D8E0C7" w14:textId="77777777" w:rsidR="00292EF0" w:rsidRPr="00504D7E" w:rsidRDefault="00292EF0" w:rsidP="00292EF0">
      <w:pPr>
        <w:jc w:val="both"/>
        <w:rPr>
          <w:rFonts w:ascii="Times New Roman" w:hAnsi="Times New Roman"/>
          <w:lang w:val="en-US"/>
        </w:rPr>
      </w:pPr>
    </w:p>
    <w:p w14:paraId="5F304BBD" w14:textId="77777777" w:rsidR="00292EF0" w:rsidRPr="00504D7E" w:rsidRDefault="00292EF0" w:rsidP="00292EF0">
      <w:pPr>
        <w:rPr>
          <w:lang w:val="en-US"/>
        </w:rPr>
      </w:pPr>
      <w:r w:rsidRPr="00504D7E">
        <w:rPr>
          <w:lang w:val="en-US"/>
        </w:rPr>
        <w:t>JEL codes: C43, C46, C12, L60, R12</w:t>
      </w:r>
    </w:p>
    <w:p w14:paraId="5AD66E6C" w14:textId="77777777" w:rsidR="00292EF0" w:rsidRPr="00504D7E" w:rsidRDefault="00292EF0" w:rsidP="00292EF0">
      <w:pPr>
        <w:rPr>
          <w:lang w:val="en-US"/>
        </w:rPr>
      </w:pPr>
    </w:p>
    <w:p w14:paraId="5BC1F483" w14:textId="42CA9215" w:rsidR="00292EF0" w:rsidRPr="00504D7E" w:rsidRDefault="00292EF0">
      <w:pPr>
        <w:rPr>
          <w:lang w:val="en-US"/>
        </w:rPr>
      </w:pPr>
      <w:r w:rsidRPr="00504D7E">
        <w:rPr>
          <w:lang w:val="en-US"/>
        </w:rPr>
        <w:t xml:space="preserve">Keywords: </w:t>
      </w:r>
      <w:r w:rsidR="00772513">
        <w:rPr>
          <w:lang w:val="en-US"/>
        </w:rPr>
        <w:t xml:space="preserve">Statistical testing, </w:t>
      </w:r>
      <w:r w:rsidR="00D32CC3">
        <w:rPr>
          <w:lang w:val="en-US"/>
        </w:rPr>
        <w:t>Spatial</w:t>
      </w:r>
      <w:r w:rsidRPr="00504D7E">
        <w:rPr>
          <w:lang w:val="en-US"/>
        </w:rPr>
        <w:t xml:space="preserve"> Concentration, </w:t>
      </w:r>
      <w:r w:rsidR="00E21ACE">
        <w:rPr>
          <w:lang w:val="en-US"/>
        </w:rPr>
        <w:t>E</w:t>
      </w:r>
      <w:r w:rsidRPr="00504D7E">
        <w:rPr>
          <w:lang w:val="en-US"/>
        </w:rPr>
        <w:t>ntropy</w:t>
      </w:r>
      <w:r w:rsidR="00E21ACE">
        <w:rPr>
          <w:lang w:val="en-US"/>
        </w:rPr>
        <w:t xml:space="preserve"> measures</w:t>
      </w:r>
      <w:r w:rsidRPr="00504D7E">
        <w:rPr>
          <w:lang w:val="en-US"/>
        </w:rPr>
        <w:t>, Confidence interval</w:t>
      </w:r>
    </w:p>
    <w:p w14:paraId="7690F038" w14:textId="0DF0E2F4" w:rsidR="0091169C" w:rsidRPr="003D2955" w:rsidRDefault="00E779E9" w:rsidP="00D375E2">
      <w:pPr>
        <w:pStyle w:val="Titolo2"/>
        <w:spacing w:line="480" w:lineRule="auto"/>
        <w:rPr>
          <w:rFonts w:ascii="Times New Roman" w:hAnsi="Times New Roman"/>
          <w:b w:val="0"/>
          <w:bCs w:val="0"/>
          <w:color w:val="auto"/>
          <w:sz w:val="24"/>
          <w:szCs w:val="24"/>
          <w:lang w:val="en-US"/>
        </w:rPr>
      </w:pPr>
      <w:r w:rsidRPr="00504D7E">
        <w:rPr>
          <w:color w:val="auto"/>
          <w:lang w:val="en-US"/>
        </w:rPr>
        <w:lastRenderedPageBreak/>
        <w:t>Introduction</w:t>
      </w:r>
      <w:r w:rsidR="00AC4265">
        <w:rPr>
          <w:color w:val="auto"/>
          <w:lang w:val="en-US"/>
        </w:rPr>
        <w:t xml:space="preserve">                                                                                                                                              </w:t>
      </w:r>
      <w:r w:rsidR="005C3579">
        <w:rPr>
          <w:rFonts w:ascii="Times New Roman" w:hAnsi="Times New Roman"/>
          <w:b w:val="0"/>
          <w:bCs w:val="0"/>
          <w:color w:val="auto"/>
          <w:sz w:val="24"/>
          <w:szCs w:val="24"/>
          <w:lang w:val="en-US"/>
        </w:rPr>
        <w:t>Over the</w:t>
      </w:r>
      <w:r w:rsidR="005C3579" w:rsidRPr="007046CE">
        <w:rPr>
          <w:rFonts w:ascii="Times New Roman" w:hAnsi="Times New Roman"/>
          <w:b w:val="0"/>
          <w:bCs w:val="0"/>
          <w:color w:val="auto"/>
          <w:sz w:val="24"/>
          <w:szCs w:val="24"/>
          <w:lang w:val="en-US"/>
        </w:rPr>
        <w:t xml:space="preserve"> last few years, </w:t>
      </w:r>
      <w:r w:rsidR="002368DD" w:rsidRPr="00107E38">
        <w:rPr>
          <w:rFonts w:ascii="Times New Roman" w:hAnsi="Times New Roman"/>
          <w:b w:val="0"/>
          <w:bCs w:val="0"/>
          <w:color w:val="auto"/>
          <w:sz w:val="24"/>
          <w:szCs w:val="24"/>
          <w:lang w:val="en-US"/>
        </w:rPr>
        <w:t xml:space="preserve">multidimensional </w:t>
      </w:r>
      <w:r w:rsidR="002368DD">
        <w:rPr>
          <w:rFonts w:ascii="Times New Roman" w:hAnsi="Times New Roman"/>
          <w:b w:val="0"/>
          <w:bCs w:val="0"/>
          <w:color w:val="auto"/>
          <w:sz w:val="24"/>
          <w:szCs w:val="24"/>
          <w:lang w:val="en-US"/>
        </w:rPr>
        <w:t>concepts</w:t>
      </w:r>
      <w:r w:rsidR="00855BCC">
        <w:rPr>
          <w:rFonts w:ascii="Times New Roman" w:hAnsi="Times New Roman"/>
          <w:b w:val="0"/>
          <w:bCs w:val="0"/>
          <w:color w:val="auto"/>
          <w:sz w:val="24"/>
          <w:szCs w:val="24"/>
          <w:lang w:val="en-US"/>
        </w:rPr>
        <w:t xml:space="preserve"> </w:t>
      </w:r>
      <w:r w:rsidR="002368DD" w:rsidRPr="00107E38">
        <w:rPr>
          <w:rFonts w:ascii="Times New Roman" w:hAnsi="Times New Roman"/>
          <w:b w:val="0"/>
          <w:bCs w:val="0"/>
          <w:color w:val="auto"/>
          <w:sz w:val="24"/>
          <w:szCs w:val="24"/>
          <w:lang w:val="en-US"/>
        </w:rPr>
        <w:t>ha</w:t>
      </w:r>
      <w:r w:rsidR="00855BCC">
        <w:rPr>
          <w:rFonts w:ascii="Times New Roman" w:hAnsi="Times New Roman"/>
          <w:b w:val="0"/>
          <w:bCs w:val="0"/>
          <w:color w:val="auto"/>
          <w:sz w:val="24"/>
          <w:szCs w:val="24"/>
          <w:lang w:val="en-US"/>
        </w:rPr>
        <w:t>ve</w:t>
      </w:r>
      <w:r w:rsidR="002368DD" w:rsidRPr="00107E38">
        <w:rPr>
          <w:rFonts w:ascii="Times New Roman" w:hAnsi="Times New Roman"/>
          <w:b w:val="0"/>
          <w:bCs w:val="0"/>
          <w:color w:val="auto"/>
          <w:sz w:val="24"/>
          <w:szCs w:val="24"/>
          <w:lang w:val="en-US"/>
        </w:rPr>
        <w:t xml:space="preserve"> been one of the most treated research topics</w:t>
      </w:r>
      <w:r w:rsidR="002368DD">
        <w:rPr>
          <w:rFonts w:ascii="Times New Roman" w:hAnsi="Times New Roman"/>
          <w:b w:val="0"/>
          <w:bCs w:val="0"/>
          <w:color w:val="auto"/>
          <w:sz w:val="24"/>
          <w:szCs w:val="24"/>
          <w:lang w:val="en-US"/>
        </w:rPr>
        <w:t xml:space="preserve">. In particular, the research focused on the methodologies to assess </w:t>
      </w:r>
      <w:r w:rsidR="002368DD" w:rsidRPr="00107E38">
        <w:rPr>
          <w:rFonts w:ascii="Times New Roman" w:hAnsi="Times New Roman"/>
          <w:b w:val="0"/>
          <w:bCs w:val="0"/>
          <w:color w:val="auto"/>
          <w:sz w:val="24"/>
          <w:szCs w:val="24"/>
          <w:lang w:val="en-US"/>
        </w:rPr>
        <w:t xml:space="preserve">complex </w:t>
      </w:r>
      <w:r w:rsidR="002368DD">
        <w:rPr>
          <w:rFonts w:ascii="Times New Roman" w:hAnsi="Times New Roman"/>
          <w:b w:val="0"/>
          <w:bCs w:val="0"/>
          <w:color w:val="auto"/>
          <w:sz w:val="24"/>
          <w:szCs w:val="24"/>
          <w:lang w:val="en-US"/>
        </w:rPr>
        <w:t xml:space="preserve">phenomena </w:t>
      </w:r>
      <w:r w:rsidR="00855BCC">
        <w:rPr>
          <w:rFonts w:ascii="Times New Roman" w:hAnsi="Times New Roman"/>
          <w:b w:val="0"/>
          <w:bCs w:val="0"/>
          <w:color w:val="auto"/>
          <w:sz w:val="24"/>
          <w:szCs w:val="24"/>
          <w:lang w:val="en-US"/>
        </w:rPr>
        <w:t xml:space="preserve">such as wellbeing and competitiveness </w:t>
      </w:r>
      <w:r w:rsidR="002368DD">
        <w:rPr>
          <w:rFonts w:ascii="Times New Roman" w:hAnsi="Times New Roman"/>
          <w:b w:val="0"/>
          <w:bCs w:val="0"/>
          <w:color w:val="auto"/>
          <w:sz w:val="24"/>
          <w:szCs w:val="24"/>
          <w:lang w:val="en-US"/>
        </w:rPr>
        <w:t xml:space="preserve">and the extent to which they can be quantified </w:t>
      </w:r>
      <w:r w:rsidR="000800B2">
        <w:rPr>
          <w:rFonts w:ascii="Times New Roman" w:hAnsi="Times New Roman"/>
          <w:b w:val="0"/>
          <w:bCs w:val="0"/>
          <w:color w:val="auto"/>
          <w:sz w:val="24"/>
          <w:szCs w:val="24"/>
          <w:lang w:val="en-US"/>
        </w:rPr>
        <w:t xml:space="preserve">(See, among others, </w:t>
      </w:r>
      <w:proofErr w:type="spellStart"/>
      <w:r w:rsidR="000800B2">
        <w:rPr>
          <w:rFonts w:ascii="Times New Roman" w:hAnsi="Times New Roman"/>
          <w:b w:val="0"/>
          <w:bCs w:val="0"/>
          <w:color w:val="auto"/>
          <w:sz w:val="24"/>
          <w:szCs w:val="24"/>
          <w:lang w:val="en-US"/>
        </w:rPr>
        <w:t>Mazziotta</w:t>
      </w:r>
      <w:proofErr w:type="spellEnd"/>
      <w:r w:rsidR="000800B2">
        <w:rPr>
          <w:rFonts w:ascii="Times New Roman" w:hAnsi="Times New Roman"/>
          <w:b w:val="0"/>
          <w:bCs w:val="0"/>
          <w:color w:val="auto"/>
          <w:sz w:val="24"/>
          <w:szCs w:val="24"/>
          <w:lang w:val="en-US"/>
        </w:rPr>
        <w:t xml:space="preserve"> and Pareto, 2019; </w:t>
      </w:r>
      <w:r w:rsidR="000800B2" w:rsidRPr="000800B2">
        <w:rPr>
          <w:rFonts w:ascii="Times New Roman" w:hAnsi="Times New Roman"/>
          <w:b w:val="0"/>
          <w:bCs w:val="0"/>
          <w:color w:val="auto"/>
          <w:sz w:val="24"/>
          <w:szCs w:val="24"/>
          <w:lang w:val="en-US"/>
        </w:rPr>
        <w:t>Krishnakumar</w:t>
      </w:r>
      <w:r w:rsidR="000800B2">
        <w:rPr>
          <w:rFonts w:ascii="Times New Roman" w:hAnsi="Times New Roman"/>
          <w:b w:val="0"/>
          <w:bCs w:val="0"/>
          <w:color w:val="auto"/>
          <w:sz w:val="24"/>
          <w:szCs w:val="24"/>
          <w:lang w:val="en-US"/>
        </w:rPr>
        <w:t xml:space="preserve"> and </w:t>
      </w:r>
      <w:r w:rsidR="000800B2" w:rsidRPr="000800B2">
        <w:rPr>
          <w:rFonts w:ascii="Times New Roman" w:hAnsi="Times New Roman"/>
          <w:b w:val="0"/>
          <w:bCs w:val="0"/>
          <w:color w:val="auto"/>
          <w:sz w:val="24"/>
          <w:szCs w:val="24"/>
          <w:lang w:val="en-US"/>
        </w:rPr>
        <w:t>Nagar, 2008</w:t>
      </w:r>
      <w:r w:rsidR="000800B2">
        <w:rPr>
          <w:rFonts w:ascii="Times New Roman" w:hAnsi="Times New Roman"/>
          <w:b w:val="0"/>
          <w:bCs w:val="0"/>
          <w:color w:val="auto"/>
          <w:sz w:val="24"/>
          <w:szCs w:val="24"/>
          <w:lang w:val="en-US"/>
        </w:rPr>
        <w:t xml:space="preserve">; </w:t>
      </w:r>
      <w:proofErr w:type="spellStart"/>
      <w:r w:rsidR="000800B2" w:rsidRPr="00107E38">
        <w:rPr>
          <w:rFonts w:ascii="Times New Roman" w:hAnsi="Times New Roman"/>
          <w:b w:val="0"/>
          <w:bCs w:val="0"/>
          <w:color w:val="auto"/>
          <w:sz w:val="24"/>
          <w:szCs w:val="24"/>
          <w:lang w:val="en-US"/>
        </w:rPr>
        <w:t>Schlossarek</w:t>
      </w:r>
      <w:proofErr w:type="spellEnd"/>
      <w:r w:rsidR="000800B2">
        <w:rPr>
          <w:rFonts w:ascii="Times New Roman" w:hAnsi="Times New Roman"/>
          <w:b w:val="0"/>
          <w:bCs w:val="0"/>
          <w:color w:val="auto"/>
          <w:sz w:val="24"/>
          <w:szCs w:val="24"/>
          <w:lang w:val="en-US"/>
        </w:rPr>
        <w:t xml:space="preserve"> </w:t>
      </w:r>
      <w:r w:rsidR="000800B2" w:rsidRPr="00107E38">
        <w:rPr>
          <w:rFonts w:ascii="Times New Roman" w:hAnsi="Times New Roman"/>
          <w:b w:val="0"/>
          <w:bCs w:val="0"/>
          <w:i/>
          <w:iCs/>
          <w:color w:val="auto"/>
          <w:sz w:val="24"/>
          <w:szCs w:val="24"/>
          <w:lang w:val="en-US"/>
        </w:rPr>
        <w:t>et al.,</w:t>
      </w:r>
      <w:r w:rsidR="000800B2">
        <w:rPr>
          <w:rFonts w:ascii="Times New Roman" w:hAnsi="Times New Roman"/>
          <w:b w:val="0"/>
          <w:bCs w:val="0"/>
          <w:color w:val="auto"/>
          <w:sz w:val="24"/>
          <w:szCs w:val="24"/>
          <w:lang w:val="en-US"/>
        </w:rPr>
        <w:t xml:space="preserve"> 2019</w:t>
      </w:r>
      <w:r w:rsidR="00804B5E">
        <w:rPr>
          <w:rFonts w:ascii="Times New Roman" w:hAnsi="Times New Roman"/>
          <w:b w:val="0"/>
          <w:bCs w:val="0"/>
          <w:color w:val="auto"/>
          <w:sz w:val="24"/>
          <w:szCs w:val="24"/>
          <w:lang w:val="en-US"/>
        </w:rPr>
        <w:t xml:space="preserve">; </w:t>
      </w:r>
      <w:proofErr w:type="spellStart"/>
      <w:r w:rsidR="00804B5E">
        <w:rPr>
          <w:rFonts w:ascii="Times New Roman" w:hAnsi="Times New Roman"/>
          <w:b w:val="0"/>
          <w:bCs w:val="0"/>
          <w:color w:val="auto"/>
          <w:sz w:val="24"/>
          <w:szCs w:val="24"/>
          <w:lang w:val="en-US"/>
        </w:rPr>
        <w:t>Ciommi</w:t>
      </w:r>
      <w:proofErr w:type="spellEnd"/>
      <w:r w:rsidR="00804B5E">
        <w:rPr>
          <w:rFonts w:ascii="Times New Roman" w:hAnsi="Times New Roman"/>
          <w:b w:val="0"/>
          <w:bCs w:val="0"/>
          <w:color w:val="auto"/>
          <w:sz w:val="24"/>
          <w:szCs w:val="24"/>
          <w:lang w:val="en-US"/>
        </w:rPr>
        <w:t xml:space="preserve"> </w:t>
      </w:r>
      <w:r w:rsidR="00804B5E" w:rsidRPr="00107E38">
        <w:rPr>
          <w:rFonts w:ascii="Times New Roman" w:hAnsi="Times New Roman"/>
          <w:b w:val="0"/>
          <w:bCs w:val="0"/>
          <w:i/>
          <w:iCs/>
          <w:color w:val="auto"/>
          <w:sz w:val="24"/>
          <w:szCs w:val="24"/>
          <w:lang w:val="en-US"/>
        </w:rPr>
        <w:t>et al.,</w:t>
      </w:r>
      <w:r w:rsidR="00804B5E">
        <w:rPr>
          <w:rFonts w:ascii="Times New Roman" w:hAnsi="Times New Roman"/>
          <w:b w:val="0"/>
          <w:bCs w:val="0"/>
          <w:color w:val="auto"/>
          <w:sz w:val="24"/>
          <w:szCs w:val="24"/>
          <w:lang w:val="en-US"/>
        </w:rPr>
        <w:t xml:space="preserve"> 2019; Greco </w:t>
      </w:r>
      <w:r w:rsidR="00804B5E" w:rsidRPr="00107E38">
        <w:rPr>
          <w:rFonts w:ascii="Times New Roman" w:hAnsi="Times New Roman"/>
          <w:b w:val="0"/>
          <w:bCs w:val="0"/>
          <w:i/>
          <w:iCs/>
          <w:color w:val="auto"/>
          <w:sz w:val="24"/>
          <w:szCs w:val="24"/>
          <w:lang w:val="en-US"/>
        </w:rPr>
        <w:t>et al.,</w:t>
      </w:r>
      <w:r w:rsidR="00804B5E">
        <w:rPr>
          <w:rFonts w:ascii="Times New Roman" w:hAnsi="Times New Roman"/>
          <w:b w:val="0"/>
          <w:bCs w:val="0"/>
          <w:color w:val="auto"/>
          <w:sz w:val="24"/>
          <w:szCs w:val="24"/>
          <w:lang w:val="en-US"/>
        </w:rPr>
        <w:t xml:space="preserve"> 2019</w:t>
      </w:r>
      <w:r w:rsidR="000800B2">
        <w:rPr>
          <w:rFonts w:ascii="Times New Roman" w:hAnsi="Times New Roman"/>
          <w:b w:val="0"/>
          <w:bCs w:val="0"/>
          <w:color w:val="auto"/>
          <w:sz w:val="24"/>
          <w:szCs w:val="24"/>
          <w:lang w:val="en-US"/>
        </w:rPr>
        <w:t>)</w:t>
      </w:r>
      <w:r w:rsidR="002368DD" w:rsidRPr="00107E38">
        <w:rPr>
          <w:rFonts w:ascii="Times New Roman" w:hAnsi="Times New Roman"/>
          <w:b w:val="0"/>
          <w:bCs w:val="0"/>
          <w:color w:val="auto"/>
          <w:sz w:val="24"/>
          <w:szCs w:val="24"/>
          <w:lang w:val="en-US"/>
        </w:rPr>
        <w:t xml:space="preserve">. </w:t>
      </w:r>
      <w:r w:rsidR="003D2955">
        <w:rPr>
          <w:rFonts w:ascii="Times New Roman" w:hAnsi="Times New Roman"/>
          <w:b w:val="0"/>
          <w:bCs w:val="0"/>
          <w:color w:val="auto"/>
          <w:sz w:val="24"/>
          <w:szCs w:val="24"/>
          <w:lang w:val="en-US"/>
        </w:rPr>
        <w:t xml:space="preserve">Due to the recurrent economic crises from 2000s onwards, this discussion </w:t>
      </w:r>
      <w:r w:rsidR="00947021">
        <w:rPr>
          <w:rFonts w:ascii="Times New Roman" w:hAnsi="Times New Roman"/>
          <w:b w:val="0"/>
          <w:bCs w:val="0"/>
          <w:color w:val="auto"/>
          <w:sz w:val="24"/>
          <w:szCs w:val="24"/>
          <w:lang w:val="en-US"/>
        </w:rPr>
        <w:t xml:space="preserve">on </w:t>
      </w:r>
      <w:r w:rsidR="003D2955">
        <w:rPr>
          <w:rFonts w:ascii="Times New Roman" w:hAnsi="Times New Roman"/>
          <w:b w:val="0"/>
          <w:bCs w:val="0"/>
          <w:color w:val="auto"/>
          <w:sz w:val="24"/>
          <w:szCs w:val="24"/>
          <w:lang w:val="en-US"/>
        </w:rPr>
        <w:t>the associated</w:t>
      </w:r>
      <w:r w:rsidR="00926BCB">
        <w:rPr>
          <w:rFonts w:ascii="Times New Roman" w:hAnsi="Times New Roman"/>
          <w:b w:val="0"/>
          <w:bCs w:val="0"/>
          <w:color w:val="auto"/>
          <w:sz w:val="24"/>
          <w:szCs w:val="24"/>
          <w:lang w:val="en-US"/>
        </w:rPr>
        <w:t xml:space="preserve"> indicators and </w:t>
      </w:r>
      <w:r w:rsidR="003D2955">
        <w:rPr>
          <w:rFonts w:ascii="Times New Roman" w:hAnsi="Times New Roman"/>
          <w:b w:val="0"/>
          <w:bCs w:val="0"/>
          <w:color w:val="auto"/>
          <w:sz w:val="24"/>
          <w:szCs w:val="24"/>
          <w:lang w:val="en-US"/>
        </w:rPr>
        <w:t xml:space="preserve">methodological advancements are fundamental to </w:t>
      </w:r>
      <w:r w:rsidR="004A41E6">
        <w:rPr>
          <w:rFonts w:ascii="Times New Roman" w:hAnsi="Times New Roman"/>
          <w:b w:val="0"/>
          <w:bCs w:val="0"/>
          <w:color w:val="auto"/>
          <w:sz w:val="24"/>
          <w:szCs w:val="24"/>
          <w:lang w:val="en-US"/>
        </w:rPr>
        <w:t xml:space="preserve">support </w:t>
      </w:r>
      <w:r w:rsidR="00D375E2" w:rsidRPr="006E23F1">
        <w:rPr>
          <w:rFonts w:ascii="Times New Roman" w:hAnsi="Times New Roman"/>
          <w:b w:val="0"/>
          <w:bCs w:val="0"/>
          <w:color w:val="auto"/>
          <w:sz w:val="24"/>
          <w:szCs w:val="24"/>
          <w:lang w:val="en-US"/>
        </w:rPr>
        <w:t>the</w:t>
      </w:r>
      <w:r w:rsidR="004A41E6" w:rsidRPr="006E23F1">
        <w:rPr>
          <w:rFonts w:ascii="Times New Roman" w:hAnsi="Times New Roman"/>
          <w:b w:val="0"/>
          <w:bCs w:val="0"/>
          <w:color w:val="auto"/>
          <w:sz w:val="24"/>
          <w:szCs w:val="24"/>
          <w:lang w:val="en-US"/>
        </w:rPr>
        <w:t xml:space="preserve"> performance of </w:t>
      </w:r>
      <w:r w:rsidR="00CF7FF6" w:rsidRPr="006E23F1">
        <w:rPr>
          <w:rFonts w:ascii="Times New Roman" w:hAnsi="Times New Roman"/>
          <w:b w:val="0"/>
          <w:bCs w:val="0"/>
          <w:color w:val="auto"/>
          <w:sz w:val="24"/>
          <w:szCs w:val="24"/>
          <w:lang w:val="en-US"/>
        </w:rPr>
        <w:t xml:space="preserve">the </w:t>
      </w:r>
      <w:r w:rsidR="004A41E6" w:rsidRPr="006E23F1">
        <w:rPr>
          <w:rFonts w:ascii="Times New Roman" w:hAnsi="Times New Roman"/>
          <w:b w:val="0"/>
          <w:bCs w:val="0"/>
          <w:color w:val="auto"/>
          <w:sz w:val="24"/>
          <w:szCs w:val="24"/>
          <w:lang w:val="en-US"/>
        </w:rPr>
        <w:t>EU</w:t>
      </w:r>
      <w:r w:rsidR="00CF7FF6" w:rsidRPr="006E23F1">
        <w:rPr>
          <w:rFonts w:ascii="Times New Roman" w:hAnsi="Times New Roman"/>
          <w:b w:val="0"/>
          <w:bCs w:val="0"/>
          <w:color w:val="auto"/>
          <w:sz w:val="24"/>
          <w:szCs w:val="24"/>
          <w:lang w:val="en-US"/>
        </w:rPr>
        <w:t xml:space="preserve"> economic system</w:t>
      </w:r>
      <w:r w:rsidR="00FE53AC" w:rsidRPr="006E23F1">
        <w:rPr>
          <w:rFonts w:ascii="Times New Roman" w:hAnsi="Times New Roman"/>
          <w:b w:val="0"/>
          <w:bCs w:val="0"/>
          <w:color w:val="auto"/>
          <w:sz w:val="24"/>
          <w:szCs w:val="24"/>
          <w:lang w:val="en-US"/>
        </w:rPr>
        <w:t xml:space="preserve">, </w:t>
      </w:r>
      <w:r w:rsidR="00D45C8C" w:rsidRPr="006E23F1">
        <w:rPr>
          <w:rFonts w:ascii="Times New Roman" w:hAnsi="Times New Roman"/>
          <w:b w:val="0"/>
          <w:bCs w:val="0"/>
          <w:color w:val="auto"/>
          <w:sz w:val="24"/>
          <w:szCs w:val="24"/>
          <w:lang w:val="en-US"/>
        </w:rPr>
        <w:t>in</w:t>
      </w:r>
      <w:r w:rsidR="00D375E2" w:rsidRPr="006E23F1">
        <w:rPr>
          <w:rFonts w:ascii="Times New Roman" w:hAnsi="Times New Roman"/>
          <w:b w:val="0"/>
          <w:bCs w:val="0"/>
          <w:color w:val="auto"/>
          <w:sz w:val="24"/>
          <w:szCs w:val="24"/>
          <w:lang w:val="en-US"/>
        </w:rPr>
        <w:t xml:space="preserve"> a </w:t>
      </w:r>
      <w:r w:rsidR="00D45C8C" w:rsidRPr="006E23F1">
        <w:rPr>
          <w:rFonts w:ascii="Times New Roman" w:hAnsi="Times New Roman"/>
          <w:b w:val="0"/>
          <w:bCs w:val="0"/>
          <w:color w:val="auto"/>
          <w:sz w:val="24"/>
          <w:szCs w:val="24"/>
          <w:lang w:val="en-US"/>
        </w:rPr>
        <w:t>renewed interest in the analysis of the consequences of industrial policy (</w:t>
      </w:r>
      <w:proofErr w:type="spellStart"/>
      <w:r w:rsidR="00D45C8C" w:rsidRPr="006E23F1">
        <w:rPr>
          <w:rFonts w:ascii="Times New Roman" w:hAnsi="Times New Roman"/>
          <w:b w:val="0"/>
          <w:bCs w:val="0"/>
          <w:color w:val="auto"/>
          <w:sz w:val="24"/>
          <w:szCs w:val="24"/>
          <w:lang w:val="en-US"/>
        </w:rPr>
        <w:t>Aiginger</w:t>
      </w:r>
      <w:proofErr w:type="spellEnd"/>
      <w:r w:rsidR="00D45C8C" w:rsidRPr="006E23F1">
        <w:rPr>
          <w:rFonts w:ascii="Times New Roman" w:hAnsi="Times New Roman"/>
          <w:b w:val="0"/>
          <w:bCs w:val="0"/>
          <w:color w:val="auto"/>
          <w:sz w:val="24"/>
          <w:szCs w:val="24"/>
          <w:lang w:val="en-US"/>
        </w:rPr>
        <w:t xml:space="preserve"> and </w:t>
      </w:r>
      <w:proofErr w:type="spellStart"/>
      <w:r w:rsidR="00D45C8C" w:rsidRPr="006E23F1">
        <w:rPr>
          <w:rFonts w:ascii="Times New Roman" w:hAnsi="Times New Roman"/>
          <w:b w:val="0"/>
          <w:bCs w:val="0"/>
          <w:color w:val="auto"/>
          <w:sz w:val="24"/>
          <w:szCs w:val="24"/>
          <w:lang w:val="en-US"/>
        </w:rPr>
        <w:t>Rodrik</w:t>
      </w:r>
      <w:proofErr w:type="spellEnd"/>
      <w:r w:rsidR="00D45C8C" w:rsidRPr="006E23F1">
        <w:rPr>
          <w:rFonts w:ascii="Times New Roman" w:hAnsi="Times New Roman"/>
          <w:b w:val="0"/>
          <w:bCs w:val="0"/>
          <w:color w:val="auto"/>
          <w:sz w:val="24"/>
          <w:szCs w:val="24"/>
          <w:lang w:val="en-US"/>
        </w:rPr>
        <w:t>, 2020), an</w:t>
      </w:r>
      <w:r w:rsidR="00D375E2" w:rsidRPr="006E23F1">
        <w:rPr>
          <w:rFonts w:ascii="Times New Roman" w:hAnsi="Times New Roman"/>
          <w:b w:val="0"/>
          <w:bCs w:val="0"/>
          <w:color w:val="auto"/>
          <w:sz w:val="24"/>
          <w:szCs w:val="24"/>
          <w:lang w:val="en-US"/>
        </w:rPr>
        <w:t>d</w:t>
      </w:r>
      <w:r w:rsidR="00D45C8C" w:rsidRPr="006E23F1">
        <w:rPr>
          <w:rFonts w:ascii="Times New Roman" w:hAnsi="Times New Roman"/>
          <w:b w:val="0"/>
          <w:bCs w:val="0"/>
          <w:color w:val="auto"/>
          <w:sz w:val="24"/>
          <w:szCs w:val="24"/>
          <w:lang w:val="en-US"/>
        </w:rPr>
        <w:t xml:space="preserve"> particularly, </w:t>
      </w:r>
      <w:r w:rsidR="00D375E2" w:rsidRPr="006E23F1">
        <w:rPr>
          <w:rFonts w:ascii="Times New Roman" w:hAnsi="Times New Roman"/>
          <w:b w:val="0"/>
          <w:bCs w:val="0"/>
          <w:color w:val="auto"/>
          <w:sz w:val="24"/>
          <w:szCs w:val="24"/>
          <w:lang w:val="en-US"/>
        </w:rPr>
        <w:t>after</w:t>
      </w:r>
      <w:r w:rsidR="00D45C8C" w:rsidRPr="006E23F1">
        <w:rPr>
          <w:rFonts w:ascii="Times New Roman" w:hAnsi="Times New Roman"/>
          <w:b w:val="0"/>
          <w:bCs w:val="0"/>
          <w:color w:val="auto"/>
          <w:sz w:val="24"/>
          <w:szCs w:val="24"/>
          <w:lang w:val="en-US"/>
        </w:rPr>
        <w:t xml:space="preserve"> </w:t>
      </w:r>
      <w:r w:rsidR="00D375E2" w:rsidRPr="006E23F1">
        <w:rPr>
          <w:rFonts w:ascii="Times New Roman" w:hAnsi="Times New Roman"/>
          <w:b w:val="0"/>
          <w:bCs w:val="0"/>
          <w:color w:val="auto"/>
          <w:sz w:val="24"/>
          <w:szCs w:val="24"/>
          <w:lang w:val="en-US"/>
        </w:rPr>
        <w:t>the</w:t>
      </w:r>
      <w:r w:rsidR="00926BCB" w:rsidRPr="006E23F1">
        <w:rPr>
          <w:rFonts w:ascii="Times New Roman" w:hAnsi="Times New Roman"/>
          <w:b w:val="0"/>
          <w:bCs w:val="0"/>
          <w:color w:val="auto"/>
          <w:sz w:val="24"/>
          <w:szCs w:val="24"/>
          <w:lang w:val="en-US"/>
        </w:rPr>
        <w:t xml:space="preserve"> “European Industrial </w:t>
      </w:r>
      <w:proofErr w:type="spellStart"/>
      <w:r w:rsidR="00926BCB" w:rsidRPr="006E23F1">
        <w:rPr>
          <w:rFonts w:ascii="Times New Roman" w:hAnsi="Times New Roman"/>
          <w:b w:val="0"/>
          <w:bCs w:val="0"/>
          <w:color w:val="auto"/>
          <w:sz w:val="24"/>
          <w:szCs w:val="24"/>
          <w:lang w:val="en-US"/>
        </w:rPr>
        <w:t>Reinaissance</w:t>
      </w:r>
      <w:proofErr w:type="spellEnd"/>
      <w:r w:rsidR="00926BCB" w:rsidRPr="006E23F1">
        <w:rPr>
          <w:rFonts w:ascii="Times New Roman" w:hAnsi="Times New Roman"/>
          <w:b w:val="0"/>
          <w:bCs w:val="0"/>
          <w:color w:val="auto"/>
          <w:sz w:val="24"/>
          <w:szCs w:val="24"/>
          <w:lang w:val="en-US"/>
        </w:rPr>
        <w:t xml:space="preserve">” </w:t>
      </w:r>
      <w:r w:rsidR="00D375E2" w:rsidRPr="006E23F1">
        <w:rPr>
          <w:rFonts w:ascii="Times New Roman" w:hAnsi="Times New Roman"/>
          <w:b w:val="0"/>
          <w:bCs w:val="0"/>
          <w:color w:val="auto"/>
          <w:sz w:val="24"/>
          <w:szCs w:val="24"/>
          <w:lang w:val="en-US"/>
        </w:rPr>
        <w:t xml:space="preserve">heralded by the European Commission in 2014 to bolster the competitiveness of EU industries through a combination of regional and industrial policy tools </w:t>
      </w:r>
      <w:r w:rsidR="00926BCB" w:rsidRPr="006E23F1">
        <w:rPr>
          <w:rFonts w:ascii="Times New Roman" w:hAnsi="Times New Roman"/>
          <w:b w:val="0"/>
          <w:bCs w:val="0"/>
          <w:color w:val="auto"/>
          <w:sz w:val="24"/>
          <w:szCs w:val="24"/>
          <w:lang w:val="en-US"/>
        </w:rPr>
        <w:t>(European Commission, 2014)</w:t>
      </w:r>
      <w:r w:rsidR="00D45C8C" w:rsidRPr="006E23F1">
        <w:rPr>
          <w:rFonts w:ascii="Times New Roman" w:hAnsi="Times New Roman"/>
          <w:b w:val="0"/>
          <w:bCs w:val="0"/>
          <w:color w:val="auto"/>
          <w:sz w:val="24"/>
          <w:szCs w:val="24"/>
          <w:lang w:val="en-US"/>
        </w:rPr>
        <w:t xml:space="preserve">. </w:t>
      </w:r>
      <w:r w:rsidR="00D375E2" w:rsidRPr="006E23F1">
        <w:rPr>
          <w:rFonts w:ascii="Times New Roman" w:hAnsi="Times New Roman"/>
          <w:b w:val="0"/>
          <w:bCs w:val="0"/>
          <w:color w:val="auto"/>
          <w:sz w:val="24"/>
          <w:szCs w:val="24"/>
          <w:lang w:val="en-US"/>
        </w:rPr>
        <w:t>In this context, i</w:t>
      </w:r>
      <w:r w:rsidR="00D45C8C" w:rsidRPr="006E23F1">
        <w:rPr>
          <w:rFonts w:ascii="Times New Roman" w:hAnsi="Times New Roman"/>
          <w:b w:val="0"/>
          <w:bCs w:val="0"/>
          <w:color w:val="auto"/>
          <w:sz w:val="24"/>
          <w:szCs w:val="24"/>
          <w:lang w:val="en-US"/>
        </w:rPr>
        <w:t>ndicators and methodologies to evaluated competitiveness are fundamental</w:t>
      </w:r>
      <w:r w:rsidR="00926BCB" w:rsidRPr="006E23F1">
        <w:rPr>
          <w:rFonts w:ascii="Times New Roman" w:hAnsi="Times New Roman"/>
          <w:b w:val="0"/>
          <w:bCs w:val="0"/>
          <w:color w:val="auto"/>
          <w:sz w:val="24"/>
          <w:szCs w:val="24"/>
          <w:lang w:val="en-US"/>
        </w:rPr>
        <w:t xml:space="preserve"> to monitor the progresses towards the objectives of Europe 2020,</w:t>
      </w:r>
      <w:r w:rsidR="00FE53AC" w:rsidRPr="006E23F1">
        <w:rPr>
          <w:rFonts w:ascii="Times New Roman" w:hAnsi="Times New Roman"/>
          <w:b w:val="0"/>
          <w:bCs w:val="0"/>
          <w:color w:val="auto"/>
          <w:sz w:val="24"/>
          <w:szCs w:val="24"/>
          <w:lang w:val="en-US"/>
        </w:rPr>
        <w:t xml:space="preserve"> and </w:t>
      </w:r>
      <w:r w:rsidR="00926BCB" w:rsidRPr="006E23F1">
        <w:rPr>
          <w:rFonts w:ascii="Times New Roman" w:hAnsi="Times New Roman"/>
          <w:b w:val="0"/>
          <w:bCs w:val="0"/>
          <w:color w:val="auto"/>
          <w:sz w:val="24"/>
          <w:szCs w:val="24"/>
          <w:lang w:val="en-US"/>
        </w:rPr>
        <w:t>for a better definition and implementation of</w:t>
      </w:r>
      <w:r w:rsidR="00FE53AC" w:rsidRPr="006E23F1">
        <w:rPr>
          <w:rFonts w:ascii="Times New Roman" w:hAnsi="Times New Roman"/>
          <w:b w:val="0"/>
          <w:bCs w:val="0"/>
          <w:color w:val="auto"/>
          <w:sz w:val="24"/>
          <w:szCs w:val="24"/>
          <w:lang w:val="en-US"/>
        </w:rPr>
        <w:t xml:space="preserve"> Smart Specialization Strateg</w:t>
      </w:r>
      <w:r w:rsidR="00926BCB" w:rsidRPr="006E23F1">
        <w:rPr>
          <w:rFonts w:ascii="Times New Roman" w:hAnsi="Times New Roman"/>
          <w:b w:val="0"/>
          <w:bCs w:val="0"/>
          <w:color w:val="auto"/>
          <w:sz w:val="24"/>
          <w:szCs w:val="24"/>
          <w:lang w:val="en-US"/>
        </w:rPr>
        <w:t>ies at the regional level</w:t>
      </w:r>
      <w:r w:rsidR="003D2955" w:rsidRPr="006E23F1">
        <w:rPr>
          <w:rFonts w:ascii="Times New Roman" w:hAnsi="Times New Roman"/>
          <w:b w:val="0"/>
          <w:bCs w:val="0"/>
          <w:color w:val="auto"/>
          <w:sz w:val="24"/>
          <w:szCs w:val="24"/>
          <w:lang w:val="en-US"/>
        </w:rPr>
        <w:t>.</w:t>
      </w:r>
      <w:r w:rsidR="00437C27" w:rsidRPr="006E23F1">
        <w:rPr>
          <w:rFonts w:ascii="Times New Roman" w:hAnsi="Times New Roman"/>
          <w:b w:val="0"/>
          <w:bCs w:val="0"/>
          <w:color w:val="auto"/>
          <w:sz w:val="24"/>
          <w:szCs w:val="24"/>
          <w:lang w:val="en-US"/>
        </w:rPr>
        <w:t xml:space="preserve"> </w:t>
      </w:r>
      <w:r w:rsidR="0022429B" w:rsidRPr="006E23F1">
        <w:rPr>
          <w:rFonts w:ascii="Times New Roman" w:hAnsi="Times New Roman"/>
          <w:b w:val="0"/>
          <w:bCs w:val="0"/>
          <w:color w:val="auto"/>
          <w:sz w:val="24"/>
          <w:szCs w:val="24"/>
          <w:lang w:val="en-US"/>
        </w:rPr>
        <w:t>Moreover, t</w:t>
      </w:r>
      <w:r w:rsidR="003D2955" w:rsidRPr="006E23F1">
        <w:rPr>
          <w:rFonts w:ascii="Times New Roman" w:hAnsi="Times New Roman"/>
          <w:b w:val="0"/>
          <w:bCs w:val="0"/>
          <w:color w:val="auto"/>
          <w:sz w:val="24"/>
          <w:szCs w:val="24"/>
          <w:lang w:val="en-US"/>
        </w:rPr>
        <w:t>hanks to</w:t>
      </w:r>
      <w:r w:rsidR="003D2955" w:rsidRPr="00107E38">
        <w:rPr>
          <w:rFonts w:ascii="Times New Roman" w:hAnsi="Times New Roman"/>
          <w:b w:val="0"/>
          <w:bCs w:val="0"/>
          <w:color w:val="auto"/>
          <w:sz w:val="24"/>
          <w:szCs w:val="24"/>
          <w:lang w:val="en-US"/>
        </w:rPr>
        <w:t xml:space="preserve"> the growing availability and higher granularity at which data are available it is now feasible to conduct </w:t>
      </w:r>
      <w:r w:rsidR="00437C27">
        <w:rPr>
          <w:rFonts w:ascii="Times New Roman" w:hAnsi="Times New Roman"/>
          <w:b w:val="0"/>
          <w:bCs w:val="0"/>
          <w:color w:val="auto"/>
          <w:sz w:val="24"/>
          <w:szCs w:val="24"/>
          <w:lang w:val="en-US"/>
        </w:rPr>
        <w:t xml:space="preserve">more robust </w:t>
      </w:r>
      <w:r w:rsidR="003D2955" w:rsidRPr="00107E38">
        <w:rPr>
          <w:rFonts w:ascii="Times New Roman" w:hAnsi="Times New Roman"/>
          <w:b w:val="0"/>
          <w:bCs w:val="0"/>
          <w:color w:val="auto"/>
          <w:sz w:val="24"/>
          <w:szCs w:val="24"/>
          <w:lang w:val="en-US"/>
        </w:rPr>
        <w:t>evidence-based policies</w:t>
      </w:r>
      <w:r w:rsidR="00932B74">
        <w:rPr>
          <w:rFonts w:ascii="Times New Roman" w:hAnsi="Times New Roman"/>
          <w:b w:val="0"/>
          <w:bCs w:val="0"/>
          <w:color w:val="auto"/>
          <w:sz w:val="24"/>
          <w:szCs w:val="24"/>
          <w:lang w:val="en-US"/>
        </w:rPr>
        <w:t xml:space="preserve"> and evaluate competitiveness at the different spatial scales</w:t>
      </w:r>
      <w:r w:rsidR="003D2955" w:rsidRPr="00107E38">
        <w:rPr>
          <w:rFonts w:ascii="Times New Roman" w:hAnsi="Times New Roman"/>
          <w:b w:val="0"/>
          <w:bCs w:val="0"/>
          <w:color w:val="auto"/>
          <w:sz w:val="24"/>
          <w:szCs w:val="24"/>
          <w:lang w:val="en-US"/>
        </w:rPr>
        <w:t xml:space="preserve">. </w:t>
      </w:r>
      <w:r w:rsidR="00932B74">
        <w:rPr>
          <w:rFonts w:ascii="Times New Roman" w:hAnsi="Times New Roman"/>
          <w:b w:val="0"/>
          <w:bCs w:val="0"/>
          <w:color w:val="auto"/>
          <w:sz w:val="24"/>
          <w:szCs w:val="24"/>
          <w:lang w:val="en-US"/>
        </w:rPr>
        <w:t>In fact, o</w:t>
      </w:r>
      <w:r w:rsidR="003D2955" w:rsidRPr="00107E38">
        <w:rPr>
          <w:rFonts w:ascii="Times New Roman" w:hAnsi="Times New Roman"/>
          <w:b w:val="0"/>
          <w:bCs w:val="0"/>
          <w:color w:val="auto"/>
          <w:sz w:val="24"/>
          <w:szCs w:val="24"/>
          <w:lang w:val="en-US"/>
        </w:rPr>
        <w:t xml:space="preserve">ne of the main issues for Europe in its path towards a “data economy” </w:t>
      </w:r>
      <w:r w:rsidR="00001CCC" w:rsidRPr="007046CE">
        <w:rPr>
          <w:rFonts w:ascii="Times New Roman" w:hAnsi="Times New Roman"/>
          <w:b w:val="0"/>
          <w:bCs w:val="0"/>
          <w:color w:val="auto"/>
          <w:sz w:val="24"/>
          <w:szCs w:val="24"/>
          <w:lang w:val="en-US"/>
        </w:rPr>
        <w:t>(EC, 2020)</w:t>
      </w:r>
      <w:r w:rsidR="00001CCC">
        <w:rPr>
          <w:rFonts w:ascii="Times New Roman" w:hAnsi="Times New Roman"/>
          <w:b w:val="0"/>
          <w:bCs w:val="0"/>
          <w:color w:val="auto"/>
          <w:sz w:val="24"/>
          <w:szCs w:val="24"/>
          <w:lang w:val="en-US"/>
        </w:rPr>
        <w:t xml:space="preserve"> </w:t>
      </w:r>
      <w:r w:rsidR="003D2955" w:rsidRPr="00107E38">
        <w:rPr>
          <w:rFonts w:ascii="Times New Roman" w:hAnsi="Times New Roman"/>
          <w:b w:val="0"/>
          <w:bCs w:val="0"/>
          <w:color w:val="auto"/>
          <w:sz w:val="24"/>
          <w:szCs w:val="24"/>
          <w:lang w:val="en-US"/>
        </w:rPr>
        <w:t>is to evaluate competitiveness,</w:t>
      </w:r>
      <w:r w:rsidR="00001CCC">
        <w:rPr>
          <w:rFonts w:ascii="Times New Roman" w:hAnsi="Times New Roman"/>
          <w:b w:val="0"/>
          <w:bCs w:val="0"/>
          <w:color w:val="auto"/>
          <w:sz w:val="24"/>
          <w:szCs w:val="24"/>
          <w:lang w:val="en-US"/>
        </w:rPr>
        <w:t xml:space="preserve"> with </w:t>
      </w:r>
      <w:proofErr w:type="gramStart"/>
      <w:r w:rsidR="00001CCC">
        <w:rPr>
          <w:rFonts w:ascii="Times New Roman" w:hAnsi="Times New Roman"/>
          <w:b w:val="0"/>
          <w:bCs w:val="0"/>
          <w:color w:val="auto"/>
          <w:sz w:val="24"/>
          <w:szCs w:val="24"/>
          <w:lang w:val="en-US"/>
        </w:rPr>
        <w:t>a</w:t>
      </w:r>
      <w:proofErr w:type="gramEnd"/>
      <w:r w:rsidR="00001CCC">
        <w:rPr>
          <w:rFonts w:ascii="Times New Roman" w:hAnsi="Times New Roman"/>
          <w:b w:val="0"/>
          <w:bCs w:val="0"/>
          <w:color w:val="auto"/>
          <w:sz w:val="24"/>
          <w:szCs w:val="24"/>
          <w:lang w:val="en-US"/>
        </w:rPr>
        <w:t xml:space="preserve"> EU-wide perspective</w:t>
      </w:r>
      <w:r w:rsidR="00932B74">
        <w:rPr>
          <w:rFonts w:ascii="Times New Roman" w:hAnsi="Times New Roman"/>
          <w:b w:val="0"/>
          <w:bCs w:val="0"/>
          <w:color w:val="auto"/>
          <w:sz w:val="24"/>
          <w:szCs w:val="24"/>
          <w:lang w:val="en-US"/>
        </w:rPr>
        <w:t xml:space="preserve"> but also </w:t>
      </w:r>
      <w:r w:rsidR="00001CCC">
        <w:rPr>
          <w:rFonts w:ascii="Times New Roman" w:hAnsi="Times New Roman"/>
          <w:b w:val="0"/>
          <w:bCs w:val="0"/>
          <w:color w:val="auto"/>
          <w:sz w:val="24"/>
          <w:szCs w:val="24"/>
          <w:lang w:val="en-US"/>
        </w:rPr>
        <w:t>with a detailed analysis of the regional economic structures and their components as well as the spatial concentration of industries.</w:t>
      </w:r>
      <w:r w:rsidR="00932B74">
        <w:rPr>
          <w:rFonts w:ascii="Times New Roman" w:hAnsi="Times New Roman"/>
          <w:b w:val="0"/>
          <w:bCs w:val="0"/>
          <w:color w:val="auto"/>
          <w:sz w:val="24"/>
          <w:szCs w:val="24"/>
          <w:lang w:val="en-US"/>
        </w:rPr>
        <w:t xml:space="preserve"> </w:t>
      </w:r>
    </w:p>
    <w:p w14:paraId="6A32DBFC" w14:textId="2114E209" w:rsidR="00192362" w:rsidRDefault="00437C27" w:rsidP="00567E80">
      <w:pPr>
        <w:pStyle w:val="Titolo2"/>
        <w:spacing w:line="480" w:lineRule="auto"/>
        <w:rPr>
          <w:rFonts w:ascii="Times New Roman" w:hAnsi="Times New Roman"/>
          <w:b w:val="0"/>
          <w:bCs w:val="0"/>
          <w:color w:val="auto"/>
          <w:sz w:val="24"/>
          <w:szCs w:val="24"/>
          <w:lang w:val="en-US"/>
        </w:rPr>
      </w:pPr>
      <w:r>
        <w:rPr>
          <w:rFonts w:ascii="Times New Roman" w:hAnsi="Times New Roman"/>
          <w:b w:val="0"/>
          <w:bCs w:val="0"/>
          <w:color w:val="auto"/>
          <w:sz w:val="24"/>
          <w:szCs w:val="24"/>
          <w:lang w:val="en-US"/>
        </w:rPr>
        <w:lastRenderedPageBreak/>
        <w:t>In this respect</w:t>
      </w:r>
      <w:r w:rsidR="00CF7FF6">
        <w:rPr>
          <w:rFonts w:ascii="Times New Roman" w:hAnsi="Times New Roman"/>
          <w:b w:val="0"/>
          <w:bCs w:val="0"/>
          <w:color w:val="auto"/>
          <w:sz w:val="24"/>
          <w:szCs w:val="24"/>
          <w:lang w:val="en-US"/>
        </w:rPr>
        <w:t>,</w:t>
      </w:r>
      <w:r>
        <w:rPr>
          <w:rFonts w:ascii="Times New Roman" w:hAnsi="Times New Roman"/>
          <w:b w:val="0"/>
          <w:bCs w:val="0"/>
          <w:color w:val="auto"/>
          <w:sz w:val="24"/>
          <w:szCs w:val="24"/>
          <w:lang w:val="en-US"/>
        </w:rPr>
        <w:t xml:space="preserve"> it is worth stressing that the</w:t>
      </w:r>
      <w:r w:rsidR="00A42668">
        <w:rPr>
          <w:rFonts w:ascii="Times New Roman" w:hAnsi="Times New Roman"/>
          <w:b w:val="0"/>
          <w:bCs w:val="0"/>
          <w:color w:val="auto"/>
          <w:sz w:val="24"/>
          <w:szCs w:val="24"/>
          <w:lang w:val="en-US"/>
        </w:rPr>
        <w:t xml:space="preserve"> two </w:t>
      </w:r>
      <w:r w:rsidR="00D53A94">
        <w:rPr>
          <w:rFonts w:ascii="Times New Roman" w:hAnsi="Times New Roman"/>
          <w:b w:val="0"/>
          <w:bCs w:val="0"/>
          <w:color w:val="auto"/>
          <w:sz w:val="24"/>
          <w:szCs w:val="24"/>
          <w:lang w:val="en-US"/>
        </w:rPr>
        <w:t xml:space="preserve">phenomena </w:t>
      </w:r>
      <w:r w:rsidR="00A42668">
        <w:rPr>
          <w:rFonts w:ascii="Times New Roman" w:hAnsi="Times New Roman"/>
          <w:b w:val="0"/>
          <w:bCs w:val="0"/>
          <w:color w:val="auto"/>
          <w:sz w:val="24"/>
          <w:szCs w:val="24"/>
          <w:lang w:val="en-US"/>
        </w:rPr>
        <w:t>of regional competitiveness</w:t>
      </w:r>
      <w:r w:rsidR="00D53A94">
        <w:rPr>
          <w:rFonts w:ascii="Times New Roman" w:hAnsi="Times New Roman"/>
          <w:b w:val="0"/>
          <w:bCs w:val="0"/>
          <w:color w:val="auto"/>
          <w:sz w:val="24"/>
          <w:szCs w:val="24"/>
          <w:lang w:val="en-US"/>
        </w:rPr>
        <w:t xml:space="preserve"> </w:t>
      </w:r>
      <w:r w:rsidR="0022429B">
        <w:rPr>
          <w:rFonts w:ascii="Times New Roman" w:hAnsi="Times New Roman"/>
          <w:b w:val="0"/>
          <w:bCs w:val="0"/>
          <w:color w:val="auto"/>
          <w:sz w:val="24"/>
          <w:szCs w:val="24"/>
          <w:lang w:val="en-US"/>
        </w:rPr>
        <w:t>and agglomeration</w:t>
      </w:r>
      <w:r w:rsidR="00A42668">
        <w:rPr>
          <w:rFonts w:ascii="Times New Roman" w:hAnsi="Times New Roman"/>
          <w:b w:val="0"/>
          <w:bCs w:val="0"/>
          <w:color w:val="auto"/>
          <w:sz w:val="24"/>
          <w:szCs w:val="24"/>
          <w:lang w:val="en-US"/>
        </w:rPr>
        <w:t xml:space="preserve"> of industries are </w:t>
      </w:r>
      <w:r w:rsidR="00AE15D2">
        <w:rPr>
          <w:rFonts w:ascii="Times New Roman" w:hAnsi="Times New Roman"/>
          <w:b w:val="0"/>
          <w:bCs w:val="0"/>
          <w:color w:val="auto"/>
          <w:sz w:val="24"/>
          <w:szCs w:val="24"/>
          <w:lang w:val="en-US"/>
        </w:rPr>
        <w:t xml:space="preserve">indeed </w:t>
      </w:r>
      <w:r w:rsidR="00A42668">
        <w:rPr>
          <w:rFonts w:ascii="Times New Roman" w:hAnsi="Times New Roman"/>
          <w:b w:val="0"/>
          <w:bCs w:val="0"/>
          <w:color w:val="auto"/>
          <w:sz w:val="24"/>
          <w:szCs w:val="24"/>
          <w:lang w:val="en-US"/>
        </w:rPr>
        <w:t xml:space="preserve">strictly </w:t>
      </w:r>
      <w:r w:rsidR="00D32CC3">
        <w:rPr>
          <w:rFonts w:ascii="Times New Roman" w:hAnsi="Times New Roman"/>
          <w:b w:val="0"/>
          <w:bCs w:val="0"/>
          <w:color w:val="auto"/>
          <w:sz w:val="24"/>
          <w:szCs w:val="24"/>
          <w:lang w:val="en-US"/>
        </w:rPr>
        <w:t>related</w:t>
      </w:r>
      <w:r w:rsidR="00D53A94">
        <w:rPr>
          <w:rFonts w:ascii="Times New Roman" w:hAnsi="Times New Roman"/>
          <w:b w:val="0"/>
          <w:bCs w:val="0"/>
          <w:color w:val="auto"/>
          <w:sz w:val="24"/>
          <w:szCs w:val="24"/>
          <w:lang w:val="en-US"/>
        </w:rPr>
        <w:t>. Interestingly, t</w:t>
      </w:r>
      <w:r w:rsidR="00A414F6">
        <w:rPr>
          <w:rFonts w:ascii="Times New Roman" w:hAnsi="Times New Roman"/>
          <w:b w:val="0"/>
          <w:bCs w:val="0"/>
          <w:color w:val="auto"/>
          <w:sz w:val="24"/>
          <w:szCs w:val="24"/>
          <w:lang w:val="en-US"/>
        </w:rPr>
        <w:t>hey found a statistical correspondence when</w:t>
      </w:r>
      <w:r w:rsidR="00D53A94">
        <w:rPr>
          <w:rFonts w:ascii="Times New Roman" w:hAnsi="Times New Roman"/>
          <w:b w:val="0"/>
          <w:bCs w:val="0"/>
          <w:color w:val="auto"/>
          <w:sz w:val="24"/>
          <w:szCs w:val="24"/>
          <w:lang w:val="en-US"/>
        </w:rPr>
        <w:t xml:space="preserve"> </w:t>
      </w:r>
      <w:r w:rsidR="00D53A94" w:rsidRPr="0064167A">
        <w:rPr>
          <w:rFonts w:ascii="Times New Roman" w:hAnsi="Times New Roman"/>
          <w:b w:val="0"/>
          <w:bCs w:val="0"/>
          <w:color w:val="auto"/>
          <w:sz w:val="24"/>
          <w:szCs w:val="24"/>
          <w:lang w:val="en-US"/>
        </w:rPr>
        <w:t xml:space="preserve">global coefficients of localization </w:t>
      </w:r>
      <w:r w:rsidR="00D53A94">
        <w:rPr>
          <w:rFonts w:ascii="Times New Roman" w:hAnsi="Times New Roman"/>
          <w:b w:val="0"/>
          <w:bCs w:val="0"/>
          <w:color w:val="auto"/>
          <w:sz w:val="24"/>
          <w:szCs w:val="24"/>
          <w:lang w:val="en-US"/>
        </w:rPr>
        <w:t xml:space="preserve">are derived </w:t>
      </w:r>
      <w:r w:rsidR="00CF7FF6">
        <w:rPr>
          <w:rFonts w:ascii="Times New Roman" w:hAnsi="Times New Roman"/>
          <w:b w:val="0"/>
          <w:bCs w:val="0"/>
          <w:color w:val="auto"/>
          <w:sz w:val="24"/>
          <w:szCs w:val="24"/>
          <w:lang w:val="en-US"/>
        </w:rPr>
        <w:t>based on</w:t>
      </w:r>
      <w:r w:rsidR="00D53A94">
        <w:rPr>
          <w:rFonts w:ascii="Times New Roman" w:hAnsi="Times New Roman"/>
          <w:b w:val="0"/>
          <w:bCs w:val="0"/>
          <w:color w:val="auto"/>
          <w:sz w:val="24"/>
          <w:szCs w:val="24"/>
          <w:lang w:val="en-US"/>
        </w:rPr>
        <w:t xml:space="preserve"> </w:t>
      </w:r>
      <w:r w:rsidR="00CF7FF6">
        <w:rPr>
          <w:rFonts w:ascii="Times New Roman" w:hAnsi="Times New Roman"/>
          <w:b w:val="0"/>
          <w:bCs w:val="0"/>
          <w:color w:val="auto"/>
          <w:sz w:val="24"/>
          <w:szCs w:val="24"/>
          <w:lang w:val="en-US"/>
        </w:rPr>
        <w:t>specific</w:t>
      </w:r>
      <w:r w:rsidR="00D53A94">
        <w:rPr>
          <w:rFonts w:ascii="Times New Roman" w:hAnsi="Times New Roman"/>
          <w:b w:val="0"/>
          <w:bCs w:val="0"/>
          <w:color w:val="auto"/>
          <w:sz w:val="24"/>
          <w:szCs w:val="24"/>
          <w:lang w:val="en-US"/>
        </w:rPr>
        <w:t xml:space="preserve"> measures of concentration and specialization.</w:t>
      </w:r>
      <w:r w:rsidR="00A414F6">
        <w:rPr>
          <w:rFonts w:ascii="Times New Roman" w:hAnsi="Times New Roman"/>
          <w:b w:val="0"/>
          <w:bCs w:val="0"/>
          <w:color w:val="auto"/>
          <w:sz w:val="24"/>
          <w:szCs w:val="24"/>
          <w:lang w:val="en-US"/>
        </w:rPr>
        <w:t xml:space="preserve"> </w:t>
      </w:r>
      <w:r w:rsidR="00D53A94">
        <w:rPr>
          <w:rFonts w:ascii="Times New Roman" w:hAnsi="Times New Roman"/>
          <w:b w:val="0"/>
          <w:bCs w:val="0"/>
          <w:color w:val="auto"/>
          <w:sz w:val="24"/>
          <w:szCs w:val="24"/>
          <w:lang w:val="en-US"/>
        </w:rPr>
        <w:t xml:space="preserve">In </w:t>
      </w:r>
      <w:r w:rsidR="00CF7FF6">
        <w:rPr>
          <w:rFonts w:ascii="Times New Roman" w:hAnsi="Times New Roman"/>
          <w:b w:val="0"/>
          <w:bCs w:val="0"/>
          <w:color w:val="auto"/>
          <w:sz w:val="24"/>
          <w:szCs w:val="24"/>
          <w:lang w:val="en-US"/>
        </w:rPr>
        <w:t>particular</w:t>
      </w:r>
      <w:r w:rsidR="00D53A94">
        <w:rPr>
          <w:rFonts w:ascii="Times New Roman" w:hAnsi="Times New Roman"/>
          <w:b w:val="0"/>
          <w:bCs w:val="0"/>
          <w:color w:val="auto"/>
          <w:sz w:val="24"/>
          <w:szCs w:val="24"/>
          <w:lang w:val="en-US"/>
        </w:rPr>
        <w:t xml:space="preserve">, </w:t>
      </w:r>
      <w:r w:rsidR="00D53A94" w:rsidRPr="0064167A">
        <w:rPr>
          <w:rFonts w:ascii="Times New Roman" w:hAnsi="Times New Roman"/>
          <w:b w:val="0"/>
          <w:bCs w:val="0"/>
          <w:color w:val="auto"/>
          <w:sz w:val="24"/>
          <w:szCs w:val="24"/>
          <w:lang w:val="en-US"/>
        </w:rPr>
        <w:t>specialization and concentration cannot diverge if relative measures are used</w:t>
      </w:r>
      <w:r w:rsidR="00D53A94">
        <w:rPr>
          <w:rFonts w:ascii="Times New Roman" w:hAnsi="Times New Roman"/>
          <w:b w:val="0"/>
          <w:bCs w:val="0"/>
          <w:color w:val="auto"/>
          <w:sz w:val="24"/>
          <w:szCs w:val="24"/>
          <w:lang w:val="en-US"/>
        </w:rPr>
        <w:t xml:space="preserve"> (</w:t>
      </w:r>
      <w:proofErr w:type="spellStart"/>
      <w:r w:rsidR="00D53A94" w:rsidRPr="0064167A">
        <w:rPr>
          <w:rFonts w:ascii="Times New Roman" w:hAnsi="Times New Roman"/>
          <w:b w:val="0"/>
          <w:bCs w:val="0"/>
          <w:color w:val="auto"/>
          <w:sz w:val="24"/>
          <w:szCs w:val="24"/>
          <w:lang w:val="en-US"/>
        </w:rPr>
        <w:t>Aiginger</w:t>
      </w:r>
      <w:proofErr w:type="spellEnd"/>
      <w:r w:rsidR="00D53A94" w:rsidRPr="0064167A">
        <w:rPr>
          <w:rFonts w:ascii="Times New Roman" w:hAnsi="Times New Roman"/>
          <w:b w:val="0"/>
          <w:bCs w:val="0"/>
          <w:color w:val="auto"/>
          <w:sz w:val="24"/>
          <w:szCs w:val="24"/>
          <w:lang w:val="en-US"/>
        </w:rPr>
        <w:t xml:space="preserve"> and Davies</w:t>
      </w:r>
      <w:r w:rsidR="00D53A94">
        <w:rPr>
          <w:rFonts w:ascii="Times New Roman" w:hAnsi="Times New Roman"/>
          <w:b w:val="0"/>
          <w:bCs w:val="0"/>
          <w:color w:val="auto"/>
          <w:sz w:val="24"/>
          <w:szCs w:val="24"/>
          <w:lang w:val="en-US"/>
        </w:rPr>
        <w:t xml:space="preserve">, </w:t>
      </w:r>
      <w:r w:rsidR="00D53A94" w:rsidRPr="0064167A">
        <w:rPr>
          <w:rFonts w:ascii="Times New Roman" w:hAnsi="Times New Roman"/>
          <w:b w:val="0"/>
          <w:bCs w:val="0"/>
          <w:color w:val="auto"/>
          <w:sz w:val="24"/>
          <w:szCs w:val="24"/>
          <w:lang w:val="en-US"/>
        </w:rPr>
        <w:t>2004</w:t>
      </w:r>
      <w:r w:rsidR="00D53A94">
        <w:rPr>
          <w:rFonts w:ascii="Times New Roman" w:hAnsi="Times New Roman"/>
          <w:b w:val="0"/>
          <w:bCs w:val="0"/>
          <w:color w:val="auto"/>
          <w:sz w:val="24"/>
          <w:szCs w:val="24"/>
          <w:lang w:val="en-US"/>
        </w:rPr>
        <w:t xml:space="preserve">; </w:t>
      </w:r>
      <w:r w:rsidR="00D53A94" w:rsidRPr="0064167A">
        <w:rPr>
          <w:rFonts w:ascii="Times New Roman" w:hAnsi="Times New Roman"/>
          <w:b w:val="0"/>
          <w:bCs w:val="0"/>
          <w:color w:val="auto"/>
          <w:sz w:val="24"/>
          <w:szCs w:val="24"/>
          <w:lang w:val="en-US"/>
        </w:rPr>
        <w:t>Mulligan and Schmidt</w:t>
      </w:r>
      <w:r w:rsidR="00D53A94">
        <w:rPr>
          <w:rFonts w:ascii="Times New Roman" w:hAnsi="Times New Roman"/>
          <w:b w:val="0"/>
          <w:bCs w:val="0"/>
          <w:color w:val="auto"/>
          <w:sz w:val="24"/>
          <w:szCs w:val="24"/>
          <w:lang w:val="en-US"/>
        </w:rPr>
        <w:t xml:space="preserve">, </w:t>
      </w:r>
      <w:r w:rsidR="00D53A94" w:rsidRPr="0064167A">
        <w:rPr>
          <w:rFonts w:ascii="Times New Roman" w:hAnsi="Times New Roman"/>
          <w:b w:val="0"/>
          <w:bCs w:val="0"/>
          <w:color w:val="auto"/>
          <w:sz w:val="24"/>
          <w:szCs w:val="24"/>
          <w:lang w:val="en-US"/>
        </w:rPr>
        <w:t>2005</w:t>
      </w:r>
      <w:r w:rsidR="00D53A94">
        <w:rPr>
          <w:rFonts w:ascii="Times New Roman" w:hAnsi="Times New Roman"/>
          <w:b w:val="0"/>
          <w:bCs w:val="0"/>
          <w:color w:val="auto"/>
          <w:sz w:val="24"/>
          <w:szCs w:val="24"/>
          <w:lang w:val="en-US"/>
        </w:rPr>
        <w:t>; Cutrini, 2009</w:t>
      </w:r>
      <w:r w:rsidR="00D53A94" w:rsidRPr="0064167A">
        <w:rPr>
          <w:rFonts w:ascii="Times New Roman" w:hAnsi="Times New Roman"/>
          <w:b w:val="0"/>
          <w:bCs w:val="0"/>
          <w:color w:val="auto"/>
          <w:sz w:val="24"/>
          <w:szCs w:val="24"/>
          <w:lang w:val="en-US"/>
        </w:rPr>
        <w:t>)</w:t>
      </w:r>
      <w:r w:rsidR="00D53A94">
        <w:rPr>
          <w:rFonts w:ascii="Times New Roman" w:hAnsi="Times New Roman"/>
          <w:b w:val="0"/>
          <w:bCs w:val="0"/>
          <w:color w:val="auto"/>
          <w:sz w:val="24"/>
          <w:szCs w:val="24"/>
          <w:lang w:val="en-US"/>
        </w:rPr>
        <w:t>.</w:t>
      </w:r>
      <w:r w:rsidR="0064167A" w:rsidRPr="0064167A">
        <w:rPr>
          <w:rFonts w:ascii="Times New Roman" w:hAnsi="Times New Roman"/>
          <w:b w:val="0"/>
          <w:bCs w:val="0"/>
          <w:color w:val="auto"/>
          <w:sz w:val="24"/>
          <w:szCs w:val="24"/>
          <w:lang w:val="en-US"/>
        </w:rPr>
        <w:t xml:space="preserve"> </w:t>
      </w:r>
      <w:r w:rsidR="00192362" w:rsidRPr="0064167A">
        <w:rPr>
          <w:rFonts w:ascii="Times New Roman" w:hAnsi="Times New Roman"/>
          <w:b w:val="0"/>
          <w:bCs w:val="0"/>
          <w:color w:val="auto"/>
          <w:sz w:val="24"/>
          <w:szCs w:val="24"/>
          <w:lang w:val="en-US"/>
        </w:rPr>
        <w:t>Th</w:t>
      </w:r>
      <w:r w:rsidR="00D53A94">
        <w:rPr>
          <w:rFonts w:ascii="Times New Roman" w:hAnsi="Times New Roman"/>
          <w:b w:val="0"/>
          <w:bCs w:val="0"/>
          <w:color w:val="auto"/>
          <w:sz w:val="24"/>
          <w:szCs w:val="24"/>
          <w:lang w:val="en-US"/>
        </w:rPr>
        <w:t>ese</w:t>
      </w:r>
      <w:r w:rsidR="00192362" w:rsidRPr="0064167A">
        <w:rPr>
          <w:rFonts w:ascii="Times New Roman" w:hAnsi="Times New Roman"/>
          <w:b w:val="0"/>
          <w:bCs w:val="0"/>
          <w:color w:val="auto"/>
          <w:sz w:val="24"/>
          <w:szCs w:val="24"/>
          <w:lang w:val="en-US"/>
        </w:rPr>
        <w:t xml:space="preserve"> first intuition</w:t>
      </w:r>
      <w:r w:rsidR="00D53A94">
        <w:rPr>
          <w:rFonts w:ascii="Times New Roman" w:hAnsi="Times New Roman"/>
          <w:b w:val="0"/>
          <w:bCs w:val="0"/>
          <w:color w:val="auto"/>
          <w:sz w:val="24"/>
          <w:szCs w:val="24"/>
          <w:lang w:val="en-US"/>
        </w:rPr>
        <w:t>s</w:t>
      </w:r>
      <w:r w:rsidR="00192362" w:rsidRPr="0064167A">
        <w:rPr>
          <w:rFonts w:ascii="Times New Roman" w:hAnsi="Times New Roman"/>
          <w:b w:val="0"/>
          <w:bCs w:val="0"/>
          <w:color w:val="auto"/>
          <w:sz w:val="24"/>
          <w:szCs w:val="24"/>
          <w:lang w:val="en-US"/>
        </w:rPr>
        <w:t xml:space="preserve"> w</w:t>
      </w:r>
      <w:r w:rsidR="00D53A94">
        <w:rPr>
          <w:rFonts w:ascii="Times New Roman" w:hAnsi="Times New Roman"/>
          <w:b w:val="0"/>
          <w:bCs w:val="0"/>
          <w:color w:val="auto"/>
          <w:sz w:val="24"/>
          <w:szCs w:val="24"/>
          <w:lang w:val="en-US"/>
        </w:rPr>
        <w:t>ere</w:t>
      </w:r>
      <w:r w:rsidR="00192362" w:rsidRPr="0064167A">
        <w:rPr>
          <w:rFonts w:ascii="Times New Roman" w:hAnsi="Times New Roman"/>
          <w:b w:val="0"/>
          <w:bCs w:val="0"/>
          <w:color w:val="auto"/>
          <w:sz w:val="24"/>
          <w:szCs w:val="24"/>
          <w:lang w:val="en-US"/>
        </w:rPr>
        <w:t xml:space="preserve"> further developed in the context of </w:t>
      </w:r>
      <w:r w:rsidR="00D53A94">
        <w:rPr>
          <w:rFonts w:ascii="Times New Roman" w:hAnsi="Times New Roman"/>
          <w:b w:val="0"/>
          <w:bCs w:val="0"/>
          <w:color w:val="auto"/>
          <w:sz w:val="24"/>
          <w:szCs w:val="24"/>
          <w:lang w:val="en-US"/>
        </w:rPr>
        <w:t>a</w:t>
      </w:r>
      <w:r w:rsidR="00192362" w:rsidRPr="0064167A">
        <w:rPr>
          <w:rFonts w:ascii="Times New Roman" w:hAnsi="Times New Roman"/>
          <w:b w:val="0"/>
          <w:bCs w:val="0"/>
          <w:color w:val="auto"/>
          <w:sz w:val="24"/>
          <w:szCs w:val="24"/>
          <w:lang w:val="en-US"/>
        </w:rPr>
        <w:t xml:space="preserve"> Stochastic Independence Approach </w:t>
      </w:r>
      <w:r w:rsidR="0022429B">
        <w:rPr>
          <w:rFonts w:ascii="Times New Roman" w:hAnsi="Times New Roman"/>
          <w:b w:val="0"/>
          <w:bCs w:val="0"/>
          <w:color w:val="auto"/>
          <w:sz w:val="24"/>
          <w:szCs w:val="24"/>
          <w:lang w:val="en-US"/>
        </w:rPr>
        <w:t>(</w:t>
      </w:r>
      <w:proofErr w:type="spellStart"/>
      <w:r w:rsidR="00192362" w:rsidRPr="0064167A">
        <w:rPr>
          <w:rFonts w:ascii="Times New Roman" w:hAnsi="Times New Roman"/>
          <w:b w:val="0"/>
          <w:bCs w:val="0"/>
          <w:color w:val="auto"/>
          <w:sz w:val="24"/>
          <w:szCs w:val="24"/>
          <w:lang w:val="en-US"/>
        </w:rPr>
        <w:t>Haedo</w:t>
      </w:r>
      <w:proofErr w:type="spellEnd"/>
      <w:r w:rsidR="00192362" w:rsidRPr="0064167A">
        <w:rPr>
          <w:rFonts w:ascii="Times New Roman" w:hAnsi="Times New Roman"/>
          <w:b w:val="0"/>
          <w:bCs w:val="0"/>
          <w:color w:val="auto"/>
          <w:sz w:val="24"/>
          <w:szCs w:val="24"/>
          <w:lang w:val="en-US"/>
        </w:rPr>
        <w:t xml:space="preserve"> and </w:t>
      </w:r>
      <w:proofErr w:type="spellStart"/>
      <w:r w:rsidR="00192362" w:rsidRPr="0064167A">
        <w:rPr>
          <w:rFonts w:ascii="Times New Roman" w:hAnsi="Times New Roman"/>
          <w:b w:val="0"/>
          <w:bCs w:val="0"/>
          <w:color w:val="auto"/>
          <w:sz w:val="24"/>
          <w:szCs w:val="24"/>
          <w:lang w:val="en-US"/>
        </w:rPr>
        <w:t>Mouchart</w:t>
      </w:r>
      <w:proofErr w:type="spellEnd"/>
      <w:r w:rsidR="0022429B">
        <w:rPr>
          <w:rFonts w:ascii="Times New Roman" w:hAnsi="Times New Roman"/>
          <w:b w:val="0"/>
          <w:bCs w:val="0"/>
          <w:color w:val="auto"/>
          <w:sz w:val="24"/>
          <w:szCs w:val="24"/>
          <w:lang w:val="en-US"/>
        </w:rPr>
        <w:t>,</w:t>
      </w:r>
      <w:r w:rsidR="00192362" w:rsidRPr="0064167A">
        <w:rPr>
          <w:rFonts w:ascii="Times New Roman" w:hAnsi="Times New Roman"/>
          <w:b w:val="0"/>
          <w:bCs w:val="0"/>
          <w:color w:val="auto"/>
          <w:sz w:val="24"/>
          <w:szCs w:val="24"/>
          <w:lang w:val="en-US"/>
        </w:rPr>
        <w:t xml:space="preserve"> 2018).</w:t>
      </w:r>
      <w:r w:rsidR="00192362">
        <w:rPr>
          <w:rFonts w:ascii="Times New Roman" w:hAnsi="Times New Roman"/>
          <w:b w:val="0"/>
          <w:bCs w:val="0"/>
          <w:color w:val="auto"/>
          <w:sz w:val="24"/>
          <w:szCs w:val="24"/>
          <w:lang w:val="en-US"/>
        </w:rPr>
        <w:t xml:space="preserve"> </w:t>
      </w:r>
    </w:p>
    <w:p w14:paraId="3B94888A" w14:textId="34DBD165" w:rsidR="009D0CB2" w:rsidRPr="00F11CCE" w:rsidRDefault="00567E80" w:rsidP="00107E38">
      <w:pPr>
        <w:pStyle w:val="Titolo2"/>
        <w:spacing w:line="480" w:lineRule="auto"/>
        <w:rPr>
          <w:rFonts w:ascii="Times New Roman" w:hAnsi="Times New Roman"/>
          <w:lang w:val="en-US"/>
        </w:rPr>
      </w:pPr>
      <w:r w:rsidRPr="006B1529">
        <w:rPr>
          <w:rFonts w:ascii="Times New Roman" w:hAnsi="Times New Roman"/>
          <w:b w:val="0"/>
          <w:bCs w:val="0"/>
          <w:color w:val="auto"/>
          <w:sz w:val="24"/>
          <w:szCs w:val="24"/>
          <w:lang w:val="en-US"/>
        </w:rPr>
        <w:t xml:space="preserve">This paper deals with </w:t>
      </w:r>
      <w:r>
        <w:rPr>
          <w:rFonts w:ascii="Times New Roman" w:hAnsi="Times New Roman"/>
          <w:b w:val="0"/>
          <w:bCs w:val="0"/>
          <w:color w:val="auto"/>
          <w:sz w:val="24"/>
          <w:szCs w:val="24"/>
          <w:lang w:val="en-US"/>
        </w:rPr>
        <w:t xml:space="preserve">entropy-based </w:t>
      </w:r>
      <w:r w:rsidRPr="006B1529">
        <w:rPr>
          <w:rFonts w:ascii="Times New Roman" w:hAnsi="Times New Roman"/>
          <w:b w:val="0"/>
          <w:bCs w:val="0"/>
          <w:color w:val="auto"/>
          <w:sz w:val="24"/>
          <w:szCs w:val="24"/>
          <w:lang w:val="en-US"/>
        </w:rPr>
        <w:t xml:space="preserve">methodologies for measuring </w:t>
      </w:r>
      <w:r>
        <w:rPr>
          <w:rFonts w:ascii="Times New Roman" w:hAnsi="Times New Roman"/>
          <w:b w:val="0"/>
          <w:bCs w:val="0"/>
          <w:color w:val="auto"/>
          <w:sz w:val="24"/>
          <w:szCs w:val="24"/>
          <w:lang w:val="en-US"/>
        </w:rPr>
        <w:t>the geographical concentration of industries</w:t>
      </w:r>
      <w:r w:rsidRPr="006B1529">
        <w:rPr>
          <w:rFonts w:ascii="Times New Roman" w:hAnsi="Times New Roman"/>
          <w:b w:val="0"/>
          <w:bCs w:val="0"/>
          <w:color w:val="auto"/>
          <w:sz w:val="24"/>
          <w:szCs w:val="24"/>
          <w:lang w:val="en-US"/>
        </w:rPr>
        <w:t>.</w:t>
      </w:r>
      <w:r>
        <w:rPr>
          <w:rFonts w:ascii="Times New Roman" w:hAnsi="Times New Roman"/>
          <w:b w:val="0"/>
          <w:bCs w:val="0"/>
          <w:color w:val="auto"/>
          <w:sz w:val="24"/>
          <w:szCs w:val="24"/>
          <w:lang w:val="en-US"/>
        </w:rPr>
        <w:t xml:space="preserve"> We first discuss their main advantages and limitations</w:t>
      </w:r>
      <w:r w:rsidR="004446F4">
        <w:rPr>
          <w:rFonts w:ascii="Times New Roman" w:hAnsi="Times New Roman"/>
          <w:b w:val="0"/>
          <w:bCs w:val="0"/>
          <w:color w:val="auto"/>
          <w:sz w:val="24"/>
          <w:szCs w:val="24"/>
          <w:lang w:val="en-US"/>
        </w:rPr>
        <w:t xml:space="preserve">, </w:t>
      </w:r>
      <w:r>
        <w:rPr>
          <w:rFonts w:ascii="Times New Roman" w:hAnsi="Times New Roman"/>
          <w:b w:val="0"/>
          <w:bCs w:val="0"/>
          <w:color w:val="auto"/>
          <w:sz w:val="24"/>
          <w:szCs w:val="24"/>
          <w:lang w:val="en-US"/>
        </w:rPr>
        <w:t xml:space="preserve">then we introduce a novel method to </w:t>
      </w:r>
      <w:r w:rsidR="0013511D">
        <w:rPr>
          <w:rFonts w:ascii="Times New Roman" w:hAnsi="Times New Roman"/>
          <w:b w:val="0"/>
          <w:bCs w:val="0"/>
          <w:color w:val="auto"/>
          <w:sz w:val="24"/>
          <w:szCs w:val="24"/>
          <w:lang w:val="en-US"/>
        </w:rPr>
        <w:t xml:space="preserve">test </w:t>
      </w:r>
      <w:r>
        <w:rPr>
          <w:rFonts w:ascii="Times New Roman" w:hAnsi="Times New Roman"/>
          <w:b w:val="0"/>
          <w:bCs w:val="0"/>
          <w:color w:val="auto"/>
          <w:sz w:val="24"/>
          <w:szCs w:val="24"/>
          <w:lang w:val="en-US"/>
        </w:rPr>
        <w:t xml:space="preserve">whether the spatial pattern </w:t>
      </w:r>
      <w:r w:rsidR="0013511D">
        <w:rPr>
          <w:rFonts w:ascii="Times New Roman" w:hAnsi="Times New Roman"/>
          <w:b w:val="0"/>
          <w:bCs w:val="0"/>
          <w:color w:val="auto"/>
          <w:sz w:val="24"/>
          <w:szCs w:val="24"/>
          <w:lang w:val="en-US"/>
        </w:rPr>
        <w:t>of employment is</w:t>
      </w:r>
      <w:r>
        <w:rPr>
          <w:rFonts w:ascii="Times New Roman" w:hAnsi="Times New Roman"/>
          <w:b w:val="0"/>
          <w:bCs w:val="0"/>
          <w:color w:val="auto"/>
          <w:sz w:val="24"/>
          <w:szCs w:val="24"/>
          <w:lang w:val="en-US"/>
        </w:rPr>
        <w:t xml:space="preserve"> significantly different from </w:t>
      </w:r>
      <w:r w:rsidR="0013511D">
        <w:rPr>
          <w:rFonts w:ascii="Times New Roman" w:hAnsi="Times New Roman"/>
          <w:b w:val="0"/>
          <w:bCs w:val="0"/>
          <w:color w:val="auto"/>
          <w:sz w:val="24"/>
          <w:szCs w:val="24"/>
          <w:lang w:val="en-US"/>
        </w:rPr>
        <w:t>that of firms</w:t>
      </w:r>
      <w:r>
        <w:rPr>
          <w:rFonts w:ascii="Times New Roman" w:hAnsi="Times New Roman"/>
          <w:b w:val="0"/>
          <w:bCs w:val="0"/>
          <w:color w:val="auto"/>
          <w:sz w:val="24"/>
          <w:szCs w:val="24"/>
          <w:lang w:val="en-US"/>
        </w:rPr>
        <w:t>. We address a specific gap in the literature. In fact,</w:t>
      </w:r>
      <w:r w:rsidR="00F11CCE">
        <w:rPr>
          <w:rFonts w:ascii="Times New Roman" w:hAnsi="Times New Roman"/>
          <w:b w:val="0"/>
          <w:bCs w:val="0"/>
          <w:color w:val="auto"/>
          <w:sz w:val="24"/>
          <w:szCs w:val="24"/>
          <w:lang w:val="en-US"/>
        </w:rPr>
        <w:t xml:space="preserve"> </w:t>
      </w:r>
      <w:r w:rsidRPr="00F11CCE">
        <w:rPr>
          <w:rFonts w:ascii="Times New Roman" w:hAnsi="Times New Roman"/>
          <w:b w:val="0"/>
          <w:bCs w:val="0"/>
          <w:color w:val="auto"/>
          <w:sz w:val="24"/>
          <w:szCs w:val="24"/>
          <w:lang w:val="en-US"/>
        </w:rPr>
        <w:t>a</w:t>
      </w:r>
      <w:r w:rsidR="009D0CB2" w:rsidRPr="00F11CCE">
        <w:rPr>
          <w:rFonts w:ascii="Times New Roman" w:hAnsi="Times New Roman"/>
          <w:b w:val="0"/>
          <w:bCs w:val="0"/>
          <w:color w:val="auto"/>
          <w:sz w:val="24"/>
          <w:szCs w:val="24"/>
          <w:lang w:val="en-US"/>
        </w:rPr>
        <w:t xml:space="preserve">lthough entropy-based measures have attracted considerable interest among academics and practitioners, to date, to the best of our knowledge, no study have still established the possible existence of statistical criteria that might enable us to test for the presence of significant </w:t>
      </w:r>
      <w:r w:rsidR="00384CA6">
        <w:rPr>
          <w:rFonts w:ascii="Times New Roman" w:hAnsi="Times New Roman"/>
          <w:b w:val="0"/>
          <w:bCs w:val="0"/>
          <w:color w:val="auto"/>
          <w:sz w:val="24"/>
          <w:szCs w:val="24"/>
          <w:lang w:val="en-US"/>
        </w:rPr>
        <w:t xml:space="preserve">relative </w:t>
      </w:r>
      <w:r w:rsidR="009D0CB2" w:rsidRPr="00F11CCE">
        <w:rPr>
          <w:rFonts w:ascii="Times New Roman" w:hAnsi="Times New Roman"/>
          <w:b w:val="0"/>
          <w:bCs w:val="0"/>
          <w:color w:val="auto"/>
          <w:sz w:val="24"/>
          <w:szCs w:val="24"/>
          <w:lang w:val="en-US"/>
        </w:rPr>
        <w:t>concentration</w:t>
      </w:r>
      <w:r w:rsidR="00384CA6">
        <w:rPr>
          <w:rFonts w:ascii="Times New Roman" w:hAnsi="Times New Roman"/>
          <w:b w:val="0"/>
          <w:bCs w:val="0"/>
          <w:color w:val="auto"/>
          <w:sz w:val="24"/>
          <w:szCs w:val="24"/>
          <w:lang w:val="en-US"/>
        </w:rPr>
        <w:t xml:space="preserve"> of both firms and employees</w:t>
      </w:r>
      <w:r w:rsidR="009D0CB2" w:rsidRPr="00F11CCE">
        <w:rPr>
          <w:rFonts w:ascii="Times New Roman" w:hAnsi="Times New Roman"/>
          <w:b w:val="0"/>
          <w:bCs w:val="0"/>
          <w:color w:val="auto"/>
          <w:sz w:val="24"/>
          <w:szCs w:val="24"/>
          <w:lang w:val="en-US"/>
        </w:rPr>
        <w:t xml:space="preserve">. Without this kind of statistical tests, any concentration index has little value because, as suggested by Combes et al., (2008) </w:t>
      </w:r>
      <w:r w:rsidR="009D0CB2" w:rsidRPr="00107E38">
        <w:rPr>
          <w:rFonts w:ascii="Times New Roman" w:hAnsi="Times New Roman"/>
          <w:b w:val="0"/>
          <w:bCs w:val="0"/>
          <w:i/>
          <w:color w:val="auto"/>
          <w:sz w:val="24"/>
          <w:szCs w:val="24"/>
          <w:lang w:val="en-US"/>
        </w:rPr>
        <w:t>“we are unable to determine whether we are dealing with high or low concentration, or whether there is even any spatial concentration at all”</w:t>
      </w:r>
      <w:r w:rsidR="009D0CB2" w:rsidRPr="00F11CCE">
        <w:rPr>
          <w:rFonts w:ascii="Times New Roman" w:hAnsi="Times New Roman"/>
          <w:b w:val="0"/>
          <w:bCs w:val="0"/>
          <w:color w:val="auto"/>
          <w:sz w:val="24"/>
          <w:szCs w:val="24"/>
          <w:lang w:val="en-US"/>
        </w:rPr>
        <w:t xml:space="preserve"> (p. 259). </w:t>
      </w:r>
    </w:p>
    <w:p w14:paraId="33A57A18" w14:textId="2BA2C441" w:rsidR="00192362" w:rsidRPr="00120F0D" w:rsidRDefault="00192362" w:rsidP="00192362">
      <w:pPr>
        <w:spacing w:line="480" w:lineRule="auto"/>
        <w:jc w:val="both"/>
        <w:rPr>
          <w:rFonts w:ascii="Times New Roman" w:hAnsi="Times New Roman"/>
          <w:lang w:val="en-US"/>
        </w:rPr>
      </w:pPr>
      <w:r w:rsidRPr="00120F0D">
        <w:rPr>
          <w:rFonts w:ascii="Times New Roman" w:hAnsi="Times New Roman"/>
          <w:lang w:val="en-US"/>
        </w:rPr>
        <w:t>To overcome these limitations, this article introduces a statistical testing procedure suitable for entropy measures applied to discrete space analysis. The testing procedure is developed in two steps. In the first step, we evaluate whether the observed spatial distribution of establishments is significantly different from randomness, while in the second step we value whether the spatial distribution of employees is significantly different from the observed spatial distribution of firms.</w:t>
      </w:r>
    </w:p>
    <w:p w14:paraId="5E630038" w14:textId="212052B2" w:rsidR="00227F15" w:rsidRDefault="00192362" w:rsidP="00107E38">
      <w:pPr>
        <w:spacing w:line="480" w:lineRule="auto"/>
        <w:jc w:val="both"/>
        <w:rPr>
          <w:rFonts w:ascii="Times New Roman" w:hAnsi="Times New Roman"/>
          <w:lang w:val="en-US"/>
        </w:rPr>
      </w:pPr>
      <w:r w:rsidRPr="00120F0D">
        <w:rPr>
          <w:rFonts w:ascii="Times New Roman" w:hAnsi="Times New Roman"/>
          <w:lang w:val="en-US"/>
        </w:rPr>
        <w:t xml:space="preserve">The methodological advancement proposed here allows improving the interpretation of the indices </w:t>
      </w:r>
      <w:r w:rsidR="00B04ACE">
        <w:rPr>
          <w:rFonts w:ascii="Times New Roman" w:hAnsi="Times New Roman"/>
          <w:lang w:val="en-US"/>
        </w:rPr>
        <w:t>considering</w:t>
      </w:r>
      <w:r w:rsidRPr="00120F0D">
        <w:rPr>
          <w:rFonts w:ascii="Times New Roman" w:hAnsi="Times New Roman"/>
          <w:lang w:val="en-US"/>
        </w:rPr>
        <w:t xml:space="preserve"> the underlying factors behind the concentration of each sector</w:t>
      </w:r>
      <w:r w:rsidR="00B04ACE">
        <w:rPr>
          <w:rFonts w:ascii="Times New Roman" w:hAnsi="Times New Roman"/>
          <w:lang w:val="en-US"/>
        </w:rPr>
        <w:t>. In the first step, it is possible to infer whether</w:t>
      </w:r>
      <w:r w:rsidRPr="00120F0D">
        <w:rPr>
          <w:rFonts w:ascii="Times New Roman" w:hAnsi="Times New Roman"/>
          <w:lang w:val="en-US"/>
        </w:rPr>
        <w:t xml:space="preserve"> location patterns</w:t>
      </w:r>
      <w:r w:rsidR="00B04ACE">
        <w:rPr>
          <w:rFonts w:ascii="Times New Roman" w:hAnsi="Times New Roman"/>
          <w:lang w:val="en-US"/>
        </w:rPr>
        <w:t xml:space="preserve"> of one sector is </w:t>
      </w:r>
      <w:r w:rsidRPr="00120F0D">
        <w:rPr>
          <w:rFonts w:ascii="Times New Roman" w:hAnsi="Times New Roman"/>
          <w:lang w:val="en-US"/>
        </w:rPr>
        <w:t xml:space="preserve">dominated by the strength of intra-industry externalities </w:t>
      </w:r>
      <w:r w:rsidR="00B04ACE">
        <w:rPr>
          <w:rFonts w:ascii="Times New Roman" w:hAnsi="Times New Roman"/>
          <w:lang w:val="en-US"/>
        </w:rPr>
        <w:t xml:space="preserve">due to co-location of small firms or instead it is </w:t>
      </w:r>
      <w:r w:rsidRPr="00120F0D">
        <w:rPr>
          <w:rFonts w:ascii="Times New Roman" w:hAnsi="Times New Roman"/>
          <w:lang w:val="en-US"/>
        </w:rPr>
        <w:t xml:space="preserve">mostly driven by increasing returns at </w:t>
      </w:r>
      <w:r w:rsidRPr="00120F0D">
        <w:rPr>
          <w:rFonts w:ascii="Times New Roman" w:hAnsi="Times New Roman"/>
          <w:lang w:val="en-US"/>
        </w:rPr>
        <w:lastRenderedPageBreak/>
        <w:t xml:space="preserve">the plant level. </w:t>
      </w:r>
      <w:r>
        <w:rPr>
          <w:rFonts w:ascii="Times New Roman" w:hAnsi="Times New Roman"/>
          <w:lang w:val="en-US"/>
        </w:rPr>
        <w:t xml:space="preserve">In </w:t>
      </w:r>
      <w:r w:rsidR="00B04ACE">
        <w:rPr>
          <w:rFonts w:ascii="Times New Roman" w:hAnsi="Times New Roman"/>
          <w:lang w:val="en-US"/>
        </w:rPr>
        <w:t>the second step of the testing procedure</w:t>
      </w:r>
      <w:r>
        <w:rPr>
          <w:rFonts w:ascii="Times New Roman" w:hAnsi="Times New Roman"/>
          <w:lang w:val="en-US"/>
        </w:rPr>
        <w:t xml:space="preserve">, </w:t>
      </w:r>
      <w:r w:rsidR="00227F15">
        <w:rPr>
          <w:rFonts w:ascii="Times New Roman" w:hAnsi="Times New Roman"/>
          <w:lang w:val="en-US"/>
        </w:rPr>
        <w:t>the divergence between the regional distribution of employees and the regional distribution of establishments is considered</w:t>
      </w:r>
      <w:r>
        <w:rPr>
          <w:rFonts w:ascii="Times New Roman" w:hAnsi="Times New Roman"/>
          <w:lang w:val="en-US"/>
        </w:rPr>
        <w:t xml:space="preserve">. </w:t>
      </w:r>
    </w:p>
    <w:p w14:paraId="06EA5DFB" w14:textId="48F53E15" w:rsidR="0064167A" w:rsidRDefault="00227F15" w:rsidP="00107E38">
      <w:pPr>
        <w:spacing w:line="480" w:lineRule="auto"/>
        <w:jc w:val="both"/>
        <w:rPr>
          <w:rFonts w:ascii="Times New Roman" w:hAnsi="Times New Roman"/>
          <w:lang w:val="en-US"/>
        </w:rPr>
      </w:pPr>
      <w:r>
        <w:rPr>
          <w:rFonts w:ascii="Times New Roman" w:hAnsi="Times New Roman"/>
          <w:lang w:val="en-US"/>
        </w:rPr>
        <w:t>T</w:t>
      </w:r>
      <w:r w:rsidRPr="00227F15">
        <w:rPr>
          <w:rFonts w:ascii="Times New Roman" w:hAnsi="Times New Roman"/>
          <w:lang w:val="en-US"/>
        </w:rPr>
        <w:t xml:space="preserve">he results of the performed tests suggest that </w:t>
      </w:r>
      <w:r w:rsidRPr="008A4429">
        <w:rPr>
          <w:rFonts w:ascii="Times New Roman" w:hAnsi="Times New Roman"/>
          <w:highlight w:val="yellow"/>
          <w:lang w:val="en-US"/>
        </w:rPr>
        <w:t>the spatial concentration of manufacturing establishments was still a stylized fact in the European economic geography in 2007</w:t>
      </w:r>
      <w:r w:rsidRPr="00227F15">
        <w:rPr>
          <w:rFonts w:ascii="Times New Roman" w:hAnsi="Times New Roman"/>
          <w:lang w:val="en-US"/>
        </w:rPr>
        <w:t xml:space="preserve">. The distribution of the employees however does not follow the spatial concentration of firms. </w:t>
      </w:r>
      <w:r w:rsidR="0059513E">
        <w:rPr>
          <w:rFonts w:ascii="Times New Roman" w:hAnsi="Times New Roman"/>
          <w:lang w:val="en-US"/>
        </w:rPr>
        <w:t xml:space="preserve">We </w:t>
      </w:r>
      <w:r w:rsidRPr="00227F15">
        <w:rPr>
          <w:rFonts w:ascii="Times New Roman" w:hAnsi="Times New Roman"/>
          <w:lang w:val="en-US"/>
        </w:rPr>
        <w:t>suggest that this divergence is mostly attributable to the heterogeneity in the average regional firms’ size.</w:t>
      </w:r>
      <w:r w:rsidR="0059513E">
        <w:rPr>
          <w:rFonts w:ascii="Times New Roman" w:hAnsi="Times New Roman"/>
          <w:lang w:val="en-US"/>
        </w:rPr>
        <w:t xml:space="preserve"> </w:t>
      </w:r>
    </w:p>
    <w:p w14:paraId="1EDAC9E8" w14:textId="5D049CB7" w:rsidR="00E779E9" w:rsidRPr="00120F0D" w:rsidRDefault="00E779E9" w:rsidP="007F4EAE">
      <w:pPr>
        <w:spacing w:line="480" w:lineRule="auto"/>
        <w:jc w:val="both"/>
        <w:rPr>
          <w:rFonts w:ascii="Times New Roman" w:hAnsi="Times New Roman"/>
          <w:lang w:val="en-US"/>
        </w:rPr>
      </w:pPr>
      <w:r w:rsidRPr="00120F0D">
        <w:rPr>
          <w:rFonts w:ascii="Times New Roman" w:hAnsi="Times New Roman"/>
          <w:lang w:val="en-US"/>
        </w:rPr>
        <w:t>The paper is organized as follows: Section 1 reviews the related literature</w:t>
      </w:r>
      <w:r w:rsidR="00EB36F9" w:rsidRPr="00120F0D">
        <w:rPr>
          <w:rFonts w:ascii="Times New Roman" w:hAnsi="Times New Roman"/>
          <w:lang w:val="en-US"/>
        </w:rPr>
        <w:t>.</w:t>
      </w:r>
      <w:r w:rsidRPr="00120F0D">
        <w:rPr>
          <w:rFonts w:ascii="Times New Roman" w:hAnsi="Times New Roman"/>
          <w:lang w:val="en-US"/>
        </w:rPr>
        <w:t xml:space="preserve"> Section 2 introduces </w:t>
      </w:r>
      <w:r w:rsidR="00D41A46" w:rsidRPr="00120F0D">
        <w:rPr>
          <w:rFonts w:ascii="Times New Roman" w:hAnsi="Times New Roman"/>
          <w:lang w:val="en-US"/>
        </w:rPr>
        <w:t xml:space="preserve">the </w:t>
      </w:r>
      <w:r w:rsidR="00F84C80" w:rsidRPr="00120F0D">
        <w:rPr>
          <w:rFonts w:ascii="Times New Roman" w:hAnsi="Times New Roman"/>
          <w:lang w:val="en-US"/>
        </w:rPr>
        <w:t xml:space="preserve">analytical </w:t>
      </w:r>
      <w:r w:rsidR="00D41A46" w:rsidRPr="00120F0D">
        <w:rPr>
          <w:rFonts w:ascii="Times New Roman" w:hAnsi="Times New Roman"/>
          <w:lang w:val="en-US"/>
        </w:rPr>
        <w:t xml:space="preserve">framework </w:t>
      </w:r>
      <w:r w:rsidR="00DE16D7" w:rsidRPr="00120F0D">
        <w:rPr>
          <w:rFonts w:ascii="Times New Roman" w:hAnsi="Times New Roman"/>
          <w:lang w:val="en-US"/>
        </w:rPr>
        <w:t>defining the entropy measures adopted</w:t>
      </w:r>
      <w:r w:rsidR="00EB36F9" w:rsidRPr="00120F0D">
        <w:rPr>
          <w:rFonts w:ascii="Times New Roman" w:hAnsi="Times New Roman"/>
          <w:lang w:val="en-US"/>
        </w:rPr>
        <w:t>.</w:t>
      </w:r>
      <w:r w:rsidRPr="00120F0D">
        <w:rPr>
          <w:rFonts w:ascii="Times New Roman" w:hAnsi="Times New Roman"/>
          <w:lang w:val="en-US"/>
        </w:rPr>
        <w:t xml:space="preserve"> Section 3 presents the testing procedure</w:t>
      </w:r>
      <w:r w:rsidR="00EB36F9" w:rsidRPr="00120F0D">
        <w:rPr>
          <w:rFonts w:ascii="Times New Roman" w:hAnsi="Times New Roman"/>
          <w:lang w:val="en-US"/>
        </w:rPr>
        <w:t>.</w:t>
      </w:r>
      <w:r w:rsidRPr="00120F0D">
        <w:rPr>
          <w:rFonts w:ascii="Times New Roman" w:hAnsi="Times New Roman"/>
          <w:lang w:val="en-US"/>
        </w:rPr>
        <w:t xml:space="preserve"> Section 4 includes an application based on regional </w:t>
      </w:r>
      <w:r w:rsidR="00776C55" w:rsidRPr="00120F0D">
        <w:rPr>
          <w:rFonts w:ascii="Times New Roman" w:hAnsi="Times New Roman"/>
          <w:lang w:val="en-US"/>
        </w:rPr>
        <w:t xml:space="preserve">European </w:t>
      </w:r>
      <w:r w:rsidRPr="00120F0D">
        <w:rPr>
          <w:rFonts w:ascii="Times New Roman" w:hAnsi="Times New Roman"/>
          <w:lang w:val="en-US"/>
        </w:rPr>
        <w:t>data</w:t>
      </w:r>
      <w:r w:rsidR="0027304E" w:rsidRPr="00120F0D">
        <w:rPr>
          <w:rFonts w:ascii="Times New Roman" w:hAnsi="Times New Roman"/>
          <w:lang w:val="en-US"/>
        </w:rPr>
        <w:t>. Section 5 offers some concluding remarks</w:t>
      </w:r>
      <w:r w:rsidRPr="00120F0D">
        <w:rPr>
          <w:rFonts w:ascii="Times New Roman" w:hAnsi="Times New Roman"/>
          <w:lang w:val="en-US"/>
        </w:rPr>
        <w:t>.</w:t>
      </w:r>
      <w:r w:rsidR="00EB36F9" w:rsidRPr="00120F0D">
        <w:rPr>
          <w:rFonts w:ascii="Times New Roman" w:hAnsi="Times New Roman"/>
          <w:lang w:val="en-US"/>
        </w:rPr>
        <w:t xml:space="preserve"> </w:t>
      </w:r>
    </w:p>
    <w:p w14:paraId="144B9524" w14:textId="77777777" w:rsidR="00C259CE" w:rsidRPr="00120F0D" w:rsidRDefault="00C259CE" w:rsidP="007F4EAE">
      <w:pPr>
        <w:spacing w:line="480" w:lineRule="auto"/>
        <w:jc w:val="both"/>
        <w:rPr>
          <w:rFonts w:ascii="Times New Roman" w:hAnsi="Times New Roman"/>
          <w:lang w:val="en-US"/>
        </w:rPr>
      </w:pPr>
    </w:p>
    <w:p w14:paraId="404CF87B" w14:textId="5BDFE307" w:rsidR="00E779E9" w:rsidRPr="00120F0D" w:rsidRDefault="00E779E9" w:rsidP="003606E7">
      <w:pPr>
        <w:pStyle w:val="Titolo2"/>
        <w:spacing w:line="480" w:lineRule="auto"/>
        <w:rPr>
          <w:lang w:val="en-US"/>
        </w:rPr>
      </w:pPr>
      <w:r w:rsidRPr="00120F0D">
        <w:rPr>
          <w:color w:val="auto"/>
          <w:lang w:val="en-US"/>
        </w:rPr>
        <w:t xml:space="preserve">1. Testing for localization: some insights from the </w:t>
      </w:r>
      <w:r w:rsidR="00F84C80" w:rsidRPr="00120F0D">
        <w:rPr>
          <w:color w:val="auto"/>
          <w:lang w:val="en-US"/>
        </w:rPr>
        <w:t xml:space="preserve">related </w:t>
      </w:r>
      <w:r w:rsidRPr="00120F0D">
        <w:rPr>
          <w:color w:val="auto"/>
          <w:lang w:val="en-US"/>
        </w:rPr>
        <w:t xml:space="preserve">literature </w:t>
      </w:r>
    </w:p>
    <w:p w14:paraId="238A6883" w14:textId="7583EA7A" w:rsidR="006A1615" w:rsidRPr="00107E38" w:rsidRDefault="006A1615" w:rsidP="00D37007">
      <w:pPr>
        <w:spacing w:line="480" w:lineRule="auto"/>
        <w:jc w:val="both"/>
        <w:rPr>
          <w:rFonts w:ascii="Times New Roman" w:hAnsi="Times New Roman"/>
          <w:lang w:val="en-US"/>
        </w:rPr>
      </w:pPr>
      <w:r w:rsidRPr="00107E38">
        <w:rPr>
          <w:rFonts w:ascii="Times New Roman" w:hAnsi="Times New Roman"/>
          <w:lang w:val="en-US"/>
        </w:rPr>
        <w:t xml:space="preserve">In the </w:t>
      </w:r>
      <w:r w:rsidR="00AF005E" w:rsidRPr="00F03E6C">
        <w:rPr>
          <w:rFonts w:ascii="Times New Roman" w:hAnsi="Times New Roman"/>
          <w:lang w:val="en-US"/>
        </w:rPr>
        <w:t>so-called New Trade Theory</w:t>
      </w:r>
      <w:r w:rsidRPr="00107E38">
        <w:rPr>
          <w:rFonts w:ascii="Times New Roman" w:hAnsi="Times New Roman"/>
          <w:lang w:val="en-US"/>
        </w:rPr>
        <w:t xml:space="preserve"> and New Economic Geography</w:t>
      </w:r>
      <w:r w:rsidR="00AF005E" w:rsidRPr="00F03E6C">
        <w:rPr>
          <w:rFonts w:ascii="Times New Roman" w:hAnsi="Times New Roman"/>
          <w:lang w:val="en-US"/>
        </w:rPr>
        <w:t>, trade</w:t>
      </w:r>
      <w:r w:rsidRPr="00107E38">
        <w:rPr>
          <w:rFonts w:ascii="Times New Roman" w:hAnsi="Times New Roman"/>
          <w:lang w:val="en-US"/>
        </w:rPr>
        <w:t xml:space="preserve"> and comparative advantage</w:t>
      </w:r>
      <w:r w:rsidR="00AF005E" w:rsidRPr="00F03E6C">
        <w:rPr>
          <w:rFonts w:ascii="Times New Roman" w:hAnsi="Times New Roman"/>
          <w:lang w:val="en-US"/>
        </w:rPr>
        <w:t xml:space="preserve"> </w:t>
      </w:r>
      <w:r w:rsidR="00DA3C70">
        <w:rPr>
          <w:rFonts w:ascii="Times New Roman" w:hAnsi="Times New Roman"/>
          <w:lang w:val="en-US"/>
        </w:rPr>
        <w:t>are</w:t>
      </w:r>
      <w:r w:rsidR="00AF005E" w:rsidRPr="00F03E6C">
        <w:rPr>
          <w:rFonts w:ascii="Times New Roman" w:hAnsi="Times New Roman"/>
          <w:lang w:val="en-US"/>
        </w:rPr>
        <w:t xml:space="preserve"> driven not by </w:t>
      </w:r>
      <w:r w:rsidR="00AF005E" w:rsidRPr="003D2955">
        <w:rPr>
          <w:rFonts w:ascii="Times New Roman" w:hAnsi="Times New Roman"/>
          <w:lang w:val="en-US"/>
        </w:rPr>
        <w:t>relative cost (price) differences, but by increasing returns effects associated with economies of scale, monopolistic competition, and geographical agglomeration externalities.</w:t>
      </w:r>
      <w:r w:rsidR="00EA67F6" w:rsidRPr="003D2955">
        <w:rPr>
          <w:rFonts w:ascii="Times New Roman" w:hAnsi="Times New Roman"/>
          <w:lang w:val="en-US"/>
        </w:rPr>
        <w:t xml:space="preserve"> </w:t>
      </w:r>
    </w:p>
    <w:p w14:paraId="48E4124E" w14:textId="16013AFF" w:rsidR="00F03E6C" w:rsidRDefault="008A222A" w:rsidP="00D37007">
      <w:pPr>
        <w:spacing w:line="480" w:lineRule="auto"/>
        <w:jc w:val="both"/>
        <w:rPr>
          <w:rFonts w:ascii="Times New Roman" w:hAnsi="Times New Roman"/>
          <w:lang w:val="en-US"/>
        </w:rPr>
      </w:pPr>
      <w:r>
        <w:rPr>
          <w:rFonts w:ascii="Times New Roman" w:hAnsi="Times New Roman"/>
          <w:lang w:val="en-US"/>
        </w:rPr>
        <w:t>On this background, t</w:t>
      </w:r>
      <w:r w:rsidR="00F03E6C">
        <w:rPr>
          <w:rFonts w:ascii="Times New Roman" w:hAnsi="Times New Roman"/>
          <w:lang w:val="en-US"/>
        </w:rPr>
        <w:t>h</w:t>
      </w:r>
      <w:r w:rsidR="001C4AEC" w:rsidRPr="001C4AEC">
        <w:rPr>
          <w:rFonts w:ascii="Times New Roman" w:hAnsi="Times New Roman"/>
          <w:lang w:val="en-US"/>
        </w:rPr>
        <w:t xml:space="preserve">e development of New Economic Geography </w:t>
      </w:r>
      <w:r w:rsidR="00F03E6C">
        <w:rPr>
          <w:rFonts w:ascii="Times New Roman" w:hAnsi="Times New Roman"/>
          <w:lang w:val="en-US"/>
        </w:rPr>
        <w:t xml:space="preserve">theoretical </w:t>
      </w:r>
      <w:r w:rsidR="001C4AEC" w:rsidRPr="001C4AEC">
        <w:rPr>
          <w:rFonts w:ascii="Times New Roman" w:hAnsi="Times New Roman"/>
          <w:lang w:val="en-US"/>
        </w:rPr>
        <w:t>models was inevitably accompanied by a rising interest in measuring localization of economic activities.</w:t>
      </w:r>
      <w:r w:rsidR="001C4AEC">
        <w:rPr>
          <w:rFonts w:ascii="Times New Roman" w:hAnsi="Times New Roman"/>
          <w:lang w:val="en-US"/>
        </w:rPr>
        <w:t xml:space="preserve"> Hence, t</w:t>
      </w:r>
      <w:r w:rsidR="006A1615" w:rsidRPr="00120F0D">
        <w:rPr>
          <w:rFonts w:ascii="Times New Roman" w:hAnsi="Times New Roman"/>
          <w:lang w:val="en-US"/>
        </w:rPr>
        <w:t xml:space="preserve">he spatial distribution of economic activity has been the focus of growing research interest </w:t>
      </w:r>
      <w:r w:rsidR="006A1615">
        <w:rPr>
          <w:rFonts w:ascii="Times New Roman" w:hAnsi="Times New Roman"/>
          <w:lang w:val="en-US"/>
        </w:rPr>
        <w:t xml:space="preserve">at the empirical level </w:t>
      </w:r>
      <w:r w:rsidR="006A1615" w:rsidRPr="00120F0D">
        <w:rPr>
          <w:rFonts w:ascii="Times New Roman" w:hAnsi="Times New Roman"/>
          <w:lang w:val="en-US"/>
        </w:rPr>
        <w:t xml:space="preserve">and several statistical tools were introduced to systematically evaluate </w:t>
      </w:r>
      <w:r w:rsidR="00F61CC2">
        <w:rPr>
          <w:rFonts w:ascii="Times New Roman" w:hAnsi="Times New Roman"/>
          <w:lang w:val="en-US"/>
        </w:rPr>
        <w:t xml:space="preserve">the spatial </w:t>
      </w:r>
      <w:r w:rsidR="006A1615" w:rsidRPr="00120F0D">
        <w:rPr>
          <w:rFonts w:ascii="Times New Roman" w:hAnsi="Times New Roman"/>
          <w:lang w:val="en-US"/>
        </w:rPr>
        <w:t>agglomeration</w:t>
      </w:r>
      <w:r w:rsidR="00F61CC2">
        <w:rPr>
          <w:rFonts w:ascii="Times New Roman" w:hAnsi="Times New Roman"/>
          <w:lang w:val="en-US"/>
        </w:rPr>
        <w:t xml:space="preserve"> of industries</w:t>
      </w:r>
      <w:r w:rsidR="00F03E6C">
        <w:rPr>
          <w:rFonts w:ascii="Times New Roman" w:hAnsi="Times New Roman"/>
          <w:lang w:val="en-US"/>
        </w:rPr>
        <w:t xml:space="preserve">. </w:t>
      </w:r>
    </w:p>
    <w:p w14:paraId="57C5A801" w14:textId="035B8805" w:rsidR="004A652B" w:rsidRPr="00120F0D" w:rsidRDefault="00E779E9" w:rsidP="00D37007">
      <w:pPr>
        <w:spacing w:line="480" w:lineRule="auto"/>
        <w:jc w:val="both"/>
        <w:rPr>
          <w:rFonts w:ascii="Times New Roman" w:hAnsi="Times New Roman"/>
          <w:lang w:val="en-US"/>
        </w:rPr>
      </w:pPr>
      <w:proofErr w:type="gramStart"/>
      <w:r w:rsidRPr="00120F0D">
        <w:rPr>
          <w:rFonts w:ascii="Times New Roman" w:hAnsi="Times New Roman"/>
          <w:lang w:val="en-US"/>
        </w:rPr>
        <w:t xml:space="preserve">In this context, we may distinguish two main lines of methodological advancements: one is related to the measures for empirical research over the discrete space </w:t>
      </w:r>
      <w:r w:rsidR="00C02CEF" w:rsidRPr="00120F0D">
        <w:rPr>
          <w:rFonts w:ascii="Times New Roman" w:hAnsi="Times New Roman"/>
          <w:lang w:val="en-US"/>
        </w:rPr>
        <w:t>-</w:t>
      </w:r>
      <w:r w:rsidR="00C94A3E" w:rsidRPr="00120F0D">
        <w:rPr>
          <w:rFonts w:ascii="Times New Roman" w:hAnsi="Times New Roman"/>
          <w:lang w:val="en-US"/>
        </w:rPr>
        <w:t xml:space="preserve"> </w:t>
      </w:r>
      <w:r w:rsidRPr="00120F0D">
        <w:rPr>
          <w:rFonts w:ascii="Times New Roman" w:hAnsi="Times New Roman"/>
          <w:lang w:val="en-US"/>
        </w:rPr>
        <w:t xml:space="preserve">Ellison and </w:t>
      </w:r>
      <w:proofErr w:type="spellStart"/>
      <w:r w:rsidRPr="00120F0D">
        <w:rPr>
          <w:rFonts w:ascii="Times New Roman" w:hAnsi="Times New Roman"/>
          <w:lang w:val="en-US"/>
        </w:rPr>
        <w:t>Glaeser</w:t>
      </w:r>
      <w:proofErr w:type="spellEnd"/>
      <w:r w:rsidRPr="00120F0D">
        <w:rPr>
          <w:rFonts w:ascii="Times New Roman" w:hAnsi="Times New Roman"/>
          <w:lang w:val="en-US"/>
        </w:rPr>
        <w:t xml:space="preserve"> </w:t>
      </w:r>
      <w:r w:rsidR="00C02CEF" w:rsidRPr="00120F0D">
        <w:rPr>
          <w:rFonts w:ascii="Times New Roman" w:hAnsi="Times New Roman"/>
          <w:lang w:val="en-US"/>
        </w:rPr>
        <w:t>(</w:t>
      </w:r>
      <w:r w:rsidR="0078598B">
        <w:rPr>
          <w:rFonts w:ascii="Times New Roman" w:hAnsi="Times New Roman"/>
          <w:lang w:val="en-US"/>
        </w:rPr>
        <w:t>1997</w:t>
      </w:r>
      <w:r w:rsidR="00C02CEF" w:rsidRPr="00120F0D">
        <w:rPr>
          <w:rFonts w:ascii="Times New Roman" w:hAnsi="Times New Roman"/>
          <w:lang w:val="en-US"/>
        </w:rPr>
        <w:t>)</w:t>
      </w:r>
      <w:r w:rsidR="006D7AE5">
        <w:rPr>
          <w:rFonts w:ascii="Times New Roman" w:hAnsi="Times New Roman"/>
          <w:lang w:val="en-US"/>
        </w:rPr>
        <w:t>’s</w:t>
      </w:r>
      <w:r w:rsidR="00C02CEF" w:rsidRPr="00120F0D">
        <w:rPr>
          <w:rFonts w:ascii="Times New Roman" w:hAnsi="Times New Roman"/>
          <w:lang w:val="en-US"/>
        </w:rPr>
        <w:t xml:space="preserve"> approach </w:t>
      </w:r>
      <w:r w:rsidRPr="00120F0D">
        <w:rPr>
          <w:rFonts w:ascii="Times New Roman" w:hAnsi="Times New Roman"/>
          <w:lang w:val="en-US"/>
        </w:rPr>
        <w:t xml:space="preserve">and </w:t>
      </w:r>
      <w:r w:rsidR="00C94A3E" w:rsidRPr="00120F0D">
        <w:rPr>
          <w:rFonts w:ascii="Times New Roman" w:hAnsi="Times New Roman"/>
          <w:lang w:val="en-US"/>
        </w:rPr>
        <w:t xml:space="preserve">the </w:t>
      </w:r>
      <w:r w:rsidRPr="00120F0D">
        <w:rPr>
          <w:rFonts w:ascii="Times New Roman" w:hAnsi="Times New Roman"/>
          <w:lang w:val="en-US"/>
        </w:rPr>
        <w:t xml:space="preserve">entropy-based </w:t>
      </w:r>
      <w:r w:rsidR="0078598B">
        <w:rPr>
          <w:rFonts w:ascii="Times New Roman" w:hAnsi="Times New Roman"/>
          <w:lang w:val="en-US"/>
        </w:rPr>
        <w:t xml:space="preserve">methods; </w:t>
      </w:r>
      <w:r w:rsidRPr="00120F0D">
        <w:rPr>
          <w:rFonts w:ascii="Times New Roman" w:hAnsi="Times New Roman"/>
          <w:lang w:val="en-US"/>
        </w:rPr>
        <w:t>the other deals with</w:t>
      </w:r>
      <w:r w:rsidR="0078598B">
        <w:rPr>
          <w:rFonts w:ascii="Times New Roman" w:hAnsi="Times New Roman"/>
          <w:lang w:val="en-US"/>
        </w:rPr>
        <w:t xml:space="preserve"> the</w:t>
      </w:r>
      <w:r w:rsidRPr="00120F0D">
        <w:rPr>
          <w:rFonts w:ascii="Times New Roman" w:hAnsi="Times New Roman"/>
          <w:lang w:val="en-US"/>
        </w:rPr>
        <w:t xml:space="preserve"> measurement of the geographical concentration over the continuous space (</w:t>
      </w:r>
      <w:proofErr w:type="spellStart"/>
      <w:r w:rsidRPr="00120F0D">
        <w:rPr>
          <w:rFonts w:ascii="Times New Roman" w:hAnsi="Times New Roman"/>
          <w:lang w:val="en-US"/>
        </w:rPr>
        <w:t>Marcon</w:t>
      </w:r>
      <w:proofErr w:type="spellEnd"/>
      <w:r w:rsidRPr="00120F0D">
        <w:rPr>
          <w:rFonts w:ascii="Times New Roman" w:hAnsi="Times New Roman"/>
          <w:lang w:val="en-US"/>
        </w:rPr>
        <w:t xml:space="preserve"> and </w:t>
      </w:r>
      <w:proofErr w:type="spellStart"/>
      <w:r w:rsidRPr="00120F0D">
        <w:rPr>
          <w:rFonts w:ascii="Times New Roman" w:hAnsi="Times New Roman"/>
          <w:lang w:val="en-US"/>
        </w:rPr>
        <w:t>Puech</w:t>
      </w:r>
      <w:proofErr w:type="spellEnd"/>
      <w:r w:rsidRPr="00120F0D">
        <w:rPr>
          <w:rFonts w:ascii="Times New Roman" w:hAnsi="Times New Roman"/>
          <w:lang w:val="en-US"/>
        </w:rPr>
        <w:t xml:space="preserve">, 2003, 2010; </w:t>
      </w:r>
      <w:proofErr w:type="spellStart"/>
      <w:r w:rsidRPr="00120F0D">
        <w:rPr>
          <w:rFonts w:ascii="Times New Roman" w:hAnsi="Times New Roman"/>
          <w:lang w:val="en-US"/>
        </w:rPr>
        <w:t>Duranton</w:t>
      </w:r>
      <w:proofErr w:type="spellEnd"/>
      <w:r w:rsidRPr="00120F0D">
        <w:rPr>
          <w:rFonts w:ascii="Times New Roman" w:hAnsi="Times New Roman"/>
          <w:lang w:val="en-US"/>
        </w:rPr>
        <w:t xml:space="preserve"> and Overman, 2005</w:t>
      </w:r>
      <w:r w:rsidR="00902F48" w:rsidRPr="00120F0D">
        <w:rPr>
          <w:rFonts w:ascii="Times New Roman" w:hAnsi="Times New Roman"/>
          <w:lang w:val="en-US"/>
        </w:rPr>
        <w:t>; Lang</w:t>
      </w:r>
      <w:r w:rsidR="00902F48" w:rsidRPr="00120F0D">
        <w:rPr>
          <w:rFonts w:ascii="Times New Roman" w:hAnsi="Times New Roman"/>
          <w:i/>
          <w:lang w:val="en-US"/>
        </w:rPr>
        <w:t xml:space="preserve"> et al.</w:t>
      </w:r>
      <w:r w:rsidR="00902F48" w:rsidRPr="00120F0D">
        <w:rPr>
          <w:rFonts w:ascii="Times New Roman" w:hAnsi="Times New Roman"/>
          <w:lang w:val="en-US"/>
        </w:rPr>
        <w:t>, 20</w:t>
      </w:r>
      <w:r w:rsidR="00A317F7">
        <w:rPr>
          <w:rFonts w:ascii="Times New Roman" w:hAnsi="Times New Roman"/>
          <w:lang w:val="en-US"/>
        </w:rPr>
        <w:t>20</w:t>
      </w:r>
      <w:r w:rsidRPr="00120F0D">
        <w:rPr>
          <w:rFonts w:ascii="Times New Roman" w:hAnsi="Times New Roman"/>
          <w:lang w:val="en-US"/>
        </w:rPr>
        <w:t xml:space="preserve"> among others).</w:t>
      </w:r>
      <w:proofErr w:type="gramEnd"/>
      <w:r w:rsidRPr="00120F0D">
        <w:rPr>
          <w:rFonts w:ascii="Times New Roman" w:hAnsi="Times New Roman"/>
          <w:lang w:val="en-US"/>
        </w:rPr>
        <w:t xml:space="preserve"> </w:t>
      </w:r>
    </w:p>
    <w:p w14:paraId="442B7666" w14:textId="64E78992" w:rsidR="00FF69D6" w:rsidRDefault="00E779E9" w:rsidP="00675CB9">
      <w:pPr>
        <w:spacing w:line="480" w:lineRule="auto"/>
        <w:jc w:val="both"/>
        <w:rPr>
          <w:rFonts w:ascii="Times New Roman" w:hAnsi="Times New Roman"/>
          <w:lang w:val="en-US"/>
        </w:rPr>
      </w:pPr>
      <w:r w:rsidRPr="00120F0D">
        <w:rPr>
          <w:rFonts w:ascii="Times New Roman" w:hAnsi="Times New Roman"/>
          <w:lang w:val="en-US"/>
        </w:rPr>
        <w:lastRenderedPageBreak/>
        <w:t xml:space="preserve">Ellison and </w:t>
      </w:r>
      <w:proofErr w:type="spellStart"/>
      <w:r w:rsidRPr="00120F0D">
        <w:rPr>
          <w:rFonts w:ascii="Times New Roman" w:hAnsi="Times New Roman"/>
          <w:lang w:val="en-US"/>
        </w:rPr>
        <w:t>Glaeser</w:t>
      </w:r>
      <w:proofErr w:type="spellEnd"/>
      <w:r w:rsidRPr="00120F0D">
        <w:rPr>
          <w:rFonts w:ascii="Times New Roman" w:hAnsi="Times New Roman"/>
          <w:lang w:val="en-US"/>
        </w:rPr>
        <w:t xml:space="preserve"> (1997) </w:t>
      </w:r>
      <w:r w:rsidR="00C94A3E" w:rsidRPr="00120F0D">
        <w:rPr>
          <w:rFonts w:ascii="Times New Roman" w:eastAsiaTheme="minorHAnsi" w:hAnsi="Times New Roman"/>
          <w:lang w:val="en-US" w:eastAsia="en-US"/>
        </w:rPr>
        <w:t xml:space="preserve">started to think about systematic ways to evaluate agglomerations. They </w:t>
      </w:r>
      <w:r w:rsidRPr="00120F0D">
        <w:rPr>
          <w:rFonts w:ascii="Times New Roman" w:hAnsi="Times New Roman"/>
          <w:lang w:val="en-US"/>
        </w:rPr>
        <w:t xml:space="preserve">have the merit </w:t>
      </w:r>
      <w:r w:rsidR="0078598B">
        <w:rPr>
          <w:rFonts w:ascii="Times New Roman" w:hAnsi="Times New Roman"/>
          <w:lang w:val="en-US"/>
        </w:rPr>
        <w:t>of having</w:t>
      </w:r>
      <w:r w:rsidR="00FA588A" w:rsidRPr="00120F0D">
        <w:rPr>
          <w:rFonts w:ascii="Times New Roman" w:hAnsi="Times New Roman"/>
          <w:lang w:val="en-US"/>
        </w:rPr>
        <w:t xml:space="preserve"> </w:t>
      </w:r>
      <w:r w:rsidRPr="00120F0D">
        <w:rPr>
          <w:rFonts w:ascii="Times New Roman" w:hAnsi="Times New Roman"/>
          <w:lang w:val="en-US"/>
        </w:rPr>
        <w:t>introduce</w:t>
      </w:r>
      <w:r w:rsidR="00FA588A" w:rsidRPr="00120F0D">
        <w:rPr>
          <w:rFonts w:ascii="Times New Roman" w:hAnsi="Times New Roman"/>
          <w:lang w:val="en-US"/>
        </w:rPr>
        <w:t>d</w:t>
      </w:r>
      <w:r w:rsidRPr="00120F0D">
        <w:rPr>
          <w:rFonts w:ascii="Times New Roman" w:hAnsi="Times New Roman"/>
          <w:lang w:val="en-US"/>
        </w:rPr>
        <w:t xml:space="preserve"> a measure of </w:t>
      </w:r>
      <w:r w:rsidR="00636226" w:rsidRPr="00120F0D">
        <w:rPr>
          <w:rFonts w:ascii="Times New Roman" w:hAnsi="Times New Roman"/>
          <w:lang w:val="en-US"/>
        </w:rPr>
        <w:t xml:space="preserve">spatial distribution </w:t>
      </w:r>
      <w:r w:rsidR="005B357F" w:rsidRPr="00120F0D">
        <w:rPr>
          <w:rFonts w:ascii="Times New Roman" w:hAnsi="Times New Roman"/>
          <w:lang w:val="en-US"/>
        </w:rPr>
        <w:t xml:space="preserve">of </w:t>
      </w:r>
      <w:r w:rsidR="008A0E87" w:rsidRPr="00120F0D">
        <w:rPr>
          <w:rFonts w:ascii="Times New Roman" w:hAnsi="Times New Roman"/>
          <w:lang w:val="en-US"/>
        </w:rPr>
        <w:t>employ</w:t>
      </w:r>
      <w:r w:rsidR="008A0E87">
        <w:rPr>
          <w:rFonts w:ascii="Times New Roman" w:hAnsi="Times New Roman"/>
          <w:lang w:val="en-US"/>
        </w:rPr>
        <w:t>ees</w:t>
      </w:r>
      <w:r w:rsidR="003A5EC9" w:rsidRPr="00120F0D">
        <w:rPr>
          <w:rFonts w:ascii="Times New Roman" w:hAnsi="Times New Roman"/>
          <w:lang w:val="en-US"/>
        </w:rPr>
        <w:t>,</w:t>
      </w:r>
      <w:r w:rsidRPr="00120F0D">
        <w:rPr>
          <w:rFonts w:ascii="Times New Roman" w:hAnsi="Times New Roman"/>
          <w:lang w:val="en-US"/>
        </w:rPr>
        <w:t xml:space="preserve"> which control</w:t>
      </w:r>
      <w:r w:rsidR="002D39C5">
        <w:rPr>
          <w:rFonts w:ascii="Times New Roman" w:hAnsi="Times New Roman"/>
          <w:lang w:val="en-US"/>
        </w:rPr>
        <w:t>s</w:t>
      </w:r>
      <w:r w:rsidRPr="00120F0D">
        <w:rPr>
          <w:rFonts w:ascii="Times New Roman" w:hAnsi="Times New Roman"/>
          <w:lang w:val="en-US"/>
        </w:rPr>
        <w:t xml:space="preserve"> for the industrial structure</w:t>
      </w:r>
      <w:r w:rsidR="00060EB2" w:rsidRPr="00120F0D">
        <w:rPr>
          <w:rFonts w:ascii="Times New Roman" w:hAnsi="Times New Roman"/>
          <w:lang w:val="en-US"/>
        </w:rPr>
        <w:t>. In the “dartboard approach”</w:t>
      </w:r>
      <w:r w:rsidRPr="00120F0D">
        <w:rPr>
          <w:rFonts w:ascii="Times New Roman" w:hAnsi="Times New Roman"/>
          <w:lang w:val="en-US"/>
        </w:rPr>
        <w:t xml:space="preserve"> </w:t>
      </w:r>
      <w:r w:rsidR="00060EB2" w:rsidRPr="00120F0D">
        <w:rPr>
          <w:rFonts w:ascii="Times New Roman" w:hAnsi="Times New Roman"/>
          <w:lang w:val="en-US"/>
        </w:rPr>
        <w:t>the measurement of relative concentration</w:t>
      </w:r>
      <w:r w:rsidR="009E605A" w:rsidRPr="00120F0D">
        <w:rPr>
          <w:rFonts w:ascii="Times New Roman" w:hAnsi="Times New Roman"/>
          <w:lang w:val="en-US"/>
        </w:rPr>
        <w:t xml:space="preserve"> is rescaled by an index of absolute concentration of establishments (the </w:t>
      </w:r>
      <w:proofErr w:type="spellStart"/>
      <w:r w:rsidR="009E605A" w:rsidRPr="00120F0D">
        <w:rPr>
          <w:rFonts w:ascii="Times New Roman" w:hAnsi="Times New Roman"/>
          <w:lang w:val="en-US"/>
        </w:rPr>
        <w:t>Herfindal</w:t>
      </w:r>
      <w:proofErr w:type="spellEnd"/>
      <w:r w:rsidR="009E605A" w:rsidRPr="00120F0D">
        <w:rPr>
          <w:rFonts w:ascii="Times New Roman" w:hAnsi="Times New Roman"/>
          <w:lang w:val="en-US"/>
        </w:rPr>
        <w:t xml:space="preserve"> index</w:t>
      </w:r>
      <w:r w:rsidR="0078598B">
        <w:rPr>
          <w:rFonts w:ascii="Times New Roman" w:hAnsi="Times New Roman"/>
          <w:lang w:val="en-US"/>
        </w:rPr>
        <w:t xml:space="preserve">), </w:t>
      </w:r>
      <w:r w:rsidR="009E605A" w:rsidRPr="00120F0D">
        <w:rPr>
          <w:rFonts w:ascii="Times New Roman" w:hAnsi="Times New Roman"/>
          <w:lang w:val="en-US"/>
        </w:rPr>
        <w:t xml:space="preserve">and the index </w:t>
      </w:r>
      <w:r w:rsidR="00060EB2" w:rsidRPr="00120F0D">
        <w:rPr>
          <w:rFonts w:ascii="Times New Roman" w:hAnsi="Times New Roman"/>
          <w:lang w:val="en-US"/>
        </w:rPr>
        <w:t xml:space="preserve">is anchored to a theoretical model of location. Hence, </w:t>
      </w:r>
      <w:r w:rsidRPr="00120F0D">
        <w:rPr>
          <w:rFonts w:ascii="Times New Roman" w:hAnsi="Times New Roman"/>
          <w:lang w:val="en-US"/>
        </w:rPr>
        <w:t xml:space="preserve">it is possible to </w:t>
      </w:r>
      <w:r w:rsidR="00060EB2" w:rsidRPr="00120F0D">
        <w:rPr>
          <w:rFonts w:ascii="Times New Roman" w:hAnsi="Times New Roman"/>
          <w:lang w:val="en-US"/>
        </w:rPr>
        <w:t xml:space="preserve">derive a </w:t>
      </w:r>
      <w:r w:rsidRPr="00120F0D">
        <w:rPr>
          <w:rFonts w:ascii="Times New Roman" w:hAnsi="Times New Roman"/>
          <w:lang w:val="en-US"/>
        </w:rPr>
        <w:t xml:space="preserve">test for the statistical significance of the index </w:t>
      </w:r>
      <w:r w:rsidR="009E605A" w:rsidRPr="00120F0D">
        <w:rPr>
          <w:rFonts w:ascii="Times New Roman" w:hAnsi="Times New Roman"/>
          <w:lang w:val="en-US"/>
        </w:rPr>
        <w:t xml:space="preserve">with a null hypothesis defined as perfect regularity, </w:t>
      </w:r>
      <w:r w:rsidRPr="00120F0D">
        <w:rPr>
          <w:rFonts w:ascii="Times New Roman" w:hAnsi="Times New Roman"/>
          <w:lang w:val="en-US"/>
        </w:rPr>
        <w:t>and indicate whether a sector’s distribution of activity across locations is significantly concentrated or dispersed</w:t>
      </w:r>
      <w:r w:rsidR="009E605A" w:rsidRPr="00120F0D">
        <w:rPr>
          <w:rFonts w:ascii="Times New Roman" w:hAnsi="Times New Roman"/>
          <w:lang w:val="en-US"/>
        </w:rPr>
        <w:t xml:space="preserve"> beyond scale economies</w:t>
      </w:r>
      <w:r w:rsidRPr="00120F0D">
        <w:rPr>
          <w:rFonts w:ascii="Times New Roman" w:eastAsia="Calibri" w:hAnsi="Times New Roman"/>
          <w:lang w:val="en-US"/>
        </w:rPr>
        <w:t xml:space="preserve">. </w:t>
      </w:r>
      <w:r w:rsidR="00060EB2" w:rsidRPr="00120F0D">
        <w:rPr>
          <w:rFonts w:ascii="Times New Roman" w:hAnsi="Times New Roman"/>
          <w:lang w:val="en-US"/>
        </w:rPr>
        <w:t>Successive empirical studies (</w:t>
      </w:r>
      <w:proofErr w:type="spellStart"/>
      <w:r w:rsidR="00060EB2" w:rsidRPr="00120F0D">
        <w:rPr>
          <w:rFonts w:ascii="Times New Roman" w:hAnsi="Times New Roman"/>
          <w:lang w:val="en-US"/>
        </w:rPr>
        <w:t>Maurel</w:t>
      </w:r>
      <w:proofErr w:type="spellEnd"/>
      <w:r w:rsidR="00060EB2" w:rsidRPr="00120F0D">
        <w:rPr>
          <w:rFonts w:ascii="Times New Roman" w:hAnsi="Times New Roman"/>
          <w:lang w:val="en-US"/>
        </w:rPr>
        <w:t xml:space="preserve"> and </w:t>
      </w:r>
      <w:proofErr w:type="spellStart"/>
      <w:r w:rsidR="00060EB2" w:rsidRPr="00120F0D">
        <w:rPr>
          <w:rFonts w:ascii="Times New Roman" w:hAnsi="Times New Roman"/>
          <w:lang w:val="en-US"/>
        </w:rPr>
        <w:t>Sédillot</w:t>
      </w:r>
      <w:proofErr w:type="spellEnd"/>
      <w:r w:rsidR="00060EB2" w:rsidRPr="00120F0D">
        <w:rPr>
          <w:rFonts w:ascii="Times New Roman" w:hAnsi="Times New Roman"/>
          <w:lang w:val="en-US"/>
        </w:rPr>
        <w:t xml:space="preserve">, 1999, Devereux </w:t>
      </w:r>
      <w:r w:rsidR="00060EB2" w:rsidRPr="00120F0D">
        <w:rPr>
          <w:rFonts w:ascii="Times New Roman" w:hAnsi="Times New Roman"/>
          <w:i/>
          <w:lang w:val="en-US"/>
        </w:rPr>
        <w:t>et al.</w:t>
      </w:r>
      <w:r w:rsidR="00060EB2" w:rsidRPr="00120F0D">
        <w:rPr>
          <w:rFonts w:ascii="Times New Roman" w:hAnsi="Times New Roman"/>
          <w:lang w:val="en-US"/>
        </w:rPr>
        <w:t>, 2004) have adopted the “dartboard approach” to investigate the spatial distribution of manufacturing industries in France and United Kingdom, respectively</w:t>
      </w:r>
      <w:r w:rsidR="00060EB2" w:rsidRPr="00120F0D">
        <w:rPr>
          <w:rStyle w:val="Rimandonotaapidipagina"/>
          <w:rFonts w:ascii="Times New Roman" w:hAnsi="Times New Roman"/>
          <w:lang w:val="en-US"/>
        </w:rPr>
        <w:footnoteReference w:id="1"/>
      </w:r>
      <w:r w:rsidR="00060EB2" w:rsidRPr="00120F0D">
        <w:rPr>
          <w:rFonts w:ascii="Times New Roman" w:hAnsi="Times New Roman"/>
          <w:lang w:val="en-US"/>
        </w:rPr>
        <w:t xml:space="preserve">. </w:t>
      </w:r>
      <w:r w:rsidRPr="00120F0D">
        <w:rPr>
          <w:rFonts w:ascii="Times New Roman" w:hAnsi="Times New Roman"/>
          <w:lang w:val="en-US"/>
        </w:rPr>
        <w:t xml:space="preserve">Recently, Cassey and Smith, 2014 show how the </w:t>
      </w:r>
      <w:r w:rsidRPr="00120F0D">
        <w:rPr>
          <w:rFonts w:ascii="Times New Roman" w:hAnsi="Times New Roman"/>
          <w:i/>
          <w:lang w:val="en-US"/>
        </w:rPr>
        <w:t>ad hoc</w:t>
      </w:r>
      <w:r w:rsidRPr="00120F0D">
        <w:rPr>
          <w:rFonts w:ascii="Times New Roman" w:hAnsi="Times New Roman"/>
          <w:lang w:val="en-US"/>
        </w:rPr>
        <w:t xml:space="preserve"> thresholds suggested by Ellison and Glaser (1997) </w:t>
      </w:r>
      <w:r w:rsidR="00417BC8">
        <w:rPr>
          <w:rFonts w:ascii="Times New Roman" w:hAnsi="Times New Roman"/>
          <w:lang w:val="en-US"/>
        </w:rPr>
        <w:t xml:space="preserve">for a significant concentration </w:t>
      </w:r>
      <w:r w:rsidRPr="00120F0D">
        <w:rPr>
          <w:rFonts w:ascii="Times New Roman" w:hAnsi="Times New Roman"/>
          <w:lang w:val="en-US"/>
        </w:rPr>
        <w:t>can flaw the interpret</w:t>
      </w:r>
      <w:r w:rsidR="0078598B">
        <w:rPr>
          <w:rFonts w:ascii="Times New Roman" w:hAnsi="Times New Roman"/>
          <w:lang w:val="en-US"/>
        </w:rPr>
        <w:t xml:space="preserve">ation of results based on the Ellison and </w:t>
      </w:r>
      <w:proofErr w:type="spellStart"/>
      <w:r w:rsidR="0078598B">
        <w:rPr>
          <w:rFonts w:ascii="Times New Roman" w:hAnsi="Times New Roman"/>
          <w:lang w:val="en-US"/>
        </w:rPr>
        <w:t>Glaeser’s</w:t>
      </w:r>
      <w:proofErr w:type="spellEnd"/>
      <w:r w:rsidRPr="00120F0D">
        <w:rPr>
          <w:rFonts w:ascii="Times New Roman" w:hAnsi="Times New Roman"/>
          <w:lang w:val="en-US"/>
        </w:rPr>
        <w:t xml:space="preserve"> index and </w:t>
      </w:r>
      <w:r w:rsidR="00FA588A" w:rsidRPr="00120F0D">
        <w:rPr>
          <w:rFonts w:ascii="Times New Roman" w:hAnsi="Times New Roman"/>
          <w:lang w:val="en-US"/>
        </w:rPr>
        <w:t xml:space="preserve">they </w:t>
      </w:r>
      <w:r w:rsidRPr="00120F0D">
        <w:rPr>
          <w:rFonts w:ascii="Times New Roman" w:hAnsi="Times New Roman"/>
          <w:lang w:val="en-US"/>
        </w:rPr>
        <w:t>simulate confidence intervals that can be used for statistical testing.</w:t>
      </w:r>
      <w:r w:rsidR="003C2DC5" w:rsidRPr="00120F0D">
        <w:rPr>
          <w:rFonts w:ascii="Times New Roman" w:hAnsi="Times New Roman"/>
          <w:lang w:val="en-US"/>
        </w:rPr>
        <w:t xml:space="preserve"> </w:t>
      </w:r>
    </w:p>
    <w:p w14:paraId="627BAC62" w14:textId="6578FB45" w:rsidR="004A652B" w:rsidRPr="00120F0D" w:rsidRDefault="00707A4D" w:rsidP="00675CB9">
      <w:pPr>
        <w:spacing w:line="480" w:lineRule="auto"/>
        <w:jc w:val="both"/>
        <w:rPr>
          <w:rFonts w:ascii="Times New Roman" w:hAnsi="Times New Roman"/>
          <w:lang w:val="en-US"/>
        </w:rPr>
      </w:pPr>
      <w:r w:rsidRPr="00120F0D">
        <w:rPr>
          <w:rFonts w:ascii="Times New Roman" w:hAnsi="Times New Roman"/>
          <w:lang w:val="en-US"/>
        </w:rPr>
        <w:t xml:space="preserve">Mori </w:t>
      </w:r>
      <w:r w:rsidRPr="00120F0D">
        <w:rPr>
          <w:rFonts w:ascii="Times New Roman" w:hAnsi="Times New Roman"/>
          <w:i/>
          <w:lang w:val="en-US"/>
        </w:rPr>
        <w:t>et al.</w:t>
      </w:r>
      <w:r w:rsidRPr="00120F0D">
        <w:rPr>
          <w:rFonts w:ascii="Times New Roman" w:hAnsi="Times New Roman"/>
          <w:lang w:val="en-US"/>
        </w:rPr>
        <w:t xml:space="preserve"> </w:t>
      </w:r>
      <w:r w:rsidR="006D7AE5">
        <w:rPr>
          <w:rFonts w:ascii="Times New Roman" w:hAnsi="Times New Roman"/>
          <w:lang w:val="en-US"/>
        </w:rPr>
        <w:t>(</w:t>
      </w:r>
      <w:r w:rsidRPr="00120F0D">
        <w:rPr>
          <w:rFonts w:ascii="Times New Roman" w:hAnsi="Times New Roman"/>
          <w:lang w:val="en-US"/>
        </w:rPr>
        <w:t>2005</w:t>
      </w:r>
      <w:r w:rsidR="006D7AE5">
        <w:rPr>
          <w:rFonts w:ascii="Times New Roman" w:hAnsi="Times New Roman"/>
          <w:lang w:val="en-US"/>
        </w:rPr>
        <w:t>)</w:t>
      </w:r>
      <w:r w:rsidRPr="00120F0D">
        <w:rPr>
          <w:rFonts w:ascii="Times New Roman" w:hAnsi="Times New Roman"/>
          <w:lang w:val="en-US"/>
        </w:rPr>
        <w:t xml:space="preserve"> </w:t>
      </w:r>
      <w:r w:rsidR="006D7AE5">
        <w:rPr>
          <w:rFonts w:ascii="Times New Roman" w:hAnsi="Times New Roman"/>
          <w:lang w:val="en-US"/>
        </w:rPr>
        <w:t xml:space="preserve">have </w:t>
      </w:r>
      <w:r w:rsidR="00675CB9" w:rsidRPr="00120F0D">
        <w:rPr>
          <w:rFonts w:ascii="Times New Roman" w:hAnsi="Times New Roman"/>
          <w:lang w:val="en-US"/>
        </w:rPr>
        <w:t xml:space="preserve">established </w:t>
      </w:r>
      <w:r w:rsidR="006D7AE5">
        <w:rPr>
          <w:rFonts w:ascii="Times New Roman" w:hAnsi="Times New Roman"/>
          <w:lang w:val="en-US"/>
        </w:rPr>
        <w:t>an</w:t>
      </w:r>
      <w:r w:rsidR="00675CB9" w:rsidRPr="00120F0D">
        <w:rPr>
          <w:rFonts w:ascii="Times New Roman" w:hAnsi="Times New Roman"/>
          <w:lang w:val="en-US"/>
        </w:rPr>
        <w:t xml:space="preserve"> </w:t>
      </w:r>
      <w:r w:rsidR="0057188D">
        <w:rPr>
          <w:rFonts w:ascii="Times New Roman" w:hAnsi="Times New Roman"/>
          <w:lang w:val="en-US"/>
        </w:rPr>
        <w:t xml:space="preserve">entropy </w:t>
      </w:r>
      <w:proofErr w:type="gramStart"/>
      <w:r w:rsidR="00675CB9" w:rsidRPr="00120F0D">
        <w:rPr>
          <w:rFonts w:ascii="Times New Roman" w:hAnsi="Times New Roman"/>
          <w:lang w:val="en-US"/>
        </w:rPr>
        <w:t>index</w:t>
      </w:r>
      <w:r w:rsidRPr="00120F0D">
        <w:rPr>
          <w:rFonts w:ascii="Times New Roman" w:hAnsi="Times New Roman"/>
          <w:lang w:val="en-US"/>
        </w:rPr>
        <w:t xml:space="preserve"> </w:t>
      </w:r>
      <w:r w:rsidR="006D7AE5">
        <w:rPr>
          <w:rFonts w:ascii="Times New Roman" w:hAnsi="Times New Roman"/>
          <w:lang w:val="en-US"/>
        </w:rPr>
        <w:t>which</w:t>
      </w:r>
      <w:proofErr w:type="gramEnd"/>
      <w:r w:rsidR="006D7AE5">
        <w:rPr>
          <w:rFonts w:ascii="Times New Roman" w:hAnsi="Times New Roman"/>
          <w:lang w:val="en-US"/>
        </w:rPr>
        <w:t xml:space="preserve"> </w:t>
      </w:r>
      <w:r w:rsidR="00675CB9" w:rsidRPr="00120F0D">
        <w:rPr>
          <w:rFonts w:ascii="Times New Roman" w:hAnsi="Times New Roman"/>
          <w:lang w:val="en-US"/>
        </w:rPr>
        <w:t xml:space="preserve">is </w:t>
      </w:r>
      <w:r w:rsidR="00F524C6" w:rsidRPr="00120F0D">
        <w:rPr>
          <w:rFonts w:ascii="Times New Roman" w:hAnsi="Times New Roman"/>
          <w:lang w:val="en-US"/>
        </w:rPr>
        <w:t>asymptotically</w:t>
      </w:r>
      <w:r w:rsidR="00675CB9" w:rsidRPr="00120F0D">
        <w:rPr>
          <w:rFonts w:ascii="Times New Roman" w:hAnsi="Times New Roman"/>
          <w:lang w:val="en-US"/>
        </w:rPr>
        <w:t xml:space="preserve"> normally-distributed</w:t>
      </w:r>
      <w:r w:rsidR="006D7AE5">
        <w:rPr>
          <w:rFonts w:ascii="Times New Roman" w:hAnsi="Times New Roman"/>
          <w:lang w:val="en-US"/>
        </w:rPr>
        <w:t xml:space="preserve"> and</w:t>
      </w:r>
      <w:r w:rsidR="00675CB9" w:rsidRPr="00120F0D">
        <w:rPr>
          <w:rFonts w:ascii="Times New Roman" w:hAnsi="Times New Roman"/>
          <w:lang w:val="en-US"/>
        </w:rPr>
        <w:t xml:space="preserve"> derive</w:t>
      </w:r>
      <w:r w:rsidR="006D7AE5">
        <w:rPr>
          <w:rFonts w:ascii="Times New Roman" w:hAnsi="Times New Roman"/>
          <w:lang w:val="en-US"/>
        </w:rPr>
        <w:t>d</w:t>
      </w:r>
      <w:r w:rsidR="00675CB9" w:rsidRPr="00120F0D">
        <w:rPr>
          <w:rFonts w:ascii="Times New Roman" w:hAnsi="Times New Roman"/>
          <w:lang w:val="en-US"/>
        </w:rPr>
        <w:t xml:space="preserve"> the confidence interval for the true level of localization. T</w:t>
      </w:r>
      <w:r w:rsidRPr="00120F0D">
        <w:rPr>
          <w:rFonts w:ascii="Times New Roman" w:hAnsi="Times New Roman"/>
          <w:lang w:val="en-US"/>
        </w:rPr>
        <w:t>hey</w:t>
      </w:r>
      <w:r w:rsidR="00675CB9" w:rsidRPr="00120F0D">
        <w:rPr>
          <w:rFonts w:ascii="Times New Roman" w:hAnsi="Times New Roman"/>
          <w:lang w:val="en-US"/>
        </w:rPr>
        <w:t xml:space="preserve"> </w:t>
      </w:r>
      <w:r w:rsidRPr="00120F0D">
        <w:rPr>
          <w:rFonts w:ascii="Times New Roman" w:hAnsi="Times New Roman"/>
          <w:lang w:val="en-US"/>
        </w:rPr>
        <w:t>used Monte</w:t>
      </w:r>
      <w:r w:rsidR="00790A5E">
        <w:rPr>
          <w:rFonts w:ascii="Times New Roman" w:hAnsi="Times New Roman"/>
          <w:lang w:val="en-US"/>
        </w:rPr>
        <w:t xml:space="preserve"> </w:t>
      </w:r>
      <w:r w:rsidRPr="00120F0D">
        <w:rPr>
          <w:rFonts w:ascii="Times New Roman" w:hAnsi="Times New Roman"/>
          <w:lang w:val="en-US"/>
        </w:rPr>
        <w:t xml:space="preserve">Carlo simulations to check their test with small samples. </w:t>
      </w:r>
      <w:r w:rsidR="0087294D" w:rsidRPr="00120F0D">
        <w:rPr>
          <w:rFonts w:ascii="Times New Roman" w:hAnsi="Times New Roman"/>
          <w:lang w:val="en-US"/>
        </w:rPr>
        <w:t>T</w:t>
      </w:r>
      <w:r w:rsidRPr="00120F0D">
        <w:rPr>
          <w:rFonts w:ascii="Times New Roman" w:hAnsi="Times New Roman"/>
          <w:lang w:val="en-US"/>
        </w:rPr>
        <w:t>heir null hypothesis is different from th</w:t>
      </w:r>
      <w:r w:rsidR="00CA3AEC" w:rsidRPr="00120F0D">
        <w:rPr>
          <w:rFonts w:ascii="Times New Roman" w:hAnsi="Times New Roman"/>
          <w:lang w:val="en-US"/>
        </w:rPr>
        <w:t>e one</w:t>
      </w:r>
      <w:r w:rsidR="0087294D" w:rsidRPr="00120F0D">
        <w:rPr>
          <w:rFonts w:ascii="Times New Roman" w:hAnsi="Times New Roman"/>
          <w:lang w:val="en-US"/>
        </w:rPr>
        <w:t xml:space="preserve"> adopted</w:t>
      </w:r>
      <w:r w:rsidRPr="00120F0D">
        <w:rPr>
          <w:rFonts w:ascii="Times New Roman" w:hAnsi="Times New Roman"/>
          <w:lang w:val="en-US"/>
        </w:rPr>
        <w:t xml:space="preserve"> </w:t>
      </w:r>
      <w:r w:rsidR="0087294D" w:rsidRPr="00120F0D">
        <w:rPr>
          <w:rFonts w:ascii="Times New Roman" w:hAnsi="Times New Roman"/>
          <w:lang w:val="en-US"/>
        </w:rPr>
        <w:t xml:space="preserve">in </w:t>
      </w:r>
      <w:r w:rsidRPr="00120F0D">
        <w:rPr>
          <w:rFonts w:ascii="Times New Roman" w:hAnsi="Times New Roman"/>
          <w:lang w:val="en-US"/>
        </w:rPr>
        <w:t>this paper</w:t>
      </w:r>
      <w:r w:rsidR="0087294D" w:rsidRPr="00120F0D">
        <w:rPr>
          <w:rFonts w:ascii="Times New Roman" w:hAnsi="Times New Roman"/>
          <w:lang w:val="en-US"/>
        </w:rPr>
        <w:t>. More specifically,</w:t>
      </w:r>
      <w:r w:rsidRPr="00120F0D">
        <w:rPr>
          <w:rFonts w:ascii="Times New Roman" w:hAnsi="Times New Roman"/>
          <w:lang w:val="en-US"/>
        </w:rPr>
        <w:t xml:space="preserve"> the</w:t>
      </w:r>
      <w:r w:rsidR="0087294D" w:rsidRPr="00120F0D">
        <w:rPr>
          <w:rFonts w:ascii="Times New Roman" w:hAnsi="Times New Roman"/>
          <w:lang w:val="en-US"/>
        </w:rPr>
        <w:t>ir</w:t>
      </w:r>
      <w:r w:rsidRPr="00120F0D">
        <w:rPr>
          <w:rFonts w:ascii="Times New Roman" w:hAnsi="Times New Roman"/>
          <w:lang w:val="en-US"/>
        </w:rPr>
        <w:t xml:space="preserve"> counterfactual distribution follows the productive area of regions</w:t>
      </w:r>
      <w:r w:rsidR="0087294D" w:rsidRPr="00120F0D">
        <w:rPr>
          <w:rFonts w:ascii="Times New Roman" w:hAnsi="Times New Roman"/>
          <w:lang w:val="en-US"/>
        </w:rPr>
        <w:t xml:space="preserve"> and correspond</w:t>
      </w:r>
      <w:r w:rsidR="00CA3AEC" w:rsidRPr="00120F0D">
        <w:rPr>
          <w:rFonts w:ascii="Times New Roman" w:hAnsi="Times New Roman"/>
          <w:lang w:val="en-US"/>
        </w:rPr>
        <w:t>s</w:t>
      </w:r>
      <w:r w:rsidR="0087294D" w:rsidRPr="00120F0D">
        <w:rPr>
          <w:rFonts w:ascii="Times New Roman" w:hAnsi="Times New Roman"/>
          <w:lang w:val="en-US"/>
        </w:rPr>
        <w:t xml:space="preserve"> to the reference distribution included in the computation of the index</w:t>
      </w:r>
      <w:r w:rsidR="00D72FF9" w:rsidRPr="00120F0D">
        <w:rPr>
          <w:rFonts w:ascii="Times New Roman" w:hAnsi="Times New Roman"/>
          <w:lang w:val="en-US"/>
        </w:rPr>
        <w:t xml:space="preserve">. </w:t>
      </w:r>
      <w:r w:rsidRPr="00120F0D">
        <w:rPr>
          <w:rFonts w:ascii="Times New Roman" w:hAnsi="Times New Roman"/>
          <w:lang w:val="en-US"/>
        </w:rPr>
        <w:t xml:space="preserve">They formulated a probability model of complete spatial dispersion and then consider the deviations of each distribution from this benchmark model. They postulated that a completely dispersed </w:t>
      </w:r>
      <w:r w:rsidRPr="00120F0D">
        <w:rPr>
          <w:rFonts w:ascii="Times New Roman" w:hAnsi="Times New Roman"/>
          <w:lang w:val="en-US"/>
        </w:rPr>
        <w:lastRenderedPageBreak/>
        <w:t xml:space="preserve">distribution for </w:t>
      </w:r>
      <w:r w:rsidR="006D7AE5">
        <w:rPr>
          <w:rFonts w:ascii="Times New Roman" w:hAnsi="Times New Roman"/>
          <w:lang w:val="en-US"/>
        </w:rPr>
        <w:t xml:space="preserve">an </w:t>
      </w:r>
      <w:r w:rsidRPr="00120F0D">
        <w:rPr>
          <w:rFonts w:ascii="Times New Roman" w:hAnsi="Times New Roman"/>
          <w:lang w:val="en-US"/>
        </w:rPr>
        <w:t xml:space="preserve">industry is one in which randomly sampled establishments are equally likely to be located anywhere within </w:t>
      </w:r>
      <w:r w:rsidR="006D7AE5">
        <w:rPr>
          <w:rFonts w:ascii="Times New Roman" w:hAnsi="Times New Roman"/>
          <w:lang w:val="en-US"/>
        </w:rPr>
        <w:t>a given</w:t>
      </w:r>
      <w:r w:rsidRPr="00120F0D">
        <w:rPr>
          <w:rFonts w:ascii="Times New Roman" w:hAnsi="Times New Roman"/>
          <w:lang w:val="en-US"/>
        </w:rPr>
        <w:t xml:space="preserve"> economic area. The authors also recognize</w:t>
      </w:r>
      <w:r w:rsidR="006D7AE5">
        <w:rPr>
          <w:rFonts w:ascii="Times New Roman" w:hAnsi="Times New Roman"/>
          <w:lang w:val="en-US"/>
        </w:rPr>
        <w:t>d</w:t>
      </w:r>
      <w:r w:rsidRPr="00120F0D">
        <w:rPr>
          <w:rFonts w:ascii="Times New Roman" w:hAnsi="Times New Roman"/>
          <w:lang w:val="en-US"/>
        </w:rPr>
        <w:t xml:space="preserve"> </w:t>
      </w:r>
      <w:r w:rsidR="00675CB9" w:rsidRPr="00120F0D">
        <w:rPr>
          <w:rFonts w:ascii="Times New Roman" w:hAnsi="Times New Roman"/>
          <w:lang w:val="en-US"/>
        </w:rPr>
        <w:t xml:space="preserve">the possibility to adopt </w:t>
      </w:r>
      <w:r w:rsidRPr="00120F0D">
        <w:rPr>
          <w:rFonts w:ascii="Times New Roman" w:hAnsi="Times New Roman"/>
          <w:lang w:val="en-US"/>
        </w:rPr>
        <w:t xml:space="preserve">alternative choices for the reference distribution, such as </w:t>
      </w:r>
      <w:r w:rsidR="00F45BCB" w:rsidRPr="00120F0D">
        <w:rPr>
          <w:rFonts w:ascii="Times New Roman" w:hAnsi="Times New Roman"/>
          <w:lang w:val="en-US"/>
        </w:rPr>
        <w:t>employ</w:t>
      </w:r>
      <w:r w:rsidR="00F45BCB">
        <w:rPr>
          <w:rFonts w:ascii="Times New Roman" w:hAnsi="Times New Roman"/>
          <w:lang w:val="en-US"/>
        </w:rPr>
        <w:t>ees’</w:t>
      </w:r>
      <w:r w:rsidR="008A0E87" w:rsidRPr="00120F0D">
        <w:rPr>
          <w:rFonts w:ascii="Times New Roman" w:hAnsi="Times New Roman"/>
          <w:lang w:val="en-US"/>
        </w:rPr>
        <w:t xml:space="preserve"> </w:t>
      </w:r>
      <w:r w:rsidRPr="00120F0D">
        <w:rPr>
          <w:rFonts w:ascii="Times New Roman" w:hAnsi="Times New Roman"/>
          <w:lang w:val="en-US"/>
        </w:rPr>
        <w:t>levels for all industries</w:t>
      </w:r>
      <w:r w:rsidR="00F048C1" w:rsidRPr="00120F0D">
        <w:rPr>
          <w:rFonts w:ascii="Times New Roman" w:hAnsi="Times New Roman"/>
          <w:lang w:val="en-US"/>
        </w:rPr>
        <w:t>.</w:t>
      </w:r>
    </w:p>
    <w:p w14:paraId="00E3C0A4" w14:textId="697DD9DE" w:rsidR="00E779E9" w:rsidRPr="00120F0D" w:rsidRDefault="00E779E9" w:rsidP="007F4EAE">
      <w:pPr>
        <w:spacing w:line="480" w:lineRule="auto"/>
        <w:jc w:val="both"/>
        <w:rPr>
          <w:rFonts w:ascii="Times New Roman" w:hAnsi="Times New Roman"/>
          <w:lang w:val="en-US"/>
        </w:rPr>
      </w:pPr>
      <w:r w:rsidRPr="00120F0D">
        <w:rPr>
          <w:rFonts w:ascii="Times New Roman" w:hAnsi="Times New Roman"/>
          <w:lang w:val="en-US"/>
        </w:rPr>
        <w:t>The identification of a null hypothesis and the procedure for testing significant localization is also a main feature of the distance-based approach, eve</w:t>
      </w:r>
      <w:r w:rsidR="006D7AE5">
        <w:rPr>
          <w:rFonts w:ascii="Times New Roman" w:hAnsi="Times New Roman"/>
          <w:lang w:val="en-US"/>
        </w:rPr>
        <w:t>n</w:t>
      </w:r>
      <w:r w:rsidRPr="00120F0D">
        <w:rPr>
          <w:rFonts w:ascii="Times New Roman" w:hAnsi="Times New Roman"/>
          <w:lang w:val="en-US"/>
        </w:rPr>
        <w:t xml:space="preserve"> since the original contributions </w:t>
      </w:r>
      <w:r w:rsidR="006D7AE5">
        <w:rPr>
          <w:rFonts w:ascii="Times New Roman" w:hAnsi="Times New Roman"/>
          <w:lang w:val="en-US"/>
        </w:rPr>
        <w:t>on the evaluation of</w:t>
      </w:r>
      <w:r w:rsidRPr="00120F0D">
        <w:rPr>
          <w:rFonts w:ascii="Times New Roman" w:hAnsi="Times New Roman"/>
          <w:lang w:val="en-US"/>
        </w:rPr>
        <w:t xml:space="preserve"> the spatial distribution of firms in France </w:t>
      </w:r>
      <w:r w:rsidR="006D7AE5" w:rsidRPr="00120F0D">
        <w:rPr>
          <w:rFonts w:ascii="Times New Roman" w:hAnsi="Times New Roman"/>
          <w:lang w:val="en-US"/>
        </w:rPr>
        <w:t>(Marcon and Puech, 2003</w:t>
      </w:r>
      <w:r w:rsidR="006D7AE5">
        <w:rPr>
          <w:rFonts w:ascii="Times New Roman" w:hAnsi="Times New Roman"/>
          <w:lang w:val="en-US"/>
        </w:rPr>
        <w:t>) and United Kingdom (</w:t>
      </w:r>
      <w:proofErr w:type="spellStart"/>
      <w:r w:rsidRPr="00120F0D">
        <w:rPr>
          <w:rFonts w:ascii="Times New Roman" w:hAnsi="Times New Roman"/>
          <w:lang w:val="en-US"/>
        </w:rPr>
        <w:t>Duranton</w:t>
      </w:r>
      <w:proofErr w:type="spellEnd"/>
      <w:r w:rsidRPr="00120F0D">
        <w:rPr>
          <w:rFonts w:ascii="Times New Roman" w:hAnsi="Times New Roman"/>
          <w:lang w:val="en-US"/>
        </w:rPr>
        <w:t xml:space="preserve"> and Overman, 2005). </w:t>
      </w:r>
      <w:r w:rsidR="007D342D" w:rsidRPr="00120F0D">
        <w:rPr>
          <w:rFonts w:ascii="Times New Roman" w:hAnsi="Times New Roman"/>
          <w:lang w:val="en-US"/>
        </w:rPr>
        <w:t xml:space="preserve">In </w:t>
      </w:r>
      <w:r w:rsidR="006D7AE5">
        <w:rPr>
          <w:rFonts w:ascii="Times New Roman" w:hAnsi="Times New Roman"/>
          <w:lang w:val="en-US"/>
        </w:rPr>
        <w:t>such</w:t>
      </w:r>
      <w:r w:rsidR="007D342D" w:rsidRPr="00120F0D">
        <w:rPr>
          <w:rFonts w:ascii="Times New Roman" w:hAnsi="Times New Roman"/>
          <w:lang w:val="en-US"/>
        </w:rPr>
        <w:t xml:space="preserve"> contributions</w:t>
      </w:r>
      <w:r w:rsidRPr="00120F0D">
        <w:rPr>
          <w:rFonts w:ascii="Times New Roman" w:hAnsi="Times New Roman"/>
          <w:lang w:val="en-US"/>
        </w:rPr>
        <w:t xml:space="preserve">, the significant spatial concentration of an industry was </w:t>
      </w:r>
      <w:r w:rsidR="007D342D" w:rsidRPr="00120F0D">
        <w:rPr>
          <w:rFonts w:ascii="Times New Roman" w:hAnsi="Times New Roman"/>
          <w:lang w:val="en-US"/>
        </w:rPr>
        <w:t>denoted</w:t>
      </w:r>
      <w:r w:rsidRPr="00120F0D">
        <w:rPr>
          <w:rFonts w:ascii="Times New Roman" w:hAnsi="Times New Roman"/>
          <w:lang w:val="en-US"/>
        </w:rPr>
        <w:t xml:space="preserve"> </w:t>
      </w:r>
      <w:r w:rsidR="00FB44C1" w:rsidRPr="00120F0D">
        <w:rPr>
          <w:rFonts w:ascii="Times New Roman" w:hAnsi="Times New Roman"/>
          <w:lang w:val="en-US"/>
        </w:rPr>
        <w:t>as</w:t>
      </w:r>
      <w:r w:rsidR="007D342D" w:rsidRPr="00120F0D">
        <w:rPr>
          <w:rFonts w:ascii="Times New Roman" w:hAnsi="Times New Roman"/>
          <w:lang w:val="en-US"/>
        </w:rPr>
        <w:t xml:space="preserve"> being</w:t>
      </w:r>
      <w:r w:rsidR="00FB44C1" w:rsidRPr="00120F0D">
        <w:rPr>
          <w:rFonts w:ascii="Times New Roman" w:hAnsi="Times New Roman"/>
          <w:lang w:val="en-US"/>
        </w:rPr>
        <w:t xml:space="preserve"> </w:t>
      </w:r>
      <w:r w:rsidRPr="00120F0D">
        <w:rPr>
          <w:rFonts w:ascii="Times New Roman" w:hAnsi="Times New Roman"/>
          <w:lang w:val="en-US"/>
        </w:rPr>
        <w:t xml:space="preserve">a departure from a theoretical random distribution of the </w:t>
      </w:r>
      <w:r w:rsidR="006D7AE5">
        <w:rPr>
          <w:rFonts w:ascii="Times New Roman" w:hAnsi="Times New Roman"/>
          <w:lang w:val="en-US"/>
        </w:rPr>
        <w:t>same industry. Specifically, Marcon and Puech</w:t>
      </w:r>
      <w:r w:rsidRPr="00120F0D">
        <w:rPr>
          <w:rFonts w:ascii="Times New Roman" w:hAnsi="Times New Roman"/>
          <w:lang w:val="en-US"/>
        </w:rPr>
        <w:t xml:space="preserve"> </w:t>
      </w:r>
      <w:r w:rsidR="006D7AE5">
        <w:rPr>
          <w:rFonts w:ascii="Times New Roman" w:hAnsi="Times New Roman"/>
          <w:lang w:val="en-US"/>
        </w:rPr>
        <w:t>(</w:t>
      </w:r>
      <w:r w:rsidRPr="00120F0D">
        <w:rPr>
          <w:rFonts w:ascii="Times New Roman" w:hAnsi="Times New Roman"/>
          <w:lang w:val="en-US"/>
        </w:rPr>
        <w:t>2003</w:t>
      </w:r>
      <w:r w:rsidR="006D7AE5">
        <w:rPr>
          <w:rFonts w:ascii="Times New Roman" w:hAnsi="Times New Roman"/>
          <w:lang w:val="en-US"/>
        </w:rPr>
        <w:t>)</w:t>
      </w:r>
      <w:r w:rsidRPr="00120F0D">
        <w:rPr>
          <w:rFonts w:ascii="Times New Roman" w:hAnsi="Times New Roman"/>
          <w:lang w:val="en-US"/>
        </w:rPr>
        <w:t xml:space="preserve"> construct</w:t>
      </w:r>
      <w:r w:rsidR="006D7AE5">
        <w:rPr>
          <w:rFonts w:ascii="Times New Roman" w:hAnsi="Times New Roman"/>
          <w:lang w:val="en-US"/>
        </w:rPr>
        <w:t>ed</w:t>
      </w:r>
      <w:r w:rsidRPr="00120F0D">
        <w:rPr>
          <w:rFonts w:ascii="Times New Roman" w:hAnsi="Times New Roman"/>
          <w:lang w:val="en-US"/>
        </w:rPr>
        <w:t xml:space="preserve"> the counterfactual with </w:t>
      </w:r>
      <w:r w:rsidR="007D342D" w:rsidRPr="00120F0D">
        <w:rPr>
          <w:rFonts w:ascii="Times New Roman" w:hAnsi="Times New Roman"/>
          <w:lang w:val="en-US"/>
        </w:rPr>
        <w:t xml:space="preserve">a </w:t>
      </w:r>
      <w:r w:rsidRPr="00120F0D">
        <w:rPr>
          <w:rFonts w:ascii="Times New Roman" w:hAnsi="Times New Roman"/>
          <w:lang w:val="en-US"/>
        </w:rPr>
        <w:t xml:space="preserve">no-localization </w:t>
      </w:r>
      <w:r w:rsidR="007D342D" w:rsidRPr="00120F0D">
        <w:rPr>
          <w:rFonts w:ascii="Times New Roman" w:hAnsi="Times New Roman"/>
          <w:lang w:val="en-US"/>
        </w:rPr>
        <w:t>scenario</w:t>
      </w:r>
      <w:r w:rsidR="006D7AE5">
        <w:rPr>
          <w:rFonts w:ascii="Times New Roman" w:hAnsi="Times New Roman"/>
          <w:lang w:val="en-US"/>
        </w:rPr>
        <w:t>,</w:t>
      </w:r>
      <w:r w:rsidR="007D342D" w:rsidRPr="00120F0D">
        <w:rPr>
          <w:rFonts w:ascii="Times New Roman" w:hAnsi="Times New Roman"/>
          <w:lang w:val="en-US"/>
        </w:rPr>
        <w:t xml:space="preserve"> </w:t>
      </w:r>
      <w:r w:rsidRPr="00120F0D">
        <w:rPr>
          <w:rFonts w:ascii="Times New Roman" w:hAnsi="Times New Roman"/>
          <w:lang w:val="en-US"/>
        </w:rPr>
        <w:t xml:space="preserve">being referred to a random distribution of </w:t>
      </w:r>
      <w:r w:rsidR="00025BFC">
        <w:rPr>
          <w:rFonts w:ascii="Times New Roman" w:hAnsi="Times New Roman"/>
          <w:lang w:val="en-US"/>
        </w:rPr>
        <w:t xml:space="preserve">establishments from </w:t>
      </w:r>
      <w:r w:rsidRPr="00120F0D">
        <w:rPr>
          <w:rFonts w:ascii="Times New Roman" w:hAnsi="Times New Roman"/>
          <w:lang w:val="en-US"/>
        </w:rPr>
        <w:t xml:space="preserve">the same industry </w:t>
      </w:r>
      <w:r w:rsidR="00025BFC">
        <w:rPr>
          <w:rFonts w:ascii="Times New Roman" w:hAnsi="Times New Roman"/>
          <w:lang w:val="en-US"/>
        </w:rPr>
        <w:t xml:space="preserve">reshuffled </w:t>
      </w:r>
      <w:r w:rsidRPr="00120F0D">
        <w:rPr>
          <w:rFonts w:ascii="Times New Roman" w:hAnsi="Times New Roman"/>
          <w:lang w:val="en-US"/>
        </w:rPr>
        <w:t>in all the</w:t>
      </w:r>
      <w:r w:rsidR="006D7AE5">
        <w:rPr>
          <w:rFonts w:ascii="Times New Roman" w:hAnsi="Times New Roman"/>
          <w:lang w:val="en-US"/>
        </w:rPr>
        <w:t xml:space="preserve"> sites occupied by the industry;</w:t>
      </w:r>
      <w:r w:rsidRPr="00120F0D">
        <w:rPr>
          <w:rFonts w:ascii="Times New Roman" w:hAnsi="Times New Roman"/>
          <w:lang w:val="en-US"/>
        </w:rPr>
        <w:t xml:space="preserve"> </w:t>
      </w:r>
      <w:proofErr w:type="spellStart"/>
      <w:r w:rsidR="006D7AE5">
        <w:rPr>
          <w:rFonts w:ascii="Times New Roman" w:hAnsi="Times New Roman"/>
          <w:lang w:val="en-US"/>
        </w:rPr>
        <w:t>Duranton</w:t>
      </w:r>
      <w:proofErr w:type="spellEnd"/>
      <w:r w:rsidR="006D7AE5">
        <w:rPr>
          <w:rFonts w:ascii="Times New Roman" w:hAnsi="Times New Roman"/>
          <w:lang w:val="en-US"/>
        </w:rPr>
        <w:t xml:space="preserve"> and Overman (</w:t>
      </w:r>
      <w:r w:rsidRPr="00120F0D">
        <w:rPr>
          <w:rFonts w:ascii="Times New Roman" w:hAnsi="Times New Roman"/>
          <w:lang w:val="en-US"/>
        </w:rPr>
        <w:t>2005</w:t>
      </w:r>
      <w:r w:rsidR="006D7AE5">
        <w:rPr>
          <w:rFonts w:ascii="Times New Roman" w:hAnsi="Times New Roman"/>
          <w:lang w:val="en-US"/>
        </w:rPr>
        <w:t>)</w:t>
      </w:r>
      <w:r w:rsidRPr="00120F0D">
        <w:rPr>
          <w:rFonts w:ascii="Times New Roman" w:hAnsi="Times New Roman"/>
          <w:lang w:val="en-US"/>
        </w:rPr>
        <w:t xml:space="preserve"> project</w:t>
      </w:r>
      <w:r w:rsidR="006D7AE5">
        <w:rPr>
          <w:rFonts w:ascii="Times New Roman" w:hAnsi="Times New Roman"/>
          <w:lang w:val="en-US"/>
        </w:rPr>
        <w:t>ed</w:t>
      </w:r>
      <w:r w:rsidRPr="00120F0D">
        <w:rPr>
          <w:rFonts w:ascii="Times New Roman" w:hAnsi="Times New Roman"/>
          <w:lang w:val="en-US"/>
        </w:rPr>
        <w:t xml:space="preserve"> the distribution of establishments in the industry in the wider area of all the possible locations of the manufacturing industry (the aggregate economic activity)</w:t>
      </w:r>
      <w:r w:rsidRPr="00120F0D">
        <w:rPr>
          <w:rStyle w:val="Rimandonotaapidipagina"/>
          <w:rFonts w:ascii="Times New Roman" w:hAnsi="Times New Roman"/>
          <w:lang w:val="en-US"/>
        </w:rPr>
        <w:footnoteReference w:id="2"/>
      </w:r>
      <w:r w:rsidRPr="00120F0D">
        <w:rPr>
          <w:rFonts w:ascii="Times New Roman" w:hAnsi="Times New Roman"/>
          <w:lang w:val="en-US"/>
        </w:rPr>
        <w:t xml:space="preserve">. </w:t>
      </w:r>
      <w:r w:rsidR="00902F48" w:rsidRPr="00120F0D">
        <w:rPr>
          <w:rFonts w:ascii="Times New Roman" w:hAnsi="Times New Roman"/>
          <w:lang w:val="en-US"/>
        </w:rPr>
        <w:t xml:space="preserve"> </w:t>
      </w:r>
      <w:r w:rsidRPr="00120F0D">
        <w:rPr>
          <w:rFonts w:ascii="Times New Roman" w:hAnsi="Times New Roman"/>
          <w:lang w:val="en-US"/>
        </w:rPr>
        <w:t>Following this procedure</w:t>
      </w:r>
      <w:r w:rsidR="00F341DE" w:rsidRPr="00120F0D">
        <w:rPr>
          <w:rFonts w:ascii="Times New Roman" w:hAnsi="Times New Roman"/>
          <w:lang w:val="en-US"/>
        </w:rPr>
        <w:t>,</w:t>
      </w:r>
      <w:r w:rsidRPr="00120F0D">
        <w:rPr>
          <w:rFonts w:ascii="Times New Roman" w:hAnsi="Times New Roman"/>
          <w:lang w:val="en-US"/>
        </w:rPr>
        <w:t xml:space="preserve"> manufacturing industries are detected as dispersed (at some distance) if their degree of concentration at that distance is lower than the random generated confidence interval. In this manner, spatial point patterns do not control for the distribution of the economic activity as a whole. This is the main reason why Lang </w:t>
      </w:r>
      <w:r w:rsidRPr="00120F0D">
        <w:rPr>
          <w:rFonts w:ascii="Times New Roman" w:hAnsi="Times New Roman"/>
          <w:i/>
          <w:lang w:val="en-US"/>
        </w:rPr>
        <w:t>et al.</w:t>
      </w:r>
      <w:r w:rsidR="006D7AE5">
        <w:rPr>
          <w:rFonts w:ascii="Times New Roman" w:hAnsi="Times New Roman"/>
          <w:lang w:val="en-US"/>
        </w:rPr>
        <w:t xml:space="preserve"> (</w:t>
      </w:r>
      <w:r w:rsidRPr="00120F0D">
        <w:rPr>
          <w:rFonts w:ascii="Times New Roman" w:hAnsi="Times New Roman"/>
          <w:lang w:val="en-US"/>
        </w:rPr>
        <w:t>20</w:t>
      </w:r>
      <w:r w:rsidR="00A317F7">
        <w:rPr>
          <w:rFonts w:ascii="Times New Roman" w:hAnsi="Times New Roman"/>
          <w:lang w:val="en-US"/>
        </w:rPr>
        <w:t>20</w:t>
      </w:r>
      <w:r w:rsidR="006D7AE5">
        <w:rPr>
          <w:rFonts w:ascii="Times New Roman" w:hAnsi="Times New Roman"/>
          <w:lang w:val="en-US"/>
        </w:rPr>
        <w:t>)</w:t>
      </w:r>
      <w:r w:rsidRPr="00120F0D">
        <w:rPr>
          <w:rFonts w:ascii="Times New Roman" w:hAnsi="Times New Roman"/>
          <w:lang w:val="en-US"/>
        </w:rPr>
        <w:t xml:space="preserve"> have recently introduced a relative density function.</w:t>
      </w:r>
    </w:p>
    <w:p w14:paraId="48EEC3BF" w14:textId="546CB22A" w:rsidR="00F03E6C" w:rsidRDefault="00E779E9" w:rsidP="00F03E6C">
      <w:pPr>
        <w:autoSpaceDE w:val="0"/>
        <w:autoSpaceDN w:val="0"/>
        <w:adjustRightInd w:val="0"/>
        <w:spacing w:line="480" w:lineRule="auto"/>
        <w:jc w:val="both"/>
        <w:rPr>
          <w:rFonts w:ascii="Times New Roman" w:hAnsi="Times New Roman"/>
          <w:lang w:val="en-US"/>
        </w:rPr>
      </w:pPr>
      <w:r w:rsidRPr="00120F0D">
        <w:rPr>
          <w:rFonts w:ascii="Times New Roman" w:hAnsi="Times New Roman"/>
          <w:lang w:val="en-US"/>
        </w:rPr>
        <w:t>This feature – to control for the spatial distribution of overall manufacturing</w:t>
      </w:r>
      <w:r w:rsidR="00F84C80" w:rsidRPr="00120F0D">
        <w:rPr>
          <w:rFonts w:ascii="Times New Roman" w:hAnsi="Times New Roman"/>
          <w:lang w:val="en-US"/>
        </w:rPr>
        <w:t xml:space="preserve"> or another suitable benchmark</w:t>
      </w:r>
      <w:r w:rsidRPr="00120F0D">
        <w:rPr>
          <w:rFonts w:ascii="Times New Roman" w:hAnsi="Times New Roman"/>
          <w:lang w:val="en-US"/>
        </w:rPr>
        <w:t xml:space="preserve"> - is instead typical </w:t>
      </w:r>
      <w:r w:rsidR="00093C9F">
        <w:rPr>
          <w:rFonts w:ascii="Times New Roman" w:hAnsi="Times New Roman"/>
          <w:lang w:val="en-US"/>
        </w:rPr>
        <w:t xml:space="preserve">in the construction </w:t>
      </w:r>
      <w:r w:rsidRPr="00120F0D">
        <w:rPr>
          <w:rFonts w:ascii="Times New Roman" w:hAnsi="Times New Roman"/>
          <w:lang w:val="en-US"/>
        </w:rPr>
        <w:t>of relative measures</w:t>
      </w:r>
      <w:r w:rsidR="001E1EAF" w:rsidRPr="00120F0D">
        <w:rPr>
          <w:rFonts w:ascii="Times New Roman" w:hAnsi="Times New Roman"/>
          <w:lang w:val="en-US"/>
        </w:rPr>
        <w:t xml:space="preserve">. </w:t>
      </w:r>
      <w:r w:rsidR="008C405B" w:rsidRPr="00120F0D">
        <w:rPr>
          <w:rFonts w:ascii="Times New Roman" w:hAnsi="Times New Roman"/>
          <w:lang w:val="en-US"/>
        </w:rPr>
        <w:t xml:space="preserve">Relative concentration indices </w:t>
      </w:r>
      <w:r w:rsidR="008C405B">
        <w:rPr>
          <w:rFonts w:ascii="Times New Roman" w:hAnsi="Times New Roman"/>
          <w:lang w:val="en-US"/>
        </w:rPr>
        <w:t>- like</w:t>
      </w:r>
      <w:r w:rsidR="008C405B" w:rsidRPr="00120F0D">
        <w:rPr>
          <w:rFonts w:ascii="Times New Roman" w:hAnsi="Times New Roman"/>
          <w:lang w:val="en-US"/>
        </w:rPr>
        <w:t xml:space="preserve"> the raw G-index of Ellison and </w:t>
      </w:r>
      <w:proofErr w:type="spellStart"/>
      <w:r w:rsidR="008C405B" w:rsidRPr="00120F0D">
        <w:rPr>
          <w:rFonts w:ascii="Times New Roman" w:hAnsi="Times New Roman"/>
          <w:lang w:val="en-US"/>
        </w:rPr>
        <w:t>Glaeser</w:t>
      </w:r>
      <w:proofErr w:type="spellEnd"/>
      <w:r w:rsidR="008C405B">
        <w:rPr>
          <w:rFonts w:ascii="Times New Roman" w:hAnsi="Times New Roman"/>
          <w:lang w:val="en-US"/>
        </w:rPr>
        <w:t xml:space="preserve"> and relative entropies-</w:t>
      </w:r>
      <w:r w:rsidR="008C405B" w:rsidRPr="00120F0D">
        <w:rPr>
          <w:rFonts w:ascii="Times New Roman" w:hAnsi="Times New Roman"/>
          <w:lang w:val="en-US"/>
        </w:rPr>
        <w:t xml:space="preserve"> </w:t>
      </w:r>
      <w:r w:rsidR="008C405B">
        <w:rPr>
          <w:rFonts w:ascii="Times New Roman" w:hAnsi="Times New Roman"/>
          <w:lang w:val="en-US"/>
        </w:rPr>
        <w:t xml:space="preserve">usually </w:t>
      </w:r>
      <w:r w:rsidR="008C405B" w:rsidRPr="00120F0D">
        <w:rPr>
          <w:rFonts w:ascii="Times New Roman" w:hAnsi="Times New Roman"/>
          <w:lang w:val="en-US"/>
        </w:rPr>
        <w:t>measure the discrepancy between the spatial distribution of one industry and that of the aggregate activity selected as a benchmark (e.g. total manufacturing)</w:t>
      </w:r>
      <w:r w:rsidR="008C405B">
        <w:rPr>
          <w:rFonts w:ascii="Times New Roman" w:hAnsi="Times New Roman"/>
          <w:lang w:val="en-US"/>
        </w:rPr>
        <w:t xml:space="preserve"> (</w:t>
      </w:r>
      <w:proofErr w:type="spellStart"/>
      <w:r w:rsidR="008C405B" w:rsidRPr="00120F0D">
        <w:rPr>
          <w:rFonts w:ascii="Times New Roman" w:hAnsi="Times New Roman"/>
          <w:lang w:val="en-US"/>
        </w:rPr>
        <w:t>Brülhart</w:t>
      </w:r>
      <w:proofErr w:type="spellEnd"/>
      <w:r w:rsidR="008C405B" w:rsidRPr="00120F0D">
        <w:rPr>
          <w:rFonts w:ascii="Times New Roman" w:hAnsi="Times New Roman"/>
          <w:lang w:val="en-US"/>
        </w:rPr>
        <w:t xml:space="preserve"> and </w:t>
      </w:r>
      <w:proofErr w:type="spellStart"/>
      <w:r w:rsidR="008C405B" w:rsidRPr="00120F0D">
        <w:rPr>
          <w:rFonts w:ascii="Times New Roman" w:hAnsi="Times New Roman"/>
          <w:lang w:val="en-US"/>
        </w:rPr>
        <w:t>Traeger</w:t>
      </w:r>
      <w:proofErr w:type="spellEnd"/>
      <w:r w:rsidR="008C405B">
        <w:rPr>
          <w:rFonts w:ascii="Times New Roman" w:hAnsi="Times New Roman"/>
          <w:lang w:val="en-US"/>
        </w:rPr>
        <w:t xml:space="preserve">, </w:t>
      </w:r>
      <w:r w:rsidR="008C405B" w:rsidRPr="00120F0D">
        <w:rPr>
          <w:rFonts w:ascii="Times New Roman" w:hAnsi="Times New Roman"/>
          <w:lang w:val="en-US"/>
        </w:rPr>
        <w:t xml:space="preserve">2005, </w:t>
      </w:r>
      <w:proofErr w:type="spellStart"/>
      <w:r w:rsidR="008C405B" w:rsidRPr="00120F0D">
        <w:rPr>
          <w:rFonts w:ascii="Times New Roman" w:hAnsi="Times New Roman"/>
          <w:lang w:val="en-US"/>
        </w:rPr>
        <w:t>Bickenbach</w:t>
      </w:r>
      <w:proofErr w:type="spellEnd"/>
      <w:r w:rsidR="008C405B" w:rsidRPr="00120F0D">
        <w:rPr>
          <w:rFonts w:ascii="Times New Roman" w:hAnsi="Times New Roman"/>
          <w:lang w:val="en-US"/>
        </w:rPr>
        <w:t xml:space="preserve"> </w:t>
      </w:r>
      <w:r w:rsidR="008C405B" w:rsidRPr="00120F0D">
        <w:rPr>
          <w:rFonts w:ascii="Times New Roman" w:hAnsi="Times New Roman"/>
          <w:i/>
          <w:lang w:val="en-US"/>
        </w:rPr>
        <w:t>et al.</w:t>
      </w:r>
      <w:r w:rsidR="008C405B">
        <w:rPr>
          <w:rFonts w:ascii="Times New Roman" w:hAnsi="Times New Roman"/>
          <w:lang w:val="en-US"/>
        </w:rPr>
        <w:t xml:space="preserve">, </w:t>
      </w:r>
      <w:r w:rsidR="008C405B" w:rsidRPr="00120F0D">
        <w:rPr>
          <w:rFonts w:ascii="Times New Roman" w:hAnsi="Times New Roman"/>
          <w:lang w:val="en-US"/>
        </w:rPr>
        <w:t>2008</w:t>
      </w:r>
      <w:r w:rsidR="008C405B">
        <w:rPr>
          <w:rFonts w:ascii="Times New Roman" w:hAnsi="Times New Roman"/>
          <w:lang w:val="en-US"/>
        </w:rPr>
        <w:t xml:space="preserve">; </w:t>
      </w:r>
      <w:r w:rsidR="008C405B" w:rsidRPr="00120F0D">
        <w:rPr>
          <w:rFonts w:ascii="Times New Roman" w:hAnsi="Times New Roman"/>
          <w:lang w:val="en-US"/>
        </w:rPr>
        <w:t>Cutrini</w:t>
      </w:r>
      <w:r w:rsidR="008C405B">
        <w:rPr>
          <w:rFonts w:ascii="Times New Roman" w:hAnsi="Times New Roman"/>
          <w:lang w:val="en-US"/>
        </w:rPr>
        <w:t xml:space="preserve">, </w:t>
      </w:r>
      <w:r w:rsidR="008C405B" w:rsidRPr="00120F0D">
        <w:rPr>
          <w:rFonts w:ascii="Times New Roman" w:hAnsi="Times New Roman"/>
          <w:lang w:val="en-US"/>
        </w:rPr>
        <w:t>2009, 2010).</w:t>
      </w:r>
      <w:r w:rsidR="008C405B">
        <w:rPr>
          <w:rFonts w:ascii="Times New Roman" w:hAnsi="Times New Roman"/>
          <w:lang w:val="en-US"/>
        </w:rPr>
        <w:t xml:space="preserve"> However, there are further options for the reference distribution. For example</w:t>
      </w:r>
      <w:proofErr w:type="gramStart"/>
      <w:r w:rsidR="008C405B">
        <w:rPr>
          <w:rFonts w:ascii="Times New Roman" w:hAnsi="Times New Roman"/>
          <w:lang w:val="en-US"/>
        </w:rPr>
        <w:t xml:space="preserve">,  </w:t>
      </w:r>
      <w:r w:rsidRPr="00120F0D">
        <w:rPr>
          <w:rFonts w:ascii="Times New Roman" w:hAnsi="Times New Roman"/>
          <w:lang w:val="en-US"/>
        </w:rPr>
        <w:t>Mori</w:t>
      </w:r>
      <w:proofErr w:type="gramEnd"/>
      <w:r w:rsidRPr="00120F0D">
        <w:rPr>
          <w:rFonts w:ascii="Times New Roman" w:hAnsi="Times New Roman"/>
          <w:lang w:val="en-US"/>
        </w:rPr>
        <w:t xml:space="preserve"> </w:t>
      </w:r>
      <w:r w:rsidRPr="00120F0D">
        <w:rPr>
          <w:rFonts w:ascii="Times New Roman" w:hAnsi="Times New Roman"/>
          <w:i/>
          <w:lang w:val="en-US"/>
        </w:rPr>
        <w:t xml:space="preserve">et </w:t>
      </w:r>
      <w:r w:rsidRPr="00120F0D">
        <w:rPr>
          <w:rFonts w:ascii="Times New Roman" w:hAnsi="Times New Roman"/>
          <w:i/>
          <w:lang w:val="en-US"/>
        </w:rPr>
        <w:lastRenderedPageBreak/>
        <w:t>al.</w:t>
      </w:r>
      <w:r w:rsidRPr="00120F0D">
        <w:rPr>
          <w:rFonts w:ascii="Times New Roman" w:hAnsi="Times New Roman"/>
          <w:lang w:val="en-US"/>
        </w:rPr>
        <w:t xml:space="preserve"> (2005) measure</w:t>
      </w:r>
      <w:r w:rsidR="006D7AE5">
        <w:rPr>
          <w:rFonts w:ascii="Times New Roman" w:hAnsi="Times New Roman"/>
          <w:lang w:val="en-US"/>
        </w:rPr>
        <w:t>d</w:t>
      </w:r>
      <w:r w:rsidRPr="00120F0D">
        <w:rPr>
          <w:rFonts w:ascii="Times New Roman" w:hAnsi="Times New Roman"/>
          <w:lang w:val="en-US"/>
        </w:rPr>
        <w:t xml:space="preserve"> topographic concentration for Japan using a dissimilarity entropy measure </w:t>
      </w:r>
      <w:r w:rsidR="00093C9F">
        <w:rPr>
          <w:rFonts w:ascii="Times New Roman" w:hAnsi="Times New Roman"/>
          <w:lang w:val="en-US"/>
        </w:rPr>
        <w:t>-</w:t>
      </w:r>
      <w:r w:rsidRPr="00120F0D">
        <w:rPr>
          <w:rFonts w:ascii="Times New Roman" w:hAnsi="Times New Roman"/>
          <w:lang w:val="en-US"/>
        </w:rPr>
        <w:t xml:space="preserve">a discrete </w:t>
      </w:r>
      <w:proofErr w:type="spellStart"/>
      <w:r w:rsidRPr="00120F0D">
        <w:rPr>
          <w:rFonts w:ascii="Times New Roman" w:hAnsi="Times New Roman"/>
          <w:lang w:val="en-US"/>
        </w:rPr>
        <w:t>Kullback-Leibler</w:t>
      </w:r>
      <w:proofErr w:type="spellEnd"/>
      <w:r w:rsidR="009653E2" w:rsidRPr="00120F0D">
        <w:rPr>
          <w:rFonts w:ascii="Times New Roman" w:hAnsi="Times New Roman"/>
          <w:lang w:val="en-US"/>
        </w:rPr>
        <w:t xml:space="preserve"> divergence</w:t>
      </w:r>
      <w:r w:rsidR="00093C9F">
        <w:rPr>
          <w:rFonts w:ascii="Times New Roman" w:hAnsi="Times New Roman"/>
          <w:lang w:val="en-US"/>
        </w:rPr>
        <w:t>-</w:t>
      </w:r>
      <w:r w:rsidRPr="00120F0D">
        <w:rPr>
          <w:rFonts w:ascii="Times New Roman" w:hAnsi="Times New Roman"/>
          <w:lang w:val="en-US"/>
        </w:rPr>
        <w:t xml:space="preserve"> to compare the distribution of establishments over the distribution of economic land area</w:t>
      </w:r>
      <w:r w:rsidR="008C405B">
        <w:rPr>
          <w:rFonts w:ascii="Times New Roman" w:hAnsi="Times New Roman"/>
          <w:lang w:val="en-US"/>
        </w:rPr>
        <w:t>.</w:t>
      </w:r>
    </w:p>
    <w:p w14:paraId="224F22F6" w14:textId="4054521A" w:rsidR="001C4AEC" w:rsidRPr="00A6073C" w:rsidRDefault="001C4AEC" w:rsidP="00F03E6C">
      <w:pPr>
        <w:autoSpaceDE w:val="0"/>
        <w:autoSpaceDN w:val="0"/>
        <w:adjustRightInd w:val="0"/>
        <w:spacing w:line="480" w:lineRule="auto"/>
        <w:jc w:val="both"/>
        <w:rPr>
          <w:rFonts w:ascii="Times New Roman" w:hAnsi="Times New Roman"/>
          <w:lang w:val="en-US"/>
        </w:rPr>
      </w:pPr>
      <w:proofErr w:type="gramStart"/>
      <w:r w:rsidRPr="00107E38">
        <w:rPr>
          <w:rFonts w:ascii="Times New Roman" w:hAnsi="Times New Roman"/>
          <w:bCs/>
          <w:lang w:val="en-US"/>
        </w:rPr>
        <w:t xml:space="preserve">Relative entropies are becoming frequently used in the empirical assessment of specialization and concentration (e.g. </w:t>
      </w:r>
      <w:proofErr w:type="spellStart"/>
      <w:r w:rsidRPr="00107E38">
        <w:rPr>
          <w:rFonts w:ascii="Times New Roman" w:hAnsi="Times New Roman"/>
          <w:bCs/>
          <w:lang w:val="en-US"/>
        </w:rPr>
        <w:t>Bagoulla</w:t>
      </w:r>
      <w:proofErr w:type="spellEnd"/>
      <w:r w:rsidRPr="00107E38">
        <w:rPr>
          <w:rFonts w:ascii="Times New Roman" w:hAnsi="Times New Roman"/>
          <w:bCs/>
          <w:lang w:val="en-US"/>
        </w:rPr>
        <w:t xml:space="preserve"> and </w:t>
      </w:r>
      <w:proofErr w:type="spellStart"/>
      <w:r w:rsidRPr="00107E38">
        <w:rPr>
          <w:rFonts w:ascii="Times New Roman" w:hAnsi="Times New Roman"/>
          <w:bCs/>
          <w:lang w:val="en-US"/>
        </w:rPr>
        <w:t>Péridy</w:t>
      </w:r>
      <w:proofErr w:type="spellEnd"/>
      <w:r w:rsidRPr="00107E38">
        <w:rPr>
          <w:rFonts w:ascii="Times New Roman" w:hAnsi="Times New Roman"/>
          <w:bCs/>
          <w:lang w:val="en-US"/>
        </w:rPr>
        <w:t xml:space="preserve">, 2011; </w:t>
      </w:r>
      <w:proofErr w:type="spellStart"/>
      <w:r w:rsidRPr="00107E38">
        <w:rPr>
          <w:rFonts w:ascii="Times New Roman" w:hAnsi="Times New Roman"/>
          <w:bCs/>
          <w:lang w:val="en-US"/>
        </w:rPr>
        <w:t>Vechiu</w:t>
      </w:r>
      <w:proofErr w:type="spellEnd"/>
      <w:r w:rsidRPr="00107E38">
        <w:rPr>
          <w:rFonts w:ascii="Times New Roman" w:hAnsi="Times New Roman"/>
          <w:bCs/>
          <w:lang w:val="en-US"/>
        </w:rPr>
        <w:t xml:space="preserve"> and </w:t>
      </w:r>
      <w:proofErr w:type="spellStart"/>
      <w:r w:rsidRPr="00107E38">
        <w:rPr>
          <w:rFonts w:ascii="Times New Roman" w:hAnsi="Times New Roman"/>
          <w:bCs/>
          <w:lang w:val="en-US"/>
        </w:rPr>
        <w:t>Makhlouf</w:t>
      </w:r>
      <w:proofErr w:type="spellEnd"/>
      <w:r w:rsidRPr="00107E38">
        <w:rPr>
          <w:rFonts w:ascii="Times New Roman" w:hAnsi="Times New Roman"/>
          <w:bCs/>
          <w:lang w:val="en-US"/>
        </w:rPr>
        <w:t xml:space="preserve">, 2014; </w:t>
      </w:r>
      <w:proofErr w:type="spellStart"/>
      <w:r w:rsidRPr="00107E38">
        <w:rPr>
          <w:rFonts w:ascii="Times New Roman" w:hAnsi="Times New Roman"/>
          <w:bCs/>
          <w:lang w:val="en-US"/>
        </w:rPr>
        <w:t>Stierle</w:t>
      </w:r>
      <w:proofErr w:type="spellEnd"/>
      <w:r w:rsidRPr="00107E38">
        <w:rPr>
          <w:rFonts w:ascii="Times New Roman" w:hAnsi="Times New Roman"/>
          <w:bCs/>
          <w:lang w:val="en-US"/>
        </w:rPr>
        <w:t xml:space="preserve">-von Schultz and </w:t>
      </w:r>
      <w:proofErr w:type="spellStart"/>
      <w:r w:rsidRPr="00107E38">
        <w:rPr>
          <w:rFonts w:ascii="Times New Roman" w:hAnsi="Times New Roman"/>
          <w:bCs/>
          <w:lang w:val="en-US"/>
        </w:rPr>
        <w:t>Stierle</w:t>
      </w:r>
      <w:proofErr w:type="spellEnd"/>
      <w:r w:rsidRPr="00107E38">
        <w:rPr>
          <w:rFonts w:ascii="Times New Roman" w:hAnsi="Times New Roman"/>
          <w:bCs/>
          <w:lang w:val="en-US"/>
        </w:rPr>
        <w:t xml:space="preserve">, 2013, </w:t>
      </w:r>
      <w:proofErr w:type="spellStart"/>
      <w:r w:rsidRPr="00107E38">
        <w:rPr>
          <w:rFonts w:ascii="Times New Roman" w:hAnsi="Times New Roman"/>
          <w:bCs/>
          <w:lang w:val="en-US"/>
        </w:rPr>
        <w:t>Gokan</w:t>
      </w:r>
      <w:proofErr w:type="spellEnd"/>
      <w:r w:rsidRPr="00107E38">
        <w:rPr>
          <w:rFonts w:ascii="Times New Roman" w:hAnsi="Times New Roman"/>
          <w:bCs/>
          <w:lang w:val="en-US"/>
        </w:rPr>
        <w:t xml:space="preserve">, 2010, Evans, 2010 among many others), mostly because they meet desirable separability properties across geographical scales and sectors (Mori et al., 2005; </w:t>
      </w:r>
      <w:proofErr w:type="spellStart"/>
      <w:r w:rsidRPr="00107E38">
        <w:rPr>
          <w:rFonts w:ascii="Times New Roman" w:hAnsi="Times New Roman"/>
          <w:bCs/>
          <w:lang w:val="en-US"/>
        </w:rPr>
        <w:t>Brülhart</w:t>
      </w:r>
      <w:proofErr w:type="spellEnd"/>
      <w:r w:rsidRPr="00107E38">
        <w:rPr>
          <w:rFonts w:ascii="Times New Roman" w:hAnsi="Times New Roman"/>
          <w:bCs/>
          <w:lang w:val="en-US"/>
        </w:rPr>
        <w:t xml:space="preserve"> and </w:t>
      </w:r>
      <w:proofErr w:type="spellStart"/>
      <w:r w:rsidRPr="00107E38">
        <w:rPr>
          <w:rFonts w:ascii="Times New Roman" w:hAnsi="Times New Roman"/>
          <w:bCs/>
          <w:lang w:val="en-US"/>
        </w:rPr>
        <w:t>Traeger</w:t>
      </w:r>
      <w:proofErr w:type="spellEnd"/>
      <w:r w:rsidRPr="00107E38">
        <w:rPr>
          <w:rFonts w:ascii="Times New Roman" w:hAnsi="Times New Roman"/>
          <w:bCs/>
          <w:lang w:val="en-US"/>
        </w:rPr>
        <w:t xml:space="preserve">, 2005; </w:t>
      </w:r>
      <w:proofErr w:type="spellStart"/>
      <w:r w:rsidRPr="00107E38">
        <w:rPr>
          <w:rFonts w:ascii="Times New Roman" w:hAnsi="Times New Roman"/>
          <w:bCs/>
          <w:lang w:val="en-US"/>
        </w:rPr>
        <w:t>Bickenbach</w:t>
      </w:r>
      <w:proofErr w:type="spellEnd"/>
      <w:r w:rsidRPr="00107E38">
        <w:rPr>
          <w:rFonts w:ascii="Times New Roman" w:hAnsi="Times New Roman"/>
          <w:bCs/>
          <w:lang w:val="en-US"/>
        </w:rPr>
        <w:t xml:space="preserve"> and Bode, 2008, Cutrini, 2009, 2010).</w:t>
      </w:r>
      <w:proofErr w:type="gramEnd"/>
      <w:r w:rsidRPr="00107E38">
        <w:rPr>
          <w:rFonts w:ascii="Times New Roman" w:hAnsi="Times New Roman"/>
          <w:bCs/>
          <w:lang w:val="en-US"/>
        </w:rPr>
        <w:t xml:space="preserve"> These decomposition properties are particularly appealing in the case of the Theil index, since the weight used in the within-entropy does not depend on the between-entropy (Bourguignon, 1979). Hence, they allow decomposing inequality across different spatial and sectoral scale in order to identify the contributions of individual regions (sectors) to the overall localization of economic activity. Moreover, testing procedure based on bootstrap methods have been proposed to evaluate significant change over time (</w:t>
      </w:r>
      <w:proofErr w:type="spellStart"/>
      <w:r w:rsidRPr="00107E38">
        <w:rPr>
          <w:rFonts w:ascii="Times New Roman" w:hAnsi="Times New Roman"/>
          <w:bCs/>
          <w:lang w:val="en-US"/>
        </w:rPr>
        <w:t>Brülhart</w:t>
      </w:r>
      <w:proofErr w:type="spellEnd"/>
      <w:r w:rsidRPr="00107E38">
        <w:rPr>
          <w:rFonts w:ascii="Times New Roman" w:hAnsi="Times New Roman"/>
          <w:bCs/>
          <w:lang w:val="en-US"/>
        </w:rPr>
        <w:t xml:space="preserve"> and </w:t>
      </w:r>
      <w:proofErr w:type="spellStart"/>
      <w:r w:rsidRPr="00107E38">
        <w:rPr>
          <w:rFonts w:ascii="Times New Roman" w:hAnsi="Times New Roman"/>
          <w:bCs/>
          <w:lang w:val="en-US"/>
        </w:rPr>
        <w:t>Traeger</w:t>
      </w:r>
      <w:proofErr w:type="spellEnd"/>
      <w:r w:rsidRPr="00107E38">
        <w:rPr>
          <w:rFonts w:ascii="Times New Roman" w:hAnsi="Times New Roman"/>
          <w:bCs/>
          <w:lang w:val="en-US"/>
        </w:rPr>
        <w:t>, 2005). On the methodological terrain, relative entropy measures have been described on the basis of the axiomatic principles implicitly assumed by regional economists when using them to quantify the spatial concentration of a sector (continuity, symmetry, weak scale invariance, location division property, group division property, type I and type II independence) (Alonso-Villar and Del Río, 2013). Further studies investigated the discrepancy between absolute and relative entropy measures (</w:t>
      </w:r>
      <w:proofErr w:type="spellStart"/>
      <w:r w:rsidRPr="00107E38">
        <w:rPr>
          <w:rFonts w:ascii="Times New Roman" w:hAnsi="Times New Roman"/>
          <w:bCs/>
          <w:lang w:val="en-US"/>
        </w:rPr>
        <w:t>Bickenbach</w:t>
      </w:r>
      <w:proofErr w:type="spellEnd"/>
      <w:r w:rsidRPr="00107E38">
        <w:rPr>
          <w:rFonts w:ascii="Times New Roman" w:hAnsi="Times New Roman"/>
          <w:bCs/>
          <w:lang w:val="en-US"/>
        </w:rPr>
        <w:t xml:space="preserve"> et al., 2010) and their characterization in the context of a stochastic independence approach (</w:t>
      </w:r>
      <w:proofErr w:type="spellStart"/>
      <w:r w:rsidRPr="00107E38">
        <w:rPr>
          <w:rFonts w:ascii="Times New Roman" w:hAnsi="Times New Roman"/>
          <w:bCs/>
          <w:lang w:val="en-US"/>
        </w:rPr>
        <w:t>Haedo</w:t>
      </w:r>
      <w:proofErr w:type="spellEnd"/>
      <w:r w:rsidRPr="00107E38">
        <w:rPr>
          <w:rFonts w:ascii="Times New Roman" w:hAnsi="Times New Roman"/>
          <w:bCs/>
          <w:lang w:val="en-US"/>
        </w:rPr>
        <w:t xml:space="preserve"> and </w:t>
      </w:r>
      <w:proofErr w:type="spellStart"/>
      <w:r w:rsidRPr="00107E38">
        <w:rPr>
          <w:rFonts w:ascii="Times New Roman" w:hAnsi="Times New Roman"/>
          <w:bCs/>
          <w:lang w:val="en-US"/>
        </w:rPr>
        <w:t>Mouchart</w:t>
      </w:r>
      <w:proofErr w:type="spellEnd"/>
      <w:r w:rsidRPr="00107E38">
        <w:rPr>
          <w:rFonts w:ascii="Times New Roman" w:hAnsi="Times New Roman"/>
          <w:bCs/>
          <w:lang w:val="en-US"/>
        </w:rPr>
        <w:t xml:space="preserve">, 2018). </w:t>
      </w:r>
    </w:p>
    <w:p w14:paraId="30AE499F" w14:textId="1C1C0061" w:rsidR="00192362" w:rsidRPr="00120F0D" w:rsidRDefault="00A9350E" w:rsidP="009E546F">
      <w:pPr>
        <w:spacing w:line="480" w:lineRule="auto"/>
        <w:jc w:val="both"/>
        <w:rPr>
          <w:rFonts w:ascii="Times New Roman" w:hAnsi="Times New Roman"/>
          <w:lang w:val="en-US"/>
        </w:rPr>
      </w:pPr>
      <w:proofErr w:type="gramStart"/>
      <w:r w:rsidRPr="00120F0D">
        <w:rPr>
          <w:rFonts w:ascii="Times New Roman" w:hAnsi="Times New Roman"/>
          <w:lang w:val="en-US"/>
        </w:rPr>
        <w:t xml:space="preserve">To summarize, our </w:t>
      </w:r>
      <w:r w:rsidR="001D2779" w:rsidRPr="00120F0D">
        <w:rPr>
          <w:rFonts w:ascii="Times New Roman" w:hAnsi="Times New Roman"/>
          <w:lang w:val="en-US"/>
        </w:rPr>
        <w:t xml:space="preserve">contribution is in line with research on the simulation of confidence intervals for measures constructed over the discrete space such as the Ellison and </w:t>
      </w:r>
      <w:proofErr w:type="spellStart"/>
      <w:r w:rsidR="001D2779" w:rsidRPr="00120F0D">
        <w:rPr>
          <w:rFonts w:ascii="Times New Roman" w:hAnsi="Times New Roman"/>
          <w:lang w:val="en-US"/>
        </w:rPr>
        <w:t>Glaeser</w:t>
      </w:r>
      <w:proofErr w:type="spellEnd"/>
      <w:r w:rsidR="001D2779" w:rsidRPr="00120F0D">
        <w:rPr>
          <w:rFonts w:ascii="Times New Roman" w:hAnsi="Times New Roman"/>
          <w:lang w:val="en-US"/>
        </w:rPr>
        <w:t xml:space="preserve"> index to test the null hypothesis of no concentration (Cassey and Smith, 2014) and the recent advancements in the context of distance-based methods (</w:t>
      </w:r>
      <w:proofErr w:type="spellStart"/>
      <w:r w:rsidR="001D2779" w:rsidRPr="00120F0D">
        <w:rPr>
          <w:rFonts w:ascii="Times New Roman" w:hAnsi="Times New Roman"/>
          <w:lang w:val="en-US"/>
        </w:rPr>
        <w:t>Duranton</w:t>
      </w:r>
      <w:proofErr w:type="spellEnd"/>
      <w:r w:rsidR="001D2779" w:rsidRPr="00120F0D">
        <w:rPr>
          <w:rFonts w:ascii="Times New Roman" w:hAnsi="Times New Roman"/>
          <w:lang w:val="en-US"/>
        </w:rPr>
        <w:t xml:space="preserve"> and Overman, 2005; Marcon and Puech, 2003, 2010, Lang</w:t>
      </w:r>
      <w:r w:rsidR="001D2779" w:rsidRPr="00120F0D">
        <w:rPr>
          <w:rFonts w:ascii="Times New Roman" w:hAnsi="Times New Roman"/>
          <w:i/>
          <w:lang w:val="en-US"/>
        </w:rPr>
        <w:t xml:space="preserve"> et al.</w:t>
      </w:r>
      <w:r w:rsidR="001D2779" w:rsidRPr="00120F0D">
        <w:rPr>
          <w:rFonts w:ascii="Times New Roman" w:hAnsi="Times New Roman"/>
          <w:lang w:val="en-US"/>
        </w:rPr>
        <w:t>, 20</w:t>
      </w:r>
      <w:r w:rsidR="00A317F7">
        <w:rPr>
          <w:rFonts w:ascii="Times New Roman" w:hAnsi="Times New Roman"/>
          <w:lang w:val="en-US"/>
        </w:rPr>
        <w:t>20</w:t>
      </w:r>
      <w:r w:rsidR="001D2779" w:rsidRPr="00120F0D">
        <w:rPr>
          <w:rFonts w:ascii="Times New Roman" w:hAnsi="Times New Roman"/>
          <w:lang w:val="en-US"/>
        </w:rPr>
        <w:t>) in that they also seek to detect significant localization patterns, although over the continuous space.</w:t>
      </w:r>
      <w:proofErr w:type="gramEnd"/>
      <w:r w:rsidR="001D2779" w:rsidRPr="00120F0D">
        <w:rPr>
          <w:rFonts w:ascii="Times New Roman" w:hAnsi="Times New Roman"/>
          <w:lang w:val="en-US"/>
        </w:rPr>
        <w:t xml:space="preserve"> </w:t>
      </w:r>
    </w:p>
    <w:p w14:paraId="29DD155B" w14:textId="77777777" w:rsidR="00305F4F" w:rsidRPr="00120F0D" w:rsidRDefault="00305F4F" w:rsidP="009E546F">
      <w:pPr>
        <w:spacing w:line="480" w:lineRule="auto"/>
        <w:jc w:val="both"/>
        <w:rPr>
          <w:rFonts w:ascii="Times New Roman" w:hAnsi="Times New Roman"/>
          <w:lang w:val="en-US"/>
        </w:rPr>
      </w:pPr>
    </w:p>
    <w:p w14:paraId="21890B9E" w14:textId="77777777" w:rsidR="005E4FAD" w:rsidRPr="00120F0D" w:rsidRDefault="009E546F" w:rsidP="00666F55">
      <w:pPr>
        <w:pStyle w:val="Titolo2"/>
        <w:spacing w:line="480" w:lineRule="auto"/>
        <w:rPr>
          <w:color w:val="auto"/>
          <w:lang w:val="en-US"/>
        </w:rPr>
      </w:pPr>
      <w:r w:rsidRPr="00120F0D">
        <w:rPr>
          <w:color w:val="auto"/>
          <w:lang w:val="en-US"/>
        </w:rPr>
        <w:t xml:space="preserve">2. </w:t>
      </w:r>
      <w:r w:rsidR="00370D28" w:rsidRPr="00120F0D">
        <w:rPr>
          <w:color w:val="auto"/>
          <w:lang w:val="en-US"/>
        </w:rPr>
        <w:t>The</w:t>
      </w:r>
      <w:r w:rsidR="003251FF" w:rsidRPr="00120F0D">
        <w:rPr>
          <w:color w:val="auto"/>
          <w:lang w:val="en-US"/>
        </w:rPr>
        <w:t xml:space="preserve"> framework: </w:t>
      </w:r>
      <w:r w:rsidR="00370D28" w:rsidRPr="00120F0D">
        <w:rPr>
          <w:color w:val="auto"/>
          <w:lang w:val="en-US"/>
        </w:rPr>
        <w:t xml:space="preserve">some </w:t>
      </w:r>
      <w:r w:rsidR="00D236A9" w:rsidRPr="00120F0D">
        <w:rPr>
          <w:color w:val="auto"/>
          <w:lang w:val="en-US"/>
        </w:rPr>
        <w:t>essential</w:t>
      </w:r>
      <w:r w:rsidR="00370D28" w:rsidRPr="00120F0D">
        <w:rPr>
          <w:color w:val="auto"/>
          <w:lang w:val="en-US"/>
        </w:rPr>
        <w:t xml:space="preserve"> </w:t>
      </w:r>
      <w:r w:rsidR="008308F1" w:rsidRPr="00120F0D">
        <w:rPr>
          <w:color w:val="auto"/>
          <w:lang w:val="en-US"/>
        </w:rPr>
        <w:t xml:space="preserve">premises and </w:t>
      </w:r>
      <w:r w:rsidR="003251FF" w:rsidRPr="00120F0D">
        <w:rPr>
          <w:color w:val="auto"/>
          <w:lang w:val="en-US"/>
        </w:rPr>
        <w:t>clarification</w:t>
      </w:r>
      <w:r w:rsidR="00370D28" w:rsidRPr="00120F0D">
        <w:rPr>
          <w:color w:val="auto"/>
          <w:lang w:val="en-US"/>
        </w:rPr>
        <w:t>s</w:t>
      </w:r>
      <w:r w:rsidR="003251FF" w:rsidRPr="00120F0D">
        <w:rPr>
          <w:color w:val="auto"/>
          <w:lang w:val="en-US"/>
        </w:rPr>
        <w:t xml:space="preserve"> </w:t>
      </w:r>
    </w:p>
    <w:p w14:paraId="5C5FC4FF" w14:textId="77777777" w:rsidR="00B53FCE" w:rsidRPr="00F378A9" w:rsidRDefault="00B53FCE" w:rsidP="00B53FCE">
      <w:pPr>
        <w:rPr>
          <w:lang w:val="en-US"/>
        </w:rPr>
      </w:pPr>
    </w:p>
    <w:p w14:paraId="3D2FEC54" w14:textId="68FBC8CD" w:rsidR="009379C1" w:rsidRPr="00120F0D" w:rsidRDefault="00B96662" w:rsidP="00410779">
      <w:pPr>
        <w:spacing w:line="480" w:lineRule="auto"/>
        <w:jc w:val="both"/>
        <w:rPr>
          <w:rFonts w:ascii="Times New Roman" w:hAnsi="Times New Roman"/>
          <w:lang w:val="en-US"/>
        </w:rPr>
      </w:pPr>
      <w:r w:rsidRPr="00120F0D">
        <w:rPr>
          <w:rFonts w:ascii="Times New Roman" w:hAnsi="Times New Roman"/>
          <w:lang w:val="en-US"/>
        </w:rPr>
        <w:t xml:space="preserve">In this section </w:t>
      </w:r>
      <w:r w:rsidR="00537772" w:rsidRPr="00120F0D">
        <w:rPr>
          <w:rFonts w:ascii="Times New Roman" w:hAnsi="Times New Roman"/>
          <w:lang w:val="en-US"/>
        </w:rPr>
        <w:t xml:space="preserve">we </w:t>
      </w:r>
      <w:r w:rsidRPr="00120F0D">
        <w:rPr>
          <w:rFonts w:ascii="Times New Roman" w:hAnsi="Times New Roman"/>
          <w:lang w:val="en-US"/>
        </w:rPr>
        <w:t>define and characterized the</w:t>
      </w:r>
      <w:r w:rsidR="009379C1" w:rsidRPr="00120F0D">
        <w:rPr>
          <w:rFonts w:ascii="Times New Roman" w:hAnsi="Times New Roman"/>
          <w:lang w:val="en-US"/>
        </w:rPr>
        <w:t xml:space="preserve"> absolute and</w:t>
      </w:r>
      <w:r w:rsidRPr="00120F0D">
        <w:rPr>
          <w:rFonts w:ascii="Times New Roman" w:hAnsi="Times New Roman"/>
          <w:lang w:val="en-US"/>
        </w:rPr>
        <w:t xml:space="preserve"> </w:t>
      </w:r>
      <w:r w:rsidR="009E605A" w:rsidRPr="00120F0D">
        <w:rPr>
          <w:rFonts w:ascii="Times New Roman" w:hAnsi="Times New Roman"/>
          <w:lang w:val="en-US"/>
        </w:rPr>
        <w:t xml:space="preserve">relative </w:t>
      </w:r>
      <w:r w:rsidRPr="00120F0D">
        <w:rPr>
          <w:rFonts w:ascii="Times New Roman" w:hAnsi="Times New Roman"/>
          <w:lang w:val="en-US"/>
        </w:rPr>
        <w:t xml:space="preserve">entropy measures we use according to a taxonomy </w:t>
      </w:r>
      <w:r w:rsidR="007D342D" w:rsidRPr="00120F0D">
        <w:rPr>
          <w:rFonts w:ascii="Times New Roman" w:hAnsi="Times New Roman"/>
          <w:lang w:val="en-US"/>
        </w:rPr>
        <w:t xml:space="preserve">that is </w:t>
      </w:r>
      <w:r w:rsidRPr="00120F0D">
        <w:rPr>
          <w:rFonts w:ascii="Times New Roman" w:hAnsi="Times New Roman"/>
          <w:lang w:val="en-US"/>
        </w:rPr>
        <w:t>well</w:t>
      </w:r>
      <w:r w:rsidR="007D342D" w:rsidRPr="00120F0D">
        <w:rPr>
          <w:rFonts w:ascii="Times New Roman" w:hAnsi="Times New Roman"/>
          <w:lang w:val="en-US"/>
        </w:rPr>
        <w:t>-</w:t>
      </w:r>
      <w:r w:rsidRPr="00120F0D">
        <w:rPr>
          <w:rFonts w:ascii="Times New Roman" w:hAnsi="Times New Roman"/>
          <w:lang w:val="en-US"/>
        </w:rPr>
        <w:t>established in the reference literature (</w:t>
      </w:r>
      <w:proofErr w:type="spellStart"/>
      <w:r w:rsidRPr="00120F0D">
        <w:rPr>
          <w:rFonts w:ascii="Times New Roman" w:hAnsi="Times New Roman"/>
          <w:lang w:val="en-US"/>
        </w:rPr>
        <w:t>e.g</w:t>
      </w:r>
      <w:proofErr w:type="spellEnd"/>
      <w:r w:rsidRPr="00120F0D">
        <w:rPr>
          <w:rFonts w:ascii="Times New Roman" w:hAnsi="Times New Roman"/>
          <w:lang w:val="en-US"/>
        </w:rPr>
        <w:t xml:space="preserve"> </w:t>
      </w:r>
      <w:proofErr w:type="spellStart"/>
      <w:r w:rsidRPr="00120F0D">
        <w:rPr>
          <w:rFonts w:ascii="Times New Roman" w:hAnsi="Times New Roman"/>
          <w:lang w:val="en-US"/>
        </w:rPr>
        <w:t>Brülhart</w:t>
      </w:r>
      <w:proofErr w:type="spellEnd"/>
      <w:r w:rsidRPr="00120F0D">
        <w:rPr>
          <w:rFonts w:ascii="Times New Roman" w:hAnsi="Times New Roman"/>
          <w:lang w:val="en-US"/>
        </w:rPr>
        <w:t xml:space="preserve"> and </w:t>
      </w:r>
      <w:proofErr w:type="spellStart"/>
      <w:r w:rsidRPr="00120F0D">
        <w:rPr>
          <w:rFonts w:ascii="Times New Roman" w:hAnsi="Times New Roman"/>
          <w:lang w:val="en-US"/>
        </w:rPr>
        <w:t>Traeger</w:t>
      </w:r>
      <w:proofErr w:type="spellEnd"/>
      <w:r w:rsidRPr="00120F0D">
        <w:rPr>
          <w:rFonts w:ascii="Times New Roman" w:hAnsi="Times New Roman"/>
          <w:lang w:val="en-US"/>
        </w:rPr>
        <w:t xml:space="preserve">, 2005; </w:t>
      </w:r>
      <w:proofErr w:type="spellStart"/>
      <w:r w:rsidRPr="00120F0D">
        <w:rPr>
          <w:rFonts w:ascii="Times New Roman" w:hAnsi="Times New Roman"/>
          <w:lang w:val="en-US"/>
        </w:rPr>
        <w:t>Bickenbach</w:t>
      </w:r>
      <w:proofErr w:type="spellEnd"/>
      <w:r w:rsidRPr="00120F0D">
        <w:rPr>
          <w:rFonts w:ascii="Times New Roman" w:hAnsi="Times New Roman"/>
          <w:lang w:val="en-US"/>
        </w:rPr>
        <w:t xml:space="preserve"> and Bode, 2008).</w:t>
      </w:r>
      <w:r w:rsidR="004A652B" w:rsidRPr="00120F0D">
        <w:rPr>
          <w:rFonts w:ascii="Times New Roman" w:hAnsi="Times New Roman"/>
          <w:lang w:val="en-US"/>
        </w:rPr>
        <w:t xml:space="preserve"> </w:t>
      </w:r>
      <w:r w:rsidR="00410779" w:rsidRPr="00120F0D">
        <w:rPr>
          <w:rFonts w:ascii="Times New Roman" w:hAnsi="Times New Roman"/>
          <w:lang w:val="en-US"/>
        </w:rPr>
        <w:t xml:space="preserve">We use the Theil index </w:t>
      </w:r>
      <w:r w:rsidR="00CF6575" w:rsidRPr="00120F0D">
        <w:rPr>
          <w:rFonts w:ascii="Times New Roman" w:hAnsi="Times New Roman"/>
          <w:lang w:val="en-US"/>
        </w:rPr>
        <w:t xml:space="preserve">–the index belonging to the </w:t>
      </w:r>
      <w:proofErr w:type="spellStart"/>
      <w:r w:rsidR="00CF6575" w:rsidRPr="00120F0D">
        <w:rPr>
          <w:rFonts w:ascii="Times New Roman" w:hAnsi="Times New Roman"/>
          <w:lang w:val="en-US"/>
        </w:rPr>
        <w:t>Generalised</w:t>
      </w:r>
      <w:proofErr w:type="spellEnd"/>
      <w:r w:rsidR="00CF6575" w:rsidRPr="00120F0D">
        <w:rPr>
          <w:rFonts w:ascii="Times New Roman" w:hAnsi="Times New Roman"/>
          <w:lang w:val="en-US"/>
        </w:rPr>
        <w:t xml:space="preserve"> Entropy class </w:t>
      </w:r>
      <w:proofErr w:type="gramStart"/>
      <w:r w:rsidR="00CF6575" w:rsidRPr="00120F0D">
        <w:rPr>
          <w:rFonts w:ascii="Times New Roman" w:hAnsi="Times New Roman"/>
          <w:lang w:val="en-US"/>
        </w:rPr>
        <w:t>GE(</w:t>
      </w:r>
      <w:proofErr w:type="gramEnd"/>
      <w:r w:rsidR="00CF6575" w:rsidRPr="00120F0D">
        <w:rPr>
          <w:rFonts w:ascii="Times New Roman" w:hAnsi="Times New Roman"/>
          <w:lang w:val="en-US"/>
        </w:rPr>
        <w:t xml:space="preserve">a) with </w:t>
      </w:r>
      <w:proofErr w:type="spellStart"/>
      <w:r w:rsidR="00CF6575" w:rsidRPr="00120F0D">
        <w:rPr>
          <w:rFonts w:ascii="Times New Roman" w:hAnsi="Times New Roman"/>
          <w:lang w:val="en-US"/>
        </w:rPr>
        <w:t>parmeter</w:t>
      </w:r>
      <w:proofErr w:type="spellEnd"/>
      <w:r w:rsidR="00CF6575" w:rsidRPr="00120F0D">
        <w:rPr>
          <w:rFonts w:ascii="Times New Roman" w:hAnsi="Times New Roman"/>
          <w:lang w:val="en-US"/>
        </w:rPr>
        <w:t xml:space="preserve"> a=1, GE(1) </w:t>
      </w:r>
      <w:r w:rsidR="009379C1" w:rsidRPr="00120F0D">
        <w:rPr>
          <w:rFonts w:ascii="Times New Roman" w:hAnsi="Times New Roman"/>
          <w:lang w:val="en-US"/>
        </w:rPr>
        <w:t>–</w:t>
      </w:r>
      <w:r w:rsidR="009E605A" w:rsidRPr="00120F0D">
        <w:rPr>
          <w:rFonts w:ascii="Times New Roman" w:hAnsi="Times New Roman"/>
          <w:lang w:val="en-US"/>
        </w:rPr>
        <w:t xml:space="preserve"> </w:t>
      </w:r>
      <w:r w:rsidR="009379C1" w:rsidRPr="00120F0D">
        <w:rPr>
          <w:rFonts w:ascii="Times New Roman" w:hAnsi="Times New Roman"/>
          <w:lang w:val="en-US"/>
        </w:rPr>
        <w:t>in two versions.</w:t>
      </w:r>
    </w:p>
    <w:p w14:paraId="45707801" w14:textId="77345B98" w:rsidR="00996AEC" w:rsidRDefault="009379C1" w:rsidP="00410779">
      <w:pPr>
        <w:spacing w:line="480" w:lineRule="auto"/>
        <w:jc w:val="both"/>
        <w:rPr>
          <w:rFonts w:ascii="Times New Roman" w:hAnsi="Times New Roman"/>
          <w:lang w:val="en-US"/>
        </w:rPr>
      </w:pPr>
      <w:r w:rsidRPr="00120F0D">
        <w:rPr>
          <w:rFonts w:ascii="Times New Roman" w:hAnsi="Times New Roman"/>
          <w:lang w:val="en-US"/>
        </w:rPr>
        <w:t xml:space="preserve">In a first step, we focus on the spatial concentration of </w:t>
      </w:r>
      <w:r w:rsidR="00F61CC2" w:rsidRPr="00120F0D">
        <w:rPr>
          <w:rFonts w:ascii="Times New Roman" w:hAnsi="Times New Roman"/>
          <w:lang w:val="en-US"/>
        </w:rPr>
        <w:t>firms,</w:t>
      </w:r>
      <w:r w:rsidRPr="00120F0D">
        <w:rPr>
          <w:rFonts w:ascii="Times New Roman" w:hAnsi="Times New Roman"/>
          <w:lang w:val="en-US"/>
        </w:rPr>
        <w:t xml:space="preserve"> and we use </w:t>
      </w:r>
      <w:r w:rsidR="004169ED" w:rsidRPr="00120F0D">
        <w:rPr>
          <w:rFonts w:ascii="Times New Roman" w:hAnsi="Times New Roman"/>
          <w:lang w:val="en-US"/>
        </w:rPr>
        <w:t xml:space="preserve">an </w:t>
      </w:r>
      <w:r w:rsidRPr="00120F0D">
        <w:rPr>
          <w:rFonts w:ascii="Times New Roman" w:hAnsi="Times New Roman"/>
          <w:lang w:val="en-US"/>
        </w:rPr>
        <w:t xml:space="preserve">absolute </w:t>
      </w:r>
      <w:r w:rsidR="004169ED" w:rsidRPr="00120F0D">
        <w:rPr>
          <w:rFonts w:ascii="Times New Roman" w:hAnsi="Times New Roman"/>
          <w:lang w:val="en-US"/>
        </w:rPr>
        <w:t>entropy measure</w:t>
      </w:r>
      <w:r w:rsidR="00996AEC">
        <w:rPr>
          <w:rFonts w:ascii="Times New Roman" w:hAnsi="Times New Roman"/>
          <w:lang w:val="en-US"/>
        </w:rPr>
        <w:t xml:space="preserve">. </w:t>
      </w:r>
    </w:p>
    <w:p w14:paraId="118459FC" w14:textId="1A4B6639" w:rsidR="00984B92" w:rsidRPr="00120F0D" w:rsidRDefault="009379C1" w:rsidP="00B36AAE">
      <w:pPr>
        <w:spacing w:line="480" w:lineRule="auto"/>
        <w:jc w:val="both"/>
        <w:rPr>
          <w:rFonts w:ascii="Times New Roman" w:hAnsi="Times New Roman"/>
          <w:lang w:val="en-US"/>
        </w:rPr>
      </w:pPr>
      <w:r w:rsidRPr="00120F0D">
        <w:rPr>
          <w:rFonts w:ascii="Times New Roman" w:hAnsi="Times New Roman"/>
          <w:lang w:val="en-US"/>
        </w:rPr>
        <w:t xml:space="preserve">The </w:t>
      </w:r>
      <w:r w:rsidR="00984B92" w:rsidRPr="00120F0D">
        <w:rPr>
          <w:rFonts w:ascii="Times New Roman" w:hAnsi="Times New Roman"/>
          <w:lang w:val="en-US"/>
        </w:rPr>
        <w:t>normalized Shannon</w:t>
      </w:r>
      <w:r w:rsidRPr="00120F0D">
        <w:rPr>
          <w:rFonts w:ascii="Times New Roman" w:hAnsi="Times New Roman"/>
          <w:lang w:val="en-US"/>
        </w:rPr>
        <w:t xml:space="preserve"> index – or </w:t>
      </w:r>
      <w:r w:rsidR="00984B92" w:rsidRPr="00120F0D">
        <w:rPr>
          <w:rFonts w:ascii="Times New Roman" w:hAnsi="Times New Roman"/>
          <w:lang w:val="en-US"/>
        </w:rPr>
        <w:t>absolute</w:t>
      </w:r>
      <w:r w:rsidRPr="00120F0D">
        <w:rPr>
          <w:rFonts w:ascii="Times New Roman" w:hAnsi="Times New Roman"/>
          <w:lang w:val="en-US"/>
        </w:rPr>
        <w:t xml:space="preserve"> entropy</w:t>
      </w:r>
      <w:r w:rsidR="00B12CB8" w:rsidRPr="00120F0D">
        <w:rPr>
          <w:rFonts w:ascii="Times New Roman" w:hAnsi="Times New Roman"/>
          <w:lang w:val="en-US"/>
        </w:rPr>
        <w:t xml:space="preserve"> </w:t>
      </w:r>
      <w:r w:rsidR="00984B92" w:rsidRPr="00120F0D">
        <w:rPr>
          <w:rFonts w:ascii="Times New Roman" w:hAnsi="Times New Roman"/>
          <w:lang w:val="en-US"/>
        </w:rPr>
        <w:t xml:space="preserve">- is </w:t>
      </w:r>
      <w:r w:rsidR="00FE7306" w:rsidRPr="00120F0D">
        <w:rPr>
          <w:rFonts w:ascii="Times New Roman" w:hAnsi="Times New Roman"/>
          <w:lang w:val="en-US"/>
        </w:rPr>
        <w:t xml:space="preserve">a </w:t>
      </w:r>
      <w:r w:rsidR="00984B92" w:rsidRPr="00120F0D">
        <w:rPr>
          <w:rFonts w:ascii="Times New Roman" w:hAnsi="Times New Roman"/>
          <w:lang w:val="en-US"/>
        </w:rPr>
        <w:t>deviation of the observed entropy from the maximum entropy associate to the uniform distribution (</w:t>
      </w:r>
      <m:oMath>
        <m:r>
          <w:rPr>
            <w:rFonts w:ascii="Cambria Math" w:hAnsi="Cambria Math"/>
            <w:lang w:val="en-US"/>
          </w:rPr>
          <m:t>ln</m:t>
        </m:r>
        <m:r>
          <m:rPr>
            <m:sty m:val="p"/>
          </m:rPr>
          <w:rPr>
            <w:rFonts w:ascii="Cambria Math" w:hAnsi="Cambria Math"/>
            <w:lang w:val="en-US"/>
          </w:rPr>
          <m:t>(</m:t>
        </m:r>
        <m:r>
          <w:rPr>
            <w:rFonts w:ascii="Cambria Math" w:hAnsi="Cambria Math"/>
            <w:lang w:val="en-US"/>
          </w:rPr>
          <m:t>R</m:t>
        </m:r>
        <m:r>
          <m:rPr>
            <m:sty m:val="p"/>
          </m:rPr>
          <w:rPr>
            <w:rFonts w:ascii="Cambria Math" w:hAnsi="Cambria Math"/>
            <w:lang w:val="en-US"/>
          </w:rPr>
          <m:t>)</m:t>
        </m:r>
      </m:oMath>
      <w:r w:rsidR="00984B92" w:rsidRPr="00120F0D">
        <w:rPr>
          <w:rFonts w:ascii="Times New Roman" w:hAnsi="Times New Roman"/>
          <w:lang w:val="en-US"/>
        </w:rPr>
        <w:t>)</w:t>
      </w:r>
      <w:r w:rsidR="00495599" w:rsidRPr="00120F0D">
        <w:rPr>
          <w:rFonts w:ascii="Times New Roman" w:hAnsi="Times New Roman"/>
          <w:lang w:val="en-US"/>
        </w:rPr>
        <w:t>.</w:t>
      </w:r>
      <w:r w:rsidR="00984B92" w:rsidRPr="00120F0D">
        <w:rPr>
          <w:rFonts w:ascii="Times New Roman" w:hAnsi="Times New Roman"/>
          <w:lang w:val="en-US"/>
        </w:rPr>
        <w:t xml:space="preserve"> This index is</w:t>
      </w:r>
      <w:r w:rsidRPr="00120F0D">
        <w:rPr>
          <w:rFonts w:ascii="Times New Roman" w:hAnsi="Times New Roman"/>
          <w:lang w:val="en-US"/>
        </w:rPr>
        <w:t xml:space="preserve"> defined as: </w:t>
      </w:r>
    </w:p>
    <w:p w14:paraId="1D7CD6D1" w14:textId="77777777" w:rsidR="00984B92" w:rsidRPr="00120F0D" w:rsidRDefault="00984B92" w:rsidP="00984B92">
      <w:pPr>
        <w:widowControl w:val="0"/>
        <w:autoSpaceDE w:val="0"/>
        <w:autoSpaceDN w:val="0"/>
        <w:adjustRightInd w:val="0"/>
        <w:jc w:val="both"/>
        <w:rPr>
          <w:rFonts w:ascii="Times New Roman" w:hAnsi="Times New Roman"/>
          <w:lang w:val="en-US"/>
        </w:rPr>
      </w:pPr>
    </w:p>
    <w:p w14:paraId="74351981" w14:textId="0BCD0964" w:rsidR="00984B92" w:rsidRPr="00120F0D" w:rsidRDefault="008A4429" w:rsidP="00B36AAE">
      <w:pPr>
        <w:spacing w:line="480" w:lineRule="auto"/>
        <w:jc w:val="right"/>
        <w:rPr>
          <w:rFonts w:ascii="Times New Roman" w:hAnsi="Times New Roman"/>
          <w:lang w:val="en-US"/>
        </w:rPr>
      </w:pPr>
      <m:oMath>
        <m:sSubSup>
          <m:sSubSupPr>
            <m:ctrlPr>
              <w:rPr>
                <w:rFonts w:ascii="Cambria Math" w:hAnsi="Cambria Math"/>
                <w:lang w:val="en-US"/>
              </w:rPr>
            </m:ctrlPr>
          </m:sSubSupPr>
          <m:e>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 xml:space="preserve">s </m:t>
                </m:r>
              </m:sub>
              <m:sup/>
            </m:sSubSup>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ln</m:t>
                </m:r>
              </m:fName>
              <m:e>
                <m:d>
                  <m:dPr>
                    <m:ctrlPr>
                      <w:rPr>
                        <w:rFonts w:ascii="Cambria Math" w:hAnsi="Cambria Math"/>
                        <w:i/>
                        <w:lang w:val="en-GB"/>
                      </w:rPr>
                    </m:ctrlPr>
                  </m:dPr>
                  <m:e>
                    <m:r>
                      <w:rPr>
                        <w:rFonts w:ascii="Cambria Math" w:hAnsi="Cambria Math"/>
                        <w:lang w:val="en-GB"/>
                      </w:rPr>
                      <m:t>R</m:t>
                    </m:r>
                  </m:e>
                </m:d>
              </m:e>
            </m:func>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r=1</m:t>
                </m:r>
              </m:sub>
              <m:sup>
                <m:r>
                  <w:rPr>
                    <w:rFonts w:ascii="Cambria Math" w:hAnsi="Cambria Math"/>
                    <w:lang w:val="en-GB"/>
                  </w:rPr>
                  <m:t>R</m:t>
                </m:r>
              </m:sup>
              <m:e>
                <m:sSubSup>
                  <m:sSubSupPr>
                    <m:ctrlPr>
                      <w:rPr>
                        <w:rFonts w:ascii="Cambria Math" w:hAnsi="Cambria Math"/>
                        <w:i/>
                      </w:rPr>
                    </m:ctrlPr>
                  </m:sSubSupPr>
                  <m:e>
                    <m:r>
                      <w:rPr>
                        <w:rFonts w:ascii="Cambria Math" w:hAnsi="Cambria Math"/>
                      </w:rPr>
                      <m:t>p</m:t>
                    </m:r>
                  </m:e>
                  <m:sub>
                    <m:r>
                      <w:rPr>
                        <w:rFonts w:ascii="Cambria Math" w:hAnsi="Cambria Math"/>
                      </w:rPr>
                      <m:t>rs</m:t>
                    </m:r>
                  </m:sub>
                  <m:sup/>
                </m:sSubSup>
                <m:r>
                  <w:rPr>
                    <w:rFonts w:ascii="Cambria Math" w:hAnsi="Cambria Math"/>
                    <w:lang w:val="en-GB"/>
                  </w:rPr>
                  <m:t>ln</m:t>
                </m:r>
                <m:d>
                  <m:dPr>
                    <m:ctrlPr>
                      <w:rPr>
                        <w:rFonts w:ascii="Cambria Math" w:hAnsi="Cambria Math"/>
                        <w:i/>
                        <w:lang w:val="en-GB"/>
                      </w:rPr>
                    </m:ctrlPr>
                  </m:dPr>
                  <m:e>
                    <m:sSubSup>
                      <m:sSubSupPr>
                        <m:ctrlPr>
                          <w:rPr>
                            <w:rFonts w:ascii="Cambria Math" w:hAnsi="Cambria Math"/>
                            <w:i/>
                          </w:rPr>
                        </m:ctrlPr>
                      </m:sSubSupPr>
                      <m:e>
                        <m:r>
                          <w:rPr>
                            <w:rFonts w:ascii="Cambria Math" w:hAnsi="Cambria Math"/>
                          </w:rPr>
                          <m:t>p</m:t>
                        </m:r>
                      </m:e>
                      <m:sub>
                        <m:r>
                          <w:rPr>
                            <w:rFonts w:ascii="Cambria Math" w:hAnsi="Cambria Math"/>
                          </w:rPr>
                          <m:t>rs</m:t>
                        </m:r>
                      </m:sub>
                      <m:sup/>
                    </m:sSubSup>
                  </m:e>
                </m:d>
              </m:e>
            </m:nary>
          </m:e>
          <m:sub>
            <m:r>
              <m:rPr>
                <m:sty m:val="p"/>
              </m:rPr>
              <w:rPr>
                <w:rFonts w:ascii="Cambria Math" w:hAnsi="Cambria Math"/>
                <w:lang w:val="en-US"/>
              </w:rPr>
              <m:t xml:space="preserve"> </m:t>
            </m:r>
          </m:sub>
          <m:sup/>
        </m:sSubSup>
      </m:oMath>
      <w:r w:rsidR="00984B92" w:rsidRPr="00120F0D">
        <w:rPr>
          <w:rFonts w:ascii="Times New Roman" w:hAnsi="Times New Roman"/>
          <w:lang w:val="en-US"/>
        </w:rPr>
        <w:t xml:space="preserve">              </w:t>
      </w:r>
      <w:r w:rsidR="004169ED" w:rsidRPr="00120F0D">
        <w:rPr>
          <w:rFonts w:ascii="Times New Roman" w:hAnsi="Times New Roman"/>
          <w:lang w:val="en-US"/>
        </w:rPr>
        <w:t xml:space="preserve">              </w:t>
      </w:r>
      <w:r w:rsidR="00984B92" w:rsidRPr="00120F0D">
        <w:rPr>
          <w:rFonts w:ascii="Times New Roman" w:hAnsi="Times New Roman"/>
          <w:lang w:val="en-US"/>
        </w:rPr>
        <w:t xml:space="preserve">                              (1)</w:t>
      </w:r>
    </w:p>
    <w:p w14:paraId="01973177" w14:textId="77777777" w:rsidR="00984B92" w:rsidRPr="00120F0D" w:rsidRDefault="00984B92" w:rsidP="00B36AAE">
      <w:pPr>
        <w:spacing w:line="480" w:lineRule="auto"/>
        <w:jc w:val="right"/>
        <w:rPr>
          <w:rFonts w:ascii="Times New Roman" w:hAnsi="Times New Roman"/>
          <w:lang w:val="en-US"/>
        </w:rPr>
      </w:pPr>
    </w:p>
    <w:p w14:paraId="73251B67" w14:textId="223567C8" w:rsidR="005847B0" w:rsidRPr="00120F0D" w:rsidRDefault="005847B0" w:rsidP="005847B0">
      <w:pPr>
        <w:spacing w:line="480" w:lineRule="auto"/>
        <w:jc w:val="both"/>
        <w:rPr>
          <w:rFonts w:ascii="Times New Roman" w:hAnsi="Times New Roman"/>
          <w:lang w:val="en-US"/>
        </w:rPr>
      </w:pPr>
      <w:r w:rsidRPr="00120F0D">
        <w:rPr>
          <w:rFonts w:ascii="Times New Roman" w:hAnsi="Times New Roman"/>
          <w:lang w:val="en-US"/>
        </w:rPr>
        <w:t xml:space="preserve">where </w:t>
      </w:r>
      <m:oMath>
        <m:sSubSup>
          <m:sSubSupPr>
            <m:ctrlPr>
              <w:rPr>
                <w:rFonts w:ascii="Cambria Math" w:hAnsi="Cambria Math"/>
                <w:i/>
              </w:rPr>
            </m:ctrlPr>
          </m:sSubSupPr>
          <m:e>
            <m:r>
              <w:rPr>
                <w:rFonts w:ascii="Cambria Math" w:hAnsi="Cambria Math"/>
              </w:rPr>
              <m:t>p</m:t>
            </m:r>
          </m:e>
          <m:sub>
            <m:r>
              <w:rPr>
                <w:rFonts w:ascii="Cambria Math" w:hAnsi="Cambria Math"/>
              </w:rPr>
              <m:t>rs</m:t>
            </m:r>
          </m:sub>
          <m:sup/>
        </m:sSubSup>
        <m:r>
          <w:rPr>
            <w:rFonts w:ascii="Cambria Math" w:hAnsi="Cambria Math"/>
            <w:lang w:val="en-US"/>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rs</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den>
        </m:f>
      </m:oMath>
      <w:r w:rsidRPr="00120F0D">
        <w:rPr>
          <w:rFonts w:ascii="Times New Roman" w:hAnsi="Times New Roman"/>
          <w:lang w:val="en-US"/>
        </w:rPr>
        <w:t xml:space="preserve">  is the share in region </w:t>
      </w:r>
      <m:oMath>
        <m:r>
          <w:rPr>
            <w:rFonts w:ascii="Cambria Math" w:hAnsi="Cambria Math"/>
            <w:lang w:val="en-GB"/>
          </w:rPr>
          <m:t>r</m:t>
        </m:r>
      </m:oMath>
      <w:r w:rsidRPr="00120F0D">
        <w:rPr>
          <w:rFonts w:ascii="Times New Roman" w:hAnsi="Times New Roman"/>
          <w:lang w:val="en-US"/>
        </w:rPr>
        <w:t xml:space="preserve"> of the distribution of establishment</w:t>
      </w:r>
      <w:r w:rsidR="00D71F65">
        <w:rPr>
          <w:rFonts w:ascii="Times New Roman" w:hAnsi="Times New Roman"/>
          <w:lang w:val="en-US"/>
        </w:rPr>
        <w:t>s</w:t>
      </w:r>
      <w:r w:rsidRPr="00120F0D">
        <w:rPr>
          <w:rFonts w:ascii="Times New Roman" w:hAnsi="Times New Roman"/>
          <w:lang w:val="en-US"/>
        </w:rPr>
        <w:t xml:space="preserve"> in sector </w:t>
      </w:r>
      <m:oMath>
        <m:r>
          <w:rPr>
            <w:rFonts w:ascii="Cambria Math" w:hAnsi="Cambria Math"/>
            <w:lang w:val="en-GB"/>
          </w:rPr>
          <m:t>s</m:t>
        </m:r>
      </m:oMath>
      <w:r w:rsidR="005F59C6" w:rsidRPr="00120F0D">
        <w:rPr>
          <w:rFonts w:ascii="Times New Roman" w:hAnsi="Times New Roman"/>
          <w:lang w:val="en-US"/>
        </w:rPr>
        <w:t xml:space="preserve">, being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rs</m:t>
            </m:r>
          </m:sub>
        </m:sSub>
      </m:oMath>
      <w:r w:rsidR="005F59C6" w:rsidRPr="00120F0D">
        <w:rPr>
          <w:rFonts w:ascii="Times New Roman" w:hAnsi="Times New Roman"/>
          <w:lang w:val="en-GB"/>
        </w:rPr>
        <w:t xml:space="preserve"> the number of establishments in </w:t>
      </w:r>
      <m:oMath>
        <m:r>
          <w:rPr>
            <w:rFonts w:ascii="Cambria Math" w:hAnsi="Cambria Math"/>
            <w:lang w:val="en-GB"/>
          </w:rPr>
          <m:t>r</m:t>
        </m:r>
      </m:oMath>
      <w:r w:rsidR="005F59C6" w:rsidRPr="00120F0D">
        <w:rPr>
          <w:rFonts w:ascii="Times New Roman" w:hAnsi="Times New Roman"/>
          <w:lang w:val="en-GB"/>
        </w:rPr>
        <w:t xml:space="preserve"> belonging to sector </w:t>
      </w:r>
      <m:oMath>
        <m:r>
          <w:rPr>
            <w:rFonts w:ascii="Cambria Math" w:hAnsi="Cambria Math"/>
            <w:lang w:val="en-GB"/>
          </w:rPr>
          <m:t>s</m:t>
        </m:r>
      </m:oMath>
      <w:r w:rsidR="005F59C6" w:rsidRPr="00120F0D">
        <w:rPr>
          <w:rFonts w:ascii="Times New Roman" w:hAnsi="Times New Roman"/>
          <w:lang w:val="en-GB"/>
        </w:rPr>
        <w:t xml:space="preserve">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oMath>
      <w:r w:rsidR="005F59C6" w:rsidRPr="00120F0D">
        <w:rPr>
          <w:rFonts w:ascii="Times New Roman" w:hAnsi="Times New Roman"/>
          <w:lang w:val="en-GB"/>
        </w:rPr>
        <w:t xml:space="preserve"> the number of establishments in sector </w:t>
      </w:r>
      <m:oMath>
        <m:r>
          <w:rPr>
            <w:rFonts w:ascii="Cambria Math" w:hAnsi="Cambria Math"/>
            <w:lang w:val="en-GB"/>
          </w:rPr>
          <m:t>s</m:t>
        </m:r>
      </m:oMath>
      <w:r w:rsidR="005F59C6" w:rsidRPr="00120F0D">
        <w:rPr>
          <w:rFonts w:ascii="Times New Roman" w:hAnsi="Times New Roman"/>
          <w:lang w:val="en-GB"/>
        </w:rPr>
        <w:t>.</w:t>
      </w:r>
    </w:p>
    <w:p w14:paraId="7F0EEDA7" w14:textId="163D509D" w:rsidR="009379C1" w:rsidRPr="00120F0D" w:rsidRDefault="009379C1" w:rsidP="00410779">
      <w:pPr>
        <w:spacing w:line="480" w:lineRule="auto"/>
        <w:jc w:val="both"/>
        <w:rPr>
          <w:rFonts w:ascii="Times New Roman" w:hAnsi="Times New Roman"/>
          <w:lang w:val="en-US"/>
        </w:rPr>
      </w:pPr>
      <w:r w:rsidRPr="00120F0D">
        <w:rPr>
          <w:rFonts w:ascii="Times New Roman" w:hAnsi="Times New Roman"/>
          <w:lang w:val="en-US"/>
        </w:rPr>
        <w:t xml:space="preserve">In </w:t>
      </w:r>
      <w:r w:rsidR="00984B92" w:rsidRPr="00120F0D">
        <w:rPr>
          <w:rFonts w:ascii="Times New Roman" w:hAnsi="Times New Roman"/>
          <w:lang w:val="en-US"/>
        </w:rPr>
        <w:t xml:space="preserve">this </w:t>
      </w:r>
      <w:r w:rsidRPr="00120F0D">
        <w:rPr>
          <w:rFonts w:ascii="Times New Roman" w:hAnsi="Times New Roman"/>
          <w:lang w:val="en-US"/>
        </w:rPr>
        <w:t xml:space="preserve">case the reference counterfactual distribution is the </w:t>
      </w:r>
      <w:r w:rsidR="00984B92" w:rsidRPr="00120F0D">
        <w:rPr>
          <w:rFonts w:ascii="Times New Roman" w:hAnsi="Times New Roman"/>
          <w:lang w:val="en-US"/>
        </w:rPr>
        <w:t>uniform distribution of establishment</w:t>
      </w:r>
      <w:r w:rsidR="00D71F65">
        <w:rPr>
          <w:rFonts w:ascii="Times New Roman" w:hAnsi="Times New Roman"/>
          <w:lang w:val="en-US"/>
        </w:rPr>
        <w:t>s</w:t>
      </w:r>
      <w:r w:rsidR="00984B92" w:rsidRPr="00120F0D">
        <w:rPr>
          <w:rFonts w:ascii="Times New Roman" w:hAnsi="Times New Roman"/>
          <w:lang w:val="en-US"/>
        </w:rPr>
        <w:t xml:space="preserve"> across regions</w:t>
      </w:r>
      <w:r w:rsidRPr="00120F0D">
        <w:rPr>
          <w:rFonts w:ascii="Times New Roman" w:hAnsi="Times New Roman"/>
          <w:lang w:val="en-US"/>
        </w:rPr>
        <w:t>.</w:t>
      </w:r>
      <w:r w:rsidR="00612B5A" w:rsidRPr="00120F0D">
        <w:rPr>
          <w:rFonts w:ascii="Times New Roman" w:hAnsi="Times New Roman"/>
          <w:lang w:val="en-US"/>
        </w:rPr>
        <w:t xml:space="preserve"> </w:t>
      </w:r>
      <w:r w:rsidR="00A3740A">
        <w:rPr>
          <w:rFonts w:ascii="Times New Roman" w:hAnsi="Times New Roman"/>
          <w:lang w:val="en-US"/>
        </w:rPr>
        <w:t xml:space="preserve">We therefore evaluate </w:t>
      </w:r>
      <w:r w:rsidR="00A3740A" w:rsidRPr="00996AEC">
        <w:rPr>
          <w:rFonts w:ascii="Times New Roman" w:hAnsi="Times New Roman"/>
          <w:lang w:val="en-US"/>
        </w:rPr>
        <w:t xml:space="preserve">the distance between the geographical spreading of </w:t>
      </w:r>
      <w:r w:rsidR="00A3740A">
        <w:rPr>
          <w:rFonts w:ascii="Times New Roman" w:hAnsi="Times New Roman"/>
          <w:lang w:val="en-US"/>
        </w:rPr>
        <w:t>establishments in a specific industry</w:t>
      </w:r>
      <w:r w:rsidR="00A3740A" w:rsidRPr="00996AEC">
        <w:rPr>
          <w:rFonts w:ascii="Times New Roman" w:hAnsi="Times New Roman"/>
          <w:lang w:val="en-US"/>
        </w:rPr>
        <w:t xml:space="preserve"> and the theoretical uniform distribution across spatial units</w:t>
      </w:r>
      <w:r w:rsidR="00A3740A">
        <w:rPr>
          <w:rFonts w:ascii="Times New Roman" w:hAnsi="Times New Roman"/>
          <w:lang w:val="en-US"/>
        </w:rPr>
        <w:t>.</w:t>
      </w:r>
      <w:r w:rsidR="00D86DDE">
        <w:rPr>
          <w:rFonts w:ascii="Times New Roman" w:hAnsi="Times New Roman"/>
          <w:lang w:val="en-US"/>
        </w:rPr>
        <w:t xml:space="preserve"> This divergence signals the presence of </w:t>
      </w:r>
      <w:r w:rsidR="00F61CC2">
        <w:rPr>
          <w:rFonts w:ascii="Times New Roman" w:hAnsi="Times New Roman"/>
          <w:lang w:val="en-US"/>
        </w:rPr>
        <w:t xml:space="preserve">localization </w:t>
      </w:r>
      <w:r w:rsidR="00D86DDE">
        <w:rPr>
          <w:rFonts w:ascii="Times New Roman" w:hAnsi="Times New Roman"/>
          <w:lang w:val="en-US"/>
        </w:rPr>
        <w:t xml:space="preserve">economies within an </w:t>
      </w:r>
      <w:r w:rsidR="00F61CC2">
        <w:rPr>
          <w:rFonts w:ascii="Times New Roman" w:hAnsi="Times New Roman"/>
          <w:lang w:val="en-US"/>
        </w:rPr>
        <w:t>industry</w:t>
      </w:r>
      <w:r w:rsidR="00D86DDE">
        <w:rPr>
          <w:rFonts w:ascii="Times New Roman" w:hAnsi="Times New Roman"/>
          <w:lang w:val="en-US"/>
        </w:rPr>
        <w:t xml:space="preserve"> due to the clustering of firms within specific locations.</w:t>
      </w:r>
    </w:p>
    <w:p w14:paraId="18C6234A" w14:textId="043A0D83" w:rsidR="00013B17" w:rsidRDefault="00984B92" w:rsidP="00410779">
      <w:pPr>
        <w:spacing w:line="480" w:lineRule="auto"/>
        <w:jc w:val="both"/>
        <w:rPr>
          <w:rFonts w:ascii="Times New Roman" w:hAnsi="Times New Roman"/>
          <w:lang w:val="en-US"/>
        </w:rPr>
      </w:pPr>
      <w:r w:rsidRPr="00120F0D">
        <w:rPr>
          <w:rFonts w:ascii="Times New Roman" w:hAnsi="Times New Roman"/>
          <w:lang w:val="en-US"/>
        </w:rPr>
        <w:t xml:space="preserve">In a second step, we use </w:t>
      </w:r>
      <w:proofErr w:type="gramStart"/>
      <w:r w:rsidR="00410779" w:rsidRPr="00120F0D">
        <w:rPr>
          <w:rFonts w:ascii="Times New Roman" w:hAnsi="Times New Roman"/>
          <w:lang w:val="en-US"/>
        </w:rPr>
        <w:t>employ</w:t>
      </w:r>
      <w:r w:rsidR="008A0E87">
        <w:rPr>
          <w:rFonts w:ascii="Times New Roman" w:hAnsi="Times New Roman"/>
          <w:lang w:val="en-US"/>
        </w:rPr>
        <w:t>ees</w:t>
      </w:r>
      <w:proofErr w:type="gramEnd"/>
      <w:r w:rsidR="00410779" w:rsidRPr="00120F0D">
        <w:rPr>
          <w:rFonts w:ascii="Times New Roman" w:hAnsi="Times New Roman"/>
          <w:lang w:val="en-US"/>
        </w:rPr>
        <w:t xml:space="preserve"> data </w:t>
      </w:r>
      <w:r w:rsidR="00B53FCE" w:rsidRPr="00120F0D">
        <w:rPr>
          <w:rFonts w:ascii="Times New Roman" w:hAnsi="Times New Roman"/>
          <w:lang w:val="en-US"/>
        </w:rPr>
        <w:t>and we</w:t>
      </w:r>
      <w:r w:rsidR="00CF6575" w:rsidRPr="00120F0D">
        <w:rPr>
          <w:rFonts w:ascii="Times New Roman" w:hAnsi="Times New Roman"/>
          <w:lang w:val="en-US"/>
        </w:rPr>
        <w:t xml:space="preserve"> </w:t>
      </w:r>
      <w:r w:rsidR="00410779" w:rsidRPr="00120F0D">
        <w:rPr>
          <w:rFonts w:ascii="Times New Roman" w:hAnsi="Times New Roman"/>
          <w:lang w:val="en-US"/>
        </w:rPr>
        <w:t xml:space="preserve">measure the </w:t>
      </w:r>
      <w:r w:rsidR="00A64D6A" w:rsidRPr="00120F0D">
        <w:rPr>
          <w:rFonts w:ascii="Times New Roman" w:hAnsi="Times New Roman"/>
          <w:lang w:val="en-US"/>
        </w:rPr>
        <w:t xml:space="preserve">divergence </w:t>
      </w:r>
      <w:r w:rsidR="00410779" w:rsidRPr="00120F0D">
        <w:rPr>
          <w:rFonts w:ascii="Times New Roman" w:hAnsi="Times New Roman"/>
          <w:lang w:val="en-US"/>
        </w:rPr>
        <w:t xml:space="preserve">between the regional distribution of </w:t>
      </w:r>
      <w:r w:rsidR="00184674" w:rsidRPr="00120F0D">
        <w:rPr>
          <w:rFonts w:ascii="Times New Roman" w:hAnsi="Times New Roman"/>
          <w:lang w:val="en-US"/>
        </w:rPr>
        <w:t>employ</w:t>
      </w:r>
      <w:r w:rsidR="008A0E87">
        <w:rPr>
          <w:rFonts w:ascii="Times New Roman" w:hAnsi="Times New Roman"/>
          <w:lang w:val="en-US"/>
        </w:rPr>
        <w:t>ees</w:t>
      </w:r>
      <w:r w:rsidR="00184674" w:rsidRPr="00120F0D">
        <w:rPr>
          <w:rFonts w:ascii="Times New Roman" w:hAnsi="Times New Roman"/>
          <w:lang w:val="en-US"/>
        </w:rPr>
        <w:t xml:space="preserve"> in </w:t>
      </w:r>
      <w:r w:rsidR="00CF6575" w:rsidRPr="00120F0D">
        <w:rPr>
          <w:rFonts w:ascii="Times New Roman" w:hAnsi="Times New Roman"/>
          <w:lang w:val="en-US"/>
        </w:rPr>
        <w:t xml:space="preserve">each </w:t>
      </w:r>
      <w:r w:rsidR="00410779" w:rsidRPr="00120F0D">
        <w:rPr>
          <w:rFonts w:ascii="Times New Roman" w:hAnsi="Times New Roman"/>
          <w:lang w:val="en-US"/>
        </w:rPr>
        <w:t xml:space="preserve">industry </w:t>
      </w:r>
      <w:r w:rsidR="00410779" w:rsidRPr="00120F0D">
        <w:rPr>
          <w:rFonts w:ascii="Times New Roman" w:hAnsi="Times New Roman"/>
          <w:i/>
          <w:lang w:val="en-US"/>
        </w:rPr>
        <w:t>s</w:t>
      </w:r>
      <w:r w:rsidR="00410779" w:rsidRPr="00120F0D">
        <w:rPr>
          <w:rFonts w:ascii="Times New Roman" w:hAnsi="Times New Roman"/>
          <w:lang w:val="en-US"/>
        </w:rPr>
        <w:t xml:space="preserve"> and the spreading of </w:t>
      </w:r>
      <w:r w:rsidR="008C7A4B" w:rsidRPr="00120F0D">
        <w:rPr>
          <w:rFonts w:ascii="Times New Roman" w:hAnsi="Times New Roman"/>
          <w:lang w:val="en-US"/>
        </w:rPr>
        <w:t xml:space="preserve">establishments in the same industry </w:t>
      </w:r>
      <w:r w:rsidR="008C7A4B" w:rsidRPr="00120F0D">
        <w:rPr>
          <w:rFonts w:ascii="Times New Roman" w:hAnsi="Times New Roman"/>
          <w:i/>
          <w:lang w:val="en-US"/>
        </w:rPr>
        <w:t>s</w:t>
      </w:r>
      <w:r w:rsidR="00410779" w:rsidRPr="00120F0D">
        <w:rPr>
          <w:rFonts w:ascii="Times New Roman" w:hAnsi="Times New Roman"/>
          <w:lang w:val="en-US"/>
        </w:rPr>
        <w:t xml:space="preserve">. </w:t>
      </w:r>
    </w:p>
    <w:p w14:paraId="4225158F" w14:textId="72DDD6F1" w:rsidR="002C3D65" w:rsidRPr="00120F0D" w:rsidRDefault="00D86DDE" w:rsidP="00410779">
      <w:pPr>
        <w:spacing w:line="480" w:lineRule="auto"/>
        <w:jc w:val="both"/>
        <w:rPr>
          <w:rFonts w:ascii="Times New Roman" w:hAnsi="Times New Roman"/>
          <w:lang w:val="en-US"/>
        </w:rPr>
      </w:pPr>
      <w:r>
        <w:rPr>
          <w:rFonts w:ascii="Times New Roman" w:hAnsi="Times New Roman"/>
          <w:lang w:val="en-US"/>
        </w:rPr>
        <w:t>Here, w</w:t>
      </w:r>
      <w:r w:rsidR="002C3D65">
        <w:rPr>
          <w:rFonts w:ascii="Times New Roman" w:hAnsi="Times New Roman"/>
          <w:lang w:val="en-US"/>
        </w:rPr>
        <w:t xml:space="preserve">e refer to the idea that a high divergence between the regional distribution of employees and that of establishment signal the importance of high </w:t>
      </w:r>
      <w:r w:rsidR="00F61CC2">
        <w:rPr>
          <w:rFonts w:ascii="Times New Roman" w:hAnsi="Times New Roman"/>
          <w:lang w:val="en-US"/>
        </w:rPr>
        <w:t xml:space="preserve">regional </w:t>
      </w:r>
      <w:r w:rsidR="002C3D65">
        <w:rPr>
          <w:rFonts w:ascii="Times New Roman" w:hAnsi="Times New Roman"/>
          <w:lang w:val="en-US"/>
        </w:rPr>
        <w:t xml:space="preserve">diversity in firm size within the industry, </w:t>
      </w:r>
      <w:r w:rsidR="002C3D65">
        <w:rPr>
          <w:rFonts w:ascii="Times New Roman" w:hAnsi="Times New Roman"/>
          <w:lang w:val="en-US"/>
        </w:rPr>
        <w:lastRenderedPageBreak/>
        <w:t xml:space="preserve">with positive implications for aggregate competitiveness at the sectoral level. In fact, among the possible measures of </w:t>
      </w:r>
      <w:r w:rsidR="00F61CC2">
        <w:rPr>
          <w:rFonts w:ascii="Times New Roman" w:hAnsi="Times New Roman"/>
          <w:lang w:val="en-US"/>
        </w:rPr>
        <w:t>competitiveness one</w:t>
      </w:r>
      <w:r w:rsidR="002C3D65">
        <w:rPr>
          <w:rFonts w:ascii="Times New Roman" w:hAnsi="Times New Roman"/>
          <w:lang w:val="en-US"/>
        </w:rPr>
        <w:t xml:space="preserve"> group is related to firms</w:t>
      </w:r>
      <w:r w:rsidR="00F61CC2">
        <w:rPr>
          <w:rFonts w:ascii="Times New Roman" w:hAnsi="Times New Roman"/>
          <w:lang w:val="en-US"/>
        </w:rPr>
        <w:t>’</w:t>
      </w:r>
      <w:r w:rsidR="002C3D65">
        <w:rPr>
          <w:rFonts w:ascii="Times New Roman" w:hAnsi="Times New Roman"/>
          <w:lang w:val="en-US"/>
        </w:rPr>
        <w:t xml:space="preserve"> dynamics</w:t>
      </w:r>
      <w:r w:rsidR="00236DB8">
        <w:rPr>
          <w:rFonts w:ascii="Times New Roman" w:hAnsi="Times New Roman"/>
          <w:lang w:val="en-US"/>
        </w:rPr>
        <w:t xml:space="preserve"> (WIFO, 2017)</w:t>
      </w:r>
      <w:r w:rsidR="002C3D65" w:rsidRPr="002C3D65">
        <w:rPr>
          <w:rFonts w:ascii="Times New Roman" w:hAnsi="Times New Roman"/>
          <w:lang w:val="en-US"/>
        </w:rPr>
        <w:t xml:space="preserve">. For example, </w:t>
      </w:r>
      <w:proofErr w:type="spellStart"/>
      <w:r w:rsidR="002C3D65" w:rsidRPr="00107E38">
        <w:rPr>
          <w:rFonts w:ascii="Times New Roman" w:hAnsi="Times New Roman"/>
          <w:lang w:val="en-US"/>
        </w:rPr>
        <w:t>Bartelsman</w:t>
      </w:r>
      <w:proofErr w:type="spellEnd"/>
      <w:r w:rsidR="002C3D65" w:rsidRPr="00107E38">
        <w:rPr>
          <w:rFonts w:ascii="Times New Roman" w:hAnsi="Times New Roman"/>
          <w:lang w:val="en-US"/>
        </w:rPr>
        <w:t xml:space="preserve"> et al. (2009) </w:t>
      </w:r>
      <w:r w:rsidR="002C3D65" w:rsidRPr="002C3D65">
        <w:rPr>
          <w:rFonts w:ascii="Times New Roman" w:hAnsi="Times New Roman"/>
          <w:lang w:val="en-US"/>
        </w:rPr>
        <w:t>suggest that</w:t>
      </w:r>
      <w:r w:rsidR="002C3D65" w:rsidRPr="00107E38">
        <w:rPr>
          <w:rFonts w:ascii="Times New Roman" w:hAnsi="Times New Roman"/>
          <w:lang w:val="en-US"/>
        </w:rPr>
        <w:t xml:space="preserve"> average firm size relative to entry by age </w:t>
      </w:r>
      <w:r w:rsidR="002C3D65" w:rsidRPr="002C3D65">
        <w:rPr>
          <w:rFonts w:ascii="Times New Roman" w:hAnsi="Times New Roman"/>
          <w:lang w:val="en-US"/>
        </w:rPr>
        <w:t>is</w:t>
      </w:r>
      <w:r w:rsidR="002C3D65" w:rsidRPr="00107E38">
        <w:rPr>
          <w:rFonts w:ascii="Times New Roman" w:hAnsi="Times New Roman"/>
          <w:lang w:val="en-US"/>
        </w:rPr>
        <w:t xml:space="preserve"> a useful indicator </w:t>
      </w:r>
      <w:r w:rsidR="002C3D65">
        <w:rPr>
          <w:rFonts w:ascii="Times New Roman" w:hAnsi="Times New Roman"/>
          <w:lang w:val="en-US"/>
        </w:rPr>
        <w:t>of</w:t>
      </w:r>
      <w:r w:rsidR="002C3D65" w:rsidRPr="00107E38">
        <w:rPr>
          <w:rFonts w:ascii="Times New Roman" w:hAnsi="Times New Roman"/>
          <w:lang w:val="en-US"/>
        </w:rPr>
        <w:t xml:space="preserve"> the gap in size between entrants and incumbents. </w:t>
      </w:r>
      <w:r w:rsidR="002C3D65">
        <w:rPr>
          <w:rFonts w:ascii="Times New Roman" w:hAnsi="Times New Roman"/>
          <w:lang w:val="en-US"/>
        </w:rPr>
        <w:t>In particular, a</w:t>
      </w:r>
      <w:r w:rsidR="002C3D65" w:rsidRPr="00107E38">
        <w:rPr>
          <w:rFonts w:ascii="Times New Roman" w:hAnsi="Times New Roman"/>
          <w:lang w:val="en-US"/>
        </w:rPr>
        <w:t xml:space="preserve"> smaller relative size of entrants </w:t>
      </w:r>
      <w:r w:rsidR="002C3D65">
        <w:rPr>
          <w:rFonts w:ascii="Times New Roman" w:hAnsi="Times New Roman"/>
          <w:lang w:val="en-US"/>
        </w:rPr>
        <w:t xml:space="preserve">tells about </w:t>
      </w:r>
      <w:r w:rsidR="002C3D65" w:rsidRPr="00107E38">
        <w:rPr>
          <w:rFonts w:ascii="Times New Roman" w:hAnsi="Times New Roman"/>
          <w:lang w:val="en-US"/>
        </w:rPr>
        <w:t xml:space="preserve">greater experimentation and thus higher competitiveness of a sector. Moreover, they mention the </w:t>
      </w:r>
      <w:r w:rsidR="002C3D65" w:rsidRPr="00107E38">
        <w:rPr>
          <w:rFonts w:ascii="Times New Roman" w:hAnsi="Times New Roman"/>
          <w:i/>
          <w:iCs/>
          <w:lang w:val="en-US"/>
        </w:rPr>
        <w:t>share of gazelles</w:t>
      </w:r>
      <w:r w:rsidR="002C3D65" w:rsidRPr="00107E38">
        <w:rPr>
          <w:rFonts w:ascii="Times New Roman" w:hAnsi="Times New Roman"/>
          <w:lang w:val="en-US"/>
        </w:rPr>
        <w:t xml:space="preserve">, which are firms that rapidly expand the number of their employees. </w:t>
      </w:r>
      <w:r w:rsidR="002C3D65">
        <w:rPr>
          <w:rFonts w:ascii="Times New Roman" w:hAnsi="Times New Roman"/>
          <w:lang w:val="en-US"/>
        </w:rPr>
        <w:t xml:space="preserve">And a higher share of </w:t>
      </w:r>
      <w:r w:rsidR="002C3D65" w:rsidRPr="00107E38">
        <w:rPr>
          <w:rFonts w:ascii="Times New Roman" w:hAnsi="Times New Roman"/>
          <w:lang w:val="en-US"/>
        </w:rPr>
        <w:t xml:space="preserve">gazelles </w:t>
      </w:r>
      <w:r w:rsidR="002C3D65">
        <w:rPr>
          <w:rFonts w:ascii="Times New Roman" w:hAnsi="Times New Roman"/>
          <w:lang w:val="en-US"/>
        </w:rPr>
        <w:t>within</w:t>
      </w:r>
      <w:r w:rsidR="002C3D65" w:rsidRPr="00107E38">
        <w:rPr>
          <w:rFonts w:ascii="Times New Roman" w:hAnsi="Times New Roman"/>
          <w:lang w:val="en-US"/>
        </w:rPr>
        <w:t xml:space="preserve"> an industry </w:t>
      </w:r>
      <w:r w:rsidR="002C3D65" w:rsidRPr="00D86307">
        <w:rPr>
          <w:rFonts w:ascii="Times New Roman" w:hAnsi="Times New Roman"/>
          <w:lang w:val="en-US"/>
        </w:rPr>
        <w:t xml:space="preserve">is considered as an indication </w:t>
      </w:r>
      <w:r w:rsidR="002C3D65" w:rsidRPr="00107E38">
        <w:rPr>
          <w:rFonts w:ascii="Times New Roman" w:hAnsi="Times New Roman"/>
          <w:lang w:val="en-US"/>
        </w:rPr>
        <w:t xml:space="preserve">that the most innovative and productive companies are easily </w:t>
      </w:r>
      <w:r w:rsidR="002C3D65">
        <w:rPr>
          <w:rFonts w:ascii="Times New Roman" w:hAnsi="Times New Roman"/>
          <w:lang w:val="en-US"/>
        </w:rPr>
        <w:t>conquering</w:t>
      </w:r>
      <w:r w:rsidR="002C3D65" w:rsidRPr="00107E38">
        <w:rPr>
          <w:rFonts w:ascii="Times New Roman" w:hAnsi="Times New Roman"/>
          <w:lang w:val="en-US"/>
        </w:rPr>
        <w:t xml:space="preserve"> market shares which is good for competitiveness. </w:t>
      </w:r>
      <w:r w:rsidR="002C3D65">
        <w:rPr>
          <w:rFonts w:ascii="Times New Roman" w:hAnsi="Times New Roman"/>
          <w:lang w:val="en-US"/>
        </w:rPr>
        <w:t xml:space="preserve"> </w:t>
      </w:r>
    </w:p>
    <w:p w14:paraId="04448DD7" w14:textId="6C01BAD2" w:rsidR="00410779" w:rsidRPr="00120F0D" w:rsidRDefault="00410779" w:rsidP="00410779">
      <w:pPr>
        <w:spacing w:line="480" w:lineRule="auto"/>
        <w:jc w:val="both"/>
        <w:rPr>
          <w:rFonts w:ascii="Times New Roman" w:hAnsi="Times New Roman"/>
          <w:lang w:val="en-US"/>
        </w:rPr>
      </w:pPr>
      <w:r w:rsidRPr="00120F0D">
        <w:rPr>
          <w:rFonts w:ascii="Times New Roman" w:hAnsi="Times New Roman"/>
          <w:lang w:val="en-US"/>
        </w:rPr>
        <w:t xml:space="preserve">The </w:t>
      </w:r>
      <w:r w:rsidR="00C66CC1" w:rsidRPr="00120F0D">
        <w:rPr>
          <w:rFonts w:ascii="Times New Roman" w:hAnsi="Times New Roman"/>
          <w:lang w:val="en-US"/>
        </w:rPr>
        <w:t xml:space="preserve">relative </w:t>
      </w:r>
      <w:r w:rsidR="00CF6575" w:rsidRPr="00120F0D">
        <w:rPr>
          <w:rFonts w:ascii="Times New Roman" w:hAnsi="Times New Roman"/>
          <w:lang w:val="en-US"/>
        </w:rPr>
        <w:t xml:space="preserve">Theil </w:t>
      </w:r>
      <w:r w:rsidRPr="00120F0D">
        <w:rPr>
          <w:rFonts w:ascii="Times New Roman" w:hAnsi="Times New Roman"/>
          <w:lang w:val="en-US"/>
        </w:rPr>
        <w:t>index</w:t>
      </w:r>
      <w:r w:rsidR="00C66CC1" w:rsidRPr="00120F0D">
        <w:rPr>
          <w:rFonts w:ascii="Times New Roman" w:hAnsi="Times New Roman"/>
          <w:lang w:val="en-US"/>
        </w:rPr>
        <w:t xml:space="preserve"> – or relative entropy-</w:t>
      </w:r>
      <w:r w:rsidRPr="00120F0D">
        <w:rPr>
          <w:rFonts w:ascii="Times New Roman" w:hAnsi="Times New Roman"/>
          <w:lang w:val="en-US"/>
        </w:rPr>
        <w:t xml:space="preserve"> </w:t>
      </w:r>
      <w:r w:rsidR="00CF6575" w:rsidRPr="00120F0D">
        <w:rPr>
          <w:rFonts w:ascii="Times New Roman" w:hAnsi="Times New Roman"/>
          <w:lang w:val="en-US"/>
        </w:rPr>
        <w:t>is defined as</w:t>
      </w:r>
      <w:r w:rsidRPr="00120F0D">
        <w:rPr>
          <w:rFonts w:ascii="Times New Roman" w:hAnsi="Times New Roman"/>
          <w:lang w:val="en-US"/>
        </w:rPr>
        <w:t>:</w:t>
      </w:r>
    </w:p>
    <w:p w14:paraId="5502128F" w14:textId="6F641D14" w:rsidR="00410779" w:rsidRPr="00120F0D" w:rsidRDefault="008A4429" w:rsidP="00B36AAE">
      <w:pPr>
        <w:spacing w:line="480" w:lineRule="auto"/>
        <w:jc w:val="right"/>
        <w:rPr>
          <w:rFonts w:ascii="Times New Roman" w:hAnsi="Times New Roman"/>
          <w:lang w:val="en-US"/>
        </w:rPr>
      </w:pPr>
      <m:oMath>
        <m:sSubSup>
          <m:sSubSupPr>
            <m:ctrlPr>
              <w:rPr>
                <w:rFonts w:ascii="Cambria Math" w:hAnsi="Cambria Math"/>
                <w:i/>
                <w:sz w:val="32"/>
                <w:szCs w:val="32"/>
                <w:lang w:val="en-GB"/>
              </w:rPr>
            </m:ctrlPr>
          </m:sSubSupPr>
          <m:e>
            <m:r>
              <w:rPr>
                <w:rFonts w:ascii="Cambria Math" w:hAnsi="Cambria Math"/>
                <w:sz w:val="32"/>
                <w:szCs w:val="32"/>
                <w:lang w:val="en-GB"/>
              </w:rPr>
              <m:t>T</m:t>
            </m:r>
          </m:e>
          <m:sub>
            <m:r>
              <w:rPr>
                <w:rFonts w:ascii="Cambria Math" w:hAnsi="Cambria Math"/>
                <w:sz w:val="32"/>
                <w:szCs w:val="32"/>
                <w:lang w:val="en-GB"/>
              </w:rPr>
              <m:t xml:space="preserve">s </m:t>
            </m:r>
          </m:sub>
          <m:sup/>
        </m:sSubSup>
        <m:r>
          <w:rPr>
            <w:rFonts w:ascii="Cambria Math" w:hAnsi="Cambria Math"/>
            <w:sz w:val="32"/>
            <w:szCs w:val="32"/>
            <w:lang w:val="en-GB"/>
          </w:rPr>
          <m:t>=</m:t>
        </m:r>
        <m:nary>
          <m:naryPr>
            <m:chr m:val="∑"/>
            <m:limLoc m:val="undOvr"/>
            <m:ctrlPr>
              <w:rPr>
                <w:rFonts w:ascii="Cambria Math" w:hAnsi="Cambria Math"/>
                <w:i/>
                <w:sz w:val="32"/>
                <w:szCs w:val="32"/>
                <w:lang w:val="en-GB"/>
              </w:rPr>
            </m:ctrlPr>
          </m:naryPr>
          <m:sub>
            <m:r>
              <w:rPr>
                <w:rFonts w:ascii="Cambria Math" w:hAnsi="Cambria Math"/>
                <w:sz w:val="32"/>
                <w:szCs w:val="32"/>
                <w:lang w:val="en-GB"/>
              </w:rPr>
              <m:t>r=1</m:t>
            </m:r>
          </m:sub>
          <m:sup>
            <m:r>
              <w:rPr>
                <w:rFonts w:ascii="Cambria Math" w:hAnsi="Cambria Math"/>
                <w:sz w:val="32"/>
                <w:szCs w:val="32"/>
                <w:lang w:val="en-GB"/>
              </w:rPr>
              <m:t>R</m:t>
            </m:r>
          </m:sup>
          <m:e>
            <m:sSubSup>
              <m:sSubSupPr>
                <m:ctrlPr>
                  <w:rPr>
                    <w:rFonts w:ascii="Cambria Math" w:hAnsi="Cambria Math"/>
                    <w:i/>
                    <w:sz w:val="32"/>
                    <w:szCs w:val="32"/>
                  </w:rPr>
                </m:ctrlPr>
              </m:sSubSupPr>
              <m:e>
                <m:r>
                  <w:rPr>
                    <w:rFonts w:ascii="Cambria Math" w:hAnsi="Cambria Math"/>
                    <w:sz w:val="32"/>
                    <w:szCs w:val="32"/>
                  </w:rPr>
                  <m:t>q</m:t>
                </m:r>
              </m:e>
              <m:sub>
                <m:r>
                  <w:rPr>
                    <w:rFonts w:ascii="Cambria Math" w:hAnsi="Cambria Math"/>
                    <w:sz w:val="32"/>
                    <w:szCs w:val="32"/>
                  </w:rPr>
                  <m:t>rs</m:t>
                </m:r>
              </m:sub>
              <m:sup/>
            </m:sSubSup>
            <m:r>
              <w:rPr>
                <w:rFonts w:ascii="Cambria Math" w:hAnsi="Cambria Math"/>
                <w:sz w:val="32"/>
                <w:szCs w:val="32"/>
                <w:lang w:val="en-GB"/>
              </w:rPr>
              <m:t>ln</m:t>
            </m:r>
            <m:d>
              <m:dPr>
                <m:ctrlPr>
                  <w:rPr>
                    <w:rFonts w:ascii="Cambria Math" w:hAnsi="Cambria Math"/>
                    <w:i/>
                    <w:sz w:val="32"/>
                    <w:szCs w:val="32"/>
                    <w:lang w:val="en-GB"/>
                  </w:rPr>
                </m:ctrlPr>
              </m:dPr>
              <m:e>
                <m:f>
                  <m:fPr>
                    <m:ctrlPr>
                      <w:rPr>
                        <w:rFonts w:ascii="Cambria Math" w:hAnsi="Cambria Math"/>
                        <w:i/>
                        <w:sz w:val="32"/>
                        <w:szCs w:val="32"/>
                        <w:lang w:val="en-GB"/>
                      </w:rPr>
                    </m:ctrlPr>
                  </m:fPr>
                  <m:num>
                    <m:sSubSup>
                      <m:sSubSupPr>
                        <m:ctrlPr>
                          <w:rPr>
                            <w:rFonts w:ascii="Cambria Math" w:hAnsi="Cambria Math"/>
                            <w:i/>
                            <w:sz w:val="32"/>
                            <w:szCs w:val="32"/>
                            <w:lang w:val="en-GB"/>
                          </w:rPr>
                        </m:ctrlPr>
                      </m:sSubSupPr>
                      <m:e>
                        <m:r>
                          <w:rPr>
                            <w:rFonts w:ascii="Cambria Math" w:hAnsi="Cambria Math"/>
                            <w:sz w:val="32"/>
                            <w:szCs w:val="32"/>
                            <w:lang w:val="en-GB"/>
                          </w:rPr>
                          <m:t>q</m:t>
                        </m:r>
                      </m:e>
                      <m:sub>
                        <m:r>
                          <w:rPr>
                            <w:rFonts w:ascii="Cambria Math" w:hAnsi="Cambria Math"/>
                            <w:sz w:val="32"/>
                            <w:szCs w:val="32"/>
                            <w:lang w:val="en-GB"/>
                          </w:rPr>
                          <m:t>rs</m:t>
                        </m:r>
                      </m:sub>
                      <m:sup/>
                    </m:sSubSup>
                  </m:num>
                  <m:den>
                    <m:sSubSup>
                      <m:sSubSupPr>
                        <m:ctrlPr>
                          <w:rPr>
                            <w:rFonts w:ascii="Cambria Math" w:hAnsi="Cambria Math"/>
                            <w:i/>
                            <w:sz w:val="32"/>
                            <w:szCs w:val="32"/>
                            <w:lang w:val="en-GB"/>
                          </w:rPr>
                        </m:ctrlPr>
                      </m:sSubSupPr>
                      <m:e>
                        <m:r>
                          <w:rPr>
                            <w:rFonts w:ascii="Cambria Math" w:hAnsi="Cambria Math"/>
                            <w:sz w:val="32"/>
                            <w:szCs w:val="32"/>
                            <w:lang w:val="en-GB"/>
                          </w:rPr>
                          <m:t>p</m:t>
                        </m:r>
                      </m:e>
                      <m:sub>
                        <m:r>
                          <w:rPr>
                            <w:rFonts w:ascii="Cambria Math" w:hAnsi="Cambria Math"/>
                            <w:sz w:val="32"/>
                            <w:szCs w:val="32"/>
                            <w:lang w:val="en-GB"/>
                          </w:rPr>
                          <m:t>s</m:t>
                        </m:r>
                      </m:sub>
                      <m:sup/>
                    </m:sSubSup>
                  </m:den>
                </m:f>
              </m:e>
            </m:d>
          </m:e>
        </m:nary>
        <m:r>
          <w:rPr>
            <w:rFonts w:ascii="Cambria Math" w:hAnsi="Cambria Math"/>
            <w:sz w:val="32"/>
            <w:szCs w:val="32"/>
            <w:lang w:val="en-GB"/>
          </w:rPr>
          <m:t xml:space="preserve"> </m:t>
        </m:r>
      </m:oMath>
      <w:r w:rsidR="006377AB" w:rsidRPr="00120F0D">
        <w:rPr>
          <w:rFonts w:ascii="Times New Roman" w:hAnsi="Times New Roman"/>
          <w:lang w:val="en-GB"/>
        </w:rPr>
        <w:t xml:space="preserve">                                                </w:t>
      </w:r>
      <w:r w:rsidR="00C66CC1" w:rsidRPr="00120F0D">
        <w:rPr>
          <w:rFonts w:ascii="Times New Roman" w:hAnsi="Times New Roman"/>
          <w:lang w:val="en-GB"/>
        </w:rPr>
        <w:t xml:space="preserve">    (2</w:t>
      </w:r>
      <w:r w:rsidR="006377AB" w:rsidRPr="00120F0D">
        <w:rPr>
          <w:rFonts w:ascii="Times New Roman" w:hAnsi="Times New Roman"/>
          <w:lang w:val="en-GB"/>
        </w:rPr>
        <w:t>)</w:t>
      </w:r>
    </w:p>
    <w:p w14:paraId="4B8EE8E7" w14:textId="3EC05A04" w:rsidR="0089350A" w:rsidRPr="00120F0D" w:rsidRDefault="00410779" w:rsidP="00666F55">
      <w:pPr>
        <w:spacing w:line="480" w:lineRule="auto"/>
        <w:jc w:val="both"/>
        <w:rPr>
          <w:rFonts w:ascii="Times New Roman" w:hAnsi="Times New Roman"/>
          <w:lang w:val="en-US"/>
        </w:rPr>
      </w:pPr>
      <w:r w:rsidRPr="00120F0D">
        <w:rPr>
          <w:rFonts w:ascii="Times New Roman" w:hAnsi="Times New Roman"/>
          <w:lang w:val="en-US"/>
        </w:rPr>
        <w:t xml:space="preserve">where </w:t>
      </w:r>
      <m:oMath>
        <m:sSubSup>
          <m:sSubSupPr>
            <m:ctrlPr>
              <w:rPr>
                <w:rFonts w:ascii="Cambria Math" w:hAnsi="Cambria Math"/>
                <w:i/>
              </w:rPr>
            </m:ctrlPr>
          </m:sSubSupPr>
          <m:e>
            <m:r>
              <w:rPr>
                <w:rFonts w:ascii="Cambria Math" w:hAnsi="Cambria Math"/>
              </w:rPr>
              <m:t>q</m:t>
            </m:r>
          </m:e>
          <m:sub>
            <m:r>
              <w:rPr>
                <w:rFonts w:ascii="Cambria Math" w:hAnsi="Cambria Math"/>
              </w:rPr>
              <m:t>rs</m:t>
            </m:r>
          </m:sub>
          <m:sup/>
        </m:sSubSup>
        <m:r>
          <w:rPr>
            <w:rFonts w:ascii="Cambria Math" w:hAnsi="Cambria Math"/>
            <w:lang w:val="en-US"/>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rs</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s</m:t>
                </m:r>
              </m:sub>
            </m:sSub>
          </m:den>
        </m:f>
      </m:oMath>
      <w:r w:rsidRPr="00120F0D">
        <w:rPr>
          <w:lang w:val="en-US"/>
        </w:rPr>
        <w:t xml:space="preserve"> </w:t>
      </w:r>
      <w:r w:rsidRPr="00120F0D">
        <w:rPr>
          <w:rFonts w:ascii="Times New Roman" w:hAnsi="Times New Roman"/>
          <w:lang w:val="en-US"/>
        </w:rPr>
        <w:t xml:space="preserve"> </w:t>
      </w:r>
      <w:r w:rsidR="00504D7E" w:rsidRPr="00120F0D">
        <w:rPr>
          <w:rFonts w:ascii="Times New Roman" w:hAnsi="Times New Roman"/>
          <w:lang w:val="en-US"/>
        </w:rPr>
        <w:t xml:space="preserve">is the share in region </w:t>
      </w:r>
      <m:oMath>
        <m:r>
          <w:rPr>
            <w:rFonts w:ascii="Cambria Math" w:hAnsi="Cambria Math"/>
            <w:lang w:val="en-GB"/>
          </w:rPr>
          <m:t>r</m:t>
        </m:r>
      </m:oMath>
      <w:r w:rsidR="00504D7E" w:rsidRPr="00120F0D">
        <w:rPr>
          <w:rFonts w:ascii="Times New Roman" w:hAnsi="Times New Roman"/>
          <w:lang w:val="en-US"/>
        </w:rPr>
        <w:t xml:space="preserve"> of the distribution of</w:t>
      </w:r>
      <w:r w:rsidRPr="00120F0D">
        <w:rPr>
          <w:rFonts w:ascii="Times New Roman" w:hAnsi="Times New Roman"/>
          <w:lang w:val="en-US"/>
        </w:rPr>
        <w:t xml:space="preserve"> </w:t>
      </w:r>
      <w:r w:rsidR="00504D7E">
        <w:rPr>
          <w:rFonts w:ascii="Times New Roman" w:hAnsi="Times New Roman"/>
          <w:lang w:val="en-US"/>
        </w:rPr>
        <w:t xml:space="preserve">employees </w:t>
      </w:r>
      <w:r w:rsidRPr="00120F0D">
        <w:rPr>
          <w:rFonts w:ascii="Times New Roman" w:hAnsi="Times New Roman"/>
          <w:lang w:val="en-US"/>
        </w:rPr>
        <w:t xml:space="preserve">in sector </w:t>
      </w:r>
      <m:oMath>
        <m:r>
          <w:rPr>
            <w:rFonts w:ascii="Cambria Math" w:hAnsi="Cambria Math"/>
            <w:lang w:val="en-GB"/>
          </w:rPr>
          <m:t>s</m:t>
        </m:r>
      </m:oMath>
      <w:r w:rsidR="005F59C6" w:rsidRPr="00120F0D">
        <w:rPr>
          <w:rFonts w:ascii="Times New Roman" w:hAnsi="Times New Roman"/>
          <w:lang w:val="en-US"/>
        </w:rPr>
        <w:t xml:space="preserve">, being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rs</m:t>
            </m:r>
          </m:sub>
        </m:sSub>
      </m:oMath>
      <w:r w:rsidR="005F59C6" w:rsidRPr="00120F0D">
        <w:rPr>
          <w:rFonts w:ascii="Times New Roman" w:hAnsi="Times New Roman"/>
          <w:lang w:val="en-GB"/>
        </w:rPr>
        <w:t xml:space="preserve"> the number of employees in </w:t>
      </w:r>
      <m:oMath>
        <m:r>
          <w:rPr>
            <w:rFonts w:ascii="Cambria Math" w:hAnsi="Cambria Math"/>
            <w:lang w:val="en-GB"/>
          </w:rPr>
          <m:t>r</m:t>
        </m:r>
      </m:oMath>
      <w:r w:rsidR="005F59C6" w:rsidRPr="00120F0D">
        <w:rPr>
          <w:rFonts w:ascii="Times New Roman" w:hAnsi="Times New Roman"/>
          <w:lang w:val="en-GB"/>
        </w:rPr>
        <w:t xml:space="preserve"> belonging to sector </w:t>
      </w:r>
      <m:oMath>
        <m:r>
          <w:rPr>
            <w:rFonts w:ascii="Cambria Math" w:hAnsi="Cambria Math"/>
            <w:lang w:val="en-GB"/>
          </w:rPr>
          <m:t>s</m:t>
        </m:r>
      </m:oMath>
      <w:r w:rsidR="005F59C6" w:rsidRPr="00120F0D">
        <w:rPr>
          <w:rFonts w:ascii="Times New Roman" w:hAnsi="Times New Roman"/>
          <w:lang w:val="en-GB"/>
        </w:rPr>
        <w:t xml:space="preserve"> and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s</m:t>
            </m:r>
          </m:sub>
        </m:sSub>
      </m:oMath>
      <w:r w:rsidR="005F59C6" w:rsidRPr="00120F0D">
        <w:rPr>
          <w:rFonts w:ascii="Times New Roman" w:hAnsi="Times New Roman"/>
          <w:lang w:val="en-GB"/>
        </w:rPr>
        <w:t xml:space="preserve"> the number of employees in sector </w:t>
      </w:r>
      <m:oMath>
        <m:r>
          <w:rPr>
            <w:rFonts w:ascii="Cambria Math" w:hAnsi="Cambria Math"/>
            <w:lang w:val="en-GB"/>
          </w:rPr>
          <m:t>s</m:t>
        </m:r>
      </m:oMath>
      <w:r w:rsidR="005F59C6" w:rsidRPr="00120F0D">
        <w:rPr>
          <w:rFonts w:ascii="Times New Roman" w:hAnsi="Times New Roman"/>
          <w:lang w:val="en-GB"/>
        </w:rPr>
        <w:t>.</w:t>
      </w:r>
    </w:p>
    <w:p w14:paraId="0FB30C44" w14:textId="2B5AE5E0" w:rsidR="00984B92" w:rsidRPr="00504D7E" w:rsidRDefault="00984B92" w:rsidP="00984B92">
      <w:pPr>
        <w:spacing w:line="480" w:lineRule="auto"/>
        <w:jc w:val="both"/>
        <w:rPr>
          <w:rFonts w:ascii="Times New Roman" w:hAnsi="Times New Roman"/>
          <w:lang w:val="en-US"/>
        </w:rPr>
      </w:pPr>
      <w:r w:rsidRPr="00504D7E">
        <w:rPr>
          <w:rFonts w:ascii="Times New Roman" w:hAnsi="Times New Roman"/>
          <w:lang w:val="en-US"/>
        </w:rPr>
        <w:t xml:space="preserve">In this case the reference counterfactual distribution is the </w:t>
      </w:r>
      <w:r w:rsidR="00F61CC2">
        <w:rPr>
          <w:rFonts w:ascii="Times New Roman" w:hAnsi="Times New Roman"/>
          <w:lang w:val="en-US"/>
        </w:rPr>
        <w:t xml:space="preserve">actual </w:t>
      </w:r>
      <w:r w:rsidRPr="00504D7E">
        <w:rPr>
          <w:rFonts w:ascii="Times New Roman" w:hAnsi="Times New Roman"/>
          <w:lang w:val="en-US"/>
        </w:rPr>
        <w:t>distribution of establishments.</w:t>
      </w:r>
    </w:p>
    <w:p w14:paraId="4FE179B5" w14:textId="0638A128" w:rsidR="00A37DD3" w:rsidRPr="00504D7E" w:rsidRDefault="00984B92" w:rsidP="00A37DD3">
      <w:pPr>
        <w:spacing w:line="480" w:lineRule="auto"/>
        <w:jc w:val="both"/>
        <w:rPr>
          <w:rFonts w:ascii="Times New Roman" w:hAnsi="Times New Roman"/>
          <w:lang w:val="en-US"/>
        </w:rPr>
      </w:pPr>
      <w:r w:rsidRPr="00504D7E">
        <w:rPr>
          <w:rFonts w:ascii="Times New Roman" w:hAnsi="Times New Roman"/>
          <w:lang w:val="en-US"/>
        </w:rPr>
        <w:t>When</w:t>
      </w:r>
      <w:r w:rsidR="005361EC" w:rsidRPr="00504D7E">
        <w:rPr>
          <w:rFonts w:ascii="Times New Roman" w:hAnsi="Times New Roman"/>
          <w:lang w:val="en-US"/>
        </w:rPr>
        <w:t xml:space="preserve"> the relative Theil index is zero it means that the two distributions of cases and controls –to use the terminology of Diggle</w:t>
      </w:r>
      <w:r w:rsidR="00D03068">
        <w:rPr>
          <w:rFonts w:ascii="Times New Roman" w:hAnsi="Times New Roman"/>
          <w:lang w:val="en-US"/>
        </w:rPr>
        <w:t xml:space="preserve"> (</w:t>
      </w:r>
      <w:r w:rsidR="005361EC" w:rsidRPr="00504D7E">
        <w:rPr>
          <w:rFonts w:ascii="Times New Roman" w:hAnsi="Times New Roman"/>
          <w:lang w:val="en-US"/>
        </w:rPr>
        <w:t>1983</w:t>
      </w:r>
      <w:r w:rsidR="00D03068">
        <w:rPr>
          <w:rFonts w:ascii="Times New Roman" w:hAnsi="Times New Roman"/>
          <w:lang w:val="en-US"/>
        </w:rPr>
        <w:t>)</w:t>
      </w:r>
      <w:r w:rsidR="005361EC" w:rsidRPr="00504D7E">
        <w:rPr>
          <w:rFonts w:ascii="Times New Roman" w:hAnsi="Times New Roman"/>
          <w:lang w:val="en-US"/>
        </w:rPr>
        <w:t xml:space="preserve"> and </w:t>
      </w:r>
      <w:proofErr w:type="spellStart"/>
      <w:r w:rsidR="005361EC" w:rsidRPr="00504D7E">
        <w:rPr>
          <w:rFonts w:ascii="Times New Roman" w:hAnsi="Times New Roman"/>
          <w:lang w:val="en-US"/>
        </w:rPr>
        <w:t>Arbia</w:t>
      </w:r>
      <w:proofErr w:type="spellEnd"/>
      <w:r w:rsidR="005361EC" w:rsidRPr="00504D7E">
        <w:rPr>
          <w:rFonts w:ascii="Times New Roman" w:hAnsi="Times New Roman"/>
          <w:lang w:val="en-US"/>
        </w:rPr>
        <w:t xml:space="preserve"> </w:t>
      </w:r>
      <w:r w:rsidR="005361EC" w:rsidRPr="00D03068">
        <w:rPr>
          <w:rFonts w:ascii="Times New Roman" w:hAnsi="Times New Roman"/>
          <w:i/>
          <w:lang w:val="en-US"/>
        </w:rPr>
        <w:t>et al</w:t>
      </w:r>
      <w:r w:rsidR="00D03068" w:rsidRPr="00D03068">
        <w:rPr>
          <w:rFonts w:ascii="Times New Roman" w:hAnsi="Times New Roman"/>
          <w:i/>
          <w:lang w:val="en-US"/>
        </w:rPr>
        <w:t>.</w:t>
      </w:r>
      <w:r w:rsidR="005361EC" w:rsidRPr="00D03068">
        <w:rPr>
          <w:rFonts w:ascii="Times New Roman" w:hAnsi="Times New Roman"/>
          <w:i/>
          <w:lang w:val="en-US"/>
        </w:rPr>
        <w:t xml:space="preserve"> </w:t>
      </w:r>
      <w:r w:rsidR="00D03068">
        <w:rPr>
          <w:rFonts w:ascii="Times New Roman" w:hAnsi="Times New Roman"/>
          <w:lang w:val="en-US"/>
        </w:rPr>
        <w:t>(</w:t>
      </w:r>
      <w:r w:rsidR="005361EC" w:rsidRPr="00504D7E">
        <w:rPr>
          <w:rFonts w:ascii="Times New Roman" w:hAnsi="Times New Roman"/>
          <w:lang w:val="en-US"/>
        </w:rPr>
        <w:t>2012</w:t>
      </w:r>
      <w:r w:rsidR="00D03068">
        <w:rPr>
          <w:rFonts w:ascii="Times New Roman" w:hAnsi="Times New Roman"/>
          <w:lang w:val="en-US"/>
        </w:rPr>
        <w:t>)</w:t>
      </w:r>
      <w:r w:rsidR="005361EC" w:rsidRPr="00504D7E">
        <w:rPr>
          <w:rFonts w:ascii="Times New Roman" w:hAnsi="Times New Roman"/>
          <w:lang w:val="en-US"/>
        </w:rPr>
        <w:t xml:space="preserve"> - are perfectly overlapping and hence the </w:t>
      </w:r>
      <w:r w:rsidR="008A0E87" w:rsidRPr="00504D7E">
        <w:rPr>
          <w:rFonts w:ascii="Times New Roman" w:hAnsi="Times New Roman"/>
          <w:lang w:val="en-US"/>
        </w:rPr>
        <w:t>employ</w:t>
      </w:r>
      <w:r w:rsidR="008A0E87">
        <w:rPr>
          <w:rFonts w:ascii="Times New Roman" w:hAnsi="Times New Roman"/>
          <w:lang w:val="en-US"/>
        </w:rPr>
        <w:t>ees</w:t>
      </w:r>
      <w:r w:rsidR="008A0E87" w:rsidRPr="00504D7E">
        <w:rPr>
          <w:rFonts w:ascii="Times New Roman" w:hAnsi="Times New Roman"/>
          <w:lang w:val="en-US"/>
        </w:rPr>
        <w:t xml:space="preserve"> </w:t>
      </w:r>
      <w:r w:rsidRPr="00504D7E">
        <w:rPr>
          <w:rFonts w:ascii="Times New Roman" w:hAnsi="Times New Roman"/>
          <w:lang w:val="en-US"/>
        </w:rPr>
        <w:t xml:space="preserve">in the </w:t>
      </w:r>
      <w:r w:rsidR="005361EC" w:rsidRPr="00504D7E">
        <w:rPr>
          <w:rFonts w:ascii="Times New Roman" w:hAnsi="Times New Roman"/>
          <w:lang w:val="en-US"/>
        </w:rPr>
        <w:t>specific sector mimic</w:t>
      </w:r>
      <w:r w:rsidR="002D09CA" w:rsidRPr="00504D7E">
        <w:rPr>
          <w:rFonts w:ascii="Times New Roman" w:hAnsi="Times New Roman"/>
          <w:lang w:val="en-US"/>
        </w:rPr>
        <w:t>s</w:t>
      </w:r>
      <w:r w:rsidR="005361EC" w:rsidRPr="00504D7E">
        <w:rPr>
          <w:rFonts w:ascii="Times New Roman" w:hAnsi="Times New Roman"/>
          <w:lang w:val="en-US"/>
        </w:rPr>
        <w:t xml:space="preserve"> the spatial distribution of </w:t>
      </w:r>
      <w:r w:rsidRPr="00504D7E">
        <w:rPr>
          <w:rFonts w:ascii="Times New Roman" w:hAnsi="Times New Roman"/>
          <w:lang w:val="en-US"/>
        </w:rPr>
        <w:t>establishments</w:t>
      </w:r>
      <w:r w:rsidR="005361EC" w:rsidRPr="00504D7E">
        <w:rPr>
          <w:rFonts w:ascii="Times New Roman" w:hAnsi="Times New Roman"/>
          <w:lang w:val="en-US"/>
        </w:rPr>
        <w:t>.</w:t>
      </w:r>
      <w:r w:rsidR="008C7CCE">
        <w:rPr>
          <w:rFonts w:ascii="Times New Roman" w:hAnsi="Times New Roman"/>
          <w:lang w:val="en-US"/>
        </w:rPr>
        <w:t xml:space="preserve"> In this case, there is no heterogeneity in firm size, each single firm operating within the industry</w:t>
      </w:r>
      <w:r w:rsidR="00267864" w:rsidRPr="00504D7E">
        <w:rPr>
          <w:rFonts w:ascii="Times New Roman" w:hAnsi="Times New Roman"/>
          <w:lang w:val="en-US"/>
        </w:rPr>
        <w:t xml:space="preserve"> </w:t>
      </w:r>
      <w:r w:rsidR="008C7CCE">
        <w:rPr>
          <w:rFonts w:ascii="Times New Roman" w:hAnsi="Times New Roman"/>
          <w:lang w:val="en-US"/>
        </w:rPr>
        <w:t>is of the same size in terms of employees.</w:t>
      </w:r>
    </w:p>
    <w:p w14:paraId="443DFE1E" w14:textId="420D5CB4" w:rsidR="004169ED" w:rsidRPr="00504D7E" w:rsidRDefault="00B36AAE" w:rsidP="004169ED">
      <w:pPr>
        <w:spacing w:line="480" w:lineRule="auto"/>
        <w:jc w:val="both"/>
        <w:rPr>
          <w:rFonts w:ascii="Times New Roman" w:hAnsi="Times New Roman"/>
          <w:lang w:val="en-US"/>
        </w:rPr>
      </w:pPr>
      <w:r w:rsidRPr="00504D7E">
        <w:rPr>
          <w:rFonts w:ascii="Times New Roman" w:hAnsi="Times New Roman"/>
          <w:lang w:val="en-GB"/>
        </w:rPr>
        <w:t>We</w:t>
      </w:r>
      <w:r w:rsidR="006561ED" w:rsidRPr="00504D7E">
        <w:rPr>
          <w:rFonts w:ascii="Times New Roman" w:hAnsi="Times New Roman"/>
          <w:lang w:val="en-US"/>
        </w:rPr>
        <w:t xml:space="preserve"> assume that, under the null hypothesis, the location of </w:t>
      </w:r>
      <w:r w:rsidR="0088453F" w:rsidRPr="00504D7E">
        <w:rPr>
          <w:rFonts w:ascii="Times New Roman" w:hAnsi="Times New Roman"/>
          <w:lang w:val="en-US"/>
        </w:rPr>
        <w:t>employ</w:t>
      </w:r>
      <w:r w:rsidR="00D03068">
        <w:rPr>
          <w:rFonts w:ascii="Times New Roman" w:hAnsi="Times New Roman"/>
          <w:lang w:val="en-US"/>
        </w:rPr>
        <w:t>ees</w:t>
      </w:r>
      <w:r w:rsidR="0088453F" w:rsidRPr="00504D7E">
        <w:rPr>
          <w:rFonts w:ascii="Times New Roman" w:hAnsi="Times New Roman"/>
          <w:lang w:val="en-US"/>
        </w:rPr>
        <w:t xml:space="preserve"> </w:t>
      </w:r>
      <w:r w:rsidR="006561ED" w:rsidRPr="00504D7E">
        <w:rPr>
          <w:rFonts w:ascii="Times New Roman" w:hAnsi="Times New Roman"/>
          <w:lang w:val="en-US"/>
        </w:rPr>
        <w:t xml:space="preserve">follows </w:t>
      </w:r>
      <w:r w:rsidR="0088453F" w:rsidRPr="00504D7E">
        <w:rPr>
          <w:rFonts w:ascii="Times New Roman" w:hAnsi="Times New Roman"/>
          <w:lang w:val="en-US"/>
        </w:rPr>
        <w:t>the location of establishments</w:t>
      </w:r>
      <w:r w:rsidR="006561ED" w:rsidRPr="00504D7E">
        <w:rPr>
          <w:rFonts w:ascii="Times New Roman" w:hAnsi="Times New Roman"/>
          <w:lang w:val="en-US"/>
        </w:rPr>
        <w:t xml:space="preserve">. </w:t>
      </w:r>
    </w:p>
    <w:p w14:paraId="18D2428D" w14:textId="3A3556BA" w:rsidR="00DD0A9A" w:rsidRPr="00504D7E" w:rsidRDefault="00F675BF" w:rsidP="004169ED">
      <w:pPr>
        <w:spacing w:line="480" w:lineRule="auto"/>
        <w:jc w:val="both"/>
        <w:rPr>
          <w:lang w:val="en-US"/>
        </w:rPr>
      </w:pPr>
      <w:r w:rsidRPr="00504D7E">
        <w:rPr>
          <w:rFonts w:ascii="Times New Roman" w:hAnsi="Times New Roman"/>
          <w:lang w:val="en-US"/>
        </w:rPr>
        <w:t>In the next section we enter the details of the testing procedure.</w:t>
      </w:r>
    </w:p>
    <w:p w14:paraId="02AF30F6" w14:textId="77777777" w:rsidR="00D37CAC" w:rsidRPr="00120F0D" w:rsidRDefault="00D37CAC" w:rsidP="00D37CAC">
      <w:pPr>
        <w:pStyle w:val="Titolo2"/>
        <w:spacing w:line="480" w:lineRule="auto"/>
        <w:rPr>
          <w:color w:val="auto"/>
          <w:lang w:val="en-US"/>
        </w:rPr>
      </w:pPr>
      <w:r w:rsidRPr="00120F0D">
        <w:rPr>
          <w:color w:val="auto"/>
          <w:lang w:val="en-US"/>
        </w:rPr>
        <w:lastRenderedPageBreak/>
        <w:t>3. A testing procedure for relative entropy measures</w:t>
      </w:r>
    </w:p>
    <w:p w14:paraId="01C9BCAC" w14:textId="619FEFC3" w:rsidR="00ED7810" w:rsidRPr="00ED7810" w:rsidRDefault="009B461E" w:rsidP="00ED7810">
      <w:pPr>
        <w:pStyle w:val="Titolo2"/>
        <w:spacing w:line="480" w:lineRule="auto"/>
        <w:jc w:val="both"/>
        <w:rPr>
          <w:rFonts w:ascii="Times New Roman" w:hAnsi="Times New Roman"/>
          <w:b w:val="0"/>
          <w:bCs w:val="0"/>
          <w:color w:val="auto"/>
          <w:sz w:val="24"/>
          <w:szCs w:val="24"/>
          <w:lang w:val="en-US"/>
        </w:rPr>
      </w:pPr>
      <w:r>
        <w:rPr>
          <w:rFonts w:ascii="Times New Roman" w:hAnsi="Times New Roman"/>
          <w:b w:val="0"/>
          <w:bCs w:val="0"/>
          <w:color w:val="auto"/>
          <w:sz w:val="24"/>
          <w:szCs w:val="24"/>
          <w:lang w:val="en-US"/>
        </w:rPr>
        <w:t xml:space="preserve">The concept of competitiveness can be referred to different economic unit of analysis: </w:t>
      </w:r>
      <w:r w:rsidRPr="00107E38">
        <w:rPr>
          <w:rFonts w:ascii="Times New Roman" w:hAnsi="Times New Roman"/>
          <w:b w:val="0"/>
          <w:bCs w:val="0"/>
          <w:color w:val="auto"/>
          <w:sz w:val="24"/>
          <w:szCs w:val="24"/>
          <w:lang w:val="en-US"/>
        </w:rPr>
        <w:t>firms (micro level), - sectors (meso level), - economy-wide (macro level)</w:t>
      </w:r>
      <w:r>
        <w:rPr>
          <w:rFonts w:ascii="Times New Roman" w:hAnsi="Times New Roman"/>
          <w:b w:val="0"/>
          <w:bCs w:val="0"/>
          <w:color w:val="auto"/>
          <w:sz w:val="24"/>
          <w:szCs w:val="24"/>
          <w:lang w:val="en-US"/>
        </w:rPr>
        <w:t xml:space="preserve"> (WIFO, 20</w:t>
      </w:r>
      <w:r w:rsidR="00236DB8">
        <w:rPr>
          <w:rFonts w:ascii="Times New Roman" w:hAnsi="Times New Roman"/>
          <w:b w:val="0"/>
          <w:bCs w:val="0"/>
          <w:color w:val="auto"/>
          <w:sz w:val="24"/>
          <w:szCs w:val="24"/>
          <w:lang w:val="en-US"/>
        </w:rPr>
        <w:t>17</w:t>
      </w:r>
      <w:r>
        <w:rPr>
          <w:rFonts w:ascii="Times New Roman" w:hAnsi="Times New Roman"/>
          <w:b w:val="0"/>
          <w:bCs w:val="0"/>
          <w:color w:val="auto"/>
          <w:sz w:val="24"/>
          <w:szCs w:val="24"/>
          <w:lang w:val="en-US"/>
        </w:rPr>
        <w:t xml:space="preserve">) with several intersection with one another. </w:t>
      </w:r>
      <w:r w:rsidR="00037994">
        <w:rPr>
          <w:rFonts w:ascii="Times New Roman" w:hAnsi="Times New Roman"/>
          <w:b w:val="0"/>
          <w:bCs w:val="0"/>
          <w:color w:val="auto"/>
          <w:sz w:val="24"/>
          <w:szCs w:val="24"/>
          <w:lang w:val="en-US"/>
        </w:rPr>
        <w:t>We</w:t>
      </w:r>
      <w:r w:rsidR="00F03E6C">
        <w:rPr>
          <w:rFonts w:ascii="Times New Roman" w:hAnsi="Times New Roman"/>
          <w:b w:val="0"/>
          <w:bCs w:val="0"/>
          <w:color w:val="auto"/>
          <w:sz w:val="24"/>
          <w:szCs w:val="24"/>
          <w:lang w:val="en-US"/>
        </w:rPr>
        <w:t xml:space="preserve"> have highlighted that r</w:t>
      </w:r>
      <w:r w:rsidR="00F03E6C" w:rsidRPr="00F03E6C">
        <w:rPr>
          <w:rFonts w:ascii="Times New Roman" w:hAnsi="Times New Roman"/>
          <w:b w:val="0"/>
          <w:bCs w:val="0"/>
          <w:color w:val="auto"/>
          <w:sz w:val="24"/>
          <w:szCs w:val="24"/>
          <w:lang w:val="en-US"/>
        </w:rPr>
        <w:t>egional</w:t>
      </w:r>
      <w:r>
        <w:rPr>
          <w:rFonts w:ascii="Times New Roman" w:hAnsi="Times New Roman"/>
          <w:b w:val="0"/>
          <w:bCs w:val="0"/>
          <w:color w:val="auto"/>
          <w:sz w:val="24"/>
          <w:szCs w:val="24"/>
          <w:lang w:val="en-US"/>
        </w:rPr>
        <w:t>/country</w:t>
      </w:r>
      <w:r w:rsidR="00F03E6C" w:rsidRPr="00F03E6C">
        <w:rPr>
          <w:rFonts w:ascii="Times New Roman" w:hAnsi="Times New Roman"/>
          <w:b w:val="0"/>
          <w:bCs w:val="0"/>
          <w:color w:val="auto"/>
          <w:sz w:val="24"/>
          <w:szCs w:val="24"/>
          <w:lang w:val="en-US"/>
        </w:rPr>
        <w:t xml:space="preserve"> competitiveness</w:t>
      </w:r>
      <w:r w:rsidR="00F03E6C">
        <w:rPr>
          <w:rFonts w:ascii="Times New Roman" w:hAnsi="Times New Roman"/>
          <w:b w:val="0"/>
          <w:bCs w:val="0"/>
          <w:color w:val="auto"/>
          <w:sz w:val="24"/>
          <w:szCs w:val="24"/>
          <w:lang w:val="en-US"/>
        </w:rPr>
        <w:t xml:space="preserve"> found a counterpart in the geographical localization of industries when relative measures are adopted in the analysis</w:t>
      </w:r>
      <w:r w:rsidR="00F03E6C" w:rsidRPr="00F03E6C">
        <w:rPr>
          <w:rFonts w:ascii="Times New Roman" w:hAnsi="Times New Roman"/>
          <w:b w:val="0"/>
          <w:bCs w:val="0"/>
          <w:color w:val="auto"/>
          <w:sz w:val="24"/>
          <w:szCs w:val="24"/>
          <w:lang w:val="en-US"/>
        </w:rPr>
        <w:t>. Such geographical locali</w:t>
      </w:r>
      <w:r w:rsidR="00806E71">
        <w:rPr>
          <w:rFonts w:ascii="Times New Roman" w:hAnsi="Times New Roman"/>
          <w:b w:val="0"/>
          <w:bCs w:val="0"/>
          <w:color w:val="auto"/>
          <w:sz w:val="24"/>
          <w:szCs w:val="24"/>
          <w:lang w:val="en-US"/>
        </w:rPr>
        <w:t>z</w:t>
      </w:r>
      <w:r w:rsidR="00F03E6C" w:rsidRPr="00F03E6C">
        <w:rPr>
          <w:rFonts w:ascii="Times New Roman" w:hAnsi="Times New Roman"/>
          <w:b w:val="0"/>
          <w:bCs w:val="0"/>
          <w:color w:val="auto"/>
          <w:sz w:val="24"/>
          <w:szCs w:val="24"/>
          <w:lang w:val="en-US"/>
        </w:rPr>
        <w:t xml:space="preserve">ation can be the outcome of external economies and the associated increasing returns effects to the firms in the industry in question. </w:t>
      </w:r>
      <w:r w:rsidR="00FE5EE4">
        <w:rPr>
          <w:rFonts w:ascii="Times New Roman" w:hAnsi="Times New Roman"/>
          <w:b w:val="0"/>
          <w:bCs w:val="0"/>
          <w:color w:val="auto"/>
          <w:sz w:val="24"/>
          <w:szCs w:val="24"/>
          <w:lang w:val="en-US"/>
        </w:rPr>
        <w:t xml:space="preserve">Moreover, we suggested that firm heterogeneity across space within each industry is an additional useful information which may signal competitiveness at the firm </w:t>
      </w:r>
      <w:r w:rsidR="00F61CC2">
        <w:rPr>
          <w:rFonts w:ascii="Times New Roman" w:hAnsi="Times New Roman"/>
          <w:b w:val="0"/>
          <w:bCs w:val="0"/>
          <w:color w:val="auto"/>
          <w:sz w:val="24"/>
          <w:szCs w:val="24"/>
          <w:lang w:val="en-US"/>
        </w:rPr>
        <w:t xml:space="preserve">and regional </w:t>
      </w:r>
      <w:r w:rsidR="00FE5EE4">
        <w:rPr>
          <w:rFonts w:ascii="Times New Roman" w:hAnsi="Times New Roman"/>
          <w:b w:val="0"/>
          <w:bCs w:val="0"/>
          <w:color w:val="auto"/>
          <w:sz w:val="24"/>
          <w:szCs w:val="24"/>
          <w:lang w:val="en-US"/>
        </w:rPr>
        <w:t>level.</w:t>
      </w:r>
    </w:p>
    <w:p w14:paraId="15F60B09" w14:textId="7D02C5CC" w:rsidR="00D37CAC" w:rsidRPr="00504D7E" w:rsidRDefault="00D37CAC" w:rsidP="00287D77">
      <w:pPr>
        <w:pStyle w:val="Titolo2"/>
        <w:spacing w:line="480" w:lineRule="auto"/>
        <w:jc w:val="both"/>
        <w:rPr>
          <w:rFonts w:ascii="Times New Roman" w:hAnsi="Times New Roman"/>
          <w:lang w:val="en-US"/>
        </w:rPr>
      </w:pPr>
      <w:r w:rsidRPr="00504D7E">
        <w:rPr>
          <w:rFonts w:ascii="Times New Roman" w:hAnsi="Times New Roman"/>
          <w:b w:val="0"/>
          <w:bCs w:val="0"/>
          <w:color w:val="auto"/>
          <w:sz w:val="24"/>
          <w:szCs w:val="24"/>
          <w:lang w:val="en-US"/>
        </w:rPr>
        <w:t xml:space="preserve">In the dartboard approach, the methodology to assess the magnitude of localization involves a comparison between the distribution of </w:t>
      </w:r>
      <w:r w:rsidR="008A0E87" w:rsidRPr="00504D7E">
        <w:rPr>
          <w:rFonts w:ascii="Times New Roman" w:hAnsi="Times New Roman"/>
          <w:b w:val="0"/>
          <w:bCs w:val="0"/>
          <w:color w:val="auto"/>
          <w:sz w:val="24"/>
          <w:szCs w:val="24"/>
          <w:lang w:val="en-US"/>
        </w:rPr>
        <w:t>employ</w:t>
      </w:r>
      <w:r w:rsidR="008A0E87">
        <w:rPr>
          <w:rFonts w:ascii="Times New Roman" w:hAnsi="Times New Roman"/>
          <w:b w:val="0"/>
          <w:bCs w:val="0"/>
          <w:color w:val="auto"/>
          <w:sz w:val="24"/>
          <w:szCs w:val="24"/>
          <w:lang w:val="en-US"/>
        </w:rPr>
        <w:t>ees</w:t>
      </w:r>
      <w:r w:rsidR="008A0E87" w:rsidRPr="00504D7E">
        <w:rPr>
          <w:rFonts w:ascii="Times New Roman" w:hAnsi="Times New Roman"/>
          <w:b w:val="0"/>
          <w:bCs w:val="0"/>
          <w:color w:val="auto"/>
          <w:sz w:val="24"/>
          <w:szCs w:val="24"/>
          <w:lang w:val="en-US"/>
        </w:rPr>
        <w:t xml:space="preserve"> </w:t>
      </w:r>
      <w:r w:rsidRPr="00504D7E">
        <w:rPr>
          <w:rFonts w:ascii="Times New Roman" w:hAnsi="Times New Roman"/>
          <w:b w:val="0"/>
          <w:bCs w:val="0"/>
          <w:color w:val="auto"/>
          <w:sz w:val="24"/>
          <w:szCs w:val="24"/>
          <w:lang w:val="en-US"/>
        </w:rPr>
        <w:t xml:space="preserve">and the distribution of firms and it is anchored to a theoretical model of location. </w:t>
      </w:r>
      <w:proofErr w:type="gramStart"/>
      <w:r w:rsidR="00607DAD" w:rsidRPr="00504D7E">
        <w:rPr>
          <w:rFonts w:ascii="Times New Roman" w:hAnsi="Times New Roman"/>
          <w:b w:val="0"/>
          <w:bCs w:val="0"/>
          <w:color w:val="auto"/>
          <w:sz w:val="24"/>
          <w:szCs w:val="24"/>
          <w:lang w:val="en-US"/>
        </w:rPr>
        <w:t>In</w:t>
      </w:r>
      <w:r w:rsidRPr="00504D7E">
        <w:rPr>
          <w:rFonts w:ascii="Times New Roman" w:hAnsi="Times New Roman"/>
          <w:b w:val="0"/>
          <w:bCs w:val="0"/>
          <w:color w:val="auto"/>
          <w:sz w:val="24"/>
          <w:szCs w:val="24"/>
          <w:lang w:val="en-US"/>
        </w:rPr>
        <w:t xml:space="preserve"> similar approaches related to the discrete space that make use of lattice </w:t>
      </w:r>
      <w:r w:rsidR="008A0E87" w:rsidRPr="00504D7E">
        <w:rPr>
          <w:rFonts w:ascii="Times New Roman" w:hAnsi="Times New Roman"/>
          <w:b w:val="0"/>
          <w:bCs w:val="0"/>
          <w:color w:val="auto"/>
          <w:sz w:val="24"/>
          <w:szCs w:val="24"/>
          <w:lang w:val="en-US"/>
        </w:rPr>
        <w:t>employ</w:t>
      </w:r>
      <w:r w:rsidR="008A0E87">
        <w:rPr>
          <w:rFonts w:ascii="Times New Roman" w:hAnsi="Times New Roman"/>
          <w:b w:val="0"/>
          <w:bCs w:val="0"/>
          <w:color w:val="auto"/>
          <w:sz w:val="24"/>
          <w:szCs w:val="24"/>
          <w:lang w:val="en-US"/>
        </w:rPr>
        <w:t>ees</w:t>
      </w:r>
      <w:r w:rsidR="008A0E87" w:rsidRPr="00504D7E">
        <w:rPr>
          <w:rFonts w:ascii="Times New Roman" w:hAnsi="Times New Roman"/>
          <w:b w:val="0"/>
          <w:bCs w:val="0"/>
          <w:color w:val="auto"/>
          <w:sz w:val="24"/>
          <w:szCs w:val="24"/>
          <w:lang w:val="en-US"/>
        </w:rPr>
        <w:t xml:space="preserve"> </w:t>
      </w:r>
      <w:r w:rsidRPr="00504D7E">
        <w:rPr>
          <w:rFonts w:ascii="Times New Roman" w:hAnsi="Times New Roman"/>
          <w:b w:val="0"/>
          <w:bCs w:val="0"/>
          <w:color w:val="auto"/>
          <w:sz w:val="24"/>
          <w:szCs w:val="24"/>
          <w:lang w:val="en-US"/>
        </w:rPr>
        <w:t xml:space="preserve">data, such as those based on relative entropy measures, the underlying location choice of firms can be viewed as derived from a probabilistic model of location choice, where each firm or plant sequentially chooses its location to maximize its profits, </w:t>
      </w:r>
      <w:r w:rsidR="00BA3489" w:rsidRPr="00504D7E">
        <w:rPr>
          <w:rFonts w:ascii="Times New Roman" w:hAnsi="Times New Roman"/>
          <w:b w:val="0"/>
          <w:bCs w:val="0"/>
          <w:color w:val="auto"/>
          <w:sz w:val="24"/>
          <w:szCs w:val="24"/>
          <w:lang w:val="en-US"/>
        </w:rPr>
        <w:t>as in</w:t>
      </w:r>
      <w:r w:rsidRPr="00504D7E">
        <w:rPr>
          <w:rFonts w:ascii="Times New Roman" w:hAnsi="Times New Roman"/>
          <w:b w:val="0"/>
          <w:bCs w:val="0"/>
          <w:color w:val="auto"/>
          <w:sz w:val="24"/>
          <w:szCs w:val="24"/>
          <w:lang w:val="en-US"/>
        </w:rPr>
        <w:t xml:space="preserve"> the </w:t>
      </w:r>
      <w:r w:rsidR="0078598B">
        <w:rPr>
          <w:rFonts w:ascii="Times New Roman" w:hAnsi="Times New Roman"/>
          <w:b w:val="0"/>
          <w:bCs w:val="0"/>
          <w:color w:val="auto"/>
          <w:sz w:val="24"/>
          <w:szCs w:val="24"/>
          <w:lang w:val="en-US"/>
        </w:rPr>
        <w:t xml:space="preserve">Ellison and </w:t>
      </w:r>
      <w:proofErr w:type="spellStart"/>
      <w:r w:rsidR="0078598B">
        <w:rPr>
          <w:rFonts w:ascii="Times New Roman" w:hAnsi="Times New Roman"/>
          <w:b w:val="0"/>
          <w:bCs w:val="0"/>
          <w:color w:val="auto"/>
          <w:sz w:val="24"/>
          <w:szCs w:val="24"/>
          <w:lang w:val="en-US"/>
        </w:rPr>
        <w:t>Glaeser</w:t>
      </w:r>
      <w:r w:rsidR="00423603">
        <w:rPr>
          <w:rFonts w:ascii="Times New Roman" w:hAnsi="Times New Roman"/>
          <w:b w:val="0"/>
          <w:bCs w:val="0"/>
          <w:color w:val="auto"/>
          <w:sz w:val="24"/>
          <w:szCs w:val="24"/>
          <w:lang w:val="en-US"/>
        </w:rPr>
        <w:t>’s</w:t>
      </w:r>
      <w:proofErr w:type="spellEnd"/>
      <w:r w:rsidR="00423603">
        <w:rPr>
          <w:rFonts w:ascii="Times New Roman" w:hAnsi="Times New Roman"/>
          <w:b w:val="0"/>
          <w:bCs w:val="0"/>
          <w:color w:val="auto"/>
          <w:sz w:val="24"/>
          <w:szCs w:val="24"/>
          <w:lang w:val="en-US"/>
        </w:rPr>
        <w:t xml:space="preserve"> </w:t>
      </w:r>
      <w:r w:rsidRPr="00504D7E">
        <w:rPr>
          <w:rFonts w:ascii="Times New Roman" w:hAnsi="Times New Roman"/>
          <w:b w:val="0"/>
          <w:bCs w:val="0"/>
          <w:color w:val="auto"/>
          <w:sz w:val="24"/>
          <w:szCs w:val="24"/>
          <w:lang w:val="en-US"/>
        </w:rPr>
        <w:t>approach.</w:t>
      </w:r>
      <w:proofErr w:type="gramEnd"/>
      <w:r w:rsidR="00AA21C7" w:rsidRPr="00504D7E">
        <w:rPr>
          <w:rFonts w:ascii="Times New Roman" w:hAnsi="Times New Roman"/>
          <w:b w:val="0"/>
          <w:bCs w:val="0"/>
          <w:color w:val="auto"/>
          <w:sz w:val="24"/>
          <w:szCs w:val="24"/>
          <w:lang w:val="en-US"/>
        </w:rPr>
        <w:t xml:space="preserve"> </w:t>
      </w:r>
    </w:p>
    <w:p w14:paraId="1B121E8F" w14:textId="4E6A7127" w:rsidR="004A2E10" w:rsidRPr="00504D7E" w:rsidRDefault="004A2E10" w:rsidP="00287D77">
      <w:pPr>
        <w:spacing w:line="480" w:lineRule="auto"/>
        <w:jc w:val="both"/>
        <w:rPr>
          <w:rFonts w:ascii="Times New Roman" w:hAnsi="Times New Roman"/>
          <w:b/>
          <w:bCs/>
          <w:lang w:val="en-US"/>
        </w:rPr>
      </w:pPr>
      <w:r w:rsidRPr="00504D7E">
        <w:rPr>
          <w:rFonts w:ascii="Times New Roman" w:hAnsi="Times New Roman"/>
          <w:lang w:val="en-US"/>
        </w:rPr>
        <w:t xml:space="preserve">We have also </w:t>
      </w:r>
      <w:r w:rsidR="00FD717A" w:rsidRPr="00504D7E">
        <w:rPr>
          <w:rFonts w:ascii="Times New Roman" w:hAnsi="Times New Roman"/>
          <w:lang w:val="en-US"/>
        </w:rPr>
        <w:t>highlighted</w:t>
      </w:r>
      <w:r w:rsidRPr="00504D7E">
        <w:rPr>
          <w:rFonts w:ascii="Times New Roman" w:hAnsi="Times New Roman"/>
          <w:lang w:val="en-US"/>
        </w:rPr>
        <w:t xml:space="preserve"> that </w:t>
      </w:r>
      <w:r w:rsidR="00C376C4">
        <w:rPr>
          <w:rFonts w:ascii="Times New Roman" w:hAnsi="Times New Roman"/>
          <w:lang w:val="en-US"/>
        </w:rPr>
        <w:t>the identification of</w:t>
      </w:r>
      <w:r w:rsidRPr="00504D7E">
        <w:rPr>
          <w:rFonts w:ascii="Times New Roman" w:hAnsi="Times New Roman"/>
          <w:lang w:val="en-US"/>
        </w:rPr>
        <w:t xml:space="preserve"> a significant departure from a random location scenario for the distribution of f</w:t>
      </w:r>
      <w:r w:rsidR="00C376C4">
        <w:rPr>
          <w:rFonts w:ascii="Times New Roman" w:hAnsi="Times New Roman"/>
          <w:lang w:val="en-US"/>
        </w:rPr>
        <w:t>irms across a homogeneous space -</w:t>
      </w:r>
      <w:r w:rsidRPr="00504D7E">
        <w:rPr>
          <w:rFonts w:ascii="Times New Roman" w:hAnsi="Times New Roman"/>
          <w:lang w:val="en-US"/>
        </w:rPr>
        <w:t xml:space="preserve"> a “no localization” state</w:t>
      </w:r>
      <w:r w:rsidR="00C376C4">
        <w:rPr>
          <w:rFonts w:ascii="Times New Roman" w:hAnsi="Times New Roman"/>
          <w:lang w:val="en-US"/>
        </w:rPr>
        <w:t xml:space="preserve">, </w:t>
      </w:r>
      <w:r w:rsidRPr="00504D7E">
        <w:rPr>
          <w:rFonts w:ascii="Times New Roman" w:hAnsi="Times New Roman"/>
          <w:lang w:val="en-US"/>
        </w:rPr>
        <w:t>where even “first nature” location a</w:t>
      </w:r>
      <w:r w:rsidR="00C376C4">
        <w:rPr>
          <w:rFonts w:ascii="Times New Roman" w:hAnsi="Times New Roman"/>
          <w:lang w:val="en-US"/>
        </w:rPr>
        <w:t xml:space="preserve">dvantages are irrelevant </w:t>
      </w:r>
      <w:r w:rsidRPr="00504D7E">
        <w:rPr>
          <w:rFonts w:ascii="Times New Roman" w:hAnsi="Times New Roman"/>
          <w:lang w:val="en-US"/>
        </w:rPr>
        <w:t>- can be associated to</w:t>
      </w:r>
      <w:r w:rsidR="00C376C4">
        <w:rPr>
          <w:rFonts w:ascii="Times New Roman" w:hAnsi="Times New Roman"/>
          <w:lang w:val="en-US"/>
        </w:rPr>
        <w:t xml:space="preserve"> a large entropic distance</w:t>
      </w:r>
      <w:r w:rsidRPr="00504D7E">
        <w:rPr>
          <w:rFonts w:ascii="Times New Roman" w:hAnsi="Times New Roman"/>
          <w:lang w:val="en-US"/>
        </w:rPr>
        <w:t xml:space="preserve"> </w:t>
      </w:r>
      <w:r w:rsidR="00C376C4">
        <w:rPr>
          <w:rFonts w:ascii="Times New Roman" w:hAnsi="Times New Roman"/>
          <w:lang w:val="en-US"/>
        </w:rPr>
        <w:t xml:space="preserve">from </w:t>
      </w:r>
      <w:r w:rsidRPr="00504D7E">
        <w:rPr>
          <w:rFonts w:ascii="Times New Roman" w:hAnsi="Times New Roman"/>
          <w:lang w:val="en-US"/>
        </w:rPr>
        <w:t xml:space="preserve">the uniform distribution. Furthermore, in a frictionless world with perfect and instantaneous mobility of labor across regions, </w:t>
      </w:r>
      <w:r w:rsidR="007542FC" w:rsidRPr="00504D7E">
        <w:rPr>
          <w:rFonts w:ascii="Times New Roman" w:hAnsi="Times New Roman"/>
          <w:lang w:val="en-US"/>
        </w:rPr>
        <w:t xml:space="preserve">and </w:t>
      </w:r>
      <w:r w:rsidR="004169ED" w:rsidRPr="00504D7E">
        <w:rPr>
          <w:rFonts w:ascii="Times New Roman" w:hAnsi="Times New Roman"/>
          <w:lang w:val="en-US"/>
        </w:rPr>
        <w:t>equal-sized</w:t>
      </w:r>
      <w:r w:rsidR="007542FC" w:rsidRPr="00504D7E">
        <w:rPr>
          <w:rFonts w:ascii="Times New Roman" w:hAnsi="Times New Roman"/>
          <w:lang w:val="en-US"/>
        </w:rPr>
        <w:t xml:space="preserve"> firms,</w:t>
      </w:r>
      <w:r w:rsidR="007542FC" w:rsidRPr="00120F0D">
        <w:rPr>
          <w:rFonts w:ascii="Times New Roman" w:hAnsi="Times New Roman"/>
          <w:lang w:val="en-US"/>
        </w:rPr>
        <w:t xml:space="preserve"> </w:t>
      </w:r>
      <w:r w:rsidRPr="00120F0D">
        <w:rPr>
          <w:rFonts w:ascii="Times New Roman" w:hAnsi="Times New Roman"/>
          <w:lang w:val="en-US"/>
        </w:rPr>
        <w:t xml:space="preserve">the spatial distribution of employees should be tailored on the spatial distribution of the existing firms. </w:t>
      </w:r>
      <w:r w:rsidR="00C376C4">
        <w:rPr>
          <w:rFonts w:ascii="Times New Roman" w:hAnsi="Times New Roman"/>
          <w:lang w:val="en-US"/>
        </w:rPr>
        <w:t>In this respect,</w:t>
      </w:r>
      <w:r w:rsidRPr="00120F0D">
        <w:rPr>
          <w:rFonts w:ascii="Times New Roman" w:hAnsi="Times New Roman"/>
          <w:lang w:val="en-US"/>
        </w:rPr>
        <w:t xml:space="preserve"> employees locate in space </w:t>
      </w:r>
      <w:proofErr w:type="gramStart"/>
      <w:r w:rsidRPr="00120F0D">
        <w:rPr>
          <w:rFonts w:ascii="Times New Roman" w:hAnsi="Times New Roman"/>
          <w:lang w:val="en-US"/>
        </w:rPr>
        <w:t>on the basis of</w:t>
      </w:r>
      <w:proofErr w:type="gramEnd"/>
      <w:r w:rsidRPr="00120F0D">
        <w:rPr>
          <w:rFonts w:ascii="Times New Roman" w:hAnsi="Times New Roman"/>
          <w:lang w:val="en-US"/>
        </w:rPr>
        <w:t xml:space="preserve"> the relative number of firms belonging to the available regions. </w:t>
      </w:r>
    </w:p>
    <w:p w14:paraId="727F9529" w14:textId="598A311A" w:rsidR="001A113D" w:rsidRPr="00504D7E" w:rsidRDefault="004A2E10" w:rsidP="001A113D">
      <w:pPr>
        <w:pStyle w:val="Titolo2"/>
        <w:spacing w:line="480" w:lineRule="auto"/>
        <w:jc w:val="both"/>
        <w:rPr>
          <w:rFonts w:ascii="Times New Roman" w:hAnsi="Times New Roman"/>
          <w:b w:val="0"/>
          <w:bCs w:val="0"/>
          <w:color w:val="auto"/>
          <w:sz w:val="24"/>
          <w:szCs w:val="24"/>
          <w:lang w:val="en-US"/>
        </w:rPr>
      </w:pPr>
      <w:r w:rsidRPr="00504D7E">
        <w:rPr>
          <w:rFonts w:ascii="Times New Roman" w:hAnsi="Times New Roman"/>
          <w:b w:val="0"/>
          <w:bCs w:val="0"/>
          <w:color w:val="auto"/>
          <w:sz w:val="24"/>
          <w:szCs w:val="24"/>
          <w:lang w:val="en-US"/>
        </w:rPr>
        <w:lastRenderedPageBreak/>
        <w:t>However, the no-localization state seems to be not recurrent in the reality</w:t>
      </w:r>
      <w:r w:rsidR="00F61CC2">
        <w:rPr>
          <w:rFonts w:ascii="Times New Roman" w:hAnsi="Times New Roman"/>
          <w:b w:val="0"/>
          <w:bCs w:val="0"/>
          <w:color w:val="auto"/>
          <w:sz w:val="24"/>
          <w:szCs w:val="24"/>
          <w:lang w:val="en-US"/>
        </w:rPr>
        <w:t xml:space="preserve"> and the optimal firm size at the industry level is just a theoretical feature</w:t>
      </w:r>
      <w:r w:rsidRPr="00504D7E">
        <w:rPr>
          <w:rFonts w:ascii="Times New Roman" w:hAnsi="Times New Roman"/>
          <w:b w:val="0"/>
          <w:bCs w:val="0"/>
          <w:color w:val="auto"/>
          <w:sz w:val="24"/>
          <w:szCs w:val="24"/>
          <w:lang w:val="en-US"/>
        </w:rPr>
        <w:t>. Hence it is important to identify whether the actual spatial distribution of industries are the expressions of significant deviations from the counterfactual scenario</w:t>
      </w:r>
      <w:r w:rsidR="00E23D38" w:rsidRPr="00504D7E">
        <w:rPr>
          <w:rFonts w:ascii="Times New Roman" w:hAnsi="Times New Roman"/>
          <w:b w:val="0"/>
          <w:bCs w:val="0"/>
          <w:color w:val="auto"/>
          <w:sz w:val="24"/>
          <w:szCs w:val="24"/>
          <w:lang w:val="en-US"/>
        </w:rPr>
        <w:t xml:space="preserve">. </w:t>
      </w:r>
    </w:p>
    <w:p w14:paraId="0AA913B2" w14:textId="4720D90D" w:rsidR="004A2E10" w:rsidRPr="0047667D" w:rsidRDefault="00E23D38" w:rsidP="0047667D">
      <w:pPr>
        <w:pStyle w:val="Titolo2"/>
        <w:spacing w:line="480" w:lineRule="auto"/>
        <w:jc w:val="both"/>
        <w:rPr>
          <w:rFonts w:ascii="Times New Roman" w:hAnsi="Times New Roman"/>
          <w:b w:val="0"/>
          <w:bCs w:val="0"/>
          <w:color w:val="auto"/>
          <w:sz w:val="24"/>
          <w:szCs w:val="24"/>
          <w:lang w:val="en-US"/>
        </w:rPr>
      </w:pPr>
      <w:r w:rsidRPr="0047667D">
        <w:rPr>
          <w:rFonts w:ascii="Times New Roman" w:hAnsi="Times New Roman"/>
          <w:b w:val="0"/>
          <w:bCs w:val="0"/>
          <w:color w:val="auto"/>
          <w:sz w:val="24"/>
          <w:szCs w:val="24"/>
          <w:lang w:val="en-US"/>
        </w:rPr>
        <w:t>C</w:t>
      </w:r>
      <w:r w:rsidR="004A2E10" w:rsidRPr="0047667D">
        <w:rPr>
          <w:rFonts w:ascii="Times New Roman" w:hAnsi="Times New Roman"/>
          <w:b w:val="0"/>
          <w:bCs w:val="0"/>
          <w:color w:val="auto"/>
          <w:sz w:val="24"/>
          <w:szCs w:val="24"/>
          <w:lang w:val="en-US"/>
        </w:rPr>
        <w:t xml:space="preserve">onsistently with the theoretical assumptions explained above, </w:t>
      </w:r>
      <w:r w:rsidRPr="0047667D">
        <w:rPr>
          <w:rFonts w:ascii="Times New Roman" w:hAnsi="Times New Roman"/>
          <w:b w:val="0"/>
          <w:bCs w:val="0"/>
          <w:color w:val="auto"/>
          <w:sz w:val="24"/>
          <w:szCs w:val="24"/>
          <w:lang w:val="en-US"/>
        </w:rPr>
        <w:t xml:space="preserve">we </w:t>
      </w:r>
      <w:r w:rsidR="004A2E10" w:rsidRPr="0047667D">
        <w:rPr>
          <w:rFonts w:ascii="Times New Roman" w:hAnsi="Times New Roman"/>
          <w:b w:val="0"/>
          <w:bCs w:val="0"/>
          <w:color w:val="auto"/>
          <w:sz w:val="24"/>
          <w:szCs w:val="24"/>
          <w:lang w:val="en-US"/>
        </w:rPr>
        <w:t>test this hypothesis by</w:t>
      </w:r>
      <w:r w:rsidRPr="0047667D">
        <w:rPr>
          <w:rFonts w:ascii="Times New Roman" w:hAnsi="Times New Roman"/>
          <w:b w:val="0"/>
          <w:bCs w:val="0"/>
          <w:color w:val="auto"/>
          <w:sz w:val="24"/>
          <w:szCs w:val="24"/>
          <w:lang w:val="en-US"/>
        </w:rPr>
        <w:t xml:space="preserve"> developing confidence intervals for </w:t>
      </w:r>
      <w:r w:rsidR="00D00A03" w:rsidRPr="0047667D">
        <w:rPr>
          <w:rFonts w:ascii="Times New Roman" w:hAnsi="Times New Roman"/>
          <w:b w:val="0"/>
          <w:bCs w:val="0"/>
          <w:color w:val="auto"/>
          <w:sz w:val="24"/>
          <w:szCs w:val="24"/>
          <w:lang w:val="en-US"/>
        </w:rPr>
        <w:t xml:space="preserve">absolute and </w:t>
      </w:r>
      <w:r w:rsidRPr="0047667D">
        <w:rPr>
          <w:rFonts w:ascii="Times New Roman" w:hAnsi="Times New Roman"/>
          <w:b w:val="0"/>
          <w:bCs w:val="0"/>
          <w:color w:val="auto"/>
          <w:sz w:val="24"/>
          <w:szCs w:val="24"/>
          <w:lang w:val="en-US"/>
        </w:rPr>
        <w:t xml:space="preserve">relative entropies </w:t>
      </w:r>
      <w:r w:rsidR="00D00A03" w:rsidRPr="0047667D">
        <w:rPr>
          <w:rFonts w:ascii="Times New Roman" w:hAnsi="Times New Roman"/>
          <w:b w:val="0"/>
          <w:bCs w:val="0"/>
          <w:color w:val="auto"/>
          <w:sz w:val="24"/>
          <w:szCs w:val="24"/>
          <w:lang w:val="en-US"/>
        </w:rPr>
        <w:t xml:space="preserve">defined in equations (1) and (2) </w:t>
      </w:r>
      <w:r w:rsidRPr="0047667D">
        <w:rPr>
          <w:rFonts w:ascii="Times New Roman" w:hAnsi="Times New Roman"/>
          <w:b w:val="0"/>
          <w:bCs w:val="0"/>
          <w:color w:val="auto"/>
          <w:sz w:val="24"/>
          <w:szCs w:val="24"/>
          <w:lang w:val="en-US"/>
        </w:rPr>
        <w:t>and</w:t>
      </w:r>
      <w:r w:rsidR="004A2E10" w:rsidRPr="0047667D">
        <w:rPr>
          <w:rFonts w:ascii="Times New Roman" w:hAnsi="Times New Roman"/>
          <w:b w:val="0"/>
          <w:bCs w:val="0"/>
          <w:color w:val="auto"/>
          <w:sz w:val="24"/>
          <w:szCs w:val="24"/>
          <w:lang w:val="en-US"/>
        </w:rPr>
        <w:t xml:space="preserve"> finding threshold levels able to distinguish systematic localization pattern</w:t>
      </w:r>
      <w:r w:rsidR="00FD717A" w:rsidRPr="0047667D">
        <w:rPr>
          <w:rFonts w:ascii="Times New Roman" w:hAnsi="Times New Roman"/>
          <w:b w:val="0"/>
          <w:bCs w:val="0"/>
          <w:color w:val="auto"/>
          <w:sz w:val="24"/>
          <w:szCs w:val="24"/>
          <w:lang w:val="en-US"/>
        </w:rPr>
        <w:t>s</w:t>
      </w:r>
      <w:r w:rsidR="004A2E10" w:rsidRPr="0047667D">
        <w:rPr>
          <w:rFonts w:ascii="Times New Roman" w:hAnsi="Times New Roman"/>
          <w:b w:val="0"/>
          <w:bCs w:val="0"/>
          <w:color w:val="auto"/>
          <w:sz w:val="24"/>
          <w:szCs w:val="24"/>
          <w:lang w:val="en-US"/>
        </w:rPr>
        <w:t xml:space="preserve"> purposely different from the ideal counterfactual scenario.</w:t>
      </w:r>
      <w:r w:rsidR="0047667D" w:rsidRPr="0047667D">
        <w:rPr>
          <w:rFonts w:ascii="Times New Roman" w:hAnsi="Times New Roman"/>
          <w:b w:val="0"/>
          <w:bCs w:val="0"/>
          <w:color w:val="auto"/>
          <w:sz w:val="24"/>
          <w:szCs w:val="24"/>
          <w:lang w:val="en-US"/>
        </w:rPr>
        <w:t xml:space="preserve"> </w:t>
      </w:r>
      <w:r w:rsidR="0047667D" w:rsidRPr="0047667D">
        <w:rPr>
          <w:rFonts w:ascii="Times New Roman" w:hAnsi="Times New Roman"/>
          <w:b w:val="0"/>
          <w:bCs w:val="0"/>
          <w:color w:val="auto"/>
          <w:sz w:val="24"/>
          <w:szCs w:val="24"/>
          <w:lang w:val="en-US"/>
        </w:rPr>
        <w:t xml:space="preserve">The main difference between relative and absolute entropy lies in the form of the counterfactual distribution. The latter type of entropy </w:t>
      </w:r>
      <w:proofErr w:type="gramStart"/>
      <w:r w:rsidR="0047667D" w:rsidRPr="0047667D">
        <w:rPr>
          <w:rFonts w:ascii="Times New Roman" w:hAnsi="Times New Roman"/>
          <w:b w:val="0"/>
          <w:bCs w:val="0"/>
          <w:color w:val="auto"/>
          <w:sz w:val="24"/>
          <w:szCs w:val="24"/>
          <w:lang w:val="en-US"/>
        </w:rPr>
        <w:t>is used</w:t>
      </w:r>
      <w:proofErr w:type="gramEnd"/>
      <w:r w:rsidR="0047667D" w:rsidRPr="0047667D">
        <w:rPr>
          <w:rFonts w:ascii="Times New Roman" w:hAnsi="Times New Roman"/>
          <w:b w:val="0"/>
          <w:bCs w:val="0"/>
          <w:color w:val="auto"/>
          <w:sz w:val="24"/>
          <w:szCs w:val="24"/>
          <w:lang w:val="en-US"/>
        </w:rPr>
        <w:t xml:space="preserve"> when one has to compare a given distribution with the uniform one, while the former does not require the uniform distribution and can be used in a general case.</w:t>
      </w:r>
    </w:p>
    <w:p w14:paraId="30611680" w14:textId="72B2BCC6" w:rsidR="00D37CAC" w:rsidRPr="00504D7E" w:rsidRDefault="00E779E9" w:rsidP="00B9552C">
      <w:pPr>
        <w:spacing w:line="480" w:lineRule="auto"/>
        <w:jc w:val="both"/>
        <w:rPr>
          <w:rFonts w:ascii="Times New Roman" w:hAnsi="Times New Roman"/>
          <w:lang w:val="en-US"/>
        </w:rPr>
      </w:pPr>
      <w:r w:rsidRPr="00504D7E">
        <w:rPr>
          <w:rFonts w:ascii="Times New Roman" w:hAnsi="Times New Roman"/>
          <w:lang w:val="en-US"/>
        </w:rPr>
        <w:t xml:space="preserve">Testing for localization </w:t>
      </w:r>
      <w:r w:rsidR="002D69B4" w:rsidRPr="00504D7E">
        <w:rPr>
          <w:rFonts w:ascii="Times New Roman" w:hAnsi="Times New Roman"/>
          <w:lang w:val="en-US"/>
        </w:rPr>
        <w:t>for</w:t>
      </w:r>
      <w:r w:rsidR="00683F2C" w:rsidRPr="00504D7E">
        <w:rPr>
          <w:rFonts w:ascii="Times New Roman" w:hAnsi="Times New Roman"/>
          <w:lang w:val="en-US"/>
        </w:rPr>
        <w:t xml:space="preserve"> </w:t>
      </w:r>
      <w:r w:rsidR="00D00A03" w:rsidRPr="00504D7E">
        <w:rPr>
          <w:rFonts w:ascii="Times New Roman" w:hAnsi="Times New Roman"/>
          <w:lang w:val="en-US"/>
        </w:rPr>
        <w:t xml:space="preserve">absolute and </w:t>
      </w:r>
      <w:r w:rsidR="00683F2C" w:rsidRPr="00504D7E">
        <w:rPr>
          <w:rFonts w:ascii="Times New Roman" w:hAnsi="Times New Roman"/>
          <w:lang w:val="en-US"/>
        </w:rPr>
        <w:t xml:space="preserve">relative entropy measures </w:t>
      </w:r>
      <w:r w:rsidRPr="00504D7E">
        <w:rPr>
          <w:rFonts w:ascii="Times New Roman" w:hAnsi="Times New Roman"/>
          <w:lang w:val="en-US"/>
        </w:rPr>
        <w:t>naturally involve testing the following null:</w:t>
      </w:r>
    </w:p>
    <w:p w14:paraId="485700F2" w14:textId="39ED710D" w:rsidR="00D37CAC" w:rsidRPr="00120F0D" w:rsidRDefault="00E779E9" w:rsidP="00B9552C">
      <w:pPr>
        <w:spacing w:line="480" w:lineRule="auto"/>
        <w:jc w:val="both"/>
        <w:rPr>
          <w:rFonts w:ascii="Cambria Math" w:hAnsi="Cambria Math"/>
          <w:lang w:val="en-US"/>
          <w:oMath/>
        </w:rPr>
      </w:pPr>
      <m:oMathPara>
        <m:oMath>
          <m:r>
            <w:rPr>
              <w:rFonts w:ascii="Cambria Math" w:hAnsi="Cambria Math"/>
              <w:lang w:val="en-US"/>
            </w:rPr>
            <m:t>H0:      I≤</m:t>
          </m:r>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m:oMathPara>
    </w:p>
    <w:p w14:paraId="4B95FE31" w14:textId="51306142" w:rsidR="00D37CAC" w:rsidRPr="00504D7E" w:rsidRDefault="00D37CAC" w:rsidP="00B9552C">
      <w:pPr>
        <w:spacing w:line="480" w:lineRule="auto"/>
        <w:jc w:val="both"/>
        <w:rPr>
          <w:rFonts w:ascii="Times New Roman" w:hAnsi="Times New Roman"/>
          <w:lang w:val="en-US"/>
        </w:rPr>
      </w:pPr>
      <w:r w:rsidRPr="00120F0D">
        <w:rPr>
          <w:rFonts w:ascii="Times New Roman" w:hAnsi="Times New Roman"/>
          <w:lang w:val="en-US"/>
        </w:rPr>
        <w:t>The rejection region</w:t>
      </w:r>
      <w:r w:rsidR="00C66CC1" w:rsidRPr="00120F0D">
        <w:rPr>
          <w:rFonts w:ascii="Times New Roman" w:hAnsi="Times New Roman"/>
          <w:lang w:val="en-US"/>
        </w:rPr>
        <w:t xml:space="preserve"> is</w:t>
      </w:r>
      <w:r w:rsidRPr="00504D7E">
        <w:rPr>
          <w:rFonts w:ascii="Times New Roman" w:hAnsi="Times New Roman"/>
          <w:lang w:val="en-US"/>
        </w:rPr>
        <w:t xml:space="preserve"> identified by the alternative hypoth</w:t>
      </w:r>
      <w:r w:rsidR="006B52F0" w:rsidRPr="00504D7E">
        <w:rPr>
          <w:rFonts w:ascii="Times New Roman" w:hAnsi="Times New Roman"/>
          <w:lang w:val="en-US"/>
        </w:rPr>
        <w:t>esi</w:t>
      </w:r>
      <w:r w:rsidR="007542FC" w:rsidRPr="00504D7E">
        <w:rPr>
          <w:rFonts w:ascii="Times New Roman" w:hAnsi="Times New Roman"/>
          <w:lang w:val="en-US"/>
        </w:rPr>
        <w:t>s</w:t>
      </w:r>
      <w:r w:rsidRPr="00504D7E">
        <w:rPr>
          <w:rFonts w:ascii="Times New Roman" w:hAnsi="Times New Roman"/>
          <w:lang w:val="en-US"/>
        </w:rPr>
        <w:t>:</w:t>
      </w:r>
    </w:p>
    <w:p w14:paraId="73D8FA79" w14:textId="34C3EDE6" w:rsidR="005C52AA" w:rsidRPr="00504D7E" w:rsidRDefault="00E779E9" w:rsidP="00B9552C">
      <w:pPr>
        <w:spacing w:line="480" w:lineRule="auto"/>
        <w:jc w:val="both"/>
        <w:rPr>
          <w:rFonts w:ascii="Times New Roman" w:hAnsi="Times New Roman"/>
          <w:lang w:val="en-US"/>
        </w:rPr>
      </w:pPr>
      <m:oMathPara>
        <m:oMath>
          <m:r>
            <w:rPr>
              <w:rFonts w:ascii="Cambria Math" w:hAnsi="Cambria Math"/>
              <w:lang w:val="en-US"/>
            </w:rPr>
            <m:t>Ha:         I&gt;</m:t>
          </m:r>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m:oMathPara>
    </w:p>
    <w:p w14:paraId="660DEE9D" w14:textId="34CBAF4A" w:rsidR="00303770" w:rsidRDefault="005C52AA" w:rsidP="00B9552C">
      <w:pPr>
        <w:spacing w:line="480" w:lineRule="auto"/>
        <w:jc w:val="both"/>
        <w:rPr>
          <w:rFonts w:ascii="Times New Roman" w:hAnsi="Times New Roman"/>
          <w:lang w:val="en-US"/>
        </w:rPr>
      </w:pPr>
      <w:proofErr w:type="gramStart"/>
      <w:r w:rsidRPr="00504D7E">
        <w:rPr>
          <w:rFonts w:ascii="Times New Roman" w:hAnsi="Times New Roman"/>
          <w:lang w:val="en-US"/>
        </w:rPr>
        <w:t>where</w:t>
      </w:r>
      <w:proofErr w:type="gramEnd"/>
      <w:r w:rsidRPr="00504D7E">
        <w:rPr>
          <w:rFonts w:ascii="Times New Roman" w:hAnsi="Times New Roman"/>
          <w:lang w:val="en-US"/>
        </w:rPr>
        <w:t xml:space="preserve"> </w:t>
      </w:r>
      <m:oMath>
        <m:r>
          <w:rPr>
            <w:rFonts w:ascii="Cambria Math" w:hAnsi="Cambria Math"/>
            <w:lang w:val="en-US"/>
          </w:rPr>
          <m:t>I</m:t>
        </m:r>
      </m:oMath>
      <w:r w:rsidRPr="00504D7E">
        <w:rPr>
          <w:rFonts w:ascii="Times New Roman" w:hAnsi="Times New Roman"/>
          <w:lang w:val="en-US"/>
        </w:rPr>
        <w:t xml:space="preserve"> </w:t>
      </w:r>
      <w:r w:rsidR="00364B95">
        <w:rPr>
          <w:rFonts w:ascii="Times New Roman" w:hAnsi="Times New Roman"/>
          <w:lang w:val="en-US"/>
        </w:rPr>
        <w:t>represents</w:t>
      </w:r>
      <w:r w:rsidR="00364B95" w:rsidRPr="00504D7E">
        <w:rPr>
          <w:rFonts w:ascii="Times New Roman" w:hAnsi="Times New Roman"/>
          <w:lang w:val="en-US"/>
        </w:rPr>
        <w:t xml:space="preserve"> </w:t>
      </w:r>
      <w:r w:rsidRPr="00504D7E">
        <w:rPr>
          <w:rFonts w:ascii="Times New Roman" w:hAnsi="Times New Roman"/>
          <w:lang w:val="en-US"/>
        </w:rPr>
        <w:t xml:space="preserve">one of the entropy statistics </w:t>
      </w:r>
      <w:r w:rsidR="007542FC" w:rsidRPr="00504D7E">
        <w:rPr>
          <w:rFonts w:ascii="Times New Roman" w:hAnsi="Times New Roman"/>
          <w:lang w:val="en-US"/>
        </w:rPr>
        <w:t xml:space="preserve">measuring </w:t>
      </w:r>
      <w:r w:rsidR="00DE3571" w:rsidRPr="00504D7E">
        <w:rPr>
          <w:rFonts w:ascii="Times New Roman" w:hAnsi="Times New Roman"/>
          <w:lang w:val="en-US"/>
        </w:rPr>
        <w:t>either the spatial concentration of establishments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s</m:t>
            </m:r>
          </m:sub>
          <m:sup/>
        </m:sSubSup>
      </m:oMath>
      <w:r w:rsidR="00DE3571" w:rsidRPr="00120F0D">
        <w:rPr>
          <w:rFonts w:ascii="Times New Roman" w:hAnsi="Times New Roman"/>
          <w:lang w:val="en-US"/>
        </w:rPr>
        <w:t xml:space="preserve">), defined in equation (1) or </w:t>
      </w:r>
      <w:r w:rsidR="007542FC" w:rsidRPr="00120F0D">
        <w:rPr>
          <w:rFonts w:ascii="Times New Roman" w:hAnsi="Times New Roman"/>
          <w:lang w:val="en-US"/>
        </w:rPr>
        <w:t xml:space="preserve">the dissimilarity between </w:t>
      </w:r>
      <w:r w:rsidR="00364B95" w:rsidRPr="00120F0D">
        <w:rPr>
          <w:rFonts w:ascii="Times New Roman" w:hAnsi="Times New Roman"/>
          <w:lang w:val="en-US"/>
        </w:rPr>
        <w:t>employ</w:t>
      </w:r>
      <w:r w:rsidR="00364B95">
        <w:rPr>
          <w:rFonts w:ascii="Times New Roman" w:hAnsi="Times New Roman"/>
          <w:lang w:val="en-US"/>
        </w:rPr>
        <w:t xml:space="preserve">ees </w:t>
      </w:r>
      <w:r w:rsidR="007542FC" w:rsidRPr="00120F0D">
        <w:rPr>
          <w:rFonts w:ascii="Times New Roman" w:hAnsi="Times New Roman"/>
          <w:lang w:val="en-US"/>
        </w:rPr>
        <w:t>and establishment</w:t>
      </w:r>
      <w:r w:rsidR="00D71F65">
        <w:rPr>
          <w:rFonts w:ascii="Times New Roman" w:hAnsi="Times New Roman"/>
          <w:lang w:val="en-US"/>
        </w:rPr>
        <w:t>s</w:t>
      </w:r>
      <w:r w:rsidR="007542FC" w:rsidRPr="00120F0D">
        <w:rPr>
          <w:rFonts w:ascii="Times New Roman" w:hAnsi="Times New Roman"/>
          <w:lang w:val="en-US"/>
        </w:rPr>
        <w:t xml:space="preserve"> for</w:t>
      </w:r>
      <w:r w:rsidRPr="00120F0D">
        <w:rPr>
          <w:rFonts w:ascii="Times New Roman" w:hAnsi="Times New Roman"/>
          <w:lang w:val="en-US"/>
        </w:rPr>
        <w:t xml:space="preserve"> </w:t>
      </w:r>
      <w:r w:rsidR="007542FC" w:rsidRPr="00120F0D">
        <w:rPr>
          <w:rFonts w:ascii="Times New Roman" w:hAnsi="Times New Roman"/>
          <w:lang w:val="en-US"/>
        </w:rPr>
        <w:t>each</w:t>
      </w:r>
      <w:r w:rsidRPr="00504D7E">
        <w:rPr>
          <w:rFonts w:ascii="Times New Roman" w:hAnsi="Times New Roman"/>
          <w:lang w:val="en-US"/>
        </w:rPr>
        <w:t xml:space="preserve"> sector </w:t>
      </w:r>
      <w:r w:rsidRPr="00504D7E">
        <w:rPr>
          <w:rFonts w:ascii="Times New Roman" w:hAnsi="Times New Roman"/>
          <w:i/>
          <w:lang w:val="en-US"/>
        </w:rPr>
        <w:t xml:space="preserve">s </w:t>
      </w:r>
      <w:r w:rsidRPr="00504D7E">
        <w:rPr>
          <w:rFonts w:ascii="Times New Roman" w:hAnsi="Times New Roman"/>
          <w:lang w:val="en-US"/>
        </w:rPr>
        <w:t>(</w:t>
      </w:r>
      <m:oMath>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s</m:t>
            </m:r>
          </m:sub>
          <m:sup/>
        </m:sSubSup>
      </m:oMath>
      <w:r w:rsidRPr="00120F0D">
        <w:rPr>
          <w:rFonts w:ascii="Times New Roman" w:hAnsi="Times New Roman"/>
          <w:lang w:val="en-US"/>
        </w:rPr>
        <w:t>)</w:t>
      </w:r>
      <w:r w:rsidR="00DE3571" w:rsidRPr="00120F0D">
        <w:rPr>
          <w:rFonts w:ascii="Times New Roman" w:hAnsi="Times New Roman"/>
          <w:lang w:val="en-US"/>
        </w:rPr>
        <w:t xml:space="preserve">, defined in equation </w:t>
      </w:r>
      <w:r w:rsidR="00D00A03" w:rsidRPr="00120F0D">
        <w:rPr>
          <w:rFonts w:ascii="Times New Roman" w:hAnsi="Times New Roman"/>
          <w:lang w:val="en-US"/>
        </w:rPr>
        <w:t>(</w:t>
      </w:r>
      <w:r w:rsidR="00C66CC1" w:rsidRPr="00120F0D">
        <w:rPr>
          <w:rFonts w:ascii="Times New Roman" w:hAnsi="Times New Roman"/>
          <w:lang w:val="en-US"/>
        </w:rPr>
        <w:t>2)</w:t>
      </w:r>
      <w:r w:rsidR="00DE3571" w:rsidRPr="00504D7E">
        <w:rPr>
          <w:rFonts w:ascii="Times New Roman" w:hAnsi="Times New Roman"/>
          <w:lang w:val="en-US"/>
        </w:rPr>
        <w:t>.</w:t>
      </w:r>
      <w:r w:rsidR="00364B95">
        <w:rPr>
          <w:rFonts w:ascii="Times New Roman" w:hAnsi="Times New Roman"/>
          <w:lang w:val="en-US"/>
        </w:rPr>
        <w:t xml:space="preserve"> </w:t>
      </w:r>
      <w:r w:rsidRPr="00504D7E">
        <w:rPr>
          <w:rFonts w:ascii="Times New Roman" w:hAnsi="Times New Roman"/>
          <w:lang w:val="en-US"/>
        </w:rPr>
        <w:t>The threshold</w:t>
      </w:r>
      <w:r w:rsidR="00D00A03" w:rsidRPr="00504D7E">
        <w:rPr>
          <w:rFonts w:ascii="Times New Roman" w:hAnsi="Times New Roman"/>
          <w:lang w:val="en-US"/>
        </w:rPr>
        <w:t xml:space="preserve"> </w:t>
      </w:r>
      <m:oMath>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w:r w:rsidRPr="00120F0D">
        <w:rPr>
          <w:rFonts w:ascii="Times New Roman" w:hAnsi="Times New Roman"/>
          <w:lang w:val="en-US"/>
        </w:rPr>
        <w:t xml:space="preserve"> represent</w:t>
      </w:r>
      <w:r w:rsidR="00364B95">
        <w:rPr>
          <w:rFonts w:ascii="Times New Roman" w:hAnsi="Times New Roman"/>
          <w:lang w:val="en-US"/>
        </w:rPr>
        <w:t>s</w:t>
      </w:r>
      <w:r w:rsidRPr="00120F0D">
        <w:rPr>
          <w:rFonts w:ascii="Times New Roman" w:hAnsi="Times New Roman"/>
          <w:lang w:val="en-US"/>
        </w:rPr>
        <w:t xml:space="preserve"> the critical </w:t>
      </w:r>
      <w:r w:rsidR="002F0148" w:rsidRPr="00120F0D">
        <w:rPr>
          <w:rFonts w:ascii="Times New Roman" w:hAnsi="Times New Roman"/>
          <w:lang w:val="en-US"/>
        </w:rPr>
        <w:t>value that</w:t>
      </w:r>
      <w:r w:rsidR="002435EA" w:rsidRPr="00504D7E">
        <w:rPr>
          <w:rFonts w:ascii="Times New Roman" w:hAnsi="Times New Roman"/>
          <w:lang w:val="en-US"/>
        </w:rPr>
        <w:t xml:space="preserve"> define the</w:t>
      </w:r>
      <w:r w:rsidR="00386BDD" w:rsidRPr="00504D7E">
        <w:rPr>
          <w:rFonts w:ascii="Times New Roman" w:hAnsi="Times New Roman"/>
          <w:lang w:val="en-US"/>
        </w:rPr>
        <w:t xml:space="preserve"> rejection region</w:t>
      </w:r>
      <w:r w:rsidR="00D00A03" w:rsidRPr="00504D7E">
        <w:rPr>
          <w:rFonts w:ascii="Times New Roman" w:hAnsi="Times New Roman"/>
          <w:lang w:val="en-US"/>
        </w:rPr>
        <w:t>s</w:t>
      </w:r>
      <w:r w:rsidR="00386BDD" w:rsidRPr="00504D7E">
        <w:rPr>
          <w:rFonts w:ascii="Times New Roman" w:hAnsi="Times New Roman"/>
          <w:lang w:val="en-US"/>
        </w:rPr>
        <w:t>.</w:t>
      </w:r>
      <w:r w:rsidRPr="00504D7E">
        <w:rPr>
          <w:rFonts w:ascii="Times New Roman" w:hAnsi="Times New Roman"/>
          <w:lang w:val="en-US"/>
        </w:rPr>
        <w:t xml:space="preserve"> </w:t>
      </w:r>
      <w:r w:rsidR="000D7E45">
        <w:rPr>
          <w:rFonts w:ascii="Times New Roman" w:hAnsi="Times New Roman"/>
          <w:lang w:val="en-US"/>
        </w:rPr>
        <w:t xml:space="preserve">The dependence of </w:t>
      </w:r>
      <m:oMath>
        <m:r>
          <w:rPr>
            <w:rFonts w:ascii="Cambria Math" w:hAnsi="Cambria Math"/>
            <w:lang w:val="en-US"/>
          </w:rPr>
          <m:t>I</m:t>
        </m:r>
      </m:oMath>
      <w:r w:rsidR="000D7E45" w:rsidRPr="00504D7E">
        <w:rPr>
          <w:rFonts w:ascii="Times New Roman" w:hAnsi="Times New Roman"/>
          <w:lang w:val="en-US"/>
        </w:rPr>
        <w:t xml:space="preserve"> </w:t>
      </w:r>
      <w:r w:rsidR="000D7E45">
        <w:rPr>
          <w:rFonts w:ascii="Times New Roman" w:hAnsi="Times New Roman"/>
          <w:lang w:val="en-US"/>
        </w:rPr>
        <w:t xml:space="preserve">and </w:t>
      </w:r>
      <m:oMath>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w:r w:rsidR="000D7E45">
        <w:rPr>
          <w:rFonts w:ascii="Times New Roman" w:hAnsi="Times New Roman"/>
          <w:lang w:val="en-US"/>
        </w:rPr>
        <w:t xml:space="preserve"> from </w:t>
      </w:r>
      <m:oMath>
        <m:r>
          <w:rPr>
            <w:rFonts w:ascii="Cambria Math" w:hAnsi="Cambria Math"/>
            <w:lang w:val="en-US"/>
          </w:rPr>
          <m:t>s</m:t>
        </m:r>
      </m:oMath>
      <w:r w:rsidR="000D7E45">
        <w:rPr>
          <w:rFonts w:ascii="Times New Roman" w:hAnsi="Times New Roman"/>
          <w:lang w:val="en-US"/>
        </w:rPr>
        <w:t xml:space="preserve"> is conveniently removed from the notation.</w:t>
      </w:r>
    </w:p>
    <w:p w14:paraId="05108CA4" w14:textId="0988A263" w:rsidR="0047667D" w:rsidRPr="00504D7E" w:rsidRDefault="0047667D" w:rsidP="00B9552C">
      <w:pPr>
        <w:spacing w:line="480" w:lineRule="auto"/>
        <w:jc w:val="both"/>
        <w:rPr>
          <w:rFonts w:ascii="Times New Roman" w:hAnsi="Times New Roman"/>
          <w:lang w:val="en-US"/>
        </w:rPr>
      </w:pPr>
      <w:r>
        <w:rPr>
          <w:rFonts w:ascii="Times New Roman" w:hAnsi="Times New Roman"/>
          <w:lang w:val="en-US"/>
        </w:rPr>
        <w:t>We notice that the shape of null and alternative hypothesis is the same in both of cases of firms and employees. We do not use two different notations for the sake of simplicity.</w:t>
      </w:r>
    </w:p>
    <w:p w14:paraId="3F87E436" w14:textId="59410462" w:rsidR="001152EA" w:rsidRPr="00504D7E" w:rsidRDefault="001152EA" w:rsidP="00B9552C">
      <w:pPr>
        <w:spacing w:line="480" w:lineRule="auto"/>
        <w:jc w:val="both"/>
        <w:rPr>
          <w:rFonts w:ascii="Times New Roman" w:hAnsi="Times New Roman"/>
          <w:lang w:val="en-US"/>
        </w:rPr>
      </w:pPr>
      <w:r w:rsidRPr="00504D7E">
        <w:rPr>
          <w:rFonts w:ascii="Times New Roman" w:hAnsi="Times New Roman"/>
          <w:lang w:val="en-US"/>
        </w:rPr>
        <w:lastRenderedPageBreak/>
        <w:t xml:space="preserve">The counterfactual </w:t>
      </w:r>
      <w:r w:rsidR="003C5B67" w:rsidRPr="00504D7E">
        <w:rPr>
          <w:rFonts w:ascii="Times New Roman" w:hAnsi="Times New Roman"/>
          <w:lang w:val="en-US"/>
        </w:rPr>
        <w:t>distribution</w:t>
      </w:r>
      <w:r w:rsidRPr="00504D7E">
        <w:rPr>
          <w:rFonts w:ascii="Times New Roman" w:hAnsi="Times New Roman"/>
          <w:lang w:val="en-US"/>
        </w:rPr>
        <w:t xml:space="preserve"> associated to the null h</w:t>
      </w:r>
      <w:r w:rsidR="003C5B67" w:rsidRPr="00504D7E">
        <w:rPr>
          <w:rFonts w:ascii="Times New Roman" w:hAnsi="Times New Roman"/>
          <w:lang w:val="en-US"/>
        </w:rPr>
        <w:t xml:space="preserve">ypothesis of the test </w:t>
      </w:r>
      <w:proofErr w:type="gramStart"/>
      <w:r w:rsidR="002435EA" w:rsidRPr="00504D7E">
        <w:rPr>
          <w:rFonts w:ascii="Times New Roman" w:hAnsi="Times New Roman"/>
          <w:lang w:val="en-US"/>
        </w:rPr>
        <w:t xml:space="preserve">is </w:t>
      </w:r>
      <w:r w:rsidR="003C5B67" w:rsidRPr="00504D7E">
        <w:rPr>
          <w:rFonts w:ascii="Times New Roman" w:hAnsi="Times New Roman"/>
          <w:lang w:val="en-US"/>
        </w:rPr>
        <w:t>constructed</w:t>
      </w:r>
      <w:proofErr w:type="gramEnd"/>
      <w:r w:rsidR="003C5B67" w:rsidRPr="00504D7E">
        <w:rPr>
          <w:rFonts w:ascii="Times New Roman" w:hAnsi="Times New Roman"/>
          <w:lang w:val="en-US"/>
        </w:rPr>
        <w:t xml:space="preserve"> under</w:t>
      </w:r>
      <w:r w:rsidRPr="00504D7E">
        <w:rPr>
          <w:rFonts w:ascii="Times New Roman" w:hAnsi="Times New Roman"/>
          <w:lang w:val="en-US"/>
        </w:rPr>
        <w:t xml:space="preserve"> a location </w:t>
      </w:r>
      <w:r w:rsidR="003C5B67" w:rsidRPr="00504D7E">
        <w:rPr>
          <w:rFonts w:ascii="Times New Roman" w:hAnsi="Times New Roman"/>
          <w:lang w:val="en-US"/>
        </w:rPr>
        <w:t>scenario</w:t>
      </w:r>
      <w:r w:rsidR="00DE3571" w:rsidRPr="00504D7E">
        <w:rPr>
          <w:rFonts w:ascii="Times New Roman" w:hAnsi="Times New Roman"/>
          <w:lang w:val="en-US"/>
        </w:rPr>
        <w:t>,</w:t>
      </w:r>
      <w:r w:rsidR="006B52F0" w:rsidRPr="00504D7E">
        <w:rPr>
          <w:rFonts w:ascii="Times New Roman" w:hAnsi="Times New Roman"/>
          <w:lang w:val="en-US"/>
        </w:rPr>
        <w:t xml:space="preserve"> which</w:t>
      </w:r>
      <w:r w:rsidRPr="00504D7E">
        <w:rPr>
          <w:rFonts w:ascii="Times New Roman" w:hAnsi="Times New Roman"/>
          <w:lang w:val="en-US"/>
        </w:rPr>
        <w:t xml:space="preserve"> refers to the theoretical spatial distributions of </w:t>
      </w:r>
      <w:r w:rsidR="00364B95">
        <w:rPr>
          <w:rFonts w:ascii="Times New Roman" w:hAnsi="Times New Roman"/>
          <w:lang w:val="en-US"/>
        </w:rPr>
        <w:t xml:space="preserve">firms and </w:t>
      </w:r>
      <w:r w:rsidRPr="00504D7E">
        <w:rPr>
          <w:rFonts w:ascii="Times New Roman" w:hAnsi="Times New Roman"/>
          <w:lang w:val="en-US"/>
        </w:rPr>
        <w:t xml:space="preserve">workers that would have arisen in the absence of various agglomeration forces. </w:t>
      </w:r>
      <w:r w:rsidR="006B52F0" w:rsidRPr="00504D7E">
        <w:rPr>
          <w:rFonts w:ascii="Times New Roman" w:hAnsi="Times New Roman"/>
          <w:lang w:val="en-US"/>
        </w:rPr>
        <w:t>We elaborate on this assumption.</w:t>
      </w:r>
    </w:p>
    <w:p w14:paraId="5B4ACA07" w14:textId="316360A5" w:rsidR="00152DFD" w:rsidRPr="00504D7E" w:rsidRDefault="00152DFD" w:rsidP="007B78BC">
      <w:pPr>
        <w:spacing w:line="480" w:lineRule="auto"/>
        <w:jc w:val="both"/>
        <w:rPr>
          <w:rFonts w:ascii="Times New Roman" w:hAnsi="Times New Roman"/>
          <w:lang w:val="en-US"/>
        </w:rPr>
      </w:pPr>
      <w:r w:rsidRPr="00504D7E">
        <w:rPr>
          <w:rFonts w:ascii="Times New Roman" w:hAnsi="Times New Roman"/>
          <w:lang w:val="en-US"/>
        </w:rPr>
        <w:t xml:space="preserve">In a neutral world where regions are identical and decisions are taken without involving any specific preference, then location of firms </w:t>
      </w:r>
      <w:r w:rsidR="006B52F0" w:rsidRPr="00504D7E">
        <w:rPr>
          <w:rFonts w:ascii="Times New Roman" w:hAnsi="Times New Roman"/>
          <w:lang w:val="en-US"/>
        </w:rPr>
        <w:t xml:space="preserve">is a </w:t>
      </w:r>
      <w:r w:rsidRPr="00504D7E">
        <w:rPr>
          <w:rFonts w:ascii="Times New Roman" w:hAnsi="Times New Roman"/>
          <w:lang w:val="en-US"/>
        </w:rPr>
        <w:t>purely random process. Instead, in the real world, location processes are related to factors such as demand distribution in space, transport costs and agglomerative forces such as increasing returns to scale (internal or external to the firm), as in the well-known synthesis of the New Economic Geography.</w:t>
      </w:r>
    </w:p>
    <w:p w14:paraId="5F354349" w14:textId="1EF2B5B4" w:rsidR="005D27AD" w:rsidRPr="00504D7E" w:rsidRDefault="007B3421" w:rsidP="007F4EAE">
      <w:pPr>
        <w:spacing w:line="480" w:lineRule="auto"/>
        <w:jc w:val="both"/>
        <w:rPr>
          <w:rFonts w:ascii="Times New Roman" w:hAnsi="Times New Roman"/>
          <w:lang w:val="en-US"/>
        </w:rPr>
      </w:pPr>
      <w:r w:rsidRPr="00504D7E">
        <w:rPr>
          <w:rFonts w:ascii="Times New Roman" w:hAnsi="Times New Roman"/>
          <w:lang w:val="en-US"/>
        </w:rPr>
        <w:t>We postulate</w:t>
      </w:r>
      <w:r w:rsidR="001A4CFC" w:rsidRPr="00504D7E">
        <w:rPr>
          <w:rFonts w:ascii="Times New Roman" w:hAnsi="Times New Roman"/>
          <w:lang w:val="en-US"/>
        </w:rPr>
        <w:t xml:space="preserve"> that firms create jobs and employees immediately follow.  Hence, in </w:t>
      </w:r>
      <w:r w:rsidR="008D0F21" w:rsidRPr="00504D7E">
        <w:rPr>
          <w:rFonts w:ascii="Times New Roman" w:hAnsi="Times New Roman"/>
          <w:lang w:val="en-US"/>
        </w:rPr>
        <w:t>the</w:t>
      </w:r>
      <w:r w:rsidR="004B3342" w:rsidRPr="00504D7E">
        <w:rPr>
          <w:rFonts w:ascii="Times New Roman" w:hAnsi="Times New Roman"/>
          <w:lang w:val="en-US"/>
        </w:rPr>
        <w:t xml:space="preserve"> counterfactual </w:t>
      </w:r>
      <w:r w:rsidR="00364B95" w:rsidRPr="00504D7E">
        <w:rPr>
          <w:rFonts w:ascii="Times New Roman" w:hAnsi="Times New Roman"/>
          <w:lang w:val="en-US"/>
        </w:rPr>
        <w:t>distribution</w:t>
      </w:r>
      <w:r w:rsidR="00364B95">
        <w:rPr>
          <w:rFonts w:ascii="Times New Roman" w:hAnsi="Times New Roman"/>
          <w:lang w:val="en-US"/>
        </w:rPr>
        <w:t>,</w:t>
      </w:r>
      <w:r w:rsidR="00364B95" w:rsidRPr="00504D7E">
        <w:rPr>
          <w:rFonts w:ascii="Times New Roman" w:hAnsi="Times New Roman"/>
          <w:lang w:val="en-US"/>
        </w:rPr>
        <w:t xml:space="preserve"> </w:t>
      </w:r>
      <w:r w:rsidR="00364B95">
        <w:rPr>
          <w:rFonts w:ascii="Times New Roman" w:hAnsi="Times New Roman"/>
          <w:lang w:val="en-US"/>
        </w:rPr>
        <w:t xml:space="preserve">the employees of </w:t>
      </w:r>
      <w:r w:rsidR="004B3342" w:rsidRPr="00504D7E">
        <w:rPr>
          <w:rFonts w:ascii="Times New Roman" w:hAnsi="Times New Roman"/>
          <w:lang w:val="en-US"/>
        </w:rPr>
        <w:t>each sector</w:t>
      </w:r>
      <w:r w:rsidR="00364B95">
        <w:rPr>
          <w:rFonts w:ascii="Times New Roman" w:hAnsi="Times New Roman"/>
          <w:lang w:val="en-US"/>
        </w:rPr>
        <w:t xml:space="preserve"> are</w:t>
      </w:r>
      <w:r w:rsidR="004B3342" w:rsidRPr="00504D7E">
        <w:rPr>
          <w:rFonts w:ascii="Times New Roman" w:hAnsi="Times New Roman"/>
          <w:lang w:val="en-US"/>
        </w:rPr>
        <w:t xml:space="preserve"> distributed across regions </w:t>
      </w:r>
      <w:r w:rsidR="00364B95">
        <w:rPr>
          <w:rFonts w:ascii="Times New Roman" w:hAnsi="Times New Roman"/>
          <w:lang w:val="en-US"/>
        </w:rPr>
        <w:t>as</w:t>
      </w:r>
      <w:r w:rsidR="004B3342" w:rsidRPr="00504D7E">
        <w:rPr>
          <w:rFonts w:ascii="Times New Roman" w:hAnsi="Times New Roman"/>
          <w:lang w:val="en-US"/>
        </w:rPr>
        <w:t xml:space="preserve"> the respective distribution of establishment</w:t>
      </w:r>
      <w:r w:rsidR="00753112" w:rsidRPr="00504D7E">
        <w:rPr>
          <w:rFonts w:ascii="Times New Roman" w:hAnsi="Times New Roman"/>
          <w:lang w:val="en-US"/>
        </w:rPr>
        <w:t>s</w:t>
      </w:r>
      <w:r w:rsidR="004B3342" w:rsidRPr="00504D7E">
        <w:rPr>
          <w:rFonts w:ascii="Times New Roman" w:hAnsi="Times New Roman"/>
          <w:lang w:val="en-US"/>
        </w:rPr>
        <w:t xml:space="preserve">. </w:t>
      </w:r>
      <w:r w:rsidR="007E4852" w:rsidRPr="00504D7E">
        <w:rPr>
          <w:rFonts w:ascii="Times New Roman" w:hAnsi="Times New Roman"/>
          <w:lang w:val="en-US"/>
        </w:rPr>
        <w:t xml:space="preserve">Instead, under the alternative hypotheses the distribution of </w:t>
      </w:r>
      <w:r w:rsidR="008A0E87" w:rsidRPr="00504D7E">
        <w:rPr>
          <w:rFonts w:ascii="Times New Roman" w:hAnsi="Times New Roman"/>
          <w:lang w:val="en-US"/>
        </w:rPr>
        <w:t>employ</w:t>
      </w:r>
      <w:r w:rsidR="008A0E87">
        <w:rPr>
          <w:rFonts w:ascii="Times New Roman" w:hAnsi="Times New Roman"/>
          <w:lang w:val="en-US"/>
        </w:rPr>
        <w:t>ees</w:t>
      </w:r>
      <w:r w:rsidR="008A0E87" w:rsidRPr="00504D7E">
        <w:rPr>
          <w:rFonts w:ascii="Times New Roman" w:hAnsi="Times New Roman"/>
          <w:lang w:val="en-US"/>
        </w:rPr>
        <w:t xml:space="preserve"> </w:t>
      </w:r>
      <w:r w:rsidR="007E4852" w:rsidRPr="00504D7E">
        <w:rPr>
          <w:rFonts w:ascii="Times New Roman" w:hAnsi="Times New Roman"/>
          <w:lang w:val="en-US"/>
        </w:rPr>
        <w:t>departs from the distribution of firms.</w:t>
      </w:r>
    </w:p>
    <w:p w14:paraId="443DAF76" w14:textId="6463CFFC" w:rsidR="00683F2C" w:rsidRPr="00504D7E" w:rsidRDefault="00F709E1" w:rsidP="007F4EAE">
      <w:pPr>
        <w:spacing w:line="480" w:lineRule="auto"/>
        <w:jc w:val="both"/>
        <w:rPr>
          <w:rFonts w:ascii="Times New Roman" w:hAnsi="Times New Roman"/>
          <w:lang w:val="en-US"/>
        </w:rPr>
      </w:pPr>
      <w:r w:rsidRPr="00504D7E">
        <w:rPr>
          <w:rFonts w:ascii="Times New Roman" w:hAnsi="Times New Roman"/>
          <w:lang w:val="en-US"/>
        </w:rPr>
        <w:t>T</w:t>
      </w:r>
      <w:r w:rsidR="00683F2C" w:rsidRPr="00504D7E">
        <w:rPr>
          <w:rFonts w:ascii="Times New Roman" w:hAnsi="Times New Roman"/>
          <w:lang w:val="en-US"/>
        </w:rPr>
        <w:t xml:space="preserve">he null </w:t>
      </w:r>
      <w:r w:rsidR="0039394A" w:rsidRPr="00504D7E">
        <w:rPr>
          <w:rFonts w:ascii="Times New Roman" w:hAnsi="Times New Roman"/>
          <w:lang w:val="en-US"/>
        </w:rPr>
        <w:t>hypothes</w:t>
      </w:r>
      <w:r w:rsidR="0039394A">
        <w:rPr>
          <w:rFonts w:ascii="Times New Roman" w:hAnsi="Times New Roman"/>
          <w:lang w:val="en-US"/>
        </w:rPr>
        <w:t>es</w:t>
      </w:r>
      <w:r w:rsidR="0039394A" w:rsidRPr="00504D7E">
        <w:rPr>
          <w:rFonts w:ascii="Times New Roman" w:hAnsi="Times New Roman"/>
          <w:lang w:val="en-US"/>
        </w:rPr>
        <w:t xml:space="preserve"> </w:t>
      </w:r>
      <w:r w:rsidR="0039394A">
        <w:rPr>
          <w:rFonts w:ascii="Times New Roman" w:hAnsi="Times New Roman"/>
          <w:lang w:val="en-US"/>
        </w:rPr>
        <w:t>are then</w:t>
      </w:r>
      <w:r w:rsidR="0039394A" w:rsidRPr="00504D7E">
        <w:rPr>
          <w:rFonts w:ascii="Times New Roman" w:hAnsi="Times New Roman"/>
          <w:lang w:val="en-US"/>
        </w:rPr>
        <w:t xml:space="preserve"> </w:t>
      </w:r>
      <w:r w:rsidR="00683F2C" w:rsidRPr="00504D7E">
        <w:rPr>
          <w:rFonts w:ascii="Times New Roman" w:hAnsi="Times New Roman"/>
          <w:lang w:val="en-US"/>
        </w:rPr>
        <w:t xml:space="preserve">constructed </w:t>
      </w:r>
      <w:proofErr w:type="gramStart"/>
      <w:r w:rsidR="00683F2C" w:rsidRPr="00504D7E">
        <w:rPr>
          <w:rFonts w:ascii="Times New Roman" w:hAnsi="Times New Roman"/>
          <w:lang w:val="en-US"/>
        </w:rPr>
        <w:t>on the basis of</w:t>
      </w:r>
      <w:proofErr w:type="gramEnd"/>
      <w:r w:rsidR="00683F2C" w:rsidRPr="00504D7E">
        <w:rPr>
          <w:rFonts w:ascii="Times New Roman" w:hAnsi="Times New Roman"/>
          <w:lang w:val="en-US"/>
        </w:rPr>
        <w:t xml:space="preserve"> two basic assumptions:</w:t>
      </w:r>
    </w:p>
    <w:p w14:paraId="0D812C7E" w14:textId="26F2067A" w:rsidR="00683F2C" w:rsidRPr="00504D7E" w:rsidRDefault="00683F2C" w:rsidP="007F4EAE">
      <w:pPr>
        <w:spacing w:line="480" w:lineRule="auto"/>
        <w:jc w:val="both"/>
        <w:rPr>
          <w:rFonts w:ascii="Times New Roman" w:hAnsi="Times New Roman"/>
          <w:lang w:val="en-US"/>
        </w:rPr>
      </w:pPr>
      <w:r w:rsidRPr="00504D7E">
        <w:rPr>
          <w:rFonts w:ascii="Times New Roman" w:hAnsi="Times New Roman"/>
          <w:lang w:val="en-US"/>
        </w:rPr>
        <w:t xml:space="preserve">(a) </w:t>
      </w:r>
      <w:proofErr w:type="gramStart"/>
      <w:r w:rsidRPr="00504D7E">
        <w:rPr>
          <w:rFonts w:ascii="Times New Roman" w:hAnsi="Times New Roman"/>
          <w:lang w:val="en-US"/>
        </w:rPr>
        <w:t>uniform</w:t>
      </w:r>
      <w:proofErr w:type="gramEnd"/>
      <w:r w:rsidRPr="00504D7E">
        <w:rPr>
          <w:rFonts w:ascii="Times New Roman" w:hAnsi="Times New Roman"/>
          <w:lang w:val="en-US"/>
        </w:rPr>
        <w:t xml:space="preserve"> distribution of firms </w:t>
      </w:r>
      <w:r w:rsidR="0039394A">
        <w:rPr>
          <w:rFonts w:ascii="Times New Roman" w:hAnsi="Times New Roman"/>
          <w:lang w:val="en-US"/>
        </w:rPr>
        <w:t>across regions, for the absolute entropy related to firms;</w:t>
      </w:r>
    </w:p>
    <w:p w14:paraId="2F94A375" w14:textId="3254EA78" w:rsidR="00683F2C" w:rsidRPr="00504D7E" w:rsidRDefault="00683F2C" w:rsidP="007F4EAE">
      <w:pPr>
        <w:spacing w:line="480" w:lineRule="auto"/>
        <w:jc w:val="both"/>
        <w:rPr>
          <w:rFonts w:ascii="Times New Roman" w:hAnsi="Times New Roman"/>
          <w:lang w:val="en-US"/>
        </w:rPr>
      </w:pPr>
      <w:r w:rsidRPr="00504D7E">
        <w:rPr>
          <w:rFonts w:ascii="Times New Roman" w:hAnsi="Times New Roman"/>
          <w:lang w:val="en-US"/>
        </w:rPr>
        <w:t>(b)</w:t>
      </w:r>
      <w:r w:rsidR="000D7E45">
        <w:rPr>
          <w:rFonts w:ascii="Times New Roman" w:hAnsi="Times New Roman"/>
          <w:lang w:val="en-US"/>
        </w:rPr>
        <w:t xml:space="preserve"> </w:t>
      </w:r>
      <w:r w:rsidR="001D49C9" w:rsidRPr="00504D7E">
        <w:rPr>
          <w:rFonts w:ascii="Times New Roman" w:hAnsi="Times New Roman"/>
          <w:lang w:val="en-US"/>
        </w:rPr>
        <w:t xml:space="preserve">employees </w:t>
      </w:r>
      <w:r w:rsidR="00467913" w:rsidRPr="00504D7E">
        <w:rPr>
          <w:rFonts w:ascii="Times New Roman" w:hAnsi="Times New Roman"/>
          <w:lang w:val="en-US"/>
        </w:rPr>
        <w:t>assigned</w:t>
      </w:r>
      <w:r w:rsidRPr="00504D7E">
        <w:rPr>
          <w:rFonts w:ascii="Times New Roman" w:hAnsi="Times New Roman"/>
          <w:lang w:val="en-US"/>
        </w:rPr>
        <w:t xml:space="preserve"> </w:t>
      </w:r>
      <w:r w:rsidR="00467913" w:rsidRPr="00504D7E">
        <w:rPr>
          <w:rFonts w:ascii="Times New Roman" w:hAnsi="Times New Roman"/>
          <w:lang w:val="en-US"/>
        </w:rPr>
        <w:t xml:space="preserve">to </w:t>
      </w:r>
      <w:r w:rsidRPr="00504D7E">
        <w:rPr>
          <w:rFonts w:ascii="Times New Roman" w:hAnsi="Times New Roman"/>
          <w:lang w:val="en-US"/>
        </w:rPr>
        <w:t>regions proportionally to firms</w:t>
      </w:r>
      <w:r w:rsidR="0039394A">
        <w:rPr>
          <w:rFonts w:ascii="Times New Roman" w:hAnsi="Times New Roman"/>
          <w:lang w:val="en-US"/>
        </w:rPr>
        <w:t>, for the relative entropy related to employees.</w:t>
      </w:r>
      <w:r w:rsidR="00457065" w:rsidRPr="00504D7E">
        <w:rPr>
          <w:rFonts w:ascii="Times New Roman" w:hAnsi="Times New Roman"/>
          <w:lang w:val="en-US"/>
        </w:rPr>
        <w:t xml:space="preserve"> </w:t>
      </w:r>
    </w:p>
    <w:p w14:paraId="51BC129D" w14:textId="0E92403E" w:rsidR="007B3421" w:rsidRPr="00504D7E" w:rsidRDefault="00DE3571" w:rsidP="00A37EF0">
      <w:pPr>
        <w:spacing w:line="480" w:lineRule="auto"/>
        <w:jc w:val="both"/>
        <w:rPr>
          <w:rFonts w:ascii="Times New Roman" w:hAnsi="Times New Roman"/>
          <w:lang w:val="en-US"/>
        </w:rPr>
      </w:pPr>
      <w:r w:rsidRPr="00504D7E">
        <w:rPr>
          <w:rFonts w:ascii="Times New Roman" w:hAnsi="Times New Roman"/>
          <w:lang w:val="en-US"/>
        </w:rPr>
        <w:t>Accordingly, our</w:t>
      </w:r>
      <w:r w:rsidR="00F709E1" w:rsidRPr="00504D7E">
        <w:rPr>
          <w:rFonts w:ascii="Times New Roman" w:hAnsi="Times New Roman"/>
          <w:lang w:val="en-US"/>
        </w:rPr>
        <w:t xml:space="preserve"> testing procedure is based on two steps. </w:t>
      </w:r>
      <w:r w:rsidR="007B3421" w:rsidRPr="00504D7E">
        <w:rPr>
          <w:rFonts w:ascii="Times New Roman" w:hAnsi="Times New Roman"/>
          <w:lang w:val="en-US"/>
        </w:rPr>
        <w:t>The counterfactual</w:t>
      </w:r>
      <w:r w:rsidR="00A87649" w:rsidRPr="00504D7E">
        <w:rPr>
          <w:rFonts w:ascii="Times New Roman" w:hAnsi="Times New Roman"/>
          <w:lang w:val="en-US"/>
        </w:rPr>
        <w:t xml:space="preserve"> reference distribution</w:t>
      </w:r>
      <w:r w:rsidR="007B3421" w:rsidRPr="00504D7E">
        <w:rPr>
          <w:rFonts w:ascii="Times New Roman" w:hAnsi="Times New Roman"/>
          <w:lang w:val="en-US"/>
        </w:rPr>
        <w:t xml:space="preserve"> is the</w:t>
      </w:r>
      <w:r w:rsidR="00A37EF0" w:rsidRPr="00504D7E">
        <w:rPr>
          <w:rFonts w:ascii="Times New Roman" w:hAnsi="Times New Roman"/>
          <w:lang w:val="en-US"/>
        </w:rPr>
        <w:t xml:space="preserve"> uniform distribution in the first step, and the</w:t>
      </w:r>
      <w:r w:rsidR="007B3421" w:rsidRPr="00504D7E">
        <w:rPr>
          <w:rFonts w:ascii="Times New Roman" w:hAnsi="Times New Roman"/>
          <w:lang w:val="en-US"/>
        </w:rPr>
        <w:t xml:space="preserve"> distribution of </w:t>
      </w:r>
      <w:r w:rsidR="00A37EF0" w:rsidRPr="00504D7E">
        <w:rPr>
          <w:rFonts w:ascii="Times New Roman" w:hAnsi="Times New Roman"/>
          <w:lang w:val="en-US"/>
        </w:rPr>
        <w:t xml:space="preserve">firms, in the second step. </w:t>
      </w:r>
    </w:p>
    <w:p w14:paraId="6DADB680" w14:textId="77777777" w:rsidR="000F243B" w:rsidRDefault="00F709E1" w:rsidP="00CD473C">
      <w:pPr>
        <w:spacing w:line="480" w:lineRule="auto"/>
        <w:jc w:val="both"/>
        <w:rPr>
          <w:rFonts w:ascii="Times New Roman" w:hAnsi="Times New Roman"/>
          <w:lang w:val="en-US"/>
        </w:rPr>
      </w:pPr>
      <w:r w:rsidRPr="00504D7E">
        <w:rPr>
          <w:rFonts w:ascii="Times New Roman" w:hAnsi="Times New Roman"/>
          <w:lang w:val="en-US"/>
        </w:rPr>
        <w:t xml:space="preserve">In the first step, </w:t>
      </w:r>
      <w:r w:rsidR="00CD473C" w:rsidRPr="00504D7E">
        <w:rPr>
          <w:rFonts w:ascii="Times New Roman" w:hAnsi="Times New Roman"/>
          <w:lang w:val="en-US"/>
        </w:rPr>
        <w:t xml:space="preserve">we </w:t>
      </w:r>
      <w:r w:rsidR="00BC3D6E" w:rsidRPr="00504D7E">
        <w:rPr>
          <w:rFonts w:ascii="Times New Roman" w:hAnsi="Times New Roman"/>
          <w:lang w:val="en-US"/>
        </w:rPr>
        <w:t>construct the counterfactual distribution of establishments, considering that, under the null hypothesis, firms’ location follows a uniform law with upper and lower bounds based on the actual distribution of firms across regions.</w:t>
      </w:r>
      <w:r w:rsidR="00B638CE" w:rsidRPr="00504D7E">
        <w:rPr>
          <w:rFonts w:ascii="Times New Roman" w:hAnsi="Times New Roman"/>
          <w:lang w:val="en-US"/>
        </w:rPr>
        <w:t xml:space="preserve"> </w:t>
      </w:r>
    </w:p>
    <w:p w14:paraId="3394398A" w14:textId="373971ED" w:rsidR="000F243B" w:rsidRDefault="000F243B" w:rsidP="00CD473C">
      <w:pPr>
        <w:spacing w:line="480" w:lineRule="auto"/>
        <w:jc w:val="both"/>
        <w:rPr>
          <w:rFonts w:ascii="Times New Roman" w:hAnsi="Times New Roman"/>
          <w:lang w:val="en-US"/>
        </w:rPr>
      </w:pPr>
      <w:r>
        <w:rPr>
          <w:rFonts w:ascii="Times New Roman" w:hAnsi="Times New Roman"/>
          <w:lang w:val="en-US"/>
        </w:rPr>
        <w:t>Assuming pure randomness means that the selection process of a region by a firm is not driven by natural advantages</w:t>
      </w:r>
      <w:r w:rsidR="00F06883">
        <w:rPr>
          <w:rFonts w:ascii="Times New Roman" w:hAnsi="Times New Roman"/>
          <w:lang w:val="en-US"/>
        </w:rPr>
        <w:t>, internal s</w:t>
      </w:r>
      <w:r>
        <w:rPr>
          <w:rFonts w:ascii="Times New Roman" w:hAnsi="Times New Roman"/>
          <w:lang w:val="en-US"/>
        </w:rPr>
        <w:t>cale economies</w:t>
      </w:r>
      <w:r w:rsidR="00F06883">
        <w:rPr>
          <w:rFonts w:ascii="Times New Roman" w:hAnsi="Times New Roman"/>
          <w:lang w:val="en-US"/>
        </w:rPr>
        <w:t xml:space="preserve"> or external Marshallian economies</w:t>
      </w:r>
      <w:r>
        <w:rPr>
          <w:rFonts w:ascii="Times New Roman" w:hAnsi="Times New Roman"/>
          <w:lang w:val="en-US"/>
        </w:rPr>
        <w:t xml:space="preserve">. </w:t>
      </w:r>
    </w:p>
    <w:p w14:paraId="2DFC0E16" w14:textId="30D026C2" w:rsidR="00CD473C" w:rsidRPr="00504D7E" w:rsidRDefault="00B638CE" w:rsidP="00CD473C">
      <w:pPr>
        <w:spacing w:line="480" w:lineRule="auto"/>
        <w:jc w:val="both"/>
        <w:rPr>
          <w:rFonts w:ascii="Times New Roman" w:hAnsi="Times New Roman"/>
          <w:lang w:val="en-US"/>
        </w:rPr>
      </w:pPr>
      <w:r w:rsidRPr="00504D7E">
        <w:rPr>
          <w:rFonts w:ascii="Times New Roman" w:hAnsi="Times New Roman"/>
          <w:iCs/>
          <w:lang w:val="en-US"/>
        </w:rPr>
        <w:t>We run 10,000 Monte</w:t>
      </w:r>
      <w:r w:rsidR="00790A5E">
        <w:rPr>
          <w:rFonts w:ascii="Times New Roman" w:hAnsi="Times New Roman"/>
          <w:iCs/>
          <w:lang w:val="en-US"/>
        </w:rPr>
        <w:t xml:space="preserve"> C</w:t>
      </w:r>
      <w:r w:rsidRPr="00504D7E">
        <w:rPr>
          <w:rFonts w:ascii="Times New Roman" w:hAnsi="Times New Roman"/>
          <w:iCs/>
          <w:lang w:val="en-US"/>
        </w:rPr>
        <w:t xml:space="preserve">arlo simulations for each industry </w:t>
      </w:r>
      <w:r w:rsidR="002246AC" w:rsidRPr="00504D7E">
        <w:rPr>
          <w:rFonts w:ascii="Times New Roman" w:hAnsi="Times New Roman"/>
          <w:iCs/>
          <w:lang w:val="en-US"/>
        </w:rPr>
        <w:t>establishments’</w:t>
      </w:r>
      <w:r w:rsidRPr="00504D7E">
        <w:rPr>
          <w:rFonts w:ascii="Times New Roman" w:hAnsi="Times New Roman"/>
          <w:iCs/>
          <w:lang w:val="en-US"/>
        </w:rPr>
        <w:t xml:space="preserve"> distribution, separate</w:t>
      </w:r>
      <w:r w:rsidR="002720C8" w:rsidRPr="00504D7E">
        <w:rPr>
          <w:rFonts w:ascii="Times New Roman" w:hAnsi="Times New Roman"/>
          <w:iCs/>
          <w:lang w:val="en-US"/>
        </w:rPr>
        <w:t xml:space="preserve">ly. </w:t>
      </w:r>
      <w:r w:rsidR="00CD473C" w:rsidRPr="00504D7E">
        <w:rPr>
          <w:rFonts w:ascii="Times New Roman" w:hAnsi="Times New Roman"/>
          <w:lang w:val="en-US"/>
        </w:rPr>
        <w:t xml:space="preserve">The construction of counterfactual distributions for each industry is performed on a sample of 133 </w:t>
      </w:r>
      <w:r w:rsidR="00CD473C" w:rsidRPr="00504D7E">
        <w:rPr>
          <w:rFonts w:ascii="Times New Roman" w:hAnsi="Times New Roman"/>
          <w:lang w:val="en-US"/>
        </w:rPr>
        <w:lastRenderedPageBreak/>
        <w:t xml:space="preserve">NUTS2 regions for 16 countries and for the reference year 2007 (see section 4.1 for the details on the data). </w:t>
      </w:r>
    </w:p>
    <w:p w14:paraId="0B3348A9" w14:textId="7B28E6DC" w:rsidR="00F709E1" w:rsidRPr="00504D7E" w:rsidRDefault="002720C8" w:rsidP="00A37EF0">
      <w:pPr>
        <w:spacing w:line="480" w:lineRule="auto"/>
        <w:jc w:val="both"/>
        <w:rPr>
          <w:rFonts w:ascii="Times New Roman" w:hAnsi="Times New Roman"/>
          <w:lang w:val="en-US"/>
        </w:rPr>
      </w:pPr>
      <w:r w:rsidRPr="00504D7E">
        <w:rPr>
          <w:rFonts w:ascii="Times New Roman" w:hAnsi="Times New Roman"/>
          <w:iCs/>
          <w:lang w:val="en-US"/>
        </w:rPr>
        <w:t xml:space="preserve">This procedure is adopted for assessing the values of the thresholds </w:t>
      </w:r>
      <m:oMath>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w:r w:rsidRPr="00120F0D">
        <w:rPr>
          <w:rFonts w:ascii="Times New Roman" w:hAnsi="Times New Roman"/>
          <w:lang w:val="en-US"/>
        </w:rPr>
        <w:t>.</w:t>
      </w:r>
      <w:r w:rsidR="005827B0" w:rsidRPr="00120F0D">
        <w:rPr>
          <w:rFonts w:ascii="Times New Roman" w:hAnsi="Times New Roman"/>
          <w:lang w:val="en-US"/>
        </w:rPr>
        <w:t xml:space="preserve"> </w:t>
      </w:r>
      <w:r w:rsidR="005827B0" w:rsidRPr="00120F0D">
        <w:rPr>
          <w:rFonts w:ascii="Times New Roman" w:hAnsi="Times New Roman"/>
          <w:iCs/>
          <w:lang w:val="en-US"/>
        </w:rPr>
        <w:t>Specifically, we calculate confidence intervals for each index of absolute entropy defined in equation (1)</w:t>
      </w:r>
      <w:r w:rsidR="00C15036" w:rsidRPr="00504D7E">
        <w:rPr>
          <w:rFonts w:ascii="Times New Roman" w:hAnsi="Times New Roman"/>
          <w:iCs/>
          <w:lang w:val="en-US"/>
        </w:rPr>
        <w:t xml:space="preserve"> </w:t>
      </w:r>
      <w:r w:rsidR="005827B0" w:rsidRPr="00504D7E">
        <w:rPr>
          <w:rFonts w:ascii="Times New Roman" w:hAnsi="Times New Roman"/>
          <w:iCs/>
          <w:lang w:val="en-US"/>
        </w:rPr>
        <w:t xml:space="preserve">and </w:t>
      </w:r>
      <w:r w:rsidR="00C15036" w:rsidRPr="00504D7E">
        <w:rPr>
          <w:rFonts w:ascii="Times New Roman" w:hAnsi="Times New Roman"/>
          <w:iCs/>
          <w:lang w:val="en-US"/>
        </w:rPr>
        <w:t>we order</w:t>
      </w:r>
      <w:r w:rsidR="005827B0" w:rsidRPr="00504D7E">
        <w:rPr>
          <w:rFonts w:ascii="Times New Roman" w:hAnsi="Times New Roman"/>
          <w:iCs/>
          <w:lang w:val="en-US"/>
        </w:rPr>
        <w:t xml:space="preserve"> the 10,000 simulated values of the </w:t>
      </w:r>
      <w:r w:rsidR="00C15036" w:rsidRPr="00504D7E">
        <w:rPr>
          <w:rFonts w:ascii="Times New Roman" w:hAnsi="Times New Roman"/>
          <w:iCs/>
          <w:lang w:val="en-US"/>
        </w:rPr>
        <w:t>19</w:t>
      </w:r>
      <w:r w:rsidR="005827B0" w:rsidRPr="00504D7E">
        <w:rPr>
          <w:rFonts w:ascii="Times New Roman" w:hAnsi="Times New Roman"/>
          <w:iCs/>
          <w:lang w:val="en-US"/>
        </w:rPr>
        <w:t xml:space="preserve"> </w:t>
      </w:r>
      <w:r w:rsidR="00C15036" w:rsidRPr="00504D7E">
        <w:rPr>
          <w:rFonts w:ascii="Times New Roman" w:hAnsi="Times New Roman"/>
          <w:iCs/>
          <w:lang w:val="en-US"/>
        </w:rPr>
        <w:t xml:space="preserve">entropy measures. We </w:t>
      </w:r>
      <w:r w:rsidR="005827B0" w:rsidRPr="00504D7E">
        <w:rPr>
          <w:rFonts w:ascii="Times New Roman" w:hAnsi="Times New Roman"/>
          <w:iCs/>
          <w:lang w:val="en-US"/>
        </w:rPr>
        <w:t>select the threshold levels (1%, 5%, 10%) from the top of our generated distribution and then record the critical values. Such critical values are the required thresholds</w:t>
      </w:r>
      <w:r w:rsidR="00C15036" w:rsidRPr="00504D7E">
        <w:rPr>
          <w:rFonts w:ascii="Times New Roman" w:hAnsi="Times New Roman"/>
          <w:iCs/>
          <w:lang w:val="en-US"/>
        </w:rPr>
        <w:t xml:space="preserve"> </w:t>
      </w:r>
      <m:oMath>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w:r w:rsidR="005827B0" w:rsidRPr="00120F0D">
        <w:rPr>
          <w:rFonts w:ascii="Times New Roman" w:hAnsi="Times New Roman"/>
          <w:iCs/>
          <w:lang w:val="en-US"/>
        </w:rPr>
        <w:t xml:space="preserve">. </w:t>
      </w:r>
      <w:r w:rsidR="005827B0" w:rsidRPr="00120F0D">
        <w:rPr>
          <w:rFonts w:ascii="Times New Roman" w:hAnsi="Times New Roman"/>
          <w:lang w:val="en-US"/>
        </w:rPr>
        <w:t xml:space="preserve">If </w:t>
      </w:r>
      <w:r w:rsidR="00C15036" w:rsidRPr="00120F0D">
        <w:rPr>
          <w:rFonts w:ascii="Times New Roman" w:hAnsi="Times New Roman"/>
          <w:lang w:val="en-US"/>
        </w:rPr>
        <w:t xml:space="preserve">the real value of the index is higher than the thresholds defined as explained above, we can conclude that spatial distribution in sector </w:t>
      </w:r>
      <w:r w:rsidR="00C15036" w:rsidRPr="00504D7E">
        <w:rPr>
          <w:rFonts w:ascii="Times New Roman" w:hAnsi="Times New Roman"/>
          <w:i/>
          <w:lang w:val="en-US"/>
        </w:rPr>
        <w:t>s</w:t>
      </w:r>
      <w:r w:rsidR="005827B0" w:rsidRPr="00504D7E">
        <w:rPr>
          <w:rFonts w:ascii="Times New Roman" w:hAnsi="Times New Roman"/>
          <w:lang w:val="en-US"/>
        </w:rPr>
        <w:t xml:space="preserve"> </w:t>
      </w:r>
      <w:r w:rsidR="00C15036" w:rsidRPr="00504D7E">
        <w:rPr>
          <w:rFonts w:ascii="Times New Roman" w:hAnsi="Times New Roman"/>
          <w:lang w:val="en-US"/>
        </w:rPr>
        <w:t xml:space="preserve">does not follow a uniform law. Hence, this implies that the </w:t>
      </w:r>
      <w:r w:rsidR="005827B0" w:rsidRPr="00504D7E">
        <w:rPr>
          <w:rFonts w:ascii="Times New Roman" w:hAnsi="Times New Roman"/>
          <w:lang w:val="en-US"/>
        </w:rPr>
        <w:t xml:space="preserve">sector is </w:t>
      </w:r>
      <w:r w:rsidR="00C15036" w:rsidRPr="00504D7E">
        <w:rPr>
          <w:rFonts w:ascii="Times New Roman" w:hAnsi="Times New Roman"/>
          <w:lang w:val="en-US"/>
        </w:rPr>
        <w:t>spatially clustered</w:t>
      </w:r>
      <w:r w:rsidR="005827B0" w:rsidRPr="00504D7E">
        <w:rPr>
          <w:rFonts w:ascii="Times New Roman" w:hAnsi="Times New Roman"/>
          <w:lang w:val="en-US"/>
        </w:rPr>
        <w:t xml:space="preserve"> because </w:t>
      </w:r>
      <w:r w:rsidR="00C15036" w:rsidRPr="00504D7E">
        <w:rPr>
          <w:rFonts w:ascii="Times New Roman" w:hAnsi="Times New Roman"/>
          <w:lang w:val="en-US"/>
        </w:rPr>
        <w:t>its spatial distribution is significantly different from randomness</w:t>
      </w:r>
      <w:r w:rsidR="005827B0" w:rsidRPr="00504D7E">
        <w:rPr>
          <w:rFonts w:ascii="Times New Roman" w:hAnsi="Times New Roman"/>
          <w:lang w:val="en-US"/>
        </w:rPr>
        <w:t xml:space="preserve">. </w:t>
      </w:r>
    </w:p>
    <w:p w14:paraId="524B9D07" w14:textId="2631869F" w:rsidR="007448BC" w:rsidRPr="00504D7E" w:rsidRDefault="00C15036" w:rsidP="00163096">
      <w:pPr>
        <w:spacing w:before="60" w:line="480" w:lineRule="auto"/>
        <w:ind w:firstLine="360"/>
        <w:jc w:val="both"/>
        <w:rPr>
          <w:rFonts w:ascii="Times New Roman" w:hAnsi="Times New Roman"/>
          <w:lang w:val="en-US"/>
        </w:rPr>
      </w:pPr>
      <w:r w:rsidRPr="00504D7E">
        <w:rPr>
          <w:rFonts w:ascii="Times New Roman" w:hAnsi="Times New Roman"/>
          <w:lang w:val="en-US"/>
        </w:rPr>
        <w:t>In</w:t>
      </w:r>
      <w:r w:rsidR="00A37EF0" w:rsidRPr="00504D7E">
        <w:rPr>
          <w:rFonts w:ascii="Times New Roman" w:hAnsi="Times New Roman"/>
          <w:lang w:val="en-US"/>
        </w:rPr>
        <w:t xml:space="preserve"> the second step, we</w:t>
      </w:r>
      <w:r w:rsidR="004B3342" w:rsidRPr="00504D7E">
        <w:rPr>
          <w:rFonts w:ascii="Times New Roman" w:hAnsi="Times New Roman"/>
          <w:lang w:val="en-US"/>
        </w:rPr>
        <w:t xml:space="preserve"> </w:t>
      </w:r>
      <w:r w:rsidR="003F104F" w:rsidRPr="00504D7E">
        <w:rPr>
          <w:rFonts w:ascii="Times New Roman" w:hAnsi="Times New Roman"/>
          <w:lang w:val="en-US"/>
        </w:rPr>
        <w:t xml:space="preserve">construct the </w:t>
      </w:r>
      <w:r w:rsidR="00FF3BBF" w:rsidRPr="00504D7E">
        <w:rPr>
          <w:rFonts w:ascii="Times New Roman" w:hAnsi="Times New Roman"/>
          <w:lang w:val="en-US"/>
        </w:rPr>
        <w:t>counterfactual</w:t>
      </w:r>
      <w:r w:rsidR="002D0E9C" w:rsidRPr="00504D7E">
        <w:rPr>
          <w:rFonts w:ascii="Times New Roman" w:hAnsi="Times New Roman"/>
          <w:lang w:val="en-US"/>
        </w:rPr>
        <w:t xml:space="preserve"> distribution of </w:t>
      </w:r>
      <w:r w:rsidR="008A0E87" w:rsidRPr="00504D7E">
        <w:rPr>
          <w:rFonts w:ascii="Times New Roman" w:hAnsi="Times New Roman"/>
          <w:lang w:val="en-US"/>
        </w:rPr>
        <w:t>employ</w:t>
      </w:r>
      <w:r w:rsidR="008A0E87">
        <w:rPr>
          <w:rFonts w:ascii="Times New Roman" w:hAnsi="Times New Roman"/>
          <w:lang w:val="en-US"/>
        </w:rPr>
        <w:t>ees</w:t>
      </w:r>
      <w:r w:rsidR="004B3342" w:rsidRPr="00504D7E">
        <w:rPr>
          <w:rFonts w:ascii="Times New Roman" w:hAnsi="Times New Roman"/>
          <w:lang w:val="en-US"/>
        </w:rPr>
        <w:t xml:space="preserve">, considering that, under the null hypothesis, </w:t>
      </w:r>
      <w:r w:rsidR="00A37EF0" w:rsidRPr="00504D7E">
        <w:rPr>
          <w:rFonts w:ascii="Times New Roman" w:hAnsi="Times New Roman"/>
          <w:lang w:val="en-US"/>
        </w:rPr>
        <w:t xml:space="preserve">employees </w:t>
      </w:r>
      <w:r w:rsidR="004B3342" w:rsidRPr="00504D7E">
        <w:rPr>
          <w:rFonts w:ascii="Times New Roman" w:hAnsi="Times New Roman"/>
          <w:lang w:val="en-US"/>
        </w:rPr>
        <w:t xml:space="preserve">follow </w:t>
      </w:r>
      <w:r w:rsidR="00FE7306" w:rsidRPr="00504D7E">
        <w:rPr>
          <w:rFonts w:ascii="Times New Roman" w:hAnsi="Times New Roman"/>
          <w:lang w:val="en-US"/>
        </w:rPr>
        <w:t xml:space="preserve">a binomial law based on </w:t>
      </w:r>
      <w:r w:rsidR="00A37EF0" w:rsidRPr="00504D7E">
        <w:rPr>
          <w:rFonts w:ascii="Times New Roman" w:hAnsi="Times New Roman"/>
          <w:lang w:val="en-US"/>
        </w:rPr>
        <w:t>the</w:t>
      </w:r>
      <w:r w:rsidR="00F709E1" w:rsidRPr="00504D7E">
        <w:rPr>
          <w:rFonts w:ascii="Times New Roman" w:hAnsi="Times New Roman"/>
          <w:lang w:val="en-US"/>
        </w:rPr>
        <w:t xml:space="preserve"> actual</w:t>
      </w:r>
      <w:r w:rsidR="00A37EF0" w:rsidRPr="00504D7E">
        <w:rPr>
          <w:rFonts w:ascii="Times New Roman" w:hAnsi="Times New Roman"/>
          <w:lang w:val="en-US"/>
        </w:rPr>
        <w:t xml:space="preserve"> </w:t>
      </w:r>
      <w:r w:rsidR="00CD6708" w:rsidRPr="00504D7E">
        <w:rPr>
          <w:rFonts w:ascii="Times New Roman" w:hAnsi="Times New Roman"/>
          <w:lang w:val="en-US"/>
        </w:rPr>
        <w:t>spatial patterns</w:t>
      </w:r>
      <w:r w:rsidR="00A37EF0" w:rsidRPr="00504D7E">
        <w:rPr>
          <w:rFonts w:ascii="Times New Roman" w:hAnsi="Times New Roman"/>
          <w:lang w:val="en-US"/>
        </w:rPr>
        <w:t xml:space="preserve"> of firms</w:t>
      </w:r>
      <w:r w:rsidR="00A03349" w:rsidRPr="00504D7E">
        <w:rPr>
          <w:rFonts w:ascii="Times New Roman" w:hAnsi="Times New Roman"/>
          <w:lang w:val="en-US"/>
        </w:rPr>
        <w:t xml:space="preserve">. </w:t>
      </w:r>
    </w:p>
    <w:p w14:paraId="39D3FBF8" w14:textId="0EB5E1CE" w:rsidR="00154F14" w:rsidRPr="00120F0D" w:rsidRDefault="00A37EF0" w:rsidP="001D33D3">
      <w:pPr>
        <w:spacing w:line="480" w:lineRule="auto"/>
        <w:jc w:val="both"/>
        <w:rPr>
          <w:rFonts w:ascii="Times New Roman" w:hAnsi="Times New Roman"/>
          <w:lang w:val="en-US"/>
        </w:rPr>
      </w:pPr>
      <w:r w:rsidRPr="00504D7E">
        <w:rPr>
          <w:rFonts w:ascii="Times New Roman" w:hAnsi="Times New Roman"/>
          <w:lang w:val="en-US"/>
        </w:rPr>
        <w:t xml:space="preserve">Hence, we </w:t>
      </w:r>
      <w:r w:rsidR="007448BC" w:rsidRPr="00504D7E">
        <w:rPr>
          <w:rFonts w:ascii="Times New Roman" w:hAnsi="Times New Roman"/>
          <w:lang w:val="en-US"/>
        </w:rPr>
        <w:t>assume that, for each industry</w:t>
      </w:r>
      <w:r w:rsidR="000F243B">
        <w:rPr>
          <w:rFonts w:ascii="Times New Roman" w:hAnsi="Times New Roman"/>
          <w:lang w:val="en-US"/>
        </w:rPr>
        <w:t xml:space="preserve"> </w:t>
      </w:r>
      <m:oMath>
        <m:r>
          <w:rPr>
            <w:rFonts w:ascii="Cambria Math" w:hAnsi="Cambria Math"/>
          </w:rPr>
          <m:t>s</m:t>
        </m:r>
      </m:oMath>
      <w:r w:rsidR="007448BC" w:rsidRPr="00504D7E">
        <w:rPr>
          <w:rFonts w:ascii="Times New Roman" w:hAnsi="Times New Roman"/>
          <w:lang w:val="en-US"/>
        </w:rPr>
        <w:t xml:space="preserve"> with</w:t>
      </w:r>
      <w:r w:rsidR="00C77F1A" w:rsidRPr="00504D7E">
        <w:rPr>
          <w:rFonts w:ascii="Times New Roman" w:hAnsi="Times New Roman"/>
          <w:lang w:val="en-US"/>
        </w:rPr>
        <w:t xml:space="preserve"> </w:t>
      </w:r>
      <w:r w:rsidR="00C77F1A" w:rsidRPr="00504D7E">
        <w:rPr>
          <w:rFonts w:ascii="Times New Roman" w:hAnsi="Times New Roman"/>
          <w:i/>
          <w:lang w:val="en-US"/>
        </w:rPr>
        <w:t>L</w:t>
      </w:r>
      <w:r w:rsidR="00C77F1A" w:rsidRPr="00504D7E">
        <w:rPr>
          <w:rFonts w:ascii="Times New Roman" w:hAnsi="Times New Roman"/>
          <w:i/>
          <w:vertAlign w:val="subscript"/>
          <w:lang w:val="en-US"/>
        </w:rPr>
        <w:t>s</w:t>
      </w:r>
      <w:r w:rsidR="007448BC" w:rsidRPr="00504D7E">
        <w:rPr>
          <w:rFonts w:ascii="Times New Roman" w:hAnsi="Times New Roman"/>
          <w:lang w:val="en-US"/>
        </w:rPr>
        <w:t xml:space="preserve"> </w:t>
      </w:r>
      <w:r w:rsidR="00C77F1A" w:rsidRPr="00504D7E">
        <w:rPr>
          <w:rFonts w:ascii="Times New Roman" w:hAnsi="Times New Roman"/>
          <w:lang w:val="en-US"/>
        </w:rPr>
        <w:t xml:space="preserve">employees and </w:t>
      </w:r>
      <w:r w:rsidR="00C20A86" w:rsidRPr="00504D7E">
        <w:rPr>
          <w:rFonts w:ascii="Times New Roman" w:hAnsi="Times New Roman"/>
          <w:i/>
          <w:lang w:val="en-US"/>
        </w:rPr>
        <w:t>N</w:t>
      </w:r>
      <w:r w:rsidR="007448BC" w:rsidRPr="00504D7E">
        <w:rPr>
          <w:rFonts w:ascii="Times New Roman" w:hAnsi="Times New Roman"/>
          <w:i/>
          <w:vertAlign w:val="subscript"/>
          <w:lang w:val="en-US"/>
        </w:rPr>
        <w:t>s</w:t>
      </w:r>
      <w:r w:rsidR="007448BC" w:rsidRPr="00504D7E">
        <w:rPr>
          <w:rFonts w:ascii="Times New Roman" w:hAnsi="Times New Roman"/>
          <w:lang w:val="en-US"/>
        </w:rPr>
        <w:t xml:space="preserve"> establishments the expected </w:t>
      </w:r>
      <w:r w:rsidRPr="00504D7E">
        <w:rPr>
          <w:rFonts w:ascii="Times New Roman" w:hAnsi="Times New Roman"/>
          <w:lang w:val="en-US"/>
        </w:rPr>
        <w:t xml:space="preserve">share </w:t>
      </w:r>
      <m:oMath>
        <m:sSubSup>
          <m:sSubSupPr>
            <m:ctrlPr>
              <w:rPr>
                <w:rFonts w:ascii="Cambria Math" w:hAnsi="Cambria Math"/>
                <w:i/>
              </w:rPr>
            </m:ctrlPr>
          </m:sSubSupPr>
          <m:e>
            <m:r>
              <w:rPr>
                <w:rFonts w:ascii="Cambria Math" w:hAnsi="Cambria Math"/>
              </w:rPr>
              <m:t>q</m:t>
            </m:r>
          </m:e>
          <m:sub>
            <m:r>
              <w:rPr>
                <w:rFonts w:ascii="Cambria Math" w:hAnsi="Cambria Math"/>
              </w:rPr>
              <m:t>rs</m:t>
            </m:r>
          </m:sub>
          <m:sup/>
        </m:sSubSup>
        <m:r>
          <w:rPr>
            <w:rFonts w:ascii="Cambria Math" w:hAnsi="Cambria Math"/>
            <w:lang w:val="en-US"/>
          </w:rPr>
          <m:t xml:space="preserve"> </m:t>
        </m:r>
      </m:oMath>
      <w:r w:rsidR="000F243B" w:rsidRPr="00F378A9">
        <w:rPr>
          <w:rFonts w:ascii="Times New Roman" w:hAnsi="Times New Roman"/>
          <w:lang w:val="en-US"/>
        </w:rPr>
        <w:t xml:space="preserve"> </w:t>
      </w:r>
      <w:r w:rsidR="000F243B">
        <w:rPr>
          <w:rFonts w:ascii="Times New Roman" w:hAnsi="Times New Roman"/>
          <w:lang w:val="en-US"/>
        </w:rPr>
        <w:t>o</w:t>
      </w:r>
      <w:r w:rsidRPr="00504D7E">
        <w:rPr>
          <w:rFonts w:ascii="Times New Roman" w:hAnsi="Times New Roman"/>
          <w:lang w:val="en-US"/>
        </w:rPr>
        <w:t xml:space="preserve">f </w:t>
      </w:r>
      <w:r w:rsidR="007448BC" w:rsidRPr="00504D7E">
        <w:rPr>
          <w:rFonts w:ascii="Times New Roman" w:hAnsi="Times New Roman"/>
          <w:lang w:val="en-US"/>
        </w:rPr>
        <w:t>workers in</w:t>
      </w:r>
      <w:r w:rsidR="00C77F1A" w:rsidRPr="00504D7E">
        <w:rPr>
          <w:rFonts w:ascii="Times New Roman" w:hAnsi="Times New Roman"/>
          <w:lang w:val="en-US"/>
        </w:rPr>
        <w:t xml:space="preserve"> sector </w:t>
      </w:r>
      <m:oMath>
        <m:r>
          <w:rPr>
            <w:rFonts w:ascii="Cambria Math" w:hAnsi="Cambria Math"/>
          </w:rPr>
          <m:t>s</m:t>
        </m:r>
      </m:oMath>
      <w:r w:rsidR="00C77F1A" w:rsidRPr="00504D7E">
        <w:rPr>
          <w:rFonts w:ascii="Times New Roman" w:hAnsi="Times New Roman"/>
          <w:lang w:val="en-US"/>
        </w:rPr>
        <w:t xml:space="preserve"> located in region </w:t>
      </w:r>
      <m:oMath>
        <m:r>
          <w:rPr>
            <w:rFonts w:ascii="Cambria Math" w:hAnsi="Cambria Math"/>
          </w:rPr>
          <m:t>r</m:t>
        </m:r>
      </m:oMath>
      <w:r w:rsidR="00C77F1A" w:rsidRPr="00504D7E">
        <w:rPr>
          <w:rFonts w:ascii="Times New Roman" w:hAnsi="Times New Roman"/>
          <w:lang w:val="en-US"/>
        </w:rPr>
        <w:t xml:space="preserve"> </w:t>
      </w:r>
      <w:r w:rsidR="00C77F1A" w:rsidRPr="00F378A9">
        <w:rPr>
          <w:rFonts w:ascii="Times New Roman" w:hAnsi="Times New Roman"/>
          <w:lang w:val="en-US"/>
        </w:rPr>
        <w:t xml:space="preserve"> </w:t>
      </w:r>
      <w:r w:rsidR="00C77F1A" w:rsidRPr="00120F0D">
        <w:rPr>
          <w:rFonts w:ascii="Times New Roman" w:hAnsi="Times New Roman"/>
          <w:lang w:val="en-US"/>
        </w:rPr>
        <w:t xml:space="preserve">is equal to the share </w:t>
      </w:r>
      <m:oMath>
        <m:sSubSup>
          <m:sSubSupPr>
            <m:ctrlPr>
              <w:rPr>
                <w:rFonts w:ascii="Cambria Math" w:hAnsi="Cambria Math"/>
                <w:i/>
              </w:rPr>
            </m:ctrlPr>
          </m:sSubSupPr>
          <m:e>
            <m:r>
              <w:rPr>
                <w:rFonts w:ascii="Cambria Math" w:hAnsi="Cambria Math"/>
              </w:rPr>
              <m:t>p</m:t>
            </m:r>
          </m:e>
          <m:sub>
            <m:r>
              <w:rPr>
                <w:rFonts w:ascii="Cambria Math" w:hAnsi="Cambria Math"/>
              </w:rPr>
              <m:t>rs</m:t>
            </m:r>
          </m:sub>
          <m:sup/>
        </m:sSubSup>
      </m:oMath>
      <w:r w:rsidR="000F243B" w:rsidRPr="00F378A9">
        <w:rPr>
          <w:rFonts w:ascii="Times New Roman" w:hAnsi="Times New Roman"/>
          <w:lang w:val="en-US"/>
        </w:rPr>
        <w:t xml:space="preserve"> </w:t>
      </w:r>
      <w:r w:rsidR="00C77F1A" w:rsidRPr="00120F0D">
        <w:rPr>
          <w:rFonts w:ascii="Times New Roman" w:hAnsi="Times New Roman"/>
          <w:lang w:val="en-US"/>
        </w:rPr>
        <w:t>of establis</w:t>
      </w:r>
      <w:r w:rsidR="00C20A86" w:rsidRPr="00120F0D">
        <w:rPr>
          <w:rFonts w:ascii="Times New Roman" w:hAnsi="Times New Roman"/>
          <w:lang w:val="en-US"/>
        </w:rPr>
        <w:t>h</w:t>
      </w:r>
      <w:r w:rsidR="00C77F1A" w:rsidRPr="00120F0D">
        <w:rPr>
          <w:rFonts w:ascii="Times New Roman" w:hAnsi="Times New Roman"/>
          <w:lang w:val="en-US"/>
        </w:rPr>
        <w:t xml:space="preserve">ments in the same region. </w:t>
      </w:r>
      <w:r w:rsidR="00163096" w:rsidRPr="00120F0D">
        <w:rPr>
          <w:rFonts w:ascii="Times New Roman" w:hAnsi="Times New Roman"/>
          <w:lang w:val="en-US"/>
        </w:rPr>
        <w:t>So</w:t>
      </w:r>
      <w:r w:rsidR="00806E71">
        <w:rPr>
          <w:rFonts w:ascii="Times New Roman" w:hAnsi="Times New Roman"/>
          <w:lang w:val="en-US"/>
        </w:rPr>
        <w:t>,</w:t>
      </w:r>
      <w:r w:rsidR="00163096" w:rsidRPr="00120F0D">
        <w:rPr>
          <w:rFonts w:ascii="Times New Roman" w:hAnsi="Times New Roman"/>
          <w:lang w:val="en-US"/>
        </w:rPr>
        <w:t xml:space="preserve"> the counterfactual distribution of employees across regions for each sector</w:t>
      </w:r>
      <w:r w:rsidR="000F243B">
        <w:rPr>
          <w:rFonts w:ascii="Times New Roman" w:hAnsi="Times New Roman"/>
          <w:lang w:val="en-US"/>
        </w:rPr>
        <w:t xml:space="preserve"> </w:t>
      </w:r>
      <m:oMath>
        <m:r>
          <w:rPr>
            <w:rFonts w:ascii="Cambria Math" w:hAnsi="Cambria Math"/>
          </w:rPr>
          <m:t>s</m:t>
        </m:r>
      </m:oMath>
      <w:r w:rsidR="000F243B">
        <w:rPr>
          <w:rFonts w:ascii="Times New Roman" w:hAnsi="Times New Roman"/>
          <w:lang w:val="en-US"/>
        </w:rPr>
        <w:t xml:space="preserve"> </w:t>
      </w:r>
      <w:r w:rsidR="00163096" w:rsidRPr="00120F0D">
        <w:rPr>
          <w:rFonts w:ascii="Times New Roman" w:hAnsi="Times New Roman"/>
          <w:lang w:val="en-US"/>
        </w:rPr>
        <w:t xml:space="preserve"> is derived starting from the </w:t>
      </w:r>
      <w:r w:rsidR="0043126A" w:rsidRPr="00120F0D">
        <w:rPr>
          <w:rFonts w:ascii="Times New Roman" w:hAnsi="Times New Roman"/>
          <w:lang w:val="en-US"/>
        </w:rPr>
        <w:t xml:space="preserve">real </w:t>
      </w:r>
      <w:r w:rsidR="00163096" w:rsidRPr="00120F0D">
        <w:rPr>
          <w:rFonts w:ascii="Times New Roman" w:hAnsi="Times New Roman"/>
          <w:lang w:val="en-US"/>
        </w:rPr>
        <w:t>distribution of establishments</w:t>
      </w:r>
      <w:r w:rsidR="0043126A" w:rsidRPr="00120F0D">
        <w:rPr>
          <w:rFonts w:ascii="Times New Roman" w:hAnsi="Times New Roman"/>
          <w:lang w:val="en-US"/>
        </w:rPr>
        <w:t>.</w:t>
      </w:r>
      <w:r w:rsidR="008909ED" w:rsidRPr="00120F0D">
        <w:rPr>
          <w:rFonts w:ascii="Times New Roman" w:hAnsi="Times New Roman"/>
          <w:lang w:val="en-US"/>
        </w:rPr>
        <w:t xml:space="preserve"> </w:t>
      </w:r>
      <w:r w:rsidR="00827904" w:rsidRPr="00504D7E">
        <w:rPr>
          <w:rFonts w:ascii="Times New Roman" w:hAnsi="Times New Roman"/>
          <w:lang w:val="en-US"/>
        </w:rPr>
        <w:t>Under the null hypothesis,</w:t>
      </w:r>
      <w:r w:rsidR="000F243B">
        <w:rPr>
          <w:rFonts w:ascii="Times New Roman" w:hAnsi="Times New Roman"/>
          <w:lang w:val="en-US"/>
        </w:rPr>
        <w:t xml:space="preserve"> we are implicitly assuming that</w:t>
      </w:r>
      <w:r w:rsidR="00827904" w:rsidRPr="00504D7E">
        <w:rPr>
          <w:rFonts w:ascii="Times New Roman" w:hAnsi="Times New Roman"/>
          <w:lang w:val="en-US"/>
        </w:rPr>
        <w:t xml:space="preserve"> all establishments of the same industry are of equal size</w:t>
      </w:r>
      <w:r w:rsidR="000F243B">
        <w:rPr>
          <w:rFonts w:ascii="Times New Roman" w:hAnsi="Times New Roman"/>
          <w:lang w:val="en-US"/>
        </w:rPr>
        <w:t xml:space="preserve"> and there are no peculiar aggregation forces on some specific establishments</w:t>
      </w:r>
      <w:r w:rsidR="00827904" w:rsidRPr="00504D7E">
        <w:rPr>
          <w:rFonts w:ascii="Times New Roman" w:hAnsi="Times New Roman"/>
          <w:lang w:val="en-US"/>
        </w:rPr>
        <w:t>.</w:t>
      </w:r>
    </w:p>
    <w:p w14:paraId="427881B2" w14:textId="48E26EC4" w:rsidR="00D37CAC" w:rsidRPr="00504D7E" w:rsidRDefault="00A87649" w:rsidP="00CD473C">
      <w:pPr>
        <w:spacing w:line="480" w:lineRule="auto"/>
        <w:jc w:val="both"/>
        <w:rPr>
          <w:rFonts w:ascii="Times New Roman" w:hAnsi="Times New Roman"/>
          <w:iCs/>
          <w:lang w:val="en-US"/>
        </w:rPr>
      </w:pPr>
      <w:r w:rsidRPr="00120F0D">
        <w:rPr>
          <w:rFonts w:ascii="Times New Roman" w:hAnsi="Times New Roman"/>
          <w:iCs/>
          <w:lang w:val="en-US"/>
        </w:rPr>
        <w:t>We run 10,000 simulations for each industry employ</w:t>
      </w:r>
      <w:r w:rsidR="008A0E87">
        <w:rPr>
          <w:rFonts w:ascii="Times New Roman" w:hAnsi="Times New Roman"/>
          <w:iCs/>
          <w:lang w:val="en-US"/>
        </w:rPr>
        <w:t>ees</w:t>
      </w:r>
      <w:r w:rsidR="00453BD6">
        <w:rPr>
          <w:rFonts w:ascii="Times New Roman" w:hAnsi="Times New Roman"/>
          <w:iCs/>
          <w:lang w:val="en-US"/>
        </w:rPr>
        <w:t>’</w:t>
      </w:r>
      <w:r w:rsidRPr="00120F0D">
        <w:rPr>
          <w:rFonts w:ascii="Times New Roman" w:hAnsi="Times New Roman"/>
          <w:iCs/>
          <w:lang w:val="en-US"/>
        </w:rPr>
        <w:t xml:space="preserve"> data, separately. </w:t>
      </w:r>
      <w:r w:rsidR="00B07830" w:rsidRPr="00504D7E">
        <w:rPr>
          <w:rFonts w:ascii="Times New Roman" w:hAnsi="Times New Roman"/>
          <w:iCs/>
          <w:lang w:val="en-US"/>
        </w:rPr>
        <w:t xml:space="preserve">Specifically, we calculate confidence intervals for each index of </w:t>
      </w:r>
      <w:r w:rsidR="00CD473C" w:rsidRPr="00504D7E">
        <w:rPr>
          <w:rFonts w:ascii="Times New Roman" w:hAnsi="Times New Roman"/>
          <w:iCs/>
          <w:lang w:val="en-US"/>
        </w:rPr>
        <w:t>relative entropy</w:t>
      </w:r>
      <w:r w:rsidR="00B07830" w:rsidRPr="00504D7E">
        <w:rPr>
          <w:rFonts w:ascii="Times New Roman" w:hAnsi="Times New Roman"/>
          <w:iCs/>
          <w:lang w:val="en-US"/>
        </w:rPr>
        <w:t xml:space="preserve"> and by ordering the 10,000 simulated values of the</w:t>
      </w:r>
      <w:r w:rsidR="00CD473C" w:rsidRPr="00504D7E">
        <w:rPr>
          <w:rFonts w:ascii="Times New Roman" w:hAnsi="Times New Roman"/>
          <w:iCs/>
          <w:lang w:val="en-US"/>
        </w:rPr>
        <w:t xml:space="preserve"> 19 distributions of sectoral </w:t>
      </w:r>
      <w:r w:rsidR="008A0E87" w:rsidRPr="00504D7E">
        <w:rPr>
          <w:rFonts w:ascii="Times New Roman" w:hAnsi="Times New Roman"/>
          <w:iCs/>
          <w:lang w:val="en-US"/>
        </w:rPr>
        <w:t>employ</w:t>
      </w:r>
      <w:r w:rsidR="008A0E87">
        <w:rPr>
          <w:rFonts w:ascii="Times New Roman" w:hAnsi="Times New Roman"/>
          <w:iCs/>
          <w:lang w:val="en-US"/>
        </w:rPr>
        <w:t>ees</w:t>
      </w:r>
      <w:r w:rsidR="008A0E87" w:rsidRPr="00504D7E">
        <w:rPr>
          <w:rFonts w:ascii="Times New Roman" w:hAnsi="Times New Roman"/>
          <w:iCs/>
          <w:lang w:val="en-US"/>
        </w:rPr>
        <w:t xml:space="preserve"> </w:t>
      </w:r>
      <w:r w:rsidR="00CD473C" w:rsidRPr="00504D7E">
        <w:rPr>
          <w:rFonts w:ascii="Times New Roman" w:hAnsi="Times New Roman"/>
          <w:iCs/>
          <w:lang w:val="en-US"/>
        </w:rPr>
        <w:t>across regions</w:t>
      </w:r>
      <w:r w:rsidR="00666F55" w:rsidRPr="00504D7E">
        <w:rPr>
          <w:rFonts w:ascii="Times New Roman" w:hAnsi="Times New Roman"/>
          <w:iCs/>
          <w:lang w:val="en-US"/>
        </w:rPr>
        <w:t xml:space="preserve">, </w:t>
      </w:r>
      <w:r w:rsidR="00B07830" w:rsidRPr="00504D7E">
        <w:rPr>
          <w:rFonts w:ascii="Times New Roman" w:hAnsi="Times New Roman"/>
          <w:iCs/>
          <w:lang w:val="en-US"/>
        </w:rPr>
        <w:t xml:space="preserve">we select </w:t>
      </w:r>
      <w:r w:rsidR="00541E35" w:rsidRPr="00504D7E">
        <w:rPr>
          <w:rFonts w:ascii="Times New Roman" w:hAnsi="Times New Roman"/>
          <w:iCs/>
          <w:lang w:val="en-US"/>
        </w:rPr>
        <w:t xml:space="preserve">a classical 5% risk-level rejection, </w:t>
      </w:r>
      <w:r w:rsidR="00B07830" w:rsidRPr="00504D7E">
        <w:rPr>
          <w:rFonts w:ascii="Times New Roman" w:hAnsi="Times New Roman"/>
          <w:iCs/>
          <w:lang w:val="en-US"/>
        </w:rPr>
        <w:t xml:space="preserve">the </w:t>
      </w:r>
      <w:r w:rsidR="00541E35" w:rsidRPr="00504D7E">
        <w:rPr>
          <w:rFonts w:ascii="Times New Roman" w:hAnsi="Times New Roman"/>
          <w:iCs/>
          <w:lang w:val="en-US"/>
        </w:rPr>
        <w:t xml:space="preserve">associated </w:t>
      </w:r>
      <w:r w:rsidR="00B07830" w:rsidRPr="00504D7E">
        <w:rPr>
          <w:rFonts w:ascii="Times New Roman" w:hAnsi="Times New Roman"/>
          <w:iCs/>
          <w:lang w:val="en-US"/>
        </w:rPr>
        <w:t>threshold level</w:t>
      </w:r>
      <w:r w:rsidR="009614B0" w:rsidRPr="00504D7E">
        <w:rPr>
          <w:rFonts w:ascii="Times New Roman" w:hAnsi="Times New Roman"/>
          <w:iCs/>
          <w:lang w:val="en-US"/>
        </w:rPr>
        <w:t xml:space="preserve"> is</w:t>
      </w:r>
      <w:r w:rsidR="00541E35" w:rsidRPr="00504D7E">
        <w:rPr>
          <w:rFonts w:ascii="Times New Roman" w:hAnsi="Times New Roman"/>
          <w:iCs/>
          <w:lang w:val="en-US"/>
        </w:rPr>
        <w:t xml:space="preserve"> identified ex</w:t>
      </w:r>
      <w:r w:rsidR="00C36564" w:rsidRPr="00504D7E">
        <w:rPr>
          <w:rFonts w:ascii="Times New Roman" w:hAnsi="Times New Roman"/>
          <w:iCs/>
          <w:lang w:val="en-US"/>
        </w:rPr>
        <w:t>c</w:t>
      </w:r>
      <w:r w:rsidR="00541E35" w:rsidRPr="00504D7E">
        <w:rPr>
          <w:rFonts w:ascii="Times New Roman" w:hAnsi="Times New Roman"/>
          <w:iCs/>
          <w:lang w:val="en-US"/>
        </w:rPr>
        <w:t xml:space="preserve">luding </w:t>
      </w:r>
      <w:r w:rsidR="00975F00" w:rsidRPr="00504D7E">
        <w:rPr>
          <w:rFonts w:ascii="Times New Roman" w:hAnsi="Times New Roman"/>
          <w:iCs/>
          <w:lang w:val="en-US"/>
        </w:rPr>
        <w:t xml:space="preserve">the </w:t>
      </w:r>
      <w:r w:rsidR="00B07830" w:rsidRPr="00504D7E">
        <w:rPr>
          <w:rFonts w:ascii="Times New Roman" w:hAnsi="Times New Roman"/>
          <w:iCs/>
          <w:lang w:val="en-US"/>
        </w:rPr>
        <w:t>5%</w:t>
      </w:r>
      <w:r w:rsidR="00541E35" w:rsidRPr="00504D7E">
        <w:rPr>
          <w:rFonts w:ascii="Times New Roman" w:hAnsi="Times New Roman"/>
          <w:iCs/>
          <w:lang w:val="en-US"/>
        </w:rPr>
        <w:t xml:space="preserve"> of the simulations</w:t>
      </w:r>
      <w:r w:rsidR="00975F00" w:rsidRPr="00504D7E">
        <w:rPr>
          <w:rFonts w:ascii="Times New Roman" w:hAnsi="Times New Roman"/>
          <w:iCs/>
          <w:lang w:val="en-US"/>
        </w:rPr>
        <w:t xml:space="preserve"> </w:t>
      </w:r>
      <w:r w:rsidR="00B07830" w:rsidRPr="00504D7E">
        <w:rPr>
          <w:rFonts w:ascii="Times New Roman" w:hAnsi="Times New Roman"/>
          <w:iCs/>
          <w:lang w:val="en-US"/>
        </w:rPr>
        <w:t>from the top of our generated distribution</w:t>
      </w:r>
      <w:r w:rsidR="00541E35" w:rsidRPr="00504D7E">
        <w:rPr>
          <w:rFonts w:ascii="Times New Roman" w:hAnsi="Times New Roman"/>
          <w:iCs/>
          <w:lang w:val="en-US"/>
        </w:rPr>
        <w:t xml:space="preserve">. </w:t>
      </w:r>
      <w:r w:rsidR="005D27AD" w:rsidRPr="00504D7E">
        <w:rPr>
          <w:rFonts w:ascii="Times New Roman" w:hAnsi="Times New Roman"/>
          <w:lang w:val="en-US"/>
        </w:rPr>
        <w:t xml:space="preserve">This gives the critical values of the tests at the related confidence levels to which the real values of the concentration indices are compared. </w:t>
      </w:r>
      <w:r w:rsidR="000D1712" w:rsidRPr="00504D7E">
        <w:rPr>
          <w:rFonts w:ascii="Times New Roman" w:hAnsi="Times New Roman"/>
          <w:lang w:val="en-US"/>
        </w:rPr>
        <w:t xml:space="preserve">The null hypothesis is thus rejected when the true value of the relative entropy index </w:t>
      </w:r>
      <m:oMath>
        <m:r>
          <w:rPr>
            <w:rFonts w:ascii="Cambria Math" w:hAnsi="Cambria Math"/>
            <w:lang w:val="en-US"/>
          </w:rPr>
          <m:t>I</m:t>
        </m:r>
      </m:oMath>
      <w:r w:rsidR="000D1712" w:rsidRPr="00504D7E">
        <w:rPr>
          <w:rFonts w:ascii="Times New Roman" w:hAnsi="Times New Roman"/>
          <w:lang w:val="en-US"/>
        </w:rPr>
        <w:t xml:space="preserve"> is higher than the threshold </w:t>
      </w:r>
      <m:oMath>
        <m:sSup>
          <m:sSupPr>
            <m:ctrlPr>
              <w:rPr>
                <w:rFonts w:ascii="Cambria Math" w:hAnsi="Cambria Math"/>
                <w:i/>
                <w:lang w:val="en-US"/>
              </w:rPr>
            </m:ctrlPr>
          </m:sSupPr>
          <m:e>
            <m:r>
              <w:rPr>
                <w:rFonts w:ascii="Cambria Math" w:hAnsi="Cambria Math"/>
                <w:lang w:val="en-US"/>
              </w:rPr>
              <m:t>I</m:t>
            </m:r>
          </m:e>
          <m:sup>
            <m:r>
              <w:rPr>
                <w:rFonts w:ascii="Cambria Math" w:hAnsi="Cambria Math"/>
                <w:lang w:val="en-US"/>
              </w:rPr>
              <m:t>+</m:t>
            </m:r>
          </m:sup>
        </m:sSup>
      </m:oMath>
      <w:r w:rsidR="009614B0" w:rsidRPr="00120F0D">
        <w:rPr>
          <w:rFonts w:ascii="Times New Roman" w:hAnsi="Times New Roman"/>
          <w:lang w:val="en-US"/>
        </w:rPr>
        <w:t>.</w:t>
      </w:r>
      <w:r w:rsidR="00BC3D6E" w:rsidRPr="00120F0D">
        <w:rPr>
          <w:rFonts w:ascii="Times New Roman" w:hAnsi="Times New Roman"/>
          <w:lang w:val="en-US"/>
        </w:rPr>
        <w:t xml:space="preserve"> In this case, </w:t>
      </w:r>
      <w:r w:rsidR="00CD473C" w:rsidRPr="00120F0D">
        <w:rPr>
          <w:rFonts w:ascii="Times New Roman" w:hAnsi="Times New Roman"/>
          <w:lang w:val="en-US"/>
        </w:rPr>
        <w:t xml:space="preserve">since </w:t>
      </w:r>
      <w:r w:rsidR="00CD473C" w:rsidRPr="00120F0D">
        <w:rPr>
          <w:rFonts w:ascii="Times New Roman" w:hAnsi="Times New Roman"/>
          <w:lang w:val="en-US"/>
        </w:rPr>
        <w:lastRenderedPageBreak/>
        <w:t xml:space="preserve">the </w:t>
      </w:r>
      <w:r w:rsidR="009614B0" w:rsidRPr="00504D7E">
        <w:rPr>
          <w:rFonts w:ascii="Times New Roman" w:hAnsi="Times New Roman"/>
          <w:lang w:val="en-US"/>
        </w:rPr>
        <w:t xml:space="preserve">spatial distribution of </w:t>
      </w:r>
      <w:r w:rsidR="008A0E87" w:rsidRPr="00504D7E">
        <w:rPr>
          <w:rFonts w:ascii="Times New Roman" w:hAnsi="Times New Roman"/>
          <w:lang w:val="en-US"/>
        </w:rPr>
        <w:t>employ</w:t>
      </w:r>
      <w:r w:rsidR="008A0E87">
        <w:rPr>
          <w:rFonts w:ascii="Times New Roman" w:hAnsi="Times New Roman"/>
          <w:lang w:val="en-US"/>
        </w:rPr>
        <w:t>ees</w:t>
      </w:r>
      <w:r w:rsidR="008A0E87" w:rsidRPr="00504D7E">
        <w:rPr>
          <w:rFonts w:ascii="Times New Roman" w:hAnsi="Times New Roman"/>
          <w:lang w:val="en-US"/>
        </w:rPr>
        <w:t xml:space="preserve"> </w:t>
      </w:r>
      <w:r w:rsidR="00B07830" w:rsidRPr="00504D7E">
        <w:rPr>
          <w:rFonts w:ascii="Times New Roman" w:hAnsi="Times New Roman"/>
          <w:lang w:val="en-US"/>
        </w:rPr>
        <w:t>is</w:t>
      </w:r>
      <w:r w:rsidR="009614B0" w:rsidRPr="00504D7E">
        <w:rPr>
          <w:rFonts w:ascii="Times New Roman" w:hAnsi="Times New Roman"/>
          <w:lang w:val="en-US"/>
        </w:rPr>
        <w:t xml:space="preserve"> significantly different from the location of establishments</w:t>
      </w:r>
      <w:r w:rsidR="00B07830" w:rsidRPr="00504D7E">
        <w:rPr>
          <w:rFonts w:ascii="Times New Roman" w:hAnsi="Times New Roman"/>
          <w:lang w:val="en-US"/>
        </w:rPr>
        <w:t xml:space="preserve">, </w:t>
      </w:r>
      <w:r w:rsidR="00CD473C" w:rsidRPr="00504D7E">
        <w:rPr>
          <w:rFonts w:ascii="Times New Roman" w:hAnsi="Times New Roman"/>
          <w:lang w:val="en-US"/>
        </w:rPr>
        <w:t>we</w:t>
      </w:r>
      <w:r w:rsidR="00B07830" w:rsidRPr="00504D7E">
        <w:rPr>
          <w:rFonts w:ascii="Times New Roman" w:hAnsi="Times New Roman"/>
          <w:lang w:val="en-US"/>
        </w:rPr>
        <w:t xml:space="preserve"> conclude that</w:t>
      </w:r>
      <w:r w:rsidR="00CD6708" w:rsidRPr="00504D7E">
        <w:rPr>
          <w:rFonts w:ascii="Times New Roman" w:hAnsi="Times New Roman"/>
          <w:lang w:val="en-US"/>
        </w:rPr>
        <w:t>,</w:t>
      </w:r>
      <w:r w:rsidR="00B07830" w:rsidRPr="00504D7E">
        <w:rPr>
          <w:rFonts w:ascii="Times New Roman" w:hAnsi="Times New Roman"/>
          <w:lang w:val="en-US"/>
        </w:rPr>
        <w:t xml:space="preserve"> </w:t>
      </w:r>
      <w:r w:rsidR="009614B0" w:rsidRPr="00504D7E">
        <w:rPr>
          <w:rFonts w:ascii="Times New Roman" w:hAnsi="Times New Roman"/>
          <w:lang w:val="en-US"/>
        </w:rPr>
        <w:t xml:space="preserve">in </w:t>
      </w:r>
      <w:r w:rsidR="00B07830" w:rsidRPr="00504D7E">
        <w:rPr>
          <w:rFonts w:ascii="Times New Roman" w:hAnsi="Times New Roman"/>
          <w:lang w:val="en-US"/>
        </w:rPr>
        <w:t xml:space="preserve">this </w:t>
      </w:r>
      <w:r w:rsidR="00666F55" w:rsidRPr="00504D7E">
        <w:rPr>
          <w:rFonts w:ascii="Times New Roman" w:hAnsi="Times New Roman"/>
          <w:lang w:val="en-US"/>
        </w:rPr>
        <w:t>industr</w:t>
      </w:r>
      <w:r w:rsidR="009614B0" w:rsidRPr="00504D7E">
        <w:rPr>
          <w:rFonts w:ascii="Times New Roman" w:hAnsi="Times New Roman"/>
          <w:lang w:val="en-US"/>
        </w:rPr>
        <w:t>y</w:t>
      </w:r>
      <w:r w:rsidR="00CD6708" w:rsidRPr="00504D7E">
        <w:rPr>
          <w:rFonts w:ascii="Times New Roman" w:hAnsi="Times New Roman"/>
          <w:lang w:val="en-US"/>
        </w:rPr>
        <w:t>,</w:t>
      </w:r>
      <w:r w:rsidR="00666F55" w:rsidRPr="00504D7E">
        <w:rPr>
          <w:rFonts w:ascii="Times New Roman" w:hAnsi="Times New Roman"/>
          <w:lang w:val="en-US"/>
        </w:rPr>
        <w:t xml:space="preserve"> </w:t>
      </w:r>
      <w:r w:rsidR="008A0E87" w:rsidRPr="00504D7E">
        <w:rPr>
          <w:rFonts w:ascii="Times New Roman" w:hAnsi="Times New Roman"/>
          <w:lang w:val="en-US"/>
        </w:rPr>
        <w:t>employ</w:t>
      </w:r>
      <w:r w:rsidR="008A0E87">
        <w:rPr>
          <w:rFonts w:ascii="Times New Roman" w:hAnsi="Times New Roman"/>
          <w:lang w:val="en-US"/>
        </w:rPr>
        <w:t>ees</w:t>
      </w:r>
      <w:r w:rsidR="008A0E87" w:rsidRPr="00504D7E">
        <w:rPr>
          <w:rFonts w:ascii="Times New Roman" w:hAnsi="Times New Roman"/>
          <w:lang w:val="en-US"/>
        </w:rPr>
        <w:t xml:space="preserve"> </w:t>
      </w:r>
      <w:r w:rsidR="009614B0" w:rsidRPr="00504D7E">
        <w:rPr>
          <w:rFonts w:ascii="Times New Roman" w:hAnsi="Times New Roman"/>
          <w:lang w:val="en-US"/>
        </w:rPr>
        <w:t>does not follow</w:t>
      </w:r>
      <w:r w:rsidR="00B07830" w:rsidRPr="00504D7E">
        <w:rPr>
          <w:rFonts w:ascii="Times New Roman" w:hAnsi="Times New Roman"/>
          <w:lang w:val="en-US"/>
        </w:rPr>
        <w:t xml:space="preserve"> </w:t>
      </w:r>
      <w:r w:rsidR="007251A2" w:rsidRPr="00504D7E">
        <w:rPr>
          <w:rFonts w:ascii="Times New Roman" w:hAnsi="Times New Roman"/>
          <w:lang w:val="en-US"/>
        </w:rPr>
        <w:t>the counterfactual distribution</w:t>
      </w:r>
      <w:r w:rsidR="009614B0" w:rsidRPr="00504D7E">
        <w:rPr>
          <w:rFonts w:ascii="Times New Roman" w:hAnsi="Times New Roman"/>
          <w:lang w:val="en-US"/>
        </w:rPr>
        <w:t xml:space="preserve"> of establishments</w:t>
      </w:r>
      <w:r w:rsidR="007251A2" w:rsidRPr="00504D7E">
        <w:rPr>
          <w:rFonts w:ascii="Times New Roman" w:hAnsi="Times New Roman"/>
          <w:lang w:val="en-US"/>
        </w:rPr>
        <w:t>.</w:t>
      </w:r>
      <w:r w:rsidR="003F104F" w:rsidRPr="00504D7E">
        <w:rPr>
          <w:rFonts w:ascii="Times New Roman" w:hAnsi="Times New Roman"/>
          <w:lang w:val="en-US"/>
        </w:rPr>
        <w:t xml:space="preserve"> </w:t>
      </w:r>
    </w:p>
    <w:p w14:paraId="24147304" w14:textId="77777777" w:rsidR="00D070F9" w:rsidRPr="00504D7E" w:rsidRDefault="00D070F9" w:rsidP="006849EA">
      <w:pPr>
        <w:spacing w:line="480" w:lineRule="auto"/>
        <w:jc w:val="both"/>
        <w:rPr>
          <w:rFonts w:ascii="Times New Roman" w:hAnsi="Times New Roman"/>
          <w:iCs/>
          <w:lang w:val="en-US"/>
        </w:rPr>
      </w:pPr>
    </w:p>
    <w:p w14:paraId="3F8D22C4" w14:textId="51831042" w:rsidR="00E779E9" w:rsidRPr="00504D7E" w:rsidRDefault="00F06883" w:rsidP="007F4EAE">
      <w:pPr>
        <w:pStyle w:val="Titolo2"/>
        <w:numPr>
          <w:ilvl w:val="0"/>
          <w:numId w:val="15"/>
        </w:numPr>
        <w:spacing w:line="480" w:lineRule="auto"/>
        <w:rPr>
          <w:color w:val="auto"/>
          <w:lang w:val="en-US"/>
        </w:rPr>
      </w:pPr>
      <w:r>
        <w:rPr>
          <w:color w:val="auto"/>
          <w:lang w:val="en-US"/>
        </w:rPr>
        <w:t>Empirical</w:t>
      </w:r>
      <w:r w:rsidR="00E779E9" w:rsidRPr="00504D7E">
        <w:rPr>
          <w:color w:val="auto"/>
          <w:lang w:val="en-US"/>
        </w:rPr>
        <w:t xml:space="preserve"> application</w:t>
      </w:r>
    </w:p>
    <w:p w14:paraId="247B8987" w14:textId="77777777" w:rsidR="00E779E9" w:rsidRPr="00504D7E" w:rsidRDefault="008F2141" w:rsidP="007F4EAE">
      <w:pPr>
        <w:pStyle w:val="Titolo2"/>
        <w:spacing w:line="480" w:lineRule="auto"/>
        <w:ind w:firstLine="360"/>
        <w:rPr>
          <w:color w:val="auto"/>
          <w:lang w:val="en-US"/>
        </w:rPr>
      </w:pPr>
      <w:r w:rsidRPr="00504D7E">
        <w:rPr>
          <w:color w:val="auto"/>
          <w:lang w:val="en-US"/>
        </w:rPr>
        <w:t xml:space="preserve">4.1      </w:t>
      </w:r>
      <w:r w:rsidR="00E779E9" w:rsidRPr="00504D7E">
        <w:rPr>
          <w:color w:val="auto"/>
          <w:lang w:val="en-US"/>
        </w:rPr>
        <w:t>Data</w:t>
      </w:r>
    </w:p>
    <w:p w14:paraId="138D4536" w14:textId="661484F4" w:rsidR="00BE58DF" w:rsidRDefault="009167E7" w:rsidP="00BE58DF">
      <w:pPr>
        <w:spacing w:before="60" w:line="480" w:lineRule="auto"/>
        <w:jc w:val="both"/>
        <w:rPr>
          <w:rFonts w:ascii="Times New Roman" w:hAnsi="Times New Roman"/>
          <w:lang w:val="en-US"/>
        </w:rPr>
      </w:pPr>
      <w:r w:rsidRPr="00504D7E">
        <w:rPr>
          <w:rFonts w:ascii="Times New Roman" w:hAnsi="Times New Roman"/>
          <w:lang w:val="en-US"/>
        </w:rPr>
        <w:t xml:space="preserve">We collected data on </w:t>
      </w:r>
      <w:r w:rsidR="0011560A" w:rsidRPr="00504D7E">
        <w:rPr>
          <w:rFonts w:ascii="Times New Roman" w:hAnsi="Times New Roman"/>
          <w:lang w:val="en-US"/>
        </w:rPr>
        <w:t>existing</w:t>
      </w:r>
      <w:r w:rsidRPr="00504D7E">
        <w:rPr>
          <w:rFonts w:ascii="Times New Roman" w:hAnsi="Times New Roman"/>
          <w:lang w:val="en-US"/>
        </w:rPr>
        <w:t xml:space="preserve"> </w:t>
      </w:r>
      <w:r w:rsidR="005B0066">
        <w:rPr>
          <w:rFonts w:ascii="Times New Roman" w:hAnsi="Times New Roman"/>
          <w:lang w:val="en-US"/>
        </w:rPr>
        <w:t>establishments</w:t>
      </w:r>
      <w:r w:rsidR="005B0066" w:rsidRPr="00504D7E">
        <w:rPr>
          <w:rFonts w:ascii="Times New Roman" w:hAnsi="Times New Roman"/>
          <w:lang w:val="en-US"/>
        </w:rPr>
        <w:t xml:space="preserve"> </w:t>
      </w:r>
      <w:r w:rsidR="0011560A" w:rsidRPr="00504D7E">
        <w:rPr>
          <w:rFonts w:ascii="Times New Roman" w:hAnsi="Times New Roman"/>
          <w:lang w:val="en-US"/>
        </w:rPr>
        <w:t xml:space="preserve">and </w:t>
      </w:r>
      <w:r w:rsidR="00975CA2" w:rsidRPr="00877111">
        <w:rPr>
          <w:rFonts w:ascii="Times New Roman" w:hAnsi="Times New Roman"/>
          <w:lang w:val="en-US"/>
        </w:rPr>
        <w:t>employees</w:t>
      </w:r>
      <w:r w:rsidR="00975CA2" w:rsidRPr="00F06883">
        <w:rPr>
          <w:rFonts w:ascii="Times New Roman" w:hAnsi="Times New Roman"/>
          <w:lang w:val="en-US"/>
        </w:rPr>
        <w:t xml:space="preserve"> i</w:t>
      </w:r>
      <w:r w:rsidR="00975CA2" w:rsidRPr="00504D7E">
        <w:rPr>
          <w:rFonts w:ascii="Times New Roman" w:hAnsi="Times New Roman"/>
          <w:lang w:val="en-US"/>
        </w:rPr>
        <w:t xml:space="preserve">n </w:t>
      </w:r>
      <w:r w:rsidRPr="00504D7E">
        <w:rPr>
          <w:rFonts w:ascii="Times New Roman" w:hAnsi="Times New Roman"/>
          <w:lang w:val="en-US"/>
        </w:rPr>
        <w:t xml:space="preserve">Europe in 2007 from the Eurostat database. </w:t>
      </w:r>
      <w:r w:rsidR="006979FD" w:rsidRPr="006979FD">
        <w:rPr>
          <w:rFonts w:ascii="Times New Roman" w:hAnsi="Times New Roman"/>
          <w:lang w:val="en-US"/>
        </w:rPr>
        <w:t xml:space="preserve">What follows is a brief description of the sources, dimensions, and choices made that led to the final database being </w:t>
      </w:r>
      <w:r w:rsidR="006979FD">
        <w:rPr>
          <w:rFonts w:ascii="Times New Roman" w:hAnsi="Times New Roman"/>
          <w:lang w:val="en-US"/>
        </w:rPr>
        <w:t>used</w:t>
      </w:r>
      <w:r w:rsidR="006979FD" w:rsidRPr="006979FD">
        <w:rPr>
          <w:rFonts w:ascii="Times New Roman" w:hAnsi="Times New Roman"/>
          <w:lang w:val="en-US"/>
        </w:rPr>
        <w:t>.</w:t>
      </w:r>
      <w:r w:rsidR="006979FD">
        <w:rPr>
          <w:rFonts w:ascii="Times New Roman" w:hAnsi="Times New Roman"/>
          <w:lang w:val="en-US"/>
        </w:rPr>
        <w:t xml:space="preserve"> </w:t>
      </w:r>
      <w:r w:rsidR="00BE58DF">
        <w:rPr>
          <w:rFonts w:ascii="Times New Roman" w:hAnsi="Times New Roman"/>
          <w:lang w:val="en-US"/>
        </w:rPr>
        <w:t xml:space="preserve">We aimed to provide a detailed analysis of sectoral concentration of industries based on </w:t>
      </w:r>
      <w:r w:rsidR="00BE58DF" w:rsidRPr="00BE58DF">
        <w:rPr>
          <w:rFonts w:ascii="Times New Roman" w:hAnsi="Times New Roman"/>
          <w:lang w:val="en-US"/>
        </w:rPr>
        <w:t xml:space="preserve">regional (NUTS2) data for a large sample of </w:t>
      </w:r>
      <w:r w:rsidR="00BE58DF">
        <w:rPr>
          <w:rFonts w:ascii="Times New Roman" w:hAnsi="Times New Roman"/>
          <w:lang w:val="en-US"/>
        </w:rPr>
        <w:t>European countries.</w:t>
      </w:r>
    </w:p>
    <w:p w14:paraId="300759BB" w14:textId="7A94059E" w:rsidR="004A1050" w:rsidRDefault="00BE58DF" w:rsidP="00BE58DF">
      <w:pPr>
        <w:spacing w:before="60" w:line="480" w:lineRule="auto"/>
        <w:jc w:val="both"/>
        <w:rPr>
          <w:rFonts w:ascii="Times New Roman" w:hAnsi="Times New Roman"/>
          <w:lang w:val="en-US"/>
        </w:rPr>
      </w:pPr>
      <w:r w:rsidRPr="00BE58DF">
        <w:rPr>
          <w:rFonts w:ascii="Times New Roman" w:hAnsi="Times New Roman"/>
          <w:lang w:val="en-US"/>
        </w:rPr>
        <w:t xml:space="preserve">The official source of data </w:t>
      </w:r>
      <w:r>
        <w:rPr>
          <w:rFonts w:ascii="Times New Roman" w:hAnsi="Times New Roman"/>
          <w:lang w:val="en-US"/>
        </w:rPr>
        <w:t xml:space="preserve">on </w:t>
      </w:r>
      <w:r w:rsidR="004A1050">
        <w:rPr>
          <w:rFonts w:ascii="Times New Roman" w:hAnsi="Times New Roman"/>
          <w:lang w:val="en-US"/>
        </w:rPr>
        <w:t xml:space="preserve">the number of </w:t>
      </w:r>
      <w:r>
        <w:rPr>
          <w:rFonts w:ascii="Times New Roman" w:hAnsi="Times New Roman"/>
          <w:lang w:val="en-US"/>
        </w:rPr>
        <w:t>e</w:t>
      </w:r>
      <w:r w:rsidR="004A1050">
        <w:rPr>
          <w:rFonts w:ascii="Times New Roman" w:hAnsi="Times New Roman"/>
          <w:lang w:val="en-US"/>
        </w:rPr>
        <w:t>mployees</w:t>
      </w:r>
      <w:r>
        <w:rPr>
          <w:rFonts w:ascii="Times New Roman" w:hAnsi="Times New Roman"/>
          <w:lang w:val="en-US"/>
        </w:rPr>
        <w:t xml:space="preserve"> and establishment</w:t>
      </w:r>
      <w:r w:rsidR="004A1050">
        <w:rPr>
          <w:rFonts w:ascii="Times New Roman" w:hAnsi="Times New Roman"/>
          <w:lang w:val="en-US"/>
        </w:rPr>
        <w:t>s</w:t>
      </w:r>
      <w:r>
        <w:rPr>
          <w:rFonts w:ascii="Times New Roman" w:hAnsi="Times New Roman"/>
          <w:lang w:val="en-US"/>
        </w:rPr>
        <w:t xml:space="preserve"> at the regional level </w:t>
      </w:r>
      <w:r w:rsidRPr="00BE58DF">
        <w:rPr>
          <w:rFonts w:ascii="Times New Roman" w:hAnsi="Times New Roman"/>
          <w:lang w:val="en-US"/>
        </w:rPr>
        <w:t>is the Structural Business Statistics database contained in Eurostat</w:t>
      </w:r>
      <w:r>
        <w:rPr>
          <w:rStyle w:val="Rimandonotaapidipagina"/>
          <w:rFonts w:ascii="Times New Roman" w:hAnsi="Times New Roman"/>
          <w:lang w:val="en-US"/>
        </w:rPr>
        <w:footnoteReference w:id="3"/>
      </w:r>
      <w:r w:rsidR="004A1050">
        <w:rPr>
          <w:rFonts w:ascii="Times New Roman" w:hAnsi="Times New Roman"/>
          <w:lang w:val="en-US"/>
        </w:rPr>
        <w:t>.</w:t>
      </w:r>
      <w:r w:rsidRPr="00BE58DF">
        <w:rPr>
          <w:rFonts w:ascii="Times New Roman" w:hAnsi="Times New Roman"/>
          <w:lang w:val="en-US"/>
        </w:rPr>
        <w:t xml:space="preserve"> </w:t>
      </w:r>
    </w:p>
    <w:p w14:paraId="2BA4FA95" w14:textId="7EB1FD0F" w:rsidR="00BE58DF" w:rsidRDefault="0011560A" w:rsidP="007F4EAE">
      <w:pPr>
        <w:spacing w:before="60" w:line="480" w:lineRule="auto"/>
        <w:jc w:val="both"/>
        <w:rPr>
          <w:rFonts w:ascii="Times New Roman" w:hAnsi="Times New Roman"/>
          <w:lang w:val="en-US"/>
        </w:rPr>
      </w:pPr>
      <w:r w:rsidRPr="00504D7E">
        <w:rPr>
          <w:rFonts w:ascii="Times New Roman" w:hAnsi="Times New Roman"/>
          <w:lang w:val="en-US"/>
        </w:rPr>
        <w:t>The analysis considers</w:t>
      </w:r>
      <w:r w:rsidR="003D4328" w:rsidRPr="00504D7E">
        <w:rPr>
          <w:rFonts w:ascii="Times New Roman" w:hAnsi="Times New Roman"/>
          <w:lang w:val="en-US"/>
        </w:rPr>
        <w:t xml:space="preserve"> </w:t>
      </w:r>
      <w:r w:rsidR="00E02339" w:rsidRPr="00504D7E">
        <w:rPr>
          <w:rFonts w:ascii="Times New Roman" w:hAnsi="Times New Roman"/>
          <w:lang w:val="en-US"/>
        </w:rPr>
        <w:t>a sample of</w:t>
      </w:r>
      <w:r w:rsidR="003D4328" w:rsidRPr="00504D7E">
        <w:rPr>
          <w:rFonts w:ascii="Times New Roman" w:hAnsi="Times New Roman"/>
          <w:lang w:val="en-US"/>
        </w:rPr>
        <w:t xml:space="preserve"> 13</w:t>
      </w:r>
      <w:r w:rsidR="00712BAF" w:rsidRPr="00504D7E">
        <w:rPr>
          <w:rFonts w:ascii="Times New Roman" w:hAnsi="Times New Roman"/>
          <w:lang w:val="en-US"/>
        </w:rPr>
        <w:t>3</w:t>
      </w:r>
      <w:r w:rsidRPr="00504D7E">
        <w:rPr>
          <w:rFonts w:ascii="Times New Roman" w:hAnsi="Times New Roman"/>
          <w:lang w:val="en-US"/>
        </w:rPr>
        <w:t xml:space="preserve"> </w:t>
      </w:r>
      <w:r w:rsidR="00E02339" w:rsidRPr="00504D7E">
        <w:rPr>
          <w:rFonts w:ascii="Times New Roman" w:hAnsi="Times New Roman"/>
          <w:lang w:val="en-US"/>
        </w:rPr>
        <w:t>NUTS</w:t>
      </w:r>
      <w:r w:rsidR="003D4328" w:rsidRPr="00504D7E">
        <w:rPr>
          <w:rFonts w:ascii="Times New Roman" w:hAnsi="Times New Roman"/>
          <w:lang w:val="en-US"/>
        </w:rPr>
        <w:t xml:space="preserve"> </w:t>
      </w:r>
      <w:r w:rsidR="003C75D7">
        <w:rPr>
          <w:rFonts w:ascii="Times New Roman" w:hAnsi="Times New Roman"/>
          <w:lang w:val="en-US"/>
        </w:rPr>
        <w:t>2</w:t>
      </w:r>
      <w:r w:rsidR="00E779E9" w:rsidRPr="00504D7E">
        <w:rPr>
          <w:rFonts w:ascii="Times New Roman" w:hAnsi="Times New Roman"/>
          <w:lang w:val="en-US"/>
        </w:rPr>
        <w:t xml:space="preserve"> </w:t>
      </w:r>
      <w:r w:rsidRPr="00504D7E">
        <w:rPr>
          <w:rFonts w:ascii="Times New Roman" w:hAnsi="Times New Roman"/>
          <w:lang w:val="en-US"/>
        </w:rPr>
        <w:t xml:space="preserve">level </w:t>
      </w:r>
      <w:r w:rsidR="00E779E9" w:rsidRPr="00504D7E">
        <w:rPr>
          <w:rFonts w:ascii="Times New Roman" w:hAnsi="Times New Roman"/>
          <w:lang w:val="en-US"/>
        </w:rPr>
        <w:t>in 1</w:t>
      </w:r>
      <w:r w:rsidR="008F698E" w:rsidRPr="00504D7E">
        <w:rPr>
          <w:rFonts w:ascii="Times New Roman" w:hAnsi="Times New Roman"/>
          <w:lang w:val="en-US"/>
        </w:rPr>
        <w:t>6</w:t>
      </w:r>
      <w:r w:rsidR="00E779E9" w:rsidRPr="00504D7E">
        <w:rPr>
          <w:rFonts w:ascii="Times New Roman" w:hAnsi="Times New Roman"/>
          <w:lang w:val="en-US"/>
        </w:rPr>
        <w:t xml:space="preserve"> </w:t>
      </w:r>
      <w:r w:rsidR="00371F23">
        <w:rPr>
          <w:rFonts w:ascii="Times New Roman" w:hAnsi="Times New Roman"/>
          <w:lang w:val="en-US"/>
        </w:rPr>
        <w:t xml:space="preserve">European </w:t>
      </w:r>
      <w:r w:rsidR="00E779E9" w:rsidRPr="00504D7E">
        <w:rPr>
          <w:rFonts w:ascii="Times New Roman" w:hAnsi="Times New Roman"/>
          <w:lang w:val="en-US"/>
        </w:rPr>
        <w:t>countries</w:t>
      </w:r>
      <w:r w:rsidRPr="00504D7E">
        <w:rPr>
          <w:rFonts w:ascii="Times New Roman" w:hAnsi="Times New Roman"/>
          <w:lang w:val="en-US"/>
        </w:rPr>
        <w:t xml:space="preserve">: </w:t>
      </w:r>
      <w:r w:rsidR="00E779E9" w:rsidRPr="00504D7E">
        <w:rPr>
          <w:rFonts w:ascii="Times New Roman" w:hAnsi="Times New Roman"/>
          <w:lang w:val="en-US"/>
        </w:rPr>
        <w:t xml:space="preserve">Austria, </w:t>
      </w:r>
      <w:r w:rsidR="00712BAF" w:rsidRPr="00504D7E">
        <w:rPr>
          <w:rFonts w:ascii="Times New Roman" w:hAnsi="Times New Roman"/>
          <w:lang w:val="en-US"/>
        </w:rPr>
        <w:t>Belgium, Bulgaria, Czech Republic, Finla</w:t>
      </w:r>
      <w:r w:rsidR="00F06883">
        <w:rPr>
          <w:rFonts w:ascii="Times New Roman" w:hAnsi="Times New Roman"/>
          <w:lang w:val="en-US"/>
        </w:rPr>
        <w:softHyphen/>
      </w:r>
      <w:r w:rsidR="00712BAF" w:rsidRPr="00504D7E">
        <w:rPr>
          <w:rFonts w:ascii="Times New Roman" w:hAnsi="Times New Roman"/>
          <w:lang w:val="en-US"/>
        </w:rPr>
        <w:t>nd, France, Germany, Hungary, Italy, Norway, Poland,</w:t>
      </w:r>
      <w:r w:rsidR="00712BAF" w:rsidRPr="00504D7E" w:rsidDel="00712BAF">
        <w:rPr>
          <w:rFonts w:ascii="Times New Roman" w:hAnsi="Times New Roman"/>
          <w:lang w:val="en-US"/>
        </w:rPr>
        <w:t xml:space="preserve"> </w:t>
      </w:r>
      <w:r w:rsidR="00712BAF" w:rsidRPr="00504D7E">
        <w:rPr>
          <w:rFonts w:ascii="Times New Roman" w:hAnsi="Times New Roman"/>
          <w:lang w:val="en-US"/>
        </w:rPr>
        <w:t xml:space="preserve">Portugal, Romania, </w:t>
      </w:r>
      <w:r w:rsidR="00E779E9" w:rsidRPr="00504D7E">
        <w:rPr>
          <w:rFonts w:ascii="Times New Roman" w:hAnsi="Times New Roman"/>
          <w:lang w:val="en-US"/>
        </w:rPr>
        <w:t xml:space="preserve">Spain, </w:t>
      </w:r>
      <w:r w:rsidR="00712BAF" w:rsidRPr="00504D7E">
        <w:rPr>
          <w:rFonts w:ascii="Times New Roman" w:hAnsi="Times New Roman"/>
          <w:lang w:val="en-US"/>
        </w:rPr>
        <w:t xml:space="preserve">Sweden, and the </w:t>
      </w:r>
      <w:r w:rsidR="00E779E9" w:rsidRPr="00504D7E">
        <w:rPr>
          <w:rFonts w:ascii="Times New Roman" w:hAnsi="Times New Roman"/>
          <w:lang w:val="en-US"/>
        </w:rPr>
        <w:t xml:space="preserve">UK. </w:t>
      </w:r>
      <w:r w:rsidR="006979FD">
        <w:rPr>
          <w:rFonts w:ascii="Times New Roman" w:hAnsi="Times New Roman"/>
          <w:lang w:val="en-US"/>
        </w:rPr>
        <w:t>Table 1 summarizes the geographical coverage of the dataset while t</w:t>
      </w:r>
      <w:r w:rsidR="008F698E" w:rsidRPr="00504D7E">
        <w:rPr>
          <w:rFonts w:ascii="Times New Roman" w:hAnsi="Times New Roman"/>
          <w:lang w:val="en-US"/>
        </w:rPr>
        <w:t xml:space="preserve">he </w:t>
      </w:r>
      <w:r w:rsidR="006979FD">
        <w:rPr>
          <w:rFonts w:ascii="Times New Roman" w:hAnsi="Times New Roman"/>
          <w:lang w:val="en-US"/>
        </w:rPr>
        <w:t xml:space="preserve">complete </w:t>
      </w:r>
      <w:r w:rsidR="008F698E" w:rsidRPr="00504D7E">
        <w:rPr>
          <w:rFonts w:ascii="Times New Roman" w:hAnsi="Times New Roman"/>
          <w:lang w:val="en-US"/>
        </w:rPr>
        <w:t xml:space="preserve">list of the regions </w:t>
      </w:r>
      <w:proofErr w:type="gramStart"/>
      <w:r w:rsidR="008F698E" w:rsidRPr="00504D7E">
        <w:rPr>
          <w:rFonts w:ascii="Times New Roman" w:hAnsi="Times New Roman"/>
          <w:lang w:val="en-US"/>
        </w:rPr>
        <w:t>is given</w:t>
      </w:r>
      <w:proofErr w:type="gramEnd"/>
      <w:r w:rsidR="008F698E" w:rsidRPr="00504D7E">
        <w:rPr>
          <w:rFonts w:ascii="Times New Roman" w:hAnsi="Times New Roman"/>
          <w:lang w:val="en-US"/>
        </w:rPr>
        <w:t xml:space="preserve"> in the Appendix. </w:t>
      </w:r>
      <w:r w:rsidR="00BE58DF">
        <w:rPr>
          <w:rFonts w:ascii="Times New Roman" w:hAnsi="Times New Roman"/>
          <w:lang w:val="en-US"/>
        </w:rPr>
        <w:t>The regions included in the analysis were selected</w:t>
      </w:r>
      <w:r w:rsidR="00C25A13">
        <w:rPr>
          <w:rFonts w:ascii="Times New Roman" w:hAnsi="Times New Roman"/>
          <w:lang w:val="en-US"/>
        </w:rPr>
        <w:t xml:space="preserve"> </w:t>
      </w:r>
      <w:proofErr w:type="gramStart"/>
      <w:r w:rsidR="004A1050">
        <w:rPr>
          <w:rFonts w:ascii="Times New Roman" w:hAnsi="Times New Roman"/>
          <w:lang w:val="en-US"/>
        </w:rPr>
        <w:t>on the basis of</w:t>
      </w:r>
      <w:proofErr w:type="gramEnd"/>
      <w:r w:rsidR="004A1050">
        <w:rPr>
          <w:rFonts w:ascii="Times New Roman" w:hAnsi="Times New Roman"/>
          <w:lang w:val="en-US"/>
        </w:rPr>
        <w:t xml:space="preserve"> the availability of information for both metrics that are of interest for our analysis, namely </w:t>
      </w:r>
      <w:r w:rsidR="004A1050" w:rsidRPr="00BE58DF">
        <w:rPr>
          <w:rFonts w:ascii="Times New Roman" w:hAnsi="Times New Roman"/>
          <w:lang w:val="en-US"/>
        </w:rPr>
        <w:t>employ</w:t>
      </w:r>
      <w:r w:rsidR="004A1050">
        <w:rPr>
          <w:rFonts w:ascii="Times New Roman" w:hAnsi="Times New Roman"/>
          <w:lang w:val="en-US"/>
        </w:rPr>
        <w:t>ees and establishments</w:t>
      </w:r>
      <w:r w:rsidR="004A1050" w:rsidRPr="00BE58DF">
        <w:rPr>
          <w:rFonts w:ascii="Times New Roman" w:hAnsi="Times New Roman"/>
          <w:lang w:val="en-US"/>
        </w:rPr>
        <w:t>.</w:t>
      </w:r>
    </w:p>
    <w:p w14:paraId="11B1078D" w14:textId="7536AFE4" w:rsidR="00BE58DF" w:rsidRPr="008A4429" w:rsidRDefault="00BE58DF" w:rsidP="008A4429">
      <w:pPr>
        <w:spacing w:line="480" w:lineRule="auto"/>
        <w:jc w:val="center"/>
        <w:rPr>
          <w:rFonts w:ascii="Times New Roman" w:hAnsi="Times New Roman"/>
          <w:b/>
          <w:i/>
          <w:lang w:val="en-US"/>
        </w:rPr>
      </w:pPr>
      <w:r w:rsidRPr="00964441">
        <w:rPr>
          <w:rFonts w:ascii="Times New Roman" w:hAnsi="Times New Roman"/>
          <w:b/>
          <w:i/>
          <w:lang w:val="en-US"/>
        </w:rPr>
        <w:t xml:space="preserve">Table </w:t>
      </w:r>
      <w:r w:rsidR="00791E3F">
        <w:rPr>
          <w:rFonts w:ascii="Times New Roman" w:hAnsi="Times New Roman"/>
          <w:b/>
          <w:i/>
          <w:lang w:val="en-US"/>
        </w:rPr>
        <w:t>1</w:t>
      </w:r>
      <w:r w:rsidRPr="00964441">
        <w:rPr>
          <w:rFonts w:ascii="Times New Roman" w:hAnsi="Times New Roman"/>
          <w:b/>
          <w:i/>
          <w:lang w:val="en-US"/>
        </w:rPr>
        <w:t xml:space="preserve"> </w:t>
      </w:r>
      <w:proofErr w:type="gramStart"/>
      <w:r w:rsidRPr="00964441">
        <w:rPr>
          <w:rFonts w:ascii="Times New Roman" w:hAnsi="Times New Roman"/>
          <w:b/>
          <w:i/>
          <w:lang w:val="en-US"/>
        </w:rPr>
        <w:t xml:space="preserve">–  </w:t>
      </w:r>
      <w:r>
        <w:rPr>
          <w:rFonts w:ascii="Times New Roman" w:hAnsi="Times New Roman"/>
          <w:b/>
          <w:i/>
          <w:lang w:val="en-US"/>
        </w:rPr>
        <w:t>Geographical</w:t>
      </w:r>
      <w:proofErr w:type="gramEnd"/>
      <w:r>
        <w:rPr>
          <w:rFonts w:ascii="Times New Roman" w:hAnsi="Times New Roman"/>
          <w:b/>
          <w:i/>
          <w:lang w:val="en-US"/>
        </w:rPr>
        <w:t xml:space="preserve"> coverage of the dataset</w:t>
      </w:r>
    </w:p>
    <w:tbl>
      <w:tblPr>
        <w:tblW w:w="9240" w:type="dxa"/>
        <w:tblCellMar>
          <w:left w:w="70" w:type="dxa"/>
          <w:right w:w="70" w:type="dxa"/>
        </w:tblCellMar>
        <w:tblLook w:val="04A0" w:firstRow="1" w:lastRow="0" w:firstColumn="1" w:lastColumn="0" w:noHBand="0" w:noVBand="1"/>
      </w:tblPr>
      <w:tblGrid>
        <w:gridCol w:w="1860"/>
        <w:gridCol w:w="5220"/>
        <w:gridCol w:w="2160"/>
      </w:tblGrid>
      <w:tr w:rsidR="00BE58DF" w:rsidRPr="00BE58DF" w14:paraId="14321C74" w14:textId="77777777" w:rsidTr="00BE58DF">
        <w:trPr>
          <w:trHeight w:val="540"/>
        </w:trPr>
        <w:tc>
          <w:tcPr>
            <w:tcW w:w="1860" w:type="dxa"/>
            <w:tcBorders>
              <w:top w:val="single" w:sz="4" w:space="0" w:color="auto"/>
              <w:left w:val="nil"/>
              <w:bottom w:val="single" w:sz="4" w:space="0" w:color="auto"/>
              <w:right w:val="nil"/>
            </w:tcBorders>
            <w:shd w:val="clear" w:color="auto" w:fill="auto"/>
            <w:vAlign w:val="center"/>
            <w:hideMark/>
          </w:tcPr>
          <w:p w14:paraId="281A2B18" w14:textId="77777777" w:rsidR="00BE58DF" w:rsidRPr="00BE58DF" w:rsidRDefault="00BE58DF" w:rsidP="00BE58DF">
            <w:pPr>
              <w:jc w:val="both"/>
              <w:rPr>
                <w:color w:val="000000"/>
                <w:sz w:val="20"/>
                <w:szCs w:val="20"/>
              </w:rPr>
            </w:pPr>
            <w:r w:rsidRPr="00BE58DF">
              <w:rPr>
                <w:color w:val="000000"/>
                <w:sz w:val="20"/>
                <w:szCs w:val="20"/>
                <w:lang w:val="en-GB"/>
              </w:rPr>
              <w:t>Country</w:t>
            </w:r>
          </w:p>
        </w:tc>
        <w:tc>
          <w:tcPr>
            <w:tcW w:w="5220" w:type="dxa"/>
            <w:tcBorders>
              <w:top w:val="single" w:sz="4" w:space="0" w:color="auto"/>
              <w:left w:val="nil"/>
              <w:bottom w:val="single" w:sz="4" w:space="0" w:color="auto"/>
              <w:right w:val="nil"/>
            </w:tcBorders>
            <w:shd w:val="clear" w:color="auto" w:fill="auto"/>
            <w:vAlign w:val="center"/>
            <w:hideMark/>
          </w:tcPr>
          <w:p w14:paraId="0EF3F3E4" w14:textId="77777777" w:rsidR="00BE58DF" w:rsidRPr="00BE58DF" w:rsidRDefault="00BE58DF" w:rsidP="00BE58DF">
            <w:pPr>
              <w:jc w:val="center"/>
              <w:rPr>
                <w:color w:val="000000"/>
                <w:sz w:val="20"/>
                <w:szCs w:val="20"/>
              </w:rPr>
            </w:pPr>
            <w:r w:rsidRPr="00BE58DF">
              <w:rPr>
                <w:color w:val="000000"/>
                <w:sz w:val="20"/>
                <w:szCs w:val="20"/>
                <w:lang w:val="en-GB"/>
              </w:rPr>
              <w:t xml:space="preserve">Administrative partition </w:t>
            </w:r>
          </w:p>
        </w:tc>
        <w:tc>
          <w:tcPr>
            <w:tcW w:w="2160" w:type="dxa"/>
            <w:tcBorders>
              <w:top w:val="single" w:sz="4" w:space="0" w:color="auto"/>
              <w:left w:val="nil"/>
              <w:bottom w:val="single" w:sz="4" w:space="0" w:color="auto"/>
              <w:right w:val="nil"/>
            </w:tcBorders>
            <w:shd w:val="clear" w:color="auto" w:fill="auto"/>
            <w:vAlign w:val="center"/>
            <w:hideMark/>
          </w:tcPr>
          <w:p w14:paraId="3FE01FD6" w14:textId="77777777" w:rsidR="00BE58DF" w:rsidRPr="00BE58DF" w:rsidRDefault="00BE58DF" w:rsidP="00BE58DF">
            <w:pPr>
              <w:jc w:val="center"/>
              <w:rPr>
                <w:color w:val="000000"/>
                <w:sz w:val="20"/>
                <w:szCs w:val="20"/>
              </w:rPr>
            </w:pPr>
            <w:r w:rsidRPr="00BE58DF">
              <w:rPr>
                <w:color w:val="000000"/>
                <w:sz w:val="20"/>
                <w:szCs w:val="20"/>
                <w:lang w:val="en-GB"/>
              </w:rPr>
              <w:t>Number of regions included</w:t>
            </w:r>
          </w:p>
        </w:tc>
      </w:tr>
      <w:tr w:rsidR="00BE58DF" w:rsidRPr="00BE58DF" w14:paraId="1F1EB20C" w14:textId="77777777" w:rsidTr="00BE58DF">
        <w:trPr>
          <w:trHeight w:val="360"/>
        </w:trPr>
        <w:tc>
          <w:tcPr>
            <w:tcW w:w="1860" w:type="dxa"/>
            <w:tcBorders>
              <w:top w:val="nil"/>
              <w:left w:val="nil"/>
              <w:bottom w:val="nil"/>
              <w:right w:val="nil"/>
            </w:tcBorders>
            <w:shd w:val="clear" w:color="auto" w:fill="auto"/>
            <w:noWrap/>
            <w:vAlign w:val="center"/>
            <w:hideMark/>
          </w:tcPr>
          <w:p w14:paraId="617A3B19" w14:textId="77777777" w:rsidR="00BE58DF" w:rsidRPr="00BE58DF" w:rsidRDefault="00BE58DF" w:rsidP="00BE58DF">
            <w:pPr>
              <w:jc w:val="both"/>
              <w:rPr>
                <w:color w:val="000000"/>
                <w:sz w:val="20"/>
                <w:szCs w:val="20"/>
              </w:rPr>
            </w:pPr>
            <w:r w:rsidRPr="00BE58DF">
              <w:rPr>
                <w:color w:val="000000"/>
                <w:sz w:val="20"/>
                <w:szCs w:val="20"/>
              </w:rPr>
              <w:t>Austria</w:t>
            </w:r>
          </w:p>
        </w:tc>
        <w:tc>
          <w:tcPr>
            <w:tcW w:w="5220" w:type="dxa"/>
            <w:tcBorders>
              <w:top w:val="nil"/>
              <w:left w:val="nil"/>
              <w:bottom w:val="nil"/>
              <w:right w:val="nil"/>
            </w:tcBorders>
            <w:shd w:val="clear" w:color="auto" w:fill="auto"/>
            <w:vAlign w:val="center"/>
            <w:hideMark/>
          </w:tcPr>
          <w:p w14:paraId="293A0753" w14:textId="77777777" w:rsidR="00BE58DF" w:rsidRPr="00BE58DF" w:rsidRDefault="00BE58DF" w:rsidP="00BE58DF">
            <w:pPr>
              <w:jc w:val="center"/>
              <w:rPr>
                <w:color w:val="000000"/>
                <w:sz w:val="20"/>
                <w:szCs w:val="20"/>
              </w:rPr>
            </w:pPr>
            <w:proofErr w:type="spellStart"/>
            <w:r w:rsidRPr="00BE58DF">
              <w:rPr>
                <w:color w:val="000000"/>
                <w:sz w:val="20"/>
                <w:szCs w:val="20"/>
              </w:rPr>
              <w:t>States</w:t>
            </w:r>
            <w:proofErr w:type="spellEnd"/>
            <w:r w:rsidRPr="00BE58DF">
              <w:rPr>
                <w:color w:val="000000"/>
                <w:sz w:val="20"/>
                <w:szCs w:val="20"/>
              </w:rPr>
              <w:t xml:space="preserve"> (</w:t>
            </w:r>
            <w:proofErr w:type="spellStart"/>
            <w:r w:rsidRPr="00BE58DF">
              <w:rPr>
                <w:color w:val="000000"/>
                <w:sz w:val="20"/>
                <w:szCs w:val="20"/>
              </w:rPr>
              <w:t>Bundesländer</w:t>
            </w:r>
            <w:proofErr w:type="spellEnd"/>
            <w:r w:rsidRPr="00BE58DF">
              <w:rPr>
                <w:color w:val="000000"/>
                <w:sz w:val="20"/>
                <w:szCs w:val="20"/>
              </w:rPr>
              <w:t>) - NUTS2</w:t>
            </w:r>
          </w:p>
        </w:tc>
        <w:tc>
          <w:tcPr>
            <w:tcW w:w="2160" w:type="dxa"/>
            <w:tcBorders>
              <w:top w:val="nil"/>
              <w:left w:val="nil"/>
              <w:bottom w:val="nil"/>
              <w:right w:val="nil"/>
            </w:tcBorders>
            <w:shd w:val="clear" w:color="auto" w:fill="auto"/>
            <w:noWrap/>
            <w:vAlign w:val="bottom"/>
            <w:hideMark/>
          </w:tcPr>
          <w:p w14:paraId="3237BB71" w14:textId="77777777" w:rsidR="00BE58DF" w:rsidRPr="00BE58DF" w:rsidRDefault="00BE58DF" w:rsidP="00BE58DF">
            <w:pPr>
              <w:jc w:val="center"/>
              <w:rPr>
                <w:color w:val="000000"/>
                <w:sz w:val="20"/>
                <w:szCs w:val="20"/>
              </w:rPr>
            </w:pPr>
            <w:r w:rsidRPr="00BE58DF">
              <w:rPr>
                <w:color w:val="000000"/>
                <w:sz w:val="20"/>
                <w:szCs w:val="20"/>
              </w:rPr>
              <w:t>2</w:t>
            </w:r>
          </w:p>
        </w:tc>
      </w:tr>
      <w:tr w:rsidR="00BE58DF" w:rsidRPr="00BE58DF" w14:paraId="2DE66CEE" w14:textId="77777777" w:rsidTr="00BE58DF">
        <w:trPr>
          <w:trHeight w:val="360"/>
        </w:trPr>
        <w:tc>
          <w:tcPr>
            <w:tcW w:w="1860" w:type="dxa"/>
            <w:tcBorders>
              <w:top w:val="nil"/>
              <w:left w:val="nil"/>
              <w:bottom w:val="nil"/>
              <w:right w:val="nil"/>
            </w:tcBorders>
            <w:shd w:val="clear" w:color="auto" w:fill="auto"/>
            <w:noWrap/>
            <w:vAlign w:val="center"/>
            <w:hideMark/>
          </w:tcPr>
          <w:p w14:paraId="77A14196" w14:textId="77777777" w:rsidR="00BE58DF" w:rsidRPr="00BE58DF" w:rsidRDefault="00BE58DF" w:rsidP="00BE58DF">
            <w:pPr>
              <w:jc w:val="both"/>
              <w:rPr>
                <w:color w:val="000000"/>
                <w:sz w:val="20"/>
                <w:szCs w:val="20"/>
              </w:rPr>
            </w:pPr>
            <w:r w:rsidRPr="00BE58DF">
              <w:rPr>
                <w:color w:val="000000"/>
                <w:sz w:val="20"/>
                <w:szCs w:val="20"/>
                <w:lang w:val="en-GB"/>
              </w:rPr>
              <w:t>Belgium</w:t>
            </w:r>
          </w:p>
        </w:tc>
        <w:tc>
          <w:tcPr>
            <w:tcW w:w="5220" w:type="dxa"/>
            <w:tcBorders>
              <w:top w:val="nil"/>
              <w:left w:val="nil"/>
              <w:bottom w:val="nil"/>
              <w:right w:val="nil"/>
            </w:tcBorders>
            <w:shd w:val="clear" w:color="auto" w:fill="auto"/>
            <w:vAlign w:val="center"/>
            <w:hideMark/>
          </w:tcPr>
          <w:p w14:paraId="005DFF6C" w14:textId="77777777" w:rsidR="00BE58DF" w:rsidRPr="00BE58DF" w:rsidRDefault="00BE58DF" w:rsidP="00BE58DF">
            <w:pPr>
              <w:jc w:val="center"/>
              <w:rPr>
                <w:color w:val="000000"/>
                <w:sz w:val="20"/>
                <w:szCs w:val="20"/>
              </w:rPr>
            </w:pPr>
            <w:r w:rsidRPr="00BE58DF">
              <w:rPr>
                <w:color w:val="000000"/>
                <w:sz w:val="20"/>
                <w:szCs w:val="20"/>
                <w:lang w:val="en-GB"/>
              </w:rPr>
              <w:t>Provinces - NUTS2</w:t>
            </w:r>
          </w:p>
        </w:tc>
        <w:tc>
          <w:tcPr>
            <w:tcW w:w="2160" w:type="dxa"/>
            <w:tcBorders>
              <w:top w:val="nil"/>
              <w:left w:val="nil"/>
              <w:bottom w:val="nil"/>
              <w:right w:val="nil"/>
            </w:tcBorders>
            <w:shd w:val="clear" w:color="auto" w:fill="auto"/>
            <w:vAlign w:val="center"/>
            <w:hideMark/>
          </w:tcPr>
          <w:p w14:paraId="311C8350" w14:textId="77777777" w:rsidR="00BE58DF" w:rsidRPr="00BE58DF" w:rsidRDefault="00BE58DF" w:rsidP="00BE58DF">
            <w:pPr>
              <w:jc w:val="center"/>
              <w:rPr>
                <w:color w:val="000000"/>
                <w:sz w:val="20"/>
                <w:szCs w:val="20"/>
              </w:rPr>
            </w:pPr>
            <w:r w:rsidRPr="00BE58DF">
              <w:rPr>
                <w:color w:val="000000"/>
                <w:sz w:val="20"/>
                <w:szCs w:val="20"/>
                <w:lang w:val="en-GB"/>
              </w:rPr>
              <w:t>1</w:t>
            </w:r>
          </w:p>
        </w:tc>
      </w:tr>
      <w:tr w:rsidR="00BE58DF" w:rsidRPr="00BE58DF" w14:paraId="4B1D306C" w14:textId="77777777" w:rsidTr="00BE58DF">
        <w:trPr>
          <w:trHeight w:val="360"/>
        </w:trPr>
        <w:tc>
          <w:tcPr>
            <w:tcW w:w="1860" w:type="dxa"/>
            <w:tcBorders>
              <w:top w:val="nil"/>
              <w:left w:val="nil"/>
              <w:bottom w:val="nil"/>
              <w:right w:val="nil"/>
            </w:tcBorders>
            <w:shd w:val="clear" w:color="auto" w:fill="auto"/>
            <w:noWrap/>
            <w:vAlign w:val="center"/>
            <w:hideMark/>
          </w:tcPr>
          <w:p w14:paraId="7BEDB8A7" w14:textId="77777777" w:rsidR="00BE58DF" w:rsidRPr="00BE58DF" w:rsidRDefault="00BE58DF" w:rsidP="00BE58DF">
            <w:pPr>
              <w:jc w:val="both"/>
              <w:rPr>
                <w:color w:val="000000"/>
                <w:sz w:val="20"/>
                <w:szCs w:val="20"/>
              </w:rPr>
            </w:pPr>
            <w:r w:rsidRPr="00BE58DF">
              <w:rPr>
                <w:color w:val="000000"/>
                <w:sz w:val="20"/>
                <w:szCs w:val="20"/>
                <w:lang w:val="en-GB"/>
              </w:rPr>
              <w:t>Bulgaria</w:t>
            </w:r>
          </w:p>
        </w:tc>
        <w:tc>
          <w:tcPr>
            <w:tcW w:w="5220" w:type="dxa"/>
            <w:tcBorders>
              <w:top w:val="nil"/>
              <w:left w:val="nil"/>
              <w:bottom w:val="nil"/>
              <w:right w:val="nil"/>
            </w:tcBorders>
            <w:shd w:val="clear" w:color="auto" w:fill="auto"/>
            <w:vAlign w:val="center"/>
            <w:hideMark/>
          </w:tcPr>
          <w:p w14:paraId="69D1E8D5" w14:textId="77777777" w:rsidR="00BE58DF" w:rsidRPr="00BE58DF" w:rsidRDefault="00BE58DF" w:rsidP="00BE58DF">
            <w:pPr>
              <w:jc w:val="center"/>
              <w:rPr>
                <w:color w:val="000000"/>
                <w:sz w:val="20"/>
                <w:szCs w:val="20"/>
              </w:rPr>
            </w:pPr>
            <w:r w:rsidRPr="00BE58DF">
              <w:rPr>
                <w:color w:val="000000"/>
                <w:sz w:val="20"/>
                <w:szCs w:val="20"/>
                <w:lang w:val="en-GB"/>
              </w:rPr>
              <w:t>Planning regions - NUTS 2</w:t>
            </w:r>
          </w:p>
        </w:tc>
        <w:tc>
          <w:tcPr>
            <w:tcW w:w="2160" w:type="dxa"/>
            <w:tcBorders>
              <w:top w:val="nil"/>
              <w:left w:val="nil"/>
              <w:bottom w:val="nil"/>
              <w:right w:val="nil"/>
            </w:tcBorders>
            <w:shd w:val="clear" w:color="auto" w:fill="auto"/>
            <w:vAlign w:val="center"/>
            <w:hideMark/>
          </w:tcPr>
          <w:p w14:paraId="34DE317C" w14:textId="77777777" w:rsidR="00BE58DF" w:rsidRPr="00BE58DF" w:rsidRDefault="00BE58DF" w:rsidP="00BE58DF">
            <w:pPr>
              <w:jc w:val="center"/>
              <w:rPr>
                <w:color w:val="000000"/>
                <w:sz w:val="20"/>
                <w:szCs w:val="20"/>
              </w:rPr>
            </w:pPr>
            <w:r w:rsidRPr="00BE58DF">
              <w:rPr>
                <w:color w:val="000000"/>
                <w:sz w:val="20"/>
                <w:szCs w:val="20"/>
                <w:lang w:val="en-GB"/>
              </w:rPr>
              <w:t>4</w:t>
            </w:r>
          </w:p>
        </w:tc>
      </w:tr>
      <w:tr w:rsidR="00BE58DF" w:rsidRPr="00BE58DF" w14:paraId="7609D090" w14:textId="77777777" w:rsidTr="00BE58DF">
        <w:trPr>
          <w:trHeight w:val="360"/>
        </w:trPr>
        <w:tc>
          <w:tcPr>
            <w:tcW w:w="1860" w:type="dxa"/>
            <w:tcBorders>
              <w:top w:val="nil"/>
              <w:left w:val="nil"/>
              <w:bottom w:val="nil"/>
              <w:right w:val="nil"/>
            </w:tcBorders>
            <w:shd w:val="clear" w:color="auto" w:fill="auto"/>
            <w:noWrap/>
            <w:vAlign w:val="center"/>
            <w:hideMark/>
          </w:tcPr>
          <w:p w14:paraId="39D778ED" w14:textId="77777777" w:rsidR="00BE58DF" w:rsidRPr="00BE58DF" w:rsidRDefault="00BE58DF" w:rsidP="00BE58DF">
            <w:pPr>
              <w:jc w:val="both"/>
              <w:rPr>
                <w:color w:val="000000"/>
                <w:sz w:val="20"/>
                <w:szCs w:val="20"/>
              </w:rPr>
            </w:pPr>
            <w:proofErr w:type="spellStart"/>
            <w:r w:rsidRPr="00BE58DF">
              <w:rPr>
                <w:color w:val="000000"/>
                <w:sz w:val="20"/>
                <w:szCs w:val="20"/>
              </w:rPr>
              <w:t>Czech</w:t>
            </w:r>
            <w:proofErr w:type="spellEnd"/>
            <w:r w:rsidRPr="00BE58DF">
              <w:rPr>
                <w:color w:val="000000"/>
                <w:sz w:val="20"/>
                <w:szCs w:val="20"/>
              </w:rPr>
              <w:t xml:space="preserve"> Republic</w:t>
            </w:r>
          </w:p>
        </w:tc>
        <w:tc>
          <w:tcPr>
            <w:tcW w:w="5220" w:type="dxa"/>
            <w:tcBorders>
              <w:top w:val="nil"/>
              <w:left w:val="nil"/>
              <w:bottom w:val="nil"/>
              <w:right w:val="nil"/>
            </w:tcBorders>
            <w:shd w:val="clear" w:color="auto" w:fill="auto"/>
            <w:vAlign w:val="center"/>
            <w:hideMark/>
          </w:tcPr>
          <w:p w14:paraId="1A46DFD6" w14:textId="77777777" w:rsidR="00BE58DF" w:rsidRPr="00BE58DF" w:rsidRDefault="00BE58DF" w:rsidP="00BE58DF">
            <w:pPr>
              <w:jc w:val="center"/>
              <w:rPr>
                <w:color w:val="000000"/>
                <w:sz w:val="20"/>
                <w:szCs w:val="20"/>
              </w:rPr>
            </w:pPr>
            <w:proofErr w:type="spellStart"/>
            <w:r w:rsidRPr="00BE58DF">
              <w:rPr>
                <w:color w:val="000000"/>
                <w:sz w:val="20"/>
                <w:szCs w:val="20"/>
              </w:rPr>
              <w:t>Cohesion</w:t>
            </w:r>
            <w:proofErr w:type="spellEnd"/>
            <w:r w:rsidRPr="00BE58DF">
              <w:rPr>
                <w:color w:val="000000"/>
                <w:sz w:val="20"/>
                <w:szCs w:val="20"/>
              </w:rPr>
              <w:t xml:space="preserve"> </w:t>
            </w:r>
            <w:proofErr w:type="spellStart"/>
            <w:r w:rsidRPr="00BE58DF">
              <w:rPr>
                <w:color w:val="000000"/>
                <w:sz w:val="20"/>
                <w:szCs w:val="20"/>
              </w:rPr>
              <w:t>region</w:t>
            </w:r>
            <w:proofErr w:type="spellEnd"/>
            <w:r w:rsidRPr="00BE58DF">
              <w:rPr>
                <w:color w:val="000000"/>
                <w:sz w:val="20"/>
                <w:szCs w:val="20"/>
              </w:rPr>
              <w:t>/</w:t>
            </w:r>
            <w:proofErr w:type="spellStart"/>
            <w:r w:rsidRPr="00BE58DF">
              <w:rPr>
                <w:color w:val="000000"/>
                <w:sz w:val="20"/>
                <w:szCs w:val="20"/>
              </w:rPr>
              <w:t>Region</w:t>
            </w:r>
            <w:proofErr w:type="spellEnd"/>
            <w:r w:rsidRPr="00BE58DF">
              <w:rPr>
                <w:color w:val="000000"/>
                <w:sz w:val="20"/>
                <w:szCs w:val="20"/>
              </w:rPr>
              <w:t xml:space="preserve"> </w:t>
            </w:r>
            <w:proofErr w:type="spellStart"/>
            <w:r w:rsidRPr="00BE58DF">
              <w:rPr>
                <w:color w:val="000000"/>
                <w:sz w:val="20"/>
                <w:szCs w:val="20"/>
              </w:rPr>
              <w:t>soudržnosti</w:t>
            </w:r>
            <w:proofErr w:type="spellEnd"/>
            <w:r w:rsidRPr="00BE58DF">
              <w:rPr>
                <w:color w:val="000000"/>
                <w:sz w:val="20"/>
                <w:szCs w:val="20"/>
              </w:rPr>
              <w:t xml:space="preserve"> - NUTS 2</w:t>
            </w:r>
          </w:p>
        </w:tc>
        <w:tc>
          <w:tcPr>
            <w:tcW w:w="2160" w:type="dxa"/>
            <w:tcBorders>
              <w:top w:val="nil"/>
              <w:left w:val="nil"/>
              <w:bottom w:val="nil"/>
              <w:right w:val="nil"/>
            </w:tcBorders>
            <w:shd w:val="clear" w:color="auto" w:fill="auto"/>
            <w:vAlign w:val="center"/>
            <w:hideMark/>
          </w:tcPr>
          <w:p w14:paraId="2C05D003" w14:textId="77777777" w:rsidR="00BE58DF" w:rsidRPr="00BE58DF" w:rsidRDefault="00BE58DF" w:rsidP="00BE58DF">
            <w:pPr>
              <w:jc w:val="center"/>
              <w:rPr>
                <w:color w:val="000000"/>
                <w:sz w:val="20"/>
                <w:szCs w:val="20"/>
              </w:rPr>
            </w:pPr>
            <w:r w:rsidRPr="00BE58DF">
              <w:rPr>
                <w:color w:val="000000"/>
                <w:sz w:val="20"/>
                <w:szCs w:val="20"/>
              </w:rPr>
              <w:t>7</w:t>
            </w:r>
          </w:p>
        </w:tc>
      </w:tr>
      <w:tr w:rsidR="00BE58DF" w:rsidRPr="00BE58DF" w14:paraId="03A3E8E2" w14:textId="77777777" w:rsidTr="00BE58DF">
        <w:trPr>
          <w:trHeight w:val="360"/>
        </w:trPr>
        <w:tc>
          <w:tcPr>
            <w:tcW w:w="1860" w:type="dxa"/>
            <w:tcBorders>
              <w:top w:val="nil"/>
              <w:left w:val="nil"/>
              <w:bottom w:val="nil"/>
              <w:right w:val="nil"/>
            </w:tcBorders>
            <w:shd w:val="clear" w:color="auto" w:fill="auto"/>
            <w:noWrap/>
            <w:vAlign w:val="center"/>
            <w:hideMark/>
          </w:tcPr>
          <w:p w14:paraId="71931D78" w14:textId="77777777" w:rsidR="00BE58DF" w:rsidRPr="00BE58DF" w:rsidRDefault="00BE58DF" w:rsidP="00BE58DF">
            <w:pPr>
              <w:jc w:val="both"/>
              <w:rPr>
                <w:color w:val="000000"/>
                <w:sz w:val="20"/>
                <w:szCs w:val="20"/>
              </w:rPr>
            </w:pPr>
            <w:proofErr w:type="spellStart"/>
            <w:r w:rsidRPr="00BE58DF">
              <w:rPr>
                <w:color w:val="000000"/>
                <w:sz w:val="20"/>
                <w:szCs w:val="20"/>
              </w:rPr>
              <w:t>Finland</w:t>
            </w:r>
            <w:proofErr w:type="spellEnd"/>
            <w:r w:rsidRPr="00BE58DF">
              <w:rPr>
                <w:color w:val="000000"/>
                <w:sz w:val="20"/>
                <w:szCs w:val="20"/>
              </w:rPr>
              <w:t xml:space="preserve"> </w:t>
            </w:r>
          </w:p>
        </w:tc>
        <w:tc>
          <w:tcPr>
            <w:tcW w:w="5220" w:type="dxa"/>
            <w:tcBorders>
              <w:top w:val="nil"/>
              <w:left w:val="nil"/>
              <w:bottom w:val="nil"/>
              <w:right w:val="nil"/>
            </w:tcBorders>
            <w:shd w:val="clear" w:color="auto" w:fill="auto"/>
            <w:vAlign w:val="center"/>
            <w:hideMark/>
          </w:tcPr>
          <w:p w14:paraId="33DE79DC" w14:textId="77777777" w:rsidR="00BE58DF" w:rsidRPr="00BE58DF" w:rsidRDefault="00BE58DF" w:rsidP="00BE58DF">
            <w:pPr>
              <w:jc w:val="center"/>
              <w:rPr>
                <w:color w:val="000000"/>
                <w:sz w:val="20"/>
                <w:szCs w:val="20"/>
              </w:rPr>
            </w:pPr>
            <w:proofErr w:type="spellStart"/>
            <w:r w:rsidRPr="00BE58DF">
              <w:rPr>
                <w:color w:val="000000"/>
                <w:sz w:val="20"/>
                <w:szCs w:val="20"/>
              </w:rPr>
              <w:t>Suuralueet</w:t>
            </w:r>
            <w:proofErr w:type="spellEnd"/>
            <w:r w:rsidRPr="00BE58DF">
              <w:rPr>
                <w:color w:val="000000"/>
                <w:sz w:val="20"/>
                <w:szCs w:val="20"/>
              </w:rPr>
              <w:t xml:space="preserve"> - NUTS2</w:t>
            </w:r>
          </w:p>
        </w:tc>
        <w:tc>
          <w:tcPr>
            <w:tcW w:w="2160" w:type="dxa"/>
            <w:tcBorders>
              <w:top w:val="nil"/>
              <w:left w:val="nil"/>
              <w:bottom w:val="nil"/>
              <w:right w:val="nil"/>
            </w:tcBorders>
            <w:shd w:val="clear" w:color="auto" w:fill="auto"/>
            <w:vAlign w:val="center"/>
            <w:hideMark/>
          </w:tcPr>
          <w:p w14:paraId="78F5AABC" w14:textId="77777777" w:rsidR="00BE58DF" w:rsidRPr="00BE58DF" w:rsidRDefault="00BE58DF" w:rsidP="00BE58DF">
            <w:pPr>
              <w:jc w:val="center"/>
              <w:rPr>
                <w:color w:val="000000"/>
                <w:sz w:val="20"/>
                <w:szCs w:val="20"/>
              </w:rPr>
            </w:pPr>
            <w:r w:rsidRPr="00BE58DF">
              <w:rPr>
                <w:color w:val="000000"/>
                <w:sz w:val="20"/>
                <w:szCs w:val="20"/>
              </w:rPr>
              <w:t>3</w:t>
            </w:r>
          </w:p>
        </w:tc>
      </w:tr>
      <w:tr w:rsidR="00BE58DF" w:rsidRPr="00BE58DF" w14:paraId="2D006C86" w14:textId="77777777" w:rsidTr="00BE58DF">
        <w:trPr>
          <w:trHeight w:val="360"/>
        </w:trPr>
        <w:tc>
          <w:tcPr>
            <w:tcW w:w="1860" w:type="dxa"/>
            <w:tcBorders>
              <w:top w:val="nil"/>
              <w:left w:val="nil"/>
              <w:bottom w:val="nil"/>
              <w:right w:val="nil"/>
            </w:tcBorders>
            <w:shd w:val="clear" w:color="auto" w:fill="auto"/>
            <w:noWrap/>
            <w:vAlign w:val="center"/>
            <w:hideMark/>
          </w:tcPr>
          <w:p w14:paraId="4229DFDF" w14:textId="77777777" w:rsidR="00BE58DF" w:rsidRPr="00BE58DF" w:rsidRDefault="00BE58DF" w:rsidP="00BE58DF">
            <w:pPr>
              <w:jc w:val="both"/>
              <w:rPr>
                <w:color w:val="000000"/>
                <w:sz w:val="20"/>
                <w:szCs w:val="20"/>
              </w:rPr>
            </w:pPr>
            <w:r w:rsidRPr="00BE58DF">
              <w:rPr>
                <w:color w:val="000000"/>
                <w:sz w:val="20"/>
                <w:szCs w:val="20"/>
              </w:rPr>
              <w:lastRenderedPageBreak/>
              <w:t>France</w:t>
            </w:r>
          </w:p>
        </w:tc>
        <w:tc>
          <w:tcPr>
            <w:tcW w:w="5220" w:type="dxa"/>
            <w:tcBorders>
              <w:top w:val="nil"/>
              <w:left w:val="nil"/>
              <w:bottom w:val="nil"/>
              <w:right w:val="nil"/>
            </w:tcBorders>
            <w:shd w:val="clear" w:color="auto" w:fill="auto"/>
            <w:vAlign w:val="center"/>
            <w:hideMark/>
          </w:tcPr>
          <w:p w14:paraId="5B7E4993" w14:textId="77777777" w:rsidR="00BE58DF" w:rsidRPr="00BE58DF" w:rsidRDefault="00BE58DF" w:rsidP="00BE58DF">
            <w:pPr>
              <w:jc w:val="center"/>
              <w:rPr>
                <w:color w:val="000000"/>
                <w:sz w:val="20"/>
                <w:szCs w:val="20"/>
              </w:rPr>
            </w:pPr>
            <w:proofErr w:type="spellStart"/>
            <w:r w:rsidRPr="00BE58DF">
              <w:rPr>
                <w:color w:val="000000"/>
                <w:sz w:val="20"/>
                <w:szCs w:val="20"/>
              </w:rPr>
              <w:t>Régions</w:t>
            </w:r>
            <w:proofErr w:type="spellEnd"/>
            <w:r w:rsidRPr="00BE58DF">
              <w:rPr>
                <w:color w:val="000000"/>
                <w:sz w:val="20"/>
                <w:szCs w:val="20"/>
              </w:rPr>
              <w:t xml:space="preserve"> - NUTS2</w:t>
            </w:r>
          </w:p>
        </w:tc>
        <w:tc>
          <w:tcPr>
            <w:tcW w:w="2160" w:type="dxa"/>
            <w:tcBorders>
              <w:top w:val="nil"/>
              <w:left w:val="nil"/>
              <w:bottom w:val="nil"/>
              <w:right w:val="nil"/>
            </w:tcBorders>
            <w:shd w:val="clear" w:color="auto" w:fill="auto"/>
            <w:vAlign w:val="center"/>
            <w:hideMark/>
          </w:tcPr>
          <w:p w14:paraId="16D964E5" w14:textId="77777777" w:rsidR="00BE58DF" w:rsidRPr="00BE58DF" w:rsidRDefault="00BE58DF" w:rsidP="00BE58DF">
            <w:pPr>
              <w:jc w:val="center"/>
              <w:rPr>
                <w:color w:val="000000"/>
                <w:sz w:val="20"/>
                <w:szCs w:val="20"/>
              </w:rPr>
            </w:pPr>
            <w:r w:rsidRPr="00BE58DF">
              <w:rPr>
                <w:color w:val="000000"/>
                <w:sz w:val="20"/>
                <w:szCs w:val="20"/>
              </w:rPr>
              <w:t>22</w:t>
            </w:r>
          </w:p>
        </w:tc>
      </w:tr>
      <w:tr w:rsidR="00BE58DF" w:rsidRPr="00BE58DF" w14:paraId="50A87016" w14:textId="77777777" w:rsidTr="00BE58DF">
        <w:trPr>
          <w:trHeight w:val="360"/>
        </w:trPr>
        <w:tc>
          <w:tcPr>
            <w:tcW w:w="1860" w:type="dxa"/>
            <w:tcBorders>
              <w:top w:val="nil"/>
              <w:left w:val="nil"/>
              <w:bottom w:val="nil"/>
              <w:right w:val="nil"/>
            </w:tcBorders>
            <w:shd w:val="clear" w:color="auto" w:fill="auto"/>
            <w:noWrap/>
            <w:vAlign w:val="center"/>
            <w:hideMark/>
          </w:tcPr>
          <w:p w14:paraId="04502787" w14:textId="77777777" w:rsidR="00BE58DF" w:rsidRPr="00BE58DF" w:rsidRDefault="00BE58DF" w:rsidP="00BE58DF">
            <w:pPr>
              <w:jc w:val="both"/>
              <w:rPr>
                <w:color w:val="000000"/>
                <w:sz w:val="20"/>
                <w:szCs w:val="20"/>
              </w:rPr>
            </w:pPr>
            <w:r w:rsidRPr="00BE58DF">
              <w:rPr>
                <w:color w:val="000000"/>
                <w:sz w:val="20"/>
                <w:szCs w:val="20"/>
                <w:lang w:val="en-GB"/>
              </w:rPr>
              <w:t>Germany</w:t>
            </w:r>
          </w:p>
        </w:tc>
        <w:tc>
          <w:tcPr>
            <w:tcW w:w="5220" w:type="dxa"/>
            <w:tcBorders>
              <w:top w:val="nil"/>
              <w:left w:val="nil"/>
              <w:bottom w:val="nil"/>
              <w:right w:val="nil"/>
            </w:tcBorders>
            <w:shd w:val="clear" w:color="auto" w:fill="auto"/>
            <w:vAlign w:val="center"/>
            <w:hideMark/>
          </w:tcPr>
          <w:p w14:paraId="1209072A" w14:textId="77777777" w:rsidR="00BE58DF" w:rsidRPr="00BE58DF" w:rsidRDefault="00BE58DF" w:rsidP="00BE58DF">
            <w:pPr>
              <w:jc w:val="center"/>
              <w:rPr>
                <w:color w:val="000000"/>
                <w:sz w:val="20"/>
                <w:szCs w:val="20"/>
              </w:rPr>
            </w:pPr>
            <w:r w:rsidRPr="00BE58DF">
              <w:rPr>
                <w:color w:val="000000"/>
                <w:sz w:val="20"/>
                <w:szCs w:val="20"/>
                <w:lang w:val="en-GB"/>
              </w:rPr>
              <w:t xml:space="preserve"> Government regions (</w:t>
            </w:r>
            <w:proofErr w:type="spellStart"/>
            <w:r w:rsidRPr="00BE58DF">
              <w:rPr>
                <w:color w:val="000000"/>
                <w:sz w:val="20"/>
                <w:szCs w:val="20"/>
                <w:lang w:val="en-GB"/>
              </w:rPr>
              <w:t>Regierungsbezirke</w:t>
            </w:r>
            <w:proofErr w:type="spellEnd"/>
            <w:r w:rsidRPr="00BE58DF">
              <w:rPr>
                <w:color w:val="000000"/>
                <w:sz w:val="20"/>
                <w:szCs w:val="20"/>
                <w:lang w:val="en-GB"/>
              </w:rPr>
              <w:t>) -NUTS2</w:t>
            </w:r>
          </w:p>
        </w:tc>
        <w:tc>
          <w:tcPr>
            <w:tcW w:w="2160" w:type="dxa"/>
            <w:tcBorders>
              <w:top w:val="nil"/>
              <w:left w:val="nil"/>
              <w:bottom w:val="nil"/>
              <w:right w:val="nil"/>
            </w:tcBorders>
            <w:shd w:val="clear" w:color="auto" w:fill="auto"/>
            <w:vAlign w:val="center"/>
            <w:hideMark/>
          </w:tcPr>
          <w:p w14:paraId="7F6494AB" w14:textId="77777777" w:rsidR="00BE58DF" w:rsidRPr="00BE58DF" w:rsidRDefault="00BE58DF" w:rsidP="00BE58DF">
            <w:pPr>
              <w:jc w:val="center"/>
              <w:rPr>
                <w:color w:val="000000"/>
                <w:sz w:val="20"/>
                <w:szCs w:val="20"/>
              </w:rPr>
            </w:pPr>
            <w:r w:rsidRPr="00BE58DF">
              <w:rPr>
                <w:color w:val="000000"/>
                <w:sz w:val="20"/>
                <w:szCs w:val="20"/>
              </w:rPr>
              <w:t>9</w:t>
            </w:r>
          </w:p>
        </w:tc>
      </w:tr>
      <w:tr w:rsidR="00BE58DF" w:rsidRPr="00BE58DF" w14:paraId="46AFB064" w14:textId="77777777" w:rsidTr="00BE58DF">
        <w:trPr>
          <w:trHeight w:val="360"/>
        </w:trPr>
        <w:tc>
          <w:tcPr>
            <w:tcW w:w="1860" w:type="dxa"/>
            <w:tcBorders>
              <w:top w:val="nil"/>
              <w:left w:val="nil"/>
              <w:bottom w:val="nil"/>
              <w:right w:val="nil"/>
            </w:tcBorders>
            <w:shd w:val="clear" w:color="auto" w:fill="auto"/>
            <w:noWrap/>
            <w:vAlign w:val="center"/>
            <w:hideMark/>
          </w:tcPr>
          <w:p w14:paraId="68E0E185" w14:textId="77777777" w:rsidR="00BE58DF" w:rsidRPr="00BE58DF" w:rsidRDefault="00BE58DF" w:rsidP="00BE58DF">
            <w:pPr>
              <w:jc w:val="both"/>
              <w:rPr>
                <w:color w:val="000000"/>
                <w:sz w:val="20"/>
                <w:szCs w:val="20"/>
              </w:rPr>
            </w:pPr>
            <w:proofErr w:type="spellStart"/>
            <w:r w:rsidRPr="00BE58DF">
              <w:rPr>
                <w:color w:val="000000"/>
                <w:sz w:val="20"/>
                <w:szCs w:val="20"/>
              </w:rPr>
              <w:t>Hungary</w:t>
            </w:r>
            <w:proofErr w:type="spellEnd"/>
          </w:p>
        </w:tc>
        <w:tc>
          <w:tcPr>
            <w:tcW w:w="5220" w:type="dxa"/>
            <w:tcBorders>
              <w:top w:val="nil"/>
              <w:left w:val="nil"/>
              <w:bottom w:val="nil"/>
              <w:right w:val="nil"/>
            </w:tcBorders>
            <w:shd w:val="clear" w:color="auto" w:fill="auto"/>
            <w:vAlign w:val="center"/>
            <w:hideMark/>
          </w:tcPr>
          <w:p w14:paraId="163889E1" w14:textId="77777777" w:rsidR="00BE58DF" w:rsidRPr="008A4429" w:rsidRDefault="00BE58DF" w:rsidP="00BE58DF">
            <w:pPr>
              <w:jc w:val="center"/>
              <w:rPr>
                <w:color w:val="000000"/>
                <w:sz w:val="20"/>
                <w:szCs w:val="20"/>
                <w:lang w:val="en-US"/>
              </w:rPr>
            </w:pPr>
            <w:r w:rsidRPr="008A4429">
              <w:rPr>
                <w:color w:val="000000"/>
                <w:sz w:val="20"/>
                <w:szCs w:val="20"/>
                <w:lang w:val="en-US"/>
              </w:rPr>
              <w:t>Planning and statistical regions (</w:t>
            </w:r>
            <w:proofErr w:type="spellStart"/>
            <w:r w:rsidRPr="008A4429">
              <w:rPr>
                <w:color w:val="000000"/>
                <w:sz w:val="20"/>
                <w:szCs w:val="20"/>
                <w:lang w:val="en-US"/>
              </w:rPr>
              <w:t>Tervezési-statisztikai</w:t>
            </w:r>
            <w:proofErr w:type="spellEnd"/>
            <w:r w:rsidRPr="008A4429">
              <w:rPr>
                <w:color w:val="000000"/>
                <w:sz w:val="20"/>
                <w:szCs w:val="20"/>
                <w:lang w:val="en-US"/>
              </w:rPr>
              <w:t xml:space="preserve"> </w:t>
            </w:r>
            <w:proofErr w:type="spellStart"/>
            <w:r w:rsidRPr="008A4429">
              <w:rPr>
                <w:color w:val="000000"/>
                <w:sz w:val="20"/>
                <w:szCs w:val="20"/>
                <w:lang w:val="en-US"/>
              </w:rPr>
              <w:t>régiók</w:t>
            </w:r>
            <w:proofErr w:type="spellEnd"/>
            <w:r w:rsidRPr="008A4429">
              <w:rPr>
                <w:color w:val="000000"/>
                <w:sz w:val="20"/>
                <w:szCs w:val="20"/>
                <w:lang w:val="en-US"/>
              </w:rPr>
              <w:t>) - NUTS 2</w:t>
            </w:r>
          </w:p>
        </w:tc>
        <w:tc>
          <w:tcPr>
            <w:tcW w:w="2160" w:type="dxa"/>
            <w:tcBorders>
              <w:top w:val="nil"/>
              <w:left w:val="nil"/>
              <w:bottom w:val="nil"/>
              <w:right w:val="nil"/>
            </w:tcBorders>
            <w:shd w:val="clear" w:color="auto" w:fill="auto"/>
            <w:vAlign w:val="center"/>
            <w:hideMark/>
          </w:tcPr>
          <w:p w14:paraId="120E390F" w14:textId="77777777" w:rsidR="00BE58DF" w:rsidRPr="00BE58DF" w:rsidRDefault="00BE58DF" w:rsidP="00BE58DF">
            <w:pPr>
              <w:jc w:val="center"/>
              <w:rPr>
                <w:color w:val="000000"/>
                <w:sz w:val="20"/>
                <w:szCs w:val="20"/>
              </w:rPr>
            </w:pPr>
            <w:r w:rsidRPr="00BE58DF">
              <w:rPr>
                <w:color w:val="000000"/>
                <w:sz w:val="20"/>
                <w:szCs w:val="20"/>
              </w:rPr>
              <w:t>7</w:t>
            </w:r>
          </w:p>
        </w:tc>
      </w:tr>
      <w:tr w:rsidR="00BE58DF" w:rsidRPr="00BE58DF" w14:paraId="1B6BD2E3" w14:textId="77777777" w:rsidTr="00BE58DF">
        <w:trPr>
          <w:trHeight w:val="360"/>
        </w:trPr>
        <w:tc>
          <w:tcPr>
            <w:tcW w:w="1860" w:type="dxa"/>
            <w:tcBorders>
              <w:top w:val="nil"/>
              <w:left w:val="nil"/>
              <w:bottom w:val="nil"/>
              <w:right w:val="nil"/>
            </w:tcBorders>
            <w:shd w:val="clear" w:color="auto" w:fill="auto"/>
            <w:noWrap/>
            <w:vAlign w:val="center"/>
            <w:hideMark/>
          </w:tcPr>
          <w:p w14:paraId="5D0ED227" w14:textId="77777777" w:rsidR="00BE58DF" w:rsidRPr="00BE58DF" w:rsidRDefault="00BE58DF" w:rsidP="00BE58DF">
            <w:pPr>
              <w:jc w:val="both"/>
              <w:rPr>
                <w:color w:val="000000"/>
                <w:sz w:val="20"/>
                <w:szCs w:val="20"/>
              </w:rPr>
            </w:pPr>
            <w:proofErr w:type="spellStart"/>
            <w:r w:rsidRPr="00BE58DF">
              <w:rPr>
                <w:color w:val="000000"/>
                <w:sz w:val="20"/>
                <w:szCs w:val="20"/>
              </w:rPr>
              <w:t>Italy</w:t>
            </w:r>
            <w:proofErr w:type="spellEnd"/>
          </w:p>
        </w:tc>
        <w:tc>
          <w:tcPr>
            <w:tcW w:w="5220" w:type="dxa"/>
            <w:tcBorders>
              <w:top w:val="nil"/>
              <w:left w:val="nil"/>
              <w:bottom w:val="nil"/>
              <w:right w:val="nil"/>
            </w:tcBorders>
            <w:shd w:val="clear" w:color="auto" w:fill="auto"/>
            <w:vAlign w:val="center"/>
            <w:hideMark/>
          </w:tcPr>
          <w:p w14:paraId="1CA11C9A" w14:textId="77777777" w:rsidR="00BE58DF" w:rsidRPr="00BE58DF" w:rsidRDefault="00BE58DF" w:rsidP="00BE58DF">
            <w:pPr>
              <w:jc w:val="center"/>
              <w:rPr>
                <w:color w:val="000000"/>
                <w:sz w:val="20"/>
                <w:szCs w:val="20"/>
              </w:rPr>
            </w:pPr>
            <w:r w:rsidRPr="00BE58DF">
              <w:rPr>
                <w:color w:val="000000"/>
                <w:sz w:val="20"/>
                <w:szCs w:val="20"/>
              </w:rPr>
              <w:t>Regioni - NUTS2</w:t>
            </w:r>
          </w:p>
        </w:tc>
        <w:tc>
          <w:tcPr>
            <w:tcW w:w="2160" w:type="dxa"/>
            <w:tcBorders>
              <w:top w:val="nil"/>
              <w:left w:val="nil"/>
              <w:bottom w:val="nil"/>
              <w:right w:val="nil"/>
            </w:tcBorders>
            <w:shd w:val="clear" w:color="auto" w:fill="auto"/>
            <w:vAlign w:val="center"/>
            <w:hideMark/>
          </w:tcPr>
          <w:p w14:paraId="6BD31224" w14:textId="77777777" w:rsidR="00BE58DF" w:rsidRPr="00BE58DF" w:rsidRDefault="00BE58DF" w:rsidP="00BE58DF">
            <w:pPr>
              <w:jc w:val="center"/>
              <w:rPr>
                <w:color w:val="000000"/>
                <w:sz w:val="20"/>
                <w:szCs w:val="20"/>
              </w:rPr>
            </w:pPr>
            <w:r w:rsidRPr="00BE58DF">
              <w:rPr>
                <w:color w:val="000000"/>
                <w:sz w:val="20"/>
                <w:szCs w:val="20"/>
              </w:rPr>
              <w:t>18</w:t>
            </w:r>
          </w:p>
        </w:tc>
      </w:tr>
      <w:tr w:rsidR="00BE58DF" w:rsidRPr="00BE58DF" w14:paraId="6D99C7A1" w14:textId="77777777" w:rsidTr="00BE58DF">
        <w:trPr>
          <w:trHeight w:val="360"/>
        </w:trPr>
        <w:tc>
          <w:tcPr>
            <w:tcW w:w="1860" w:type="dxa"/>
            <w:tcBorders>
              <w:top w:val="nil"/>
              <w:left w:val="nil"/>
              <w:bottom w:val="nil"/>
              <w:right w:val="nil"/>
            </w:tcBorders>
            <w:shd w:val="clear" w:color="auto" w:fill="auto"/>
            <w:noWrap/>
            <w:vAlign w:val="center"/>
            <w:hideMark/>
          </w:tcPr>
          <w:p w14:paraId="1285FFD8" w14:textId="77777777" w:rsidR="00BE58DF" w:rsidRPr="00BE58DF" w:rsidRDefault="00BE58DF" w:rsidP="00BE58DF">
            <w:pPr>
              <w:jc w:val="both"/>
              <w:rPr>
                <w:color w:val="000000"/>
                <w:sz w:val="20"/>
                <w:szCs w:val="20"/>
              </w:rPr>
            </w:pPr>
            <w:proofErr w:type="spellStart"/>
            <w:r w:rsidRPr="00BE58DF">
              <w:rPr>
                <w:color w:val="000000"/>
                <w:sz w:val="20"/>
                <w:szCs w:val="20"/>
              </w:rPr>
              <w:t>Norway</w:t>
            </w:r>
            <w:proofErr w:type="spellEnd"/>
          </w:p>
        </w:tc>
        <w:tc>
          <w:tcPr>
            <w:tcW w:w="5220" w:type="dxa"/>
            <w:tcBorders>
              <w:top w:val="nil"/>
              <w:left w:val="nil"/>
              <w:bottom w:val="nil"/>
              <w:right w:val="nil"/>
            </w:tcBorders>
            <w:shd w:val="clear" w:color="auto" w:fill="auto"/>
            <w:vAlign w:val="center"/>
            <w:hideMark/>
          </w:tcPr>
          <w:p w14:paraId="39B4CFD8" w14:textId="77777777" w:rsidR="00BE58DF" w:rsidRPr="00BE58DF" w:rsidRDefault="00BE58DF" w:rsidP="00BE58DF">
            <w:pPr>
              <w:jc w:val="center"/>
              <w:rPr>
                <w:color w:val="000000"/>
                <w:sz w:val="20"/>
                <w:szCs w:val="20"/>
              </w:rPr>
            </w:pPr>
            <w:proofErr w:type="spellStart"/>
            <w:r w:rsidRPr="00BE58DF">
              <w:rPr>
                <w:color w:val="000000"/>
                <w:sz w:val="20"/>
                <w:szCs w:val="20"/>
              </w:rPr>
              <w:t>Regions</w:t>
            </w:r>
            <w:proofErr w:type="spellEnd"/>
            <w:r w:rsidRPr="00BE58DF">
              <w:rPr>
                <w:color w:val="000000"/>
                <w:sz w:val="20"/>
                <w:szCs w:val="20"/>
              </w:rPr>
              <w:t xml:space="preserve"> - NUTS 2</w:t>
            </w:r>
          </w:p>
        </w:tc>
        <w:tc>
          <w:tcPr>
            <w:tcW w:w="2160" w:type="dxa"/>
            <w:tcBorders>
              <w:top w:val="nil"/>
              <w:left w:val="nil"/>
              <w:bottom w:val="nil"/>
              <w:right w:val="nil"/>
            </w:tcBorders>
            <w:shd w:val="clear" w:color="auto" w:fill="auto"/>
            <w:vAlign w:val="center"/>
            <w:hideMark/>
          </w:tcPr>
          <w:p w14:paraId="68966B28" w14:textId="77777777" w:rsidR="00BE58DF" w:rsidRPr="00BE58DF" w:rsidRDefault="00BE58DF" w:rsidP="00BE58DF">
            <w:pPr>
              <w:jc w:val="center"/>
              <w:rPr>
                <w:color w:val="000000"/>
                <w:sz w:val="20"/>
                <w:szCs w:val="20"/>
              </w:rPr>
            </w:pPr>
            <w:r w:rsidRPr="00BE58DF">
              <w:rPr>
                <w:color w:val="000000"/>
                <w:sz w:val="20"/>
                <w:szCs w:val="20"/>
              </w:rPr>
              <w:t>5</w:t>
            </w:r>
          </w:p>
        </w:tc>
      </w:tr>
      <w:tr w:rsidR="00BE58DF" w:rsidRPr="00BE58DF" w14:paraId="03973539" w14:textId="77777777" w:rsidTr="00BE58DF">
        <w:trPr>
          <w:trHeight w:val="360"/>
        </w:trPr>
        <w:tc>
          <w:tcPr>
            <w:tcW w:w="1860" w:type="dxa"/>
            <w:tcBorders>
              <w:top w:val="nil"/>
              <w:left w:val="nil"/>
              <w:bottom w:val="nil"/>
              <w:right w:val="nil"/>
            </w:tcBorders>
            <w:shd w:val="clear" w:color="auto" w:fill="auto"/>
            <w:noWrap/>
            <w:vAlign w:val="center"/>
            <w:hideMark/>
          </w:tcPr>
          <w:p w14:paraId="3F8C4D1F" w14:textId="77777777" w:rsidR="00BE58DF" w:rsidRPr="00BE58DF" w:rsidRDefault="00BE58DF" w:rsidP="00BE58DF">
            <w:pPr>
              <w:jc w:val="both"/>
              <w:rPr>
                <w:color w:val="000000"/>
                <w:sz w:val="20"/>
                <w:szCs w:val="20"/>
              </w:rPr>
            </w:pPr>
            <w:r w:rsidRPr="00BE58DF">
              <w:rPr>
                <w:color w:val="000000"/>
                <w:sz w:val="20"/>
                <w:szCs w:val="20"/>
              </w:rPr>
              <w:t>Poland</w:t>
            </w:r>
          </w:p>
        </w:tc>
        <w:tc>
          <w:tcPr>
            <w:tcW w:w="5220" w:type="dxa"/>
            <w:tcBorders>
              <w:top w:val="nil"/>
              <w:left w:val="nil"/>
              <w:bottom w:val="nil"/>
              <w:right w:val="nil"/>
            </w:tcBorders>
            <w:shd w:val="clear" w:color="auto" w:fill="auto"/>
            <w:vAlign w:val="center"/>
            <w:hideMark/>
          </w:tcPr>
          <w:p w14:paraId="04776BD1" w14:textId="77777777" w:rsidR="00BE58DF" w:rsidRPr="00BE58DF" w:rsidRDefault="00BE58DF" w:rsidP="00BE58DF">
            <w:pPr>
              <w:jc w:val="center"/>
              <w:rPr>
                <w:color w:val="000000"/>
                <w:sz w:val="20"/>
                <w:szCs w:val="20"/>
              </w:rPr>
            </w:pPr>
            <w:proofErr w:type="spellStart"/>
            <w:r w:rsidRPr="00BE58DF">
              <w:rPr>
                <w:color w:val="000000"/>
                <w:sz w:val="20"/>
                <w:szCs w:val="20"/>
              </w:rPr>
              <w:t>Regions</w:t>
            </w:r>
            <w:proofErr w:type="spellEnd"/>
            <w:r w:rsidRPr="00BE58DF">
              <w:rPr>
                <w:color w:val="000000"/>
                <w:sz w:val="20"/>
                <w:szCs w:val="20"/>
              </w:rPr>
              <w:t xml:space="preserve"> (</w:t>
            </w:r>
            <w:proofErr w:type="spellStart"/>
            <w:r w:rsidRPr="00BE58DF">
              <w:rPr>
                <w:color w:val="000000"/>
                <w:sz w:val="20"/>
                <w:szCs w:val="20"/>
              </w:rPr>
              <w:t>regiony</w:t>
            </w:r>
            <w:proofErr w:type="spellEnd"/>
            <w:r w:rsidRPr="00BE58DF">
              <w:rPr>
                <w:color w:val="000000"/>
                <w:sz w:val="20"/>
                <w:szCs w:val="20"/>
              </w:rPr>
              <w:t>) - NUTS2</w:t>
            </w:r>
          </w:p>
        </w:tc>
        <w:tc>
          <w:tcPr>
            <w:tcW w:w="2160" w:type="dxa"/>
            <w:tcBorders>
              <w:top w:val="nil"/>
              <w:left w:val="nil"/>
              <w:bottom w:val="nil"/>
              <w:right w:val="nil"/>
            </w:tcBorders>
            <w:shd w:val="clear" w:color="auto" w:fill="auto"/>
            <w:vAlign w:val="center"/>
            <w:hideMark/>
          </w:tcPr>
          <w:p w14:paraId="746FE453" w14:textId="77777777" w:rsidR="00BE58DF" w:rsidRPr="00BE58DF" w:rsidRDefault="00BE58DF" w:rsidP="00BE58DF">
            <w:pPr>
              <w:jc w:val="center"/>
              <w:rPr>
                <w:color w:val="000000"/>
                <w:sz w:val="20"/>
                <w:szCs w:val="20"/>
              </w:rPr>
            </w:pPr>
            <w:r w:rsidRPr="00BE58DF">
              <w:rPr>
                <w:color w:val="000000"/>
                <w:sz w:val="20"/>
                <w:szCs w:val="20"/>
              </w:rPr>
              <w:t>11</w:t>
            </w:r>
          </w:p>
        </w:tc>
      </w:tr>
      <w:tr w:rsidR="00BE58DF" w:rsidRPr="00BE58DF" w14:paraId="749619A7" w14:textId="77777777" w:rsidTr="00BE58DF">
        <w:trPr>
          <w:trHeight w:val="360"/>
        </w:trPr>
        <w:tc>
          <w:tcPr>
            <w:tcW w:w="1860" w:type="dxa"/>
            <w:tcBorders>
              <w:top w:val="nil"/>
              <w:left w:val="nil"/>
              <w:bottom w:val="nil"/>
              <w:right w:val="nil"/>
            </w:tcBorders>
            <w:shd w:val="clear" w:color="auto" w:fill="auto"/>
            <w:noWrap/>
            <w:vAlign w:val="center"/>
            <w:hideMark/>
          </w:tcPr>
          <w:p w14:paraId="5AE182EE" w14:textId="77777777" w:rsidR="00BE58DF" w:rsidRPr="00BE58DF" w:rsidRDefault="00BE58DF" w:rsidP="00BE58DF">
            <w:pPr>
              <w:jc w:val="both"/>
              <w:rPr>
                <w:color w:val="000000"/>
                <w:sz w:val="20"/>
                <w:szCs w:val="20"/>
              </w:rPr>
            </w:pPr>
            <w:r w:rsidRPr="00BE58DF">
              <w:rPr>
                <w:color w:val="000000"/>
                <w:sz w:val="20"/>
                <w:szCs w:val="20"/>
              </w:rPr>
              <w:t>Portugal</w:t>
            </w:r>
          </w:p>
        </w:tc>
        <w:tc>
          <w:tcPr>
            <w:tcW w:w="5220" w:type="dxa"/>
            <w:tcBorders>
              <w:top w:val="nil"/>
              <w:left w:val="nil"/>
              <w:bottom w:val="nil"/>
              <w:right w:val="nil"/>
            </w:tcBorders>
            <w:shd w:val="clear" w:color="auto" w:fill="auto"/>
            <w:vAlign w:val="center"/>
            <w:hideMark/>
          </w:tcPr>
          <w:p w14:paraId="1868B948" w14:textId="77777777" w:rsidR="00BE58DF" w:rsidRPr="00BE58DF" w:rsidRDefault="00BE58DF" w:rsidP="00BE58DF">
            <w:pPr>
              <w:jc w:val="center"/>
              <w:rPr>
                <w:color w:val="000000"/>
                <w:sz w:val="20"/>
                <w:szCs w:val="20"/>
              </w:rPr>
            </w:pPr>
            <w:proofErr w:type="spellStart"/>
            <w:r w:rsidRPr="00BE58DF">
              <w:rPr>
                <w:color w:val="000000"/>
                <w:sz w:val="20"/>
                <w:szCs w:val="20"/>
              </w:rPr>
              <w:t>Regions</w:t>
            </w:r>
            <w:proofErr w:type="spellEnd"/>
            <w:r w:rsidRPr="00BE58DF">
              <w:rPr>
                <w:color w:val="000000"/>
                <w:sz w:val="20"/>
                <w:szCs w:val="20"/>
              </w:rPr>
              <w:t xml:space="preserve"> - NUTS2</w:t>
            </w:r>
          </w:p>
        </w:tc>
        <w:tc>
          <w:tcPr>
            <w:tcW w:w="2160" w:type="dxa"/>
            <w:tcBorders>
              <w:top w:val="nil"/>
              <w:left w:val="nil"/>
              <w:bottom w:val="nil"/>
              <w:right w:val="nil"/>
            </w:tcBorders>
            <w:shd w:val="clear" w:color="auto" w:fill="auto"/>
            <w:vAlign w:val="center"/>
            <w:hideMark/>
          </w:tcPr>
          <w:p w14:paraId="0498CA50" w14:textId="77777777" w:rsidR="00BE58DF" w:rsidRPr="00BE58DF" w:rsidRDefault="00BE58DF" w:rsidP="00BE58DF">
            <w:pPr>
              <w:jc w:val="center"/>
              <w:rPr>
                <w:color w:val="000000"/>
                <w:sz w:val="20"/>
                <w:szCs w:val="20"/>
              </w:rPr>
            </w:pPr>
            <w:r w:rsidRPr="00BE58DF">
              <w:rPr>
                <w:color w:val="000000"/>
                <w:sz w:val="20"/>
                <w:szCs w:val="20"/>
              </w:rPr>
              <w:t>2</w:t>
            </w:r>
          </w:p>
        </w:tc>
      </w:tr>
      <w:tr w:rsidR="00BE58DF" w:rsidRPr="00BE58DF" w14:paraId="1A854D4F" w14:textId="77777777" w:rsidTr="00BE58DF">
        <w:trPr>
          <w:trHeight w:val="360"/>
        </w:trPr>
        <w:tc>
          <w:tcPr>
            <w:tcW w:w="1860" w:type="dxa"/>
            <w:tcBorders>
              <w:top w:val="nil"/>
              <w:left w:val="nil"/>
              <w:bottom w:val="nil"/>
              <w:right w:val="nil"/>
            </w:tcBorders>
            <w:shd w:val="clear" w:color="auto" w:fill="auto"/>
            <w:noWrap/>
            <w:vAlign w:val="center"/>
            <w:hideMark/>
          </w:tcPr>
          <w:p w14:paraId="3D631D85" w14:textId="77777777" w:rsidR="00BE58DF" w:rsidRPr="00BE58DF" w:rsidRDefault="00BE58DF" w:rsidP="00BE58DF">
            <w:pPr>
              <w:jc w:val="both"/>
              <w:rPr>
                <w:color w:val="000000"/>
                <w:sz w:val="20"/>
                <w:szCs w:val="20"/>
              </w:rPr>
            </w:pPr>
            <w:r w:rsidRPr="00BE58DF">
              <w:rPr>
                <w:color w:val="000000"/>
                <w:sz w:val="20"/>
                <w:szCs w:val="20"/>
              </w:rPr>
              <w:t>Romania</w:t>
            </w:r>
          </w:p>
        </w:tc>
        <w:tc>
          <w:tcPr>
            <w:tcW w:w="5220" w:type="dxa"/>
            <w:tcBorders>
              <w:top w:val="nil"/>
              <w:left w:val="nil"/>
              <w:bottom w:val="nil"/>
              <w:right w:val="nil"/>
            </w:tcBorders>
            <w:shd w:val="clear" w:color="auto" w:fill="auto"/>
            <w:vAlign w:val="center"/>
            <w:hideMark/>
          </w:tcPr>
          <w:p w14:paraId="1E7048EA" w14:textId="77777777" w:rsidR="00BE58DF" w:rsidRPr="00BE58DF" w:rsidRDefault="00BE58DF" w:rsidP="00BE58DF">
            <w:pPr>
              <w:jc w:val="center"/>
              <w:rPr>
                <w:color w:val="000000"/>
                <w:sz w:val="20"/>
                <w:szCs w:val="20"/>
              </w:rPr>
            </w:pPr>
            <w:proofErr w:type="spellStart"/>
            <w:r w:rsidRPr="00BE58DF">
              <w:rPr>
                <w:color w:val="000000"/>
                <w:sz w:val="20"/>
                <w:szCs w:val="20"/>
              </w:rPr>
              <w:t>Regions</w:t>
            </w:r>
            <w:proofErr w:type="spellEnd"/>
            <w:r w:rsidRPr="00BE58DF">
              <w:rPr>
                <w:color w:val="000000"/>
                <w:sz w:val="20"/>
                <w:szCs w:val="20"/>
              </w:rPr>
              <w:t xml:space="preserve"> (</w:t>
            </w:r>
            <w:proofErr w:type="spellStart"/>
            <w:r w:rsidRPr="00BE58DF">
              <w:rPr>
                <w:color w:val="000000"/>
                <w:sz w:val="20"/>
                <w:szCs w:val="20"/>
              </w:rPr>
              <w:t>Regiuni</w:t>
            </w:r>
            <w:proofErr w:type="spellEnd"/>
            <w:r w:rsidRPr="00BE58DF">
              <w:rPr>
                <w:color w:val="000000"/>
                <w:sz w:val="20"/>
                <w:szCs w:val="20"/>
              </w:rPr>
              <w:t>) - NUTS2</w:t>
            </w:r>
          </w:p>
        </w:tc>
        <w:tc>
          <w:tcPr>
            <w:tcW w:w="2160" w:type="dxa"/>
            <w:tcBorders>
              <w:top w:val="nil"/>
              <w:left w:val="nil"/>
              <w:bottom w:val="nil"/>
              <w:right w:val="nil"/>
            </w:tcBorders>
            <w:shd w:val="clear" w:color="auto" w:fill="auto"/>
            <w:vAlign w:val="center"/>
            <w:hideMark/>
          </w:tcPr>
          <w:p w14:paraId="54AA0B6E" w14:textId="77777777" w:rsidR="00BE58DF" w:rsidRPr="00BE58DF" w:rsidRDefault="00BE58DF" w:rsidP="00BE58DF">
            <w:pPr>
              <w:jc w:val="center"/>
              <w:rPr>
                <w:color w:val="000000"/>
                <w:sz w:val="20"/>
                <w:szCs w:val="20"/>
              </w:rPr>
            </w:pPr>
            <w:r w:rsidRPr="00BE58DF">
              <w:rPr>
                <w:color w:val="000000"/>
                <w:sz w:val="20"/>
                <w:szCs w:val="20"/>
              </w:rPr>
              <w:t>8</w:t>
            </w:r>
          </w:p>
        </w:tc>
      </w:tr>
      <w:tr w:rsidR="00BE58DF" w:rsidRPr="00BE58DF" w14:paraId="0D98E42A" w14:textId="77777777" w:rsidTr="00BE58DF">
        <w:trPr>
          <w:trHeight w:val="360"/>
        </w:trPr>
        <w:tc>
          <w:tcPr>
            <w:tcW w:w="1860" w:type="dxa"/>
            <w:tcBorders>
              <w:top w:val="nil"/>
              <w:left w:val="nil"/>
              <w:bottom w:val="nil"/>
              <w:right w:val="nil"/>
            </w:tcBorders>
            <w:shd w:val="clear" w:color="auto" w:fill="auto"/>
            <w:noWrap/>
            <w:vAlign w:val="center"/>
            <w:hideMark/>
          </w:tcPr>
          <w:p w14:paraId="06F39B15" w14:textId="77777777" w:rsidR="00BE58DF" w:rsidRPr="00BE58DF" w:rsidRDefault="00BE58DF" w:rsidP="00BE58DF">
            <w:pPr>
              <w:jc w:val="both"/>
              <w:rPr>
                <w:color w:val="000000"/>
                <w:sz w:val="20"/>
                <w:szCs w:val="20"/>
              </w:rPr>
            </w:pPr>
            <w:proofErr w:type="spellStart"/>
            <w:r w:rsidRPr="00BE58DF">
              <w:rPr>
                <w:color w:val="000000"/>
                <w:sz w:val="20"/>
                <w:szCs w:val="20"/>
              </w:rPr>
              <w:t>Spain</w:t>
            </w:r>
            <w:proofErr w:type="spellEnd"/>
          </w:p>
        </w:tc>
        <w:tc>
          <w:tcPr>
            <w:tcW w:w="5220" w:type="dxa"/>
            <w:tcBorders>
              <w:top w:val="nil"/>
              <w:left w:val="nil"/>
              <w:bottom w:val="nil"/>
              <w:right w:val="nil"/>
            </w:tcBorders>
            <w:shd w:val="clear" w:color="auto" w:fill="auto"/>
            <w:vAlign w:val="center"/>
            <w:hideMark/>
          </w:tcPr>
          <w:p w14:paraId="4A911DC4" w14:textId="77777777" w:rsidR="00BE58DF" w:rsidRPr="00BE58DF" w:rsidRDefault="00BE58DF" w:rsidP="00BE58DF">
            <w:pPr>
              <w:jc w:val="center"/>
              <w:rPr>
                <w:color w:val="000000"/>
                <w:sz w:val="20"/>
                <w:szCs w:val="20"/>
              </w:rPr>
            </w:pPr>
            <w:proofErr w:type="spellStart"/>
            <w:r w:rsidRPr="00BE58DF">
              <w:rPr>
                <w:color w:val="000000"/>
                <w:sz w:val="20"/>
                <w:szCs w:val="20"/>
              </w:rPr>
              <w:t>Comunidades</w:t>
            </w:r>
            <w:proofErr w:type="spellEnd"/>
            <w:r w:rsidRPr="00BE58DF">
              <w:rPr>
                <w:color w:val="000000"/>
                <w:sz w:val="20"/>
                <w:szCs w:val="20"/>
              </w:rPr>
              <w:t xml:space="preserve"> </w:t>
            </w:r>
            <w:proofErr w:type="spellStart"/>
            <w:r w:rsidRPr="00BE58DF">
              <w:rPr>
                <w:color w:val="000000"/>
                <w:sz w:val="20"/>
                <w:szCs w:val="20"/>
              </w:rPr>
              <w:t>autónomas</w:t>
            </w:r>
            <w:proofErr w:type="spellEnd"/>
            <w:r w:rsidRPr="00BE58DF">
              <w:rPr>
                <w:color w:val="000000"/>
                <w:sz w:val="20"/>
                <w:szCs w:val="20"/>
              </w:rPr>
              <w:t xml:space="preserve"> -NUTS2</w:t>
            </w:r>
          </w:p>
        </w:tc>
        <w:tc>
          <w:tcPr>
            <w:tcW w:w="2160" w:type="dxa"/>
            <w:tcBorders>
              <w:top w:val="nil"/>
              <w:left w:val="nil"/>
              <w:bottom w:val="nil"/>
              <w:right w:val="nil"/>
            </w:tcBorders>
            <w:shd w:val="clear" w:color="auto" w:fill="auto"/>
            <w:vAlign w:val="center"/>
            <w:hideMark/>
          </w:tcPr>
          <w:p w14:paraId="3C2FB754" w14:textId="77777777" w:rsidR="00BE58DF" w:rsidRPr="00BE58DF" w:rsidRDefault="00BE58DF" w:rsidP="00BE58DF">
            <w:pPr>
              <w:jc w:val="center"/>
              <w:rPr>
                <w:color w:val="000000"/>
                <w:sz w:val="20"/>
                <w:szCs w:val="20"/>
              </w:rPr>
            </w:pPr>
            <w:r w:rsidRPr="00BE58DF">
              <w:rPr>
                <w:color w:val="000000"/>
                <w:sz w:val="20"/>
                <w:szCs w:val="20"/>
              </w:rPr>
              <w:t>6</w:t>
            </w:r>
          </w:p>
        </w:tc>
      </w:tr>
      <w:tr w:rsidR="00BE58DF" w:rsidRPr="00BE58DF" w14:paraId="656D4D91" w14:textId="77777777" w:rsidTr="00BE58DF">
        <w:trPr>
          <w:trHeight w:val="360"/>
        </w:trPr>
        <w:tc>
          <w:tcPr>
            <w:tcW w:w="1860" w:type="dxa"/>
            <w:tcBorders>
              <w:top w:val="nil"/>
              <w:left w:val="nil"/>
              <w:bottom w:val="nil"/>
              <w:right w:val="nil"/>
            </w:tcBorders>
            <w:shd w:val="clear" w:color="auto" w:fill="auto"/>
            <w:noWrap/>
            <w:vAlign w:val="center"/>
            <w:hideMark/>
          </w:tcPr>
          <w:p w14:paraId="3D75E025" w14:textId="77777777" w:rsidR="00BE58DF" w:rsidRPr="00BE58DF" w:rsidRDefault="00BE58DF" w:rsidP="00BE58DF">
            <w:pPr>
              <w:jc w:val="both"/>
              <w:rPr>
                <w:color w:val="000000"/>
                <w:sz w:val="20"/>
                <w:szCs w:val="20"/>
              </w:rPr>
            </w:pPr>
            <w:proofErr w:type="spellStart"/>
            <w:r w:rsidRPr="00BE58DF">
              <w:rPr>
                <w:color w:val="000000"/>
                <w:sz w:val="20"/>
                <w:szCs w:val="20"/>
              </w:rPr>
              <w:t>Sweden</w:t>
            </w:r>
            <w:proofErr w:type="spellEnd"/>
          </w:p>
        </w:tc>
        <w:tc>
          <w:tcPr>
            <w:tcW w:w="5220" w:type="dxa"/>
            <w:tcBorders>
              <w:top w:val="nil"/>
              <w:left w:val="nil"/>
              <w:bottom w:val="nil"/>
              <w:right w:val="nil"/>
            </w:tcBorders>
            <w:shd w:val="clear" w:color="auto" w:fill="auto"/>
            <w:vAlign w:val="center"/>
            <w:hideMark/>
          </w:tcPr>
          <w:p w14:paraId="6E24D0D1" w14:textId="77777777" w:rsidR="00BE58DF" w:rsidRPr="00BE58DF" w:rsidRDefault="00BE58DF" w:rsidP="00BE58DF">
            <w:pPr>
              <w:jc w:val="center"/>
              <w:rPr>
                <w:color w:val="000000"/>
                <w:sz w:val="20"/>
                <w:szCs w:val="20"/>
              </w:rPr>
            </w:pPr>
            <w:r w:rsidRPr="00BE58DF">
              <w:rPr>
                <w:color w:val="000000"/>
                <w:sz w:val="20"/>
                <w:szCs w:val="20"/>
              </w:rPr>
              <w:t xml:space="preserve">National </w:t>
            </w:r>
            <w:proofErr w:type="spellStart"/>
            <w:r w:rsidRPr="00BE58DF">
              <w:rPr>
                <w:color w:val="000000"/>
                <w:sz w:val="20"/>
                <w:szCs w:val="20"/>
              </w:rPr>
              <w:t>Areas</w:t>
            </w:r>
            <w:proofErr w:type="spellEnd"/>
            <w:r w:rsidRPr="00BE58DF">
              <w:rPr>
                <w:color w:val="000000"/>
                <w:sz w:val="20"/>
                <w:szCs w:val="20"/>
              </w:rPr>
              <w:t> (</w:t>
            </w:r>
            <w:proofErr w:type="spellStart"/>
            <w:r w:rsidRPr="00BE58DF">
              <w:rPr>
                <w:color w:val="000000"/>
                <w:sz w:val="20"/>
                <w:szCs w:val="20"/>
              </w:rPr>
              <w:t>Riksområden</w:t>
            </w:r>
            <w:proofErr w:type="spellEnd"/>
            <w:r w:rsidRPr="00BE58DF">
              <w:rPr>
                <w:color w:val="000000"/>
                <w:sz w:val="20"/>
                <w:szCs w:val="20"/>
              </w:rPr>
              <w:t>) - NUTS2</w:t>
            </w:r>
          </w:p>
        </w:tc>
        <w:tc>
          <w:tcPr>
            <w:tcW w:w="2160" w:type="dxa"/>
            <w:tcBorders>
              <w:top w:val="nil"/>
              <w:left w:val="nil"/>
              <w:bottom w:val="nil"/>
              <w:right w:val="nil"/>
            </w:tcBorders>
            <w:shd w:val="clear" w:color="auto" w:fill="auto"/>
            <w:vAlign w:val="center"/>
            <w:hideMark/>
          </w:tcPr>
          <w:p w14:paraId="156BD8EA" w14:textId="77777777" w:rsidR="00BE58DF" w:rsidRPr="00BE58DF" w:rsidRDefault="00BE58DF" w:rsidP="00BE58DF">
            <w:pPr>
              <w:jc w:val="center"/>
              <w:rPr>
                <w:color w:val="000000"/>
                <w:sz w:val="20"/>
                <w:szCs w:val="20"/>
              </w:rPr>
            </w:pPr>
            <w:r w:rsidRPr="00BE58DF">
              <w:rPr>
                <w:color w:val="000000"/>
                <w:sz w:val="20"/>
                <w:szCs w:val="20"/>
              </w:rPr>
              <w:t>2</w:t>
            </w:r>
          </w:p>
        </w:tc>
      </w:tr>
      <w:tr w:rsidR="00BE58DF" w:rsidRPr="00BE58DF" w14:paraId="36986410" w14:textId="77777777" w:rsidTr="00BE58DF">
        <w:trPr>
          <w:trHeight w:val="360"/>
        </w:trPr>
        <w:tc>
          <w:tcPr>
            <w:tcW w:w="1860" w:type="dxa"/>
            <w:tcBorders>
              <w:top w:val="nil"/>
              <w:left w:val="nil"/>
              <w:bottom w:val="nil"/>
              <w:right w:val="nil"/>
            </w:tcBorders>
            <w:shd w:val="clear" w:color="auto" w:fill="auto"/>
            <w:noWrap/>
            <w:vAlign w:val="center"/>
            <w:hideMark/>
          </w:tcPr>
          <w:p w14:paraId="2D45953C" w14:textId="77777777" w:rsidR="00BE58DF" w:rsidRPr="00BE58DF" w:rsidRDefault="00BE58DF" w:rsidP="00BE58DF">
            <w:pPr>
              <w:jc w:val="both"/>
              <w:rPr>
                <w:color w:val="000000"/>
                <w:sz w:val="20"/>
                <w:szCs w:val="20"/>
              </w:rPr>
            </w:pPr>
            <w:proofErr w:type="spellStart"/>
            <w:r w:rsidRPr="00BE58DF">
              <w:rPr>
                <w:color w:val="000000"/>
                <w:sz w:val="20"/>
                <w:szCs w:val="20"/>
              </w:rPr>
              <w:t>United</w:t>
            </w:r>
            <w:proofErr w:type="spellEnd"/>
            <w:r w:rsidRPr="00BE58DF">
              <w:rPr>
                <w:color w:val="000000"/>
                <w:sz w:val="20"/>
                <w:szCs w:val="20"/>
              </w:rPr>
              <w:t xml:space="preserve"> Kingdom</w:t>
            </w:r>
          </w:p>
        </w:tc>
        <w:tc>
          <w:tcPr>
            <w:tcW w:w="5220" w:type="dxa"/>
            <w:tcBorders>
              <w:top w:val="nil"/>
              <w:left w:val="nil"/>
              <w:bottom w:val="nil"/>
              <w:right w:val="nil"/>
            </w:tcBorders>
            <w:shd w:val="clear" w:color="auto" w:fill="auto"/>
            <w:vAlign w:val="center"/>
            <w:hideMark/>
          </w:tcPr>
          <w:p w14:paraId="617AE54D" w14:textId="77777777" w:rsidR="00BE58DF" w:rsidRPr="00BE58DF" w:rsidRDefault="00BE58DF" w:rsidP="00BE58DF">
            <w:pPr>
              <w:jc w:val="center"/>
              <w:rPr>
                <w:color w:val="000000"/>
                <w:sz w:val="20"/>
                <w:szCs w:val="20"/>
              </w:rPr>
            </w:pPr>
            <w:proofErr w:type="spellStart"/>
            <w:r w:rsidRPr="00BE58DF">
              <w:rPr>
                <w:color w:val="000000"/>
                <w:sz w:val="20"/>
                <w:szCs w:val="20"/>
              </w:rPr>
              <w:t>Counties</w:t>
            </w:r>
            <w:proofErr w:type="spellEnd"/>
            <w:r w:rsidRPr="00BE58DF">
              <w:rPr>
                <w:color w:val="000000"/>
                <w:sz w:val="20"/>
                <w:szCs w:val="20"/>
              </w:rPr>
              <w:t xml:space="preserve"> - NUTS2</w:t>
            </w:r>
          </w:p>
        </w:tc>
        <w:tc>
          <w:tcPr>
            <w:tcW w:w="2160" w:type="dxa"/>
            <w:tcBorders>
              <w:top w:val="nil"/>
              <w:left w:val="nil"/>
              <w:bottom w:val="nil"/>
              <w:right w:val="nil"/>
            </w:tcBorders>
            <w:shd w:val="clear" w:color="auto" w:fill="auto"/>
            <w:vAlign w:val="center"/>
            <w:hideMark/>
          </w:tcPr>
          <w:p w14:paraId="42BBB841" w14:textId="77777777" w:rsidR="00BE58DF" w:rsidRPr="00BE58DF" w:rsidRDefault="00BE58DF" w:rsidP="00BE58DF">
            <w:pPr>
              <w:jc w:val="center"/>
              <w:rPr>
                <w:color w:val="000000"/>
                <w:sz w:val="20"/>
                <w:szCs w:val="20"/>
              </w:rPr>
            </w:pPr>
            <w:r w:rsidRPr="00BE58DF">
              <w:rPr>
                <w:color w:val="000000"/>
                <w:sz w:val="20"/>
                <w:szCs w:val="20"/>
              </w:rPr>
              <w:t>26</w:t>
            </w:r>
          </w:p>
        </w:tc>
      </w:tr>
      <w:tr w:rsidR="00BE58DF" w:rsidRPr="00BE58DF" w14:paraId="209F1851" w14:textId="77777777" w:rsidTr="00BE58DF">
        <w:trPr>
          <w:trHeight w:val="60"/>
        </w:trPr>
        <w:tc>
          <w:tcPr>
            <w:tcW w:w="1860" w:type="dxa"/>
            <w:tcBorders>
              <w:top w:val="single" w:sz="4" w:space="0" w:color="auto"/>
              <w:left w:val="nil"/>
              <w:bottom w:val="nil"/>
              <w:right w:val="nil"/>
            </w:tcBorders>
            <w:shd w:val="clear" w:color="auto" w:fill="auto"/>
            <w:noWrap/>
            <w:vAlign w:val="center"/>
            <w:hideMark/>
          </w:tcPr>
          <w:p w14:paraId="0F439A79" w14:textId="77777777" w:rsidR="00BE58DF" w:rsidRPr="00BE58DF" w:rsidRDefault="00BE58DF" w:rsidP="00BE58DF">
            <w:pPr>
              <w:jc w:val="both"/>
              <w:rPr>
                <w:color w:val="000000"/>
                <w:sz w:val="20"/>
                <w:szCs w:val="20"/>
              </w:rPr>
            </w:pPr>
            <w:r w:rsidRPr="00BE58DF">
              <w:rPr>
                <w:color w:val="000000"/>
                <w:sz w:val="20"/>
                <w:szCs w:val="20"/>
              </w:rPr>
              <w:t> </w:t>
            </w:r>
          </w:p>
        </w:tc>
        <w:tc>
          <w:tcPr>
            <w:tcW w:w="5220" w:type="dxa"/>
            <w:vMerge w:val="restart"/>
            <w:tcBorders>
              <w:top w:val="single" w:sz="4" w:space="0" w:color="auto"/>
              <w:left w:val="nil"/>
              <w:bottom w:val="single" w:sz="4" w:space="0" w:color="000000"/>
              <w:right w:val="nil"/>
            </w:tcBorders>
            <w:shd w:val="clear" w:color="auto" w:fill="auto"/>
            <w:vAlign w:val="center"/>
            <w:hideMark/>
          </w:tcPr>
          <w:p w14:paraId="2F89D393" w14:textId="77777777" w:rsidR="00BE58DF" w:rsidRPr="00BE58DF" w:rsidRDefault="00BE58DF" w:rsidP="00BE58DF">
            <w:pPr>
              <w:jc w:val="center"/>
              <w:rPr>
                <w:color w:val="000000"/>
                <w:sz w:val="20"/>
                <w:szCs w:val="20"/>
              </w:rPr>
            </w:pPr>
            <w:r w:rsidRPr="00BE58DF">
              <w:rPr>
                <w:color w:val="000000"/>
                <w:sz w:val="20"/>
                <w:szCs w:val="20"/>
              </w:rPr>
              <w:t> </w:t>
            </w:r>
          </w:p>
        </w:tc>
        <w:tc>
          <w:tcPr>
            <w:tcW w:w="2160" w:type="dxa"/>
            <w:vMerge w:val="restart"/>
            <w:tcBorders>
              <w:top w:val="single" w:sz="4" w:space="0" w:color="auto"/>
              <w:left w:val="nil"/>
              <w:bottom w:val="single" w:sz="4" w:space="0" w:color="000000"/>
              <w:right w:val="nil"/>
            </w:tcBorders>
            <w:shd w:val="clear" w:color="auto" w:fill="auto"/>
            <w:vAlign w:val="center"/>
            <w:hideMark/>
          </w:tcPr>
          <w:p w14:paraId="55866A0B" w14:textId="77777777" w:rsidR="00BE58DF" w:rsidRPr="00BE58DF" w:rsidRDefault="00BE58DF" w:rsidP="00BE58DF">
            <w:pPr>
              <w:jc w:val="center"/>
              <w:rPr>
                <w:color w:val="000000"/>
                <w:sz w:val="20"/>
                <w:szCs w:val="20"/>
              </w:rPr>
            </w:pPr>
            <w:r w:rsidRPr="00BE58DF">
              <w:rPr>
                <w:color w:val="000000"/>
                <w:sz w:val="20"/>
                <w:szCs w:val="20"/>
              </w:rPr>
              <w:t>133</w:t>
            </w:r>
          </w:p>
        </w:tc>
      </w:tr>
      <w:tr w:rsidR="00BE58DF" w:rsidRPr="00BE58DF" w14:paraId="361E4B1C" w14:textId="77777777" w:rsidTr="00BE58DF">
        <w:trPr>
          <w:trHeight w:val="320"/>
        </w:trPr>
        <w:tc>
          <w:tcPr>
            <w:tcW w:w="1860" w:type="dxa"/>
            <w:tcBorders>
              <w:top w:val="nil"/>
              <w:left w:val="nil"/>
              <w:bottom w:val="single" w:sz="4" w:space="0" w:color="auto"/>
              <w:right w:val="nil"/>
            </w:tcBorders>
            <w:shd w:val="clear" w:color="auto" w:fill="auto"/>
            <w:noWrap/>
            <w:vAlign w:val="center"/>
            <w:hideMark/>
          </w:tcPr>
          <w:p w14:paraId="1274999F" w14:textId="77777777" w:rsidR="00BE58DF" w:rsidRPr="00BE58DF" w:rsidRDefault="00BE58DF" w:rsidP="00BE58DF">
            <w:pPr>
              <w:jc w:val="both"/>
              <w:rPr>
                <w:color w:val="000000"/>
                <w:sz w:val="20"/>
                <w:szCs w:val="20"/>
              </w:rPr>
            </w:pPr>
            <w:r w:rsidRPr="00BE58DF">
              <w:rPr>
                <w:color w:val="000000"/>
                <w:sz w:val="20"/>
                <w:szCs w:val="20"/>
              </w:rPr>
              <w:t xml:space="preserve">Total </w:t>
            </w:r>
          </w:p>
        </w:tc>
        <w:tc>
          <w:tcPr>
            <w:tcW w:w="5220" w:type="dxa"/>
            <w:vMerge/>
            <w:tcBorders>
              <w:top w:val="single" w:sz="4" w:space="0" w:color="auto"/>
              <w:left w:val="nil"/>
              <w:bottom w:val="single" w:sz="4" w:space="0" w:color="000000"/>
              <w:right w:val="nil"/>
            </w:tcBorders>
            <w:vAlign w:val="center"/>
            <w:hideMark/>
          </w:tcPr>
          <w:p w14:paraId="1E361319" w14:textId="77777777" w:rsidR="00BE58DF" w:rsidRPr="00BE58DF" w:rsidRDefault="00BE58DF" w:rsidP="00BE58DF">
            <w:pPr>
              <w:rPr>
                <w:color w:val="000000"/>
                <w:sz w:val="20"/>
                <w:szCs w:val="20"/>
              </w:rPr>
            </w:pPr>
          </w:p>
        </w:tc>
        <w:tc>
          <w:tcPr>
            <w:tcW w:w="2160" w:type="dxa"/>
            <w:vMerge/>
            <w:tcBorders>
              <w:top w:val="single" w:sz="4" w:space="0" w:color="auto"/>
              <w:left w:val="nil"/>
              <w:bottom w:val="single" w:sz="4" w:space="0" w:color="000000"/>
              <w:right w:val="nil"/>
            </w:tcBorders>
            <w:vAlign w:val="center"/>
            <w:hideMark/>
          </w:tcPr>
          <w:p w14:paraId="1B87719D" w14:textId="77777777" w:rsidR="00BE58DF" w:rsidRPr="00BE58DF" w:rsidRDefault="00BE58DF" w:rsidP="00BE58DF">
            <w:pPr>
              <w:rPr>
                <w:color w:val="000000"/>
                <w:sz w:val="20"/>
                <w:szCs w:val="20"/>
              </w:rPr>
            </w:pPr>
          </w:p>
        </w:tc>
      </w:tr>
    </w:tbl>
    <w:p w14:paraId="3F95E28B" w14:textId="390F3E3E" w:rsidR="006979FD" w:rsidRDefault="006979FD" w:rsidP="007F4EAE">
      <w:pPr>
        <w:spacing w:before="60" w:line="480" w:lineRule="auto"/>
        <w:jc w:val="both"/>
        <w:rPr>
          <w:rFonts w:ascii="Times New Roman" w:hAnsi="Times New Roman"/>
          <w:lang w:val="en-US"/>
        </w:rPr>
      </w:pPr>
    </w:p>
    <w:p w14:paraId="68654C1A" w14:textId="3F100175" w:rsidR="005C1954" w:rsidRDefault="003D4328" w:rsidP="007F4EAE">
      <w:pPr>
        <w:spacing w:before="60" w:line="480" w:lineRule="auto"/>
        <w:jc w:val="both"/>
        <w:rPr>
          <w:rFonts w:ascii="Times New Roman" w:hAnsi="Times New Roman"/>
          <w:lang w:val="en-US"/>
        </w:rPr>
      </w:pPr>
      <w:r w:rsidRPr="00504D7E">
        <w:rPr>
          <w:rFonts w:ascii="Times New Roman" w:hAnsi="Times New Roman"/>
          <w:lang w:val="en-US"/>
        </w:rPr>
        <w:t xml:space="preserve">The analysis is restricted to </w:t>
      </w:r>
      <w:r w:rsidR="00C25A13">
        <w:rPr>
          <w:rFonts w:ascii="Times New Roman" w:hAnsi="Times New Roman"/>
          <w:lang w:val="en-US"/>
        </w:rPr>
        <w:t xml:space="preserve">the manufacturing services. We focus on </w:t>
      </w:r>
      <w:r w:rsidR="0009508E" w:rsidRPr="00504D7E">
        <w:rPr>
          <w:rFonts w:ascii="Times New Roman" w:hAnsi="Times New Roman"/>
          <w:lang w:val="en-US"/>
        </w:rPr>
        <w:t>19</w:t>
      </w:r>
      <w:r w:rsidR="00E779E9" w:rsidRPr="00504D7E">
        <w:rPr>
          <w:rFonts w:ascii="Times New Roman" w:hAnsi="Times New Roman"/>
          <w:lang w:val="en-US"/>
        </w:rPr>
        <w:t xml:space="preserve"> </w:t>
      </w:r>
      <w:r w:rsidR="0009508E" w:rsidRPr="00504D7E">
        <w:rPr>
          <w:rFonts w:ascii="Times New Roman" w:hAnsi="Times New Roman"/>
          <w:lang w:val="en-US"/>
        </w:rPr>
        <w:t xml:space="preserve">manufacturing industries according to the </w:t>
      </w:r>
      <w:r w:rsidR="00E779E9" w:rsidRPr="00504D7E">
        <w:rPr>
          <w:rFonts w:ascii="Times New Roman" w:hAnsi="Times New Roman"/>
          <w:lang w:val="en-US"/>
        </w:rPr>
        <w:t xml:space="preserve">NACE rev.1.1 </w:t>
      </w:r>
      <w:r w:rsidR="00C25A13">
        <w:rPr>
          <w:rFonts w:ascii="Times New Roman" w:hAnsi="Times New Roman"/>
          <w:lang w:val="en-US"/>
        </w:rPr>
        <w:t xml:space="preserve">at </w:t>
      </w:r>
      <w:r w:rsidR="00E779E9" w:rsidRPr="00504D7E">
        <w:rPr>
          <w:rFonts w:ascii="Times New Roman" w:hAnsi="Times New Roman"/>
          <w:lang w:val="en-US"/>
        </w:rPr>
        <w:t>three-digit classification</w:t>
      </w:r>
      <w:r w:rsidR="009167E7" w:rsidRPr="00504D7E">
        <w:rPr>
          <w:rFonts w:ascii="Times New Roman" w:hAnsi="Times New Roman"/>
          <w:lang w:val="en-US"/>
        </w:rPr>
        <w:t xml:space="preserve"> (Statistical </w:t>
      </w:r>
      <w:r w:rsidR="0011560A" w:rsidRPr="00504D7E">
        <w:rPr>
          <w:rFonts w:ascii="Times New Roman" w:hAnsi="Times New Roman"/>
          <w:lang w:val="en-US"/>
        </w:rPr>
        <w:t>Classification of Economic Activities in the European Community)</w:t>
      </w:r>
      <w:r w:rsidR="00E779E9" w:rsidRPr="00504D7E">
        <w:rPr>
          <w:rFonts w:ascii="Times New Roman" w:hAnsi="Times New Roman"/>
          <w:lang w:val="en-US"/>
        </w:rPr>
        <w:t xml:space="preserve">. </w:t>
      </w:r>
      <w:proofErr w:type="gramStart"/>
      <w:r w:rsidR="00C25A13">
        <w:rPr>
          <w:rFonts w:ascii="Times New Roman" w:hAnsi="Times New Roman"/>
          <w:lang w:val="en-US"/>
        </w:rPr>
        <w:t xml:space="preserve">The final collection of sectors was chosen according to data availability and includes </w:t>
      </w:r>
      <w:r w:rsidR="00C25A13" w:rsidRPr="00C25A13">
        <w:rPr>
          <w:rFonts w:ascii="Times New Roman" w:hAnsi="Times New Roman"/>
          <w:lang w:val="en-US"/>
        </w:rPr>
        <w:t>Textiles</w:t>
      </w:r>
      <w:r w:rsidR="00C25A13">
        <w:rPr>
          <w:rFonts w:ascii="Times New Roman" w:hAnsi="Times New Roman"/>
          <w:lang w:val="en-US"/>
        </w:rPr>
        <w:t xml:space="preserve">, </w:t>
      </w:r>
      <w:r w:rsidR="00C25A13" w:rsidRPr="00C25A13">
        <w:rPr>
          <w:rFonts w:ascii="Times New Roman" w:hAnsi="Times New Roman"/>
          <w:lang w:val="en-US"/>
        </w:rPr>
        <w:t>Wearing apparel</w:t>
      </w:r>
      <w:r w:rsidR="00C25A13">
        <w:rPr>
          <w:rFonts w:ascii="Times New Roman" w:hAnsi="Times New Roman"/>
          <w:lang w:val="en-US"/>
        </w:rPr>
        <w:t xml:space="preserve">, </w:t>
      </w:r>
      <w:r w:rsidR="00C25A13" w:rsidRPr="00C25A13">
        <w:rPr>
          <w:rFonts w:ascii="Times New Roman" w:hAnsi="Times New Roman"/>
          <w:lang w:val="en-US"/>
        </w:rPr>
        <w:t>Wood</w:t>
      </w:r>
      <w:r w:rsidR="00C25A13">
        <w:rPr>
          <w:rFonts w:ascii="Times New Roman" w:hAnsi="Times New Roman"/>
          <w:lang w:val="en-US"/>
        </w:rPr>
        <w:t xml:space="preserve">, </w:t>
      </w:r>
      <w:r w:rsidR="00C25A13" w:rsidRPr="00C25A13">
        <w:rPr>
          <w:rFonts w:ascii="Times New Roman" w:hAnsi="Times New Roman"/>
          <w:lang w:val="en-US"/>
        </w:rPr>
        <w:t>Paper</w:t>
      </w:r>
      <w:r w:rsidR="00C25A13">
        <w:rPr>
          <w:rFonts w:ascii="Times New Roman" w:hAnsi="Times New Roman"/>
          <w:lang w:val="en-US"/>
        </w:rPr>
        <w:t xml:space="preserve">, </w:t>
      </w:r>
      <w:r w:rsidR="00C25A13" w:rsidRPr="00C25A13">
        <w:rPr>
          <w:rFonts w:ascii="Times New Roman" w:hAnsi="Times New Roman"/>
          <w:lang w:val="en-US"/>
        </w:rPr>
        <w:t>Publishing, printing</w:t>
      </w:r>
      <w:r w:rsidR="00C25A13">
        <w:rPr>
          <w:rFonts w:ascii="Times New Roman" w:hAnsi="Times New Roman"/>
          <w:lang w:val="en-US"/>
        </w:rPr>
        <w:t xml:space="preserve">, </w:t>
      </w:r>
      <w:r w:rsidR="00C25A13" w:rsidRPr="00C25A13">
        <w:rPr>
          <w:rFonts w:ascii="Times New Roman" w:hAnsi="Times New Roman"/>
          <w:lang w:val="en-US"/>
        </w:rPr>
        <w:t>Chemicals</w:t>
      </w:r>
      <w:r w:rsidR="00C25A13">
        <w:rPr>
          <w:rFonts w:ascii="Times New Roman" w:hAnsi="Times New Roman"/>
          <w:lang w:val="en-US"/>
        </w:rPr>
        <w:t xml:space="preserve">, </w:t>
      </w:r>
      <w:r w:rsidR="00C25A13" w:rsidRPr="00C25A13">
        <w:rPr>
          <w:rFonts w:ascii="Times New Roman" w:hAnsi="Times New Roman"/>
          <w:lang w:val="en-US"/>
        </w:rPr>
        <w:t>Rubber and plastics</w:t>
      </w:r>
      <w:r w:rsidR="00C25A13">
        <w:rPr>
          <w:rFonts w:ascii="Times New Roman" w:hAnsi="Times New Roman"/>
          <w:lang w:val="en-US"/>
        </w:rPr>
        <w:t xml:space="preserve">, </w:t>
      </w:r>
      <w:r w:rsidR="00C25A13" w:rsidRPr="00C25A13">
        <w:rPr>
          <w:rFonts w:ascii="Times New Roman" w:hAnsi="Times New Roman"/>
          <w:lang w:val="en-US"/>
        </w:rPr>
        <w:t>Other non-metallic mineral products</w:t>
      </w:r>
      <w:r w:rsidR="00C25A13">
        <w:rPr>
          <w:rFonts w:ascii="Times New Roman" w:hAnsi="Times New Roman"/>
          <w:lang w:val="en-US"/>
        </w:rPr>
        <w:t xml:space="preserve">, </w:t>
      </w:r>
      <w:r w:rsidR="00C25A13" w:rsidRPr="00C25A13">
        <w:rPr>
          <w:rFonts w:ascii="Times New Roman" w:hAnsi="Times New Roman"/>
          <w:lang w:val="en-US"/>
        </w:rPr>
        <w:t>Basic metals</w:t>
      </w:r>
      <w:r w:rsidR="00C25A13">
        <w:rPr>
          <w:rFonts w:ascii="Times New Roman" w:hAnsi="Times New Roman"/>
          <w:lang w:val="en-US"/>
        </w:rPr>
        <w:t xml:space="preserve">, </w:t>
      </w:r>
      <w:r w:rsidR="00C25A13" w:rsidRPr="00C25A13">
        <w:rPr>
          <w:rFonts w:ascii="Times New Roman" w:hAnsi="Times New Roman"/>
          <w:lang w:val="en-US"/>
        </w:rPr>
        <w:t>Fabricated metal products</w:t>
      </w:r>
      <w:r w:rsidR="00C25A13">
        <w:rPr>
          <w:rFonts w:ascii="Times New Roman" w:hAnsi="Times New Roman"/>
          <w:lang w:val="en-US"/>
        </w:rPr>
        <w:t xml:space="preserve">, </w:t>
      </w:r>
      <w:r w:rsidR="00C25A13" w:rsidRPr="00C25A13">
        <w:rPr>
          <w:rFonts w:ascii="Times New Roman" w:hAnsi="Times New Roman"/>
          <w:lang w:val="en-US"/>
        </w:rPr>
        <w:t>Machinery and equipment</w:t>
      </w:r>
      <w:r w:rsidR="00C25A13">
        <w:rPr>
          <w:rFonts w:ascii="Times New Roman" w:hAnsi="Times New Roman"/>
          <w:lang w:val="en-US"/>
        </w:rPr>
        <w:t xml:space="preserve">, </w:t>
      </w:r>
      <w:r w:rsidR="00C25A13" w:rsidRPr="00C25A13">
        <w:rPr>
          <w:rFonts w:ascii="Times New Roman" w:hAnsi="Times New Roman"/>
          <w:lang w:val="en-US"/>
        </w:rPr>
        <w:t>Office machinery and computers</w:t>
      </w:r>
      <w:r w:rsidR="00C25A13">
        <w:rPr>
          <w:rFonts w:ascii="Times New Roman" w:hAnsi="Times New Roman"/>
          <w:lang w:val="en-US"/>
        </w:rPr>
        <w:t xml:space="preserve">, </w:t>
      </w:r>
      <w:r w:rsidR="00C25A13" w:rsidRPr="00C25A13">
        <w:rPr>
          <w:rFonts w:ascii="Times New Roman" w:hAnsi="Times New Roman"/>
          <w:lang w:val="en-US"/>
        </w:rPr>
        <w:t xml:space="preserve">Electrical machinery and apparatus </w:t>
      </w:r>
      <w:proofErr w:type="spellStart"/>
      <w:r w:rsidR="00C25A13" w:rsidRPr="00C25A13">
        <w:rPr>
          <w:rFonts w:ascii="Times New Roman" w:hAnsi="Times New Roman"/>
          <w:lang w:val="en-US"/>
        </w:rPr>
        <w:t>n.e.c</w:t>
      </w:r>
      <w:proofErr w:type="spellEnd"/>
      <w:r w:rsidR="00C25A13" w:rsidRPr="00C25A13">
        <w:rPr>
          <w:rFonts w:ascii="Times New Roman" w:hAnsi="Times New Roman"/>
          <w:lang w:val="en-US"/>
        </w:rPr>
        <w:t>.</w:t>
      </w:r>
      <w:r w:rsidR="00C25A13">
        <w:rPr>
          <w:rFonts w:ascii="Times New Roman" w:hAnsi="Times New Roman"/>
          <w:lang w:val="en-US"/>
        </w:rPr>
        <w:t xml:space="preserve">, </w:t>
      </w:r>
      <w:r w:rsidR="00C25A13" w:rsidRPr="00C25A13">
        <w:rPr>
          <w:rFonts w:ascii="Times New Roman" w:hAnsi="Times New Roman"/>
          <w:lang w:val="en-US"/>
        </w:rPr>
        <w:t>Radio, television and communication equipment</w:t>
      </w:r>
      <w:r w:rsidR="00C25A13">
        <w:rPr>
          <w:rFonts w:ascii="Times New Roman" w:hAnsi="Times New Roman"/>
          <w:lang w:val="en-US"/>
        </w:rPr>
        <w:t xml:space="preserve">, </w:t>
      </w:r>
      <w:r w:rsidR="00C25A13" w:rsidRPr="00C25A13">
        <w:rPr>
          <w:rFonts w:ascii="Times New Roman" w:hAnsi="Times New Roman"/>
          <w:lang w:val="en-US"/>
        </w:rPr>
        <w:t>Medical, precision and optical instruments, watches and clocks</w:t>
      </w:r>
      <w:r w:rsidR="00C25A13">
        <w:rPr>
          <w:rFonts w:ascii="Times New Roman" w:hAnsi="Times New Roman"/>
          <w:lang w:val="en-US"/>
        </w:rPr>
        <w:t xml:space="preserve">, </w:t>
      </w:r>
      <w:r w:rsidR="00C25A13" w:rsidRPr="00C25A13">
        <w:rPr>
          <w:rFonts w:ascii="Times New Roman" w:hAnsi="Times New Roman"/>
          <w:lang w:val="en-US"/>
        </w:rPr>
        <w:t>Motor vehicles</w:t>
      </w:r>
      <w:r w:rsidR="00C25A13">
        <w:rPr>
          <w:rFonts w:ascii="Times New Roman" w:hAnsi="Times New Roman"/>
          <w:lang w:val="en-US"/>
        </w:rPr>
        <w:t xml:space="preserve">, </w:t>
      </w:r>
      <w:r w:rsidR="00C25A13" w:rsidRPr="00C25A13">
        <w:rPr>
          <w:rFonts w:ascii="Times New Roman" w:hAnsi="Times New Roman"/>
          <w:lang w:val="en-US"/>
        </w:rPr>
        <w:t>Other transport equipment</w:t>
      </w:r>
      <w:r w:rsidR="00C25A13">
        <w:rPr>
          <w:rFonts w:ascii="Times New Roman" w:hAnsi="Times New Roman"/>
          <w:lang w:val="en-US"/>
        </w:rPr>
        <w:t xml:space="preserve">, </w:t>
      </w:r>
      <w:r w:rsidR="00C25A13" w:rsidRPr="00C25A13">
        <w:rPr>
          <w:rFonts w:ascii="Times New Roman" w:hAnsi="Times New Roman"/>
          <w:lang w:val="en-US"/>
        </w:rPr>
        <w:t xml:space="preserve">Furniture; manufacturing </w:t>
      </w:r>
      <w:proofErr w:type="spellStart"/>
      <w:r w:rsidR="00C25A13" w:rsidRPr="00C25A13">
        <w:rPr>
          <w:rFonts w:ascii="Times New Roman" w:hAnsi="Times New Roman"/>
          <w:lang w:val="en-US"/>
        </w:rPr>
        <w:t>n.e.c</w:t>
      </w:r>
      <w:proofErr w:type="spellEnd"/>
      <w:r w:rsidR="00C25A13" w:rsidRPr="00C25A13">
        <w:rPr>
          <w:rFonts w:ascii="Times New Roman" w:hAnsi="Times New Roman"/>
          <w:lang w:val="en-US"/>
        </w:rPr>
        <w:t>.</w:t>
      </w:r>
      <w:r w:rsidR="00C25A13">
        <w:rPr>
          <w:rFonts w:ascii="Times New Roman" w:hAnsi="Times New Roman"/>
          <w:lang w:val="en-US"/>
        </w:rPr>
        <w:t xml:space="preserve">, </w:t>
      </w:r>
      <w:r w:rsidR="00C25A13" w:rsidRPr="00C25A13">
        <w:rPr>
          <w:rFonts w:ascii="Times New Roman" w:hAnsi="Times New Roman"/>
          <w:lang w:val="en-US"/>
        </w:rPr>
        <w:t>Recycling</w:t>
      </w:r>
      <w:r w:rsidR="00C25A13">
        <w:rPr>
          <w:rFonts w:ascii="Times New Roman" w:hAnsi="Times New Roman"/>
          <w:lang w:val="en-US"/>
        </w:rPr>
        <w:t>.</w:t>
      </w:r>
      <w:proofErr w:type="gramEnd"/>
      <w:r w:rsidR="00C25A13">
        <w:rPr>
          <w:rFonts w:ascii="Times New Roman" w:hAnsi="Times New Roman"/>
          <w:lang w:val="en-US"/>
        </w:rPr>
        <w:t xml:space="preserve"> </w:t>
      </w:r>
      <w:r w:rsidR="00E779E9" w:rsidRPr="00504D7E">
        <w:rPr>
          <w:rFonts w:ascii="Times New Roman" w:hAnsi="Times New Roman"/>
          <w:lang w:val="en-US"/>
        </w:rPr>
        <w:t xml:space="preserve">In a very limited number of cases, we complete data </w:t>
      </w:r>
      <w:r w:rsidR="006630B8" w:rsidRPr="00504D7E">
        <w:rPr>
          <w:rFonts w:ascii="Times New Roman" w:hAnsi="Times New Roman"/>
          <w:lang w:val="en-US"/>
        </w:rPr>
        <w:t>based on</w:t>
      </w:r>
      <w:r w:rsidR="00E779E9" w:rsidRPr="00504D7E">
        <w:rPr>
          <w:rFonts w:ascii="Times New Roman" w:hAnsi="Times New Roman"/>
          <w:lang w:val="en-US"/>
        </w:rPr>
        <w:t xml:space="preserve"> the preceding year (2006), when they were available. In any case, we had to exclude four manufacturing sectors from our analysis (</w:t>
      </w:r>
      <w:r w:rsidR="00E779E9" w:rsidRPr="00504D7E">
        <w:rPr>
          <w:rFonts w:ascii="Times New Roman" w:hAnsi="Times New Roman"/>
          <w:i/>
          <w:lang w:val="en-US"/>
        </w:rPr>
        <w:t>food, beverages and tobacco, leather and footwear, coke, refined petroleum</w:t>
      </w:r>
      <w:r w:rsidR="00E779E9" w:rsidRPr="00504D7E">
        <w:rPr>
          <w:rFonts w:ascii="Times New Roman" w:hAnsi="Times New Roman"/>
          <w:lang w:val="en-US"/>
        </w:rPr>
        <w:t xml:space="preserve">) because of the huge amount of confidential and missing data. </w:t>
      </w:r>
    </w:p>
    <w:p w14:paraId="4DD47150" w14:textId="7D61EEC2" w:rsidR="00800CCC" w:rsidRDefault="00800CCC" w:rsidP="007F4EAE">
      <w:pPr>
        <w:spacing w:before="60" w:line="480" w:lineRule="auto"/>
        <w:jc w:val="both"/>
        <w:rPr>
          <w:rFonts w:ascii="Times New Roman" w:hAnsi="Times New Roman"/>
          <w:lang w:val="en-US"/>
        </w:rPr>
      </w:pPr>
      <w:r>
        <w:rPr>
          <w:rFonts w:ascii="Times New Roman" w:hAnsi="Times New Roman"/>
          <w:lang w:val="en-US"/>
        </w:rPr>
        <w:t xml:space="preserve">Table </w:t>
      </w:r>
      <w:r w:rsidR="00791E3F">
        <w:rPr>
          <w:rFonts w:ascii="Times New Roman" w:hAnsi="Times New Roman"/>
          <w:lang w:val="en-US"/>
        </w:rPr>
        <w:t>2</w:t>
      </w:r>
      <w:r>
        <w:rPr>
          <w:rFonts w:ascii="Times New Roman" w:hAnsi="Times New Roman"/>
          <w:lang w:val="en-US"/>
        </w:rPr>
        <w:t xml:space="preserve"> reports </w:t>
      </w:r>
      <w:r w:rsidRPr="00800CCC">
        <w:rPr>
          <w:rFonts w:ascii="Times New Roman" w:hAnsi="Times New Roman"/>
          <w:lang w:val="en-US"/>
        </w:rPr>
        <w:t xml:space="preserve">for each manufacturing industry, </w:t>
      </w:r>
      <w:r w:rsidR="003C104E">
        <w:rPr>
          <w:rFonts w:ascii="Times New Roman" w:hAnsi="Times New Roman"/>
          <w:lang w:val="en-US"/>
        </w:rPr>
        <w:t xml:space="preserve">some main descriptive statistics on </w:t>
      </w:r>
      <w:r w:rsidRPr="00800CCC">
        <w:rPr>
          <w:rFonts w:ascii="Times New Roman" w:hAnsi="Times New Roman"/>
          <w:lang w:val="en-US"/>
        </w:rPr>
        <w:t>the employment distribution across EU regions and</w:t>
      </w:r>
      <w:r w:rsidR="003C104E">
        <w:rPr>
          <w:rFonts w:ascii="Times New Roman" w:hAnsi="Times New Roman"/>
          <w:lang w:val="en-US"/>
        </w:rPr>
        <w:t xml:space="preserve"> on</w:t>
      </w:r>
      <w:r w:rsidRPr="00800CCC">
        <w:rPr>
          <w:rFonts w:ascii="Times New Roman" w:hAnsi="Times New Roman"/>
          <w:lang w:val="en-US"/>
        </w:rPr>
        <w:t xml:space="preserve"> the distribution of establishments across the same spatial units.</w:t>
      </w:r>
    </w:p>
    <w:p w14:paraId="3CE3FE84" w14:textId="77777777" w:rsidR="006630B8" w:rsidRDefault="006630B8" w:rsidP="007F4EAE">
      <w:pPr>
        <w:spacing w:before="60" w:line="480" w:lineRule="auto"/>
        <w:jc w:val="both"/>
        <w:rPr>
          <w:rFonts w:ascii="Times New Roman" w:hAnsi="Times New Roman"/>
          <w:lang w:val="en-US"/>
        </w:rPr>
      </w:pPr>
    </w:p>
    <w:p w14:paraId="2CE06ADC" w14:textId="32F0D9DE" w:rsidR="006630B8" w:rsidRPr="008A4429" w:rsidRDefault="006630B8" w:rsidP="008A4429">
      <w:pPr>
        <w:spacing w:line="480" w:lineRule="auto"/>
        <w:jc w:val="center"/>
        <w:rPr>
          <w:rFonts w:ascii="Times New Roman" w:hAnsi="Times New Roman"/>
          <w:b/>
          <w:i/>
          <w:lang w:val="en-US"/>
        </w:rPr>
      </w:pPr>
      <w:r w:rsidRPr="008A4429">
        <w:rPr>
          <w:rFonts w:ascii="Times New Roman" w:hAnsi="Times New Roman"/>
          <w:b/>
          <w:i/>
          <w:lang w:val="en-US"/>
        </w:rPr>
        <w:t xml:space="preserve">Table </w:t>
      </w:r>
      <w:r w:rsidR="00791E3F">
        <w:rPr>
          <w:rFonts w:ascii="Times New Roman" w:hAnsi="Times New Roman"/>
          <w:b/>
          <w:i/>
          <w:lang w:val="en-US"/>
        </w:rPr>
        <w:t>2</w:t>
      </w:r>
      <w:r w:rsidRPr="008A4429">
        <w:rPr>
          <w:rFonts w:ascii="Times New Roman" w:hAnsi="Times New Roman"/>
          <w:b/>
          <w:i/>
          <w:lang w:val="en-US"/>
        </w:rPr>
        <w:t xml:space="preserve"> </w:t>
      </w:r>
      <w:proofErr w:type="gramStart"/>
      <w:r w:rsidRPr="008A4429">
        <w:rPr>
          <w:rFonts w:ascii="Times New Roman" w:hAnsi="Times New Roman"/>
          <w:b/>
          <w:i/>
          <w:lang w:val="en-US"/>
        </w:rPr>
        <w:t xml:space="preserve">–  </w:t>
      </w:r>
      <w:r w:rsidR="005B0066">
        <w:rPr>
          <w:rFonts w:ascii="Times New Roman" w:hAnsi="Times New Roman"/>
          <w:b/>
          <w:i/>
          <w:lang w:val="en-US"/>
        </w:rPr>
        <w:t>Descriptive</w:t>
      </w:r>
      <w:proofErr w:type="gramEnd"/>
      <w:r w:rsidRPr="008A4429">
        <w:rPr>
          <w:rFonts w:ascii="Times New Roman" w:hAnsi="Times New Roman"/>
          <w:b/>
          <w:i/>
          <w:lang w:val="en-US"/>
        </w:rPr>
        <w:t xml:space="preserve"> statistics of variables</w:t>
      </w:r>
    </w:p>
    <w:tbl>
      <w:tblPr>
        <w:tblW w:w="9638" w:type="dxa"/>
        <w:tblCellMar>
          <w:left w:w="70" w:type="dxa"/>
          <w:right w:w="70" w:type="dxa"/>
        </w:tblCellMar>
        <w:tblLook w:val="04A0" w:firstRow="1" w:lastRow="0" w:firstColumn="1" w:lastColumn="0" w:noHBand="0" w:noVBand="1"/>
      </w:tblPr>
      <w:tblGrid>
        <w:gridCol w:w="4911"/>
        <w:gridCol w:w="670"/>
        <w:gridCol w:w="867"/>
        <w:gridCol w:w="1276"/>
        <w:gridCol w:w="269"/>
        <w:gridCol w:w="639"/>
        <w:gridCol w:w="1006"/>
      </w:tblGrid>
      <w:tr w:rsidR="006630B8" w:rsidRPr="006630B8" w14:paraId="1FFD1C0A" w14:textId="77777777" w:rsidTr="006630B8">
        <w:trPr>
          <w:trHeight w:val="320"/>
        </w:trPr>
        <w:tc>
          <w:tcPr>
            <w:tcW w:w="4911" w:type="dxa"/>
            <w:tcBorders>
              <w:top w:val="nil"/>
              <w:left w:val="nil"/>
              <w:bottom w:val="nil"/>
              <w:right w:val="nil"/>
            </w:tcBorders>
            <w:shd w:val="clear" w:color="auto" w:fill="auto"/>
            <w:noWrap/>
            <w:vAlign w:val="bottom"/>
            <w:hideMark/>
          </w:tcPr>
          <w:p w14:paraId="0551AB85" w14:textId="77777777" w:rsidR="006630B8" w:rsidRPr="008A4429" w:rsidRDefault="006630B8" w:rsidP="006630B8">
            <w:pPr>
              <w:rPr>
                <w:rFonts w:ascii="Times New Roman" w:hAnsi="Times New Roman"/>
                <w:sz w:val="20"/>
                <w:szCs w:val="20"/>
                <w:lang w:val="en-US"/>
              </w:rPr>
            </w:pPr>
          </w:p>
        </w:tc>
        <w:tc>
          <w:tcPr>
            <w:tcW w:w="670" w:type="dxa"/>
            <w:tcBorders>
              <w:top w:val="nil"/>
              <w:left w:val="nil"/>
              <w:bottom w:val="nil"/>
              <w:right w:val="nil"/>
            </w:tcBorders>
            <w:shd w:val="clear" w:color="auto" w:fill="auto"/>
            <w:noWrap/>
            <w:vAlign w:val="bottom"/>
            <w:hideMark/>
          </w:tcPr>
          <w:p w14:paraId="292DB7F4" w14:textId="77777777" w:rsidR="006630B8" w:rsidRPr="008A4429" w:rsidRDefault="006630B8" w:rsidP="006630B8">
            <w:pPr>
              <w:rPr>
                <w:rFonts w:ascii="Times New Roman" w:hAnsi="Times New Roman"/>
                <w:sz w:val="20"/>
                <w:szCs w:val="20"/>
                <w:lang w:val="en-US"/>
              </w:rPr>
            </w:pPr>
          </w:p>
        </w:tc>
        <w:tc>
          <w:tcPr>
            <w:tcW w:w="2143" w:type="dxa"/>
            <w:gridSpan w:val="2"/>
            <w:tcBorders>
              <w:top w:val="single" w:sz="4" w:space="0" w:color="auto"/>
              <w:left w:val="nil"/>
              <w:bottom w:val="single" w:sz="4" w:space="0" w:color="auto"/>
              <w:right w:val="nil"/>
            </w:tcBorders>
            <w:shd w:val="clear" w:color="auto" w:fill="auto"/>
            <w:noWrap/>
            <w:vAlign w:val="bottom"/>
            <w:hideMark/>
          </w:tcPr>
          <w:p w14:paraId="59F6CCAD" w14:textId="77777777" w:rsidR="006630B8" w:rsidRPr="006630B8" w:rsidRDefault="006630B8" w:rsidP="006630B8">
            <w:pPr>
              <w:rPr>
                <w:color w:val="000000"/>
                <w:sz w:val="20"/>
                <w:szCs w:val="20"/>
              </w:rPr>
            </w:pPr>
            <w:proofErr w:type="spellStart"/>
            <w:r w:rsidRPr="006630B8">
              <w:rPr>
                <w:color w:val="000000"/>
                <w:sz w:val="20"/>
                <w:szCs w:val="20"/>
              </w:rPr>
              <w:t>Employment</w:t>
            </w:r>
            <w:proofErr w:type="spellEnd"/>
          </w:p>
        </w:tc>
        <w:tc>
          <w:tcPr>
            <w:tcW w:w="269" w:type="dxa"/>
            <w:tcBorders>
              <w:top w:val="nil"/>
              <w:left w:val="nil"/>
              <w:bottom w:val="nil"/>
              <w:right w:val="nil"/>
            </w:tcBorders>
            <w:shd w:val="clear" w:color="auto" w:fill="auto"/>
            <w:noWrap/>
            <w:vAlign w:val="bottom"/>
            <w:hideMark/>
          </w:tcPr>
          <w:p w14:paraId="6C16FC29" w14:textId="77777777" w:rsidR="006630B8" w:rsidRPr="006630B8" w:rsidRDefault="006630B8" w:rsidP="006630B8">
            <w:pPr>
              <w:rPr>
                <w:color w:val="000000"/>
                <w:sz w:val="20"/>
                <w:szCs w:val="20"/>
              </w:rPr>
            </w:pPr>
          </w:p>
        </w:tc>
        <w:tc>
          <w:tcPr>
            <w:tcW w:w="1645" w:type="dxa"/>
            <w:gridSpan w:val="2"/>
            <w:tcBorders>
              <w:top w:val="single" w:sz="4" w:space="0" w:color="auto"/>
              <w:left w:val="nil"/>
              <w:bottom w:val="single" w:sz="4" w:space="0" w:color="auto"/>
              <w:right w:val="nil"/>
            </w:tcBorders>
            <w:shd w:val="clear" w:color="auto" w:fill="auto"/>
            <w:noWrap/>
            <w:vAlign w:val="bottom"/>
            <w:hideMark/>
          </w:tcPr>
          <w:p w14:paraId="48D49FA3" w14:textId="77777777" w:rsidR="006630B8" w:rsidRPr="006630B8" w:rsidRDefault="006630B8" w:rsidP="006630B8">
            <w:pPr>
              <w:rPr>
                <w:color w:val="000000"/>
                <w:sz w:val="20"/>
                <w:szCs w:val="20"/>
              </w:rPr>
            </w:pPr>
            <w:r w:rsidRPr="006630B8">
              <w:rPr>
                <w:color w:val="000000"/>
                <w:sz w:val="20"/>
                <w:szCs w:val="20"/>
              </w:rPr>
              <w:t>Establishments</w:t>
            </w:r>
          </w:p>
        </w:tc>
      </w:tr>
      <w:tr w:rsidR="006630B8" w:rsidRPr="006630B8" w14:paraId="149F56B6" w14:textId="77777777" w:rsidTr="006630B8">
        <w:trPr>
          <w:trHeight w:val="320"/>
        </w:trPr>
        <w:tc>
          <w:tcPr>
            <w:tcW w:w="4911" w:type="dxa"/>
            <w:tcBorders>
              <w:top w:val="nil"/>
              <w:left w:val="nil"/>
              <w:bottom w:val="single" w:sz="4" w:space="0" w:color="auto"/>
              <w:right w:val="nil"/>
            </w:tcBorders>
            <w:shd w:val="clear" w:color="auto" w:fill="auto"/>
            <w:noWrap/>
            <w:vAlign w:val="bottom"/>
            <w:hideMark/>
          </w:tcPr>
          <w:p w14:paraId="4C296DB8" w14:textId="77777777" w:rsidR="006630B8" w:rsidRPr="006630B8" w:rsidRDefault="006630B8" w:rsidP="006630B8">
            <w:pPr>
              <w:rPr>
                <w:color w:val="000000"/>
                <w:sz w:val="20"/>
                <w:szCs w:val="20"/>
              </w:rPr>
            </w:pPr>
            <w:r w:rsidRPr="006630B8">
              <w:rPr>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14:paraId="6C630D9F" w14:textId="77777777" w:rsidR="006630B8" w:rsidRPr="006630B8" w:rsidRDefault="006630B8" w:rsidP="006630B8">
            <w:pPr>
              <w:jc w:val="center"/>
              <w:rPr>
                <w:color w:val="000000"/>
                <w:sz w:val="20"/>
                <w:szCs w:val="20"/>
              </w:rPr>
            </w:pPr>
            <w:proofErr w:type="spellStart"/>
            <w:r w:rsidRPr="006630B8">
              <w:rPr>
                <w:color w:val="000000"/>
                <w:sz w:val="20"/>
                <w:szCs w:val="20"/>
              </w:rPr>
              <w:t>Obs</w:t>
            </w:r>
            <w:proofErr w:type="spellEnd"/>
          </w:p>
        </w:tc>
        <w:tc>
          <w:tcPr>
            <w:tcW w:w="867" w:type="dxa"/>
            <w:tcBorders>
              <w:top w:val="nil"/>
              <w:left w:val="nil"/>
              <w:bottom w:val="single" w:sz="4" w:space="0" w:color="auto"/>
              <w:right w:val="nil"/>
            </w:tcBorders>
            <w:shd w:val="clear" w:color="auto" w:fill="auto"/>
            <w:noWrap/>
            <w:vAlign w:val="bottom"/>
            <w:hideMark/>
          </w:tcPr>
          <w:p w14:paraId="2F0E8E8A" w14:textId="77777777" w:rsidR="006630B8" w:rsidRPr="006630B8" w:rsidRDefault="006630B8" w:rsidP="006630B8">
            <w:pPr>
              <w:rPr>
                <w:color w:val="000000"/>
                <w:sz w:val="20"/>
                <w:szCs w:val="20"/>
              </w:rPr>
            </w:pPr>
            <w:proofErr w:type="spellStart"/>
            <w:r w:rsidRPr="006630B8">
              <w:rPr>
                <w:color w:val="000000"/>
                <w:sz w:val="20"/>
                <w:szCs w:val="20"/>
              </w:rPr>
              <w:t>Mean</w:t>
            </w:r>
            <w:proofErr w:type="spellEnd"/>
          </w:p>
        </w:tc>
        <w:tc>
          <w:tcPr>
            <w:tcW w:w="1276" w:type="dxa"/>
            <w:tcBorders>
              <w:top w:val="nil"/>
              <w:left w:val="nil"/>
              <w:bottom w:val="single" w:sz="4" w:space="0" w:color="auto"/>
              <w:right w:val="nil"/>
            </w:tcBorders>
            <w:shd w:val="clear" w:color="auto" w:fill="auto"/>
            <w:noWrap/>
            <w:vAlign w:val="bottom"/>
            <w:hideMark/>
          </w:tcPr>
          <w:p w14:paraId="5C7F0EAF" w14:textId="77777777" w:rsidR="006630B8" w:rsidRPr="006630B8" w:rsidRDefault="006630B8" w:rsidP="006630B8">
            <w:pPr>
              <w:rPr>
                <w:color w:val="000000"/>
                <w:sz w:val="20"/>
                <w:szCs w:val="20"/>
              </w:rPr>
            </w:pPr>
            <w:proofErr w:type="spellStart"/>
            <w:r w:rsidRPr="006630B8">
              <w:rPr>
                <w:color w:val="000000"/>
                <w:sz w:val="20"/>
                <w:szCs w:val="20"/>
              </w:rPr>
              <w:t>Std</w:t>
            </w:r>
            <w:proofErr w:type="spellEnd"/>
            <w:r w:rsidRPr="006630B8">
              <w:rPr>
                <w:color w:val="000000"/>
                <w:sz w:val="20"/>
                <w:szCs w:val="20"/>
              </w:rPr>
              <w:t xml:space="preserve">. </w:t>
            </w:r>
            <w:proofErr w:type="spellStart"/>
            <w:r w:rsidRPr="006630B8">
              <w:rPr>
                <w:color w:val="000000"/>
                <w:sz w:val="20"/>
                <w:szCs w:val="20"/>
              </w:rPr>
              <w:t>Dev</w:t>
            </w:r>
            <w:proofErr w:type="spellEnd"/>
            <w:r w:rsidRPr="006630B8">
              <w:rPr>
                <w:color w:val="000000"/>
                <w:sz w:val="20"/>
                <w:szCs w:val="20"/>
              </w:rPr>
              <w:t>.</w:t>
            </w:r>
          </w:p>
        </w:tc>
        <w:tc>
          <w:tcPr>
            <w:tcW w:w="269" w:type="dxa"/>
            <w:tcBorders>
              <w:top w:val="nil"/>
              <w:left w:val="nil"/>
              <w:bottom w:val="single" w:sz="4" w:space="0" w:color="auto"/>
              <w:right w:val="nil"/>
            </w:tcBorders>
            <w:shd w:val="clear" w:color="auto" w:fill="auto"/>
            <w:noWrap/>
            <w:vAlign w:val="bottom"/>
            <w:hideMark/>
          </w:tcPr>
          <w:p w14:paraId="11634584" w14:textId="77777777" w:rsidR="006630B8" w:rsidRPr="006630B8" w:rsidRDefault="006630B8" w:rsidP="006630B8">
            <w:pPr>
              <w:rPr>
                <w:color w:val="000000"/>
                <w:sz w:val="20"/>
                <w:szCs w:val="20"/>
              </w:rPr>
            </w:pPr>
            <w:r w:rsidRPr="006630B8">
              <w:rPr>
                <w:color w:val="000000"/>
                <w:sz w:val="20"/>
                <w:szCs w:val="20"/>
              </w:rPr>
              <w:t> </w:t>
            </w:r>
          </w:p>
        </w:tc>
        <w:tc>
          <w:tcPr>
            <w:tcW w:w="639" w:type="dxa"/>
            <w:tcBorders>
              <w:top w:val="nil"/>
              <w:left w:val="nil"/>
              <w:bottom w:val="single" w:sz="4" w:space="0" w:color="auto"/>
              <w:right w:val="nil"/>
            </w:tcBorders>
            <w:shd w:val="clear" w:color="auto" w:fill="auto"/>
            <w:noWrap/>
            <w:vAlign w:val="bottom"/>
            <w:hideMark/>
          </w:tcPr>
          <w:p w14:paraId="286E88AF" w14:textId="77777777" w:rsidR="006630B8" w:rsidRPr="006630B8" w:rsidRDefault="006630B8" w:rsidP="006630B8">
            <w:pPr>
              <w:rPr>
                <w:color w:val="000000"/>
                <w:sz w:val="20"/>
                <w:szCs w:val="20"/>
              </w:rPr>
            </w:pPr>
            <w:proofErr w:type="spellStart"/>
            <w:r w:rsidRPr="006630B8">
              <w:rPr>
                <w:color w:val="000000"/>
                <w:sz w:val="20"/>
                <w:szCs w:val="20"/>
              </w:rPr>
              <w:t>Mean</w:t>
            </w:r>
            <w:proofErr w:type="spellEnd"/>
          </w:p>
        </w:tc>
        <w:tc>
          <w:tcPr>
            <w:tcW w:w="1006" w:type="dxa"/>
            <w:tcBorders>
              <w:top w:val="nil"/>
              <w:left w:val="nil"/>
              <w:bottom w:val="single" w:sz="4" w:space="0" w:color="auto"/>
              <w:right w:val="nil"/>
            </w:tcBorders>
            <w:shd w:val="clear" w:color="auto" w:fill="auto"/>
            <w:noWrap/>
            <w:vAlign w:val="bottom"/>
            <w:hideMark/>
          </w:tcPr>
          <w:p w14:paraId="337E701A" w14:textId="77777777" w:rsidR="006630B8" w:rsidRPr="006630B8" w:rsidRDefault="006630B8" w:rsidP="006630B8">
            <w:pPr>
              <w:rPr>
                <w:color w:val="000000"/>
                <w:sz w:val="20"/>
                <w:szCs w:val="20"/>
              </w:rPr>
            </w:pPr>
            <w:proofErr w:type="spellStart"/>
            <w:r w:rsidRPr="006630B8">
              <w:rPr>
                <w:color w:val="000000"/>
                <w:sz w:val="20"/>
                <w:szCs w:val="20"/>
              </w:rPr>
              <w:t>Std</w:t>
            </w:r>
            <w:proofErr w:type="spellEnd"/>
            <w:r w:rsidRPr="006630B8">
              <w:rPr>
                <w:color w:val="000000"/>
                <w:sz w:val="20"/>
                <w:szCs w:val="20"/>
              </w:rPr>
              <w:t xml:space="preserve">. </w:t>
            </w:r>
            <w:proofErr w:type="spellStart"/>
            <w:r w:rsidRPr="006630B8">
              <w:rPr>
                <w:color w:val="000000"/>
                <w:sz w:val="20"/>
                <w:szCs w:val="20"/>
              </w:rPr>
              <w:t>Dev</w:t>
            </w:r>
            <w:proofErr w:type="spellEnd"/>
            <w:r w:rsidRPr="006630B8">
              <w:rPr>
                <w:color w:val="000000"/>
                <w:sz w:val="20"/>
                <w:szCs w:val="20"/>
              </w:rPr>
              <w:t>.</w:t>
            </w:r>
          </w:p>
        </w:tc>
      </w:tr>
      <w:tr w:rsidR="006630B8" w:rsidRPr="006630B8" w14:paraId="3C92CB85" w14:textId="77777777" w:rsidTr="006630B8">
        <w:trPr>
          <w:trHeight w:val="320"/>
        </w:trPr>
        <w:tc>
          <w:tcPr>
            <w:tcW w:w="4911" w:type="dxa"/>
            <w:tcBorders>
              <w:top w:val="nil"/>
              <w:left w:val="nil"/>
              <w:bottom w:val="nil"/>
              <w:right w:val="nil"/>
            </w:tcBorders>
            <w:shd w:val="clear" w:color="auto" w:fill="auto"/>
            <w:noWrap/>
            <w:vAlign w:val="bottom"/>
            <w:hideMark/>
          </w:tcPr>
          <w:p w14:paraId="3FCE3F9C" w14:textId="77777777" w:rsidR="006630B8" w:rsidRPr="006630B8" w:rsidRDefault="006630B8" w:rsidP="006630B8">
            <w:pPr>
              <w:rPr>
                <w:color w:val="000000"/>
                <w:sz w:val="20"/>
                <w:szCs w:val="20"/>
              </w:rPr>
            </w:pPr>
            <w:proofErr w:type="spellStart"/>
            <w:r w:rsidRPr="006630B8">
              <w:rPr>
                <w:color w:val="000000"/>
                <w:sz w:val="20"/>
                <w:szCs w:val="20"/>
              </w:rPr>
              <w:t>Textiles</w:t>
            </w:r>
            <w:proofErr w:type="spellEnd"/>
          </w:p>
        </w:tc>
        <w:tc>
          <w:tcPr>
            <w:tcW w:w="670" w:type="dxa"/>
            <w:tcBorders>
              <w:top w:val="nil"/>
              <w:left w:val="nil"/>
              <w:bottom w:val="nil"/>
              <w:right w:val="nil"/>
            </w:tcBorders>
            <w:shd w:val="clear" w:color="auto" w:fill="auto"/>
            <w:noWrap/>
            <w:vAlign w:val="bottom"/>
            <w:hideMark/>
          </w:tcPr>
          <w:p w14:paraId="666B260D"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379FAD85" w14:textId="77777777" w:rsidR="006630B8" w:rsidRPr="006630B8" w:rsidRDefault="006630B8" w:rsidP="006630B8">
            <w:pPr>
              <w:jc w:val="right"/>
              <w:rPr>
                <w:color w:val="000000"/>
                <w:sz w:val="20"/>
                <w:szCs w:val="20"/>
              </w:rPr>
            </w:pPr>
            <w:r w:rsidRPr="006630B8">
              <w:rPr>
                <w:color w:val="000000"/>
                <w:sz w:val="20"/>
                <w:szCs w:val="20"/>
              </w:rPr>
              <w:t>5150</w:t>
            </w:r>
          </w:p>
        </w:tc>
        <w:tc>
          <w:tcPr>
            <w:tcW w:w="1276" w:type="dxa"/>
            <w:tcBorders>
              <w:top w:val="nil"/>
              <w:left w:val="nil"/>
              <w:bottom w:val="nil"/>
              <w:right w:val="nil"/>
            </w:tcBorders>
            <w:shd w:val="clear" w:color="auto" w:fill="auto"/>
            <w:noWrap/>
            <w:vAlign w:val="bottom"/>
            <w:hideMark/>
          </w:tcPr>
          <w:p w14:paraId="03D09745" w14:textId="77777777" w:rsidR="006630B8" w:rsidRPr="006630B8" w:rsidRDefault="006630B8" w:rsidP="006630B8">
            <w:pPr>
              <w:jc w:val="right"/>
              <w:rPr>
                <w:color w:val="000000"/>
                <w:sz w:val="20"/>
                <w:szCs w:val="20"/>
              </w:rPr>
            </w:pPr>
            <w:r w:rsidRPr="006630B8">
              <w:rPr>
                <w:color w:val="000000"/>
                <w:sz w:val="20"/>
                <w:szCs w:val="20"/>
              </w:rPr>
              <w:t>10156.16</w:t>
            </w:r>
          </w:p>
        </w:tc>
        <w:tc>
          <w:tcPr>
            <w:tcW w:w="269" w:type="dxa"/>
            <w:tcBorders>
              <w:top w:val="nil"/>
              <w:left w:val="nil"/>
              <w:bottom w:val="nil"/>
              <w:right w:val="nil"/>
            </w:tcBorders>
            <w:shd w:val="clear" w:color="auto" w:fill="auto"/>
            <w:noWrap/>
            <w:vAlign w:val="bottom"/>
            <w:hideMark/>
          </w:tcPr>
          <w:p w14:paraId="7447DE45"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042703B7" w14:textId="77777777" w:rsidR="006630B8" w:rsidRPr="006630B8" w:rsidRDefault="006630B8" w:rsidP="006630B8">
            <w:pPr>
              <w:jc w:val="right"/>
              <w:rPr>
                <w:color w:val="000000"/>
                <w:sz w:val="20"/>
                <w:szCs w:val="20"/>
              </w:rPr>
            </w:pPr>
            <w:r w:rsidRPr="006630B8">
              <w:rPr>
                <w:color w:val="000000"/>
                <w:sz w:val="20"/>
                <w:szCs w:val="20"/>
              </w:rPr>
              <w:t>409</w:t>
            </w:r>
          </w:p>
        </w:tc>
        <w:tc>
          <w:tcPr>
            <w:tcW w:w="1006" w:type="dxa"/>
            <w:tcBorders>
              <w:top w:val="nil"/>
              <w:left w:val="nil"/>
              <w:bottom w:val="nil"/>
              <w:right w:val="nil"/>
            </w:tcBorders>
            <w:shd w:val="clear" w:color="auto" w:fill="auto"/>
            <w:noWrap/>
            <w:vAlign w:val="bottom"/>
            <w:hideMark/>
          </w:tcPr>
          <w:p w14:paraId="67C646B0" w14:textId="77777777" w:rsidR="006630B8" w:rsidRPr="006630B8" w:rsidRDefault="006630B8" w:rsidP="006630B8">
            <w:pPr>
              <w:jc w:val="right"/>
              <w:rPr>
                <w:color w:val="000000"/>
                <w:sz w:val="20"/>
                <w:szCs w:val="20"/>
              </w:rPr>
            </w:pPr>
            <w:r w:rsidRPr="006630B8">
              <w:rPr>
                <w:color w:val="000000"/>
                <w:sz w:val="20"/>
                <w:szCs w:val="20"/>
              </w:rPr>
              <w:t>848.4534</w:t>
            </w:r>
          </w:p>
        </w:tc>
      </w:tr>
      <w:tr w:rsidR="006630B8" w:rsidRPr="006630B8" w14:paraId="0463C809" w14:textId="77777777" w:rsidTr="006630B8">
        <w:trPr>
          <w:trHeight w:val="320"/>
        </w:trPr>
        <w:tc>
          <w:tcPr>
            <w:tcW w:w="4911" w:type="dxa"/>
            <w:tcBorders>
              <w:top w:val="nil"/>
              <w:left w:val="nil"/>
              <w:bottom w:val="nil"/>
              <w:right w:val="nil"/>
            </w:tcBorders>
            <w:shd w:val="clear" w:color="auto" w:fill="auto"/>
            <w:noWrap/>
            <w:vAlign w:val="bottom"/>
            <w:hideMark/>
          </w:tcPr>
          <w:p w14:paraId="66967146" w14:textId="77777777" w:rsidR="006630B8" w:rsidRPr="006630B8" w:rsidRDefault="006630B8" w:rsidP="006630B8">
            <w:pPr>
              <w:rPr>
                <w:color w:val="000000"/>
                <w:sz w:val="20"/>
                <w:szCs w:val="20"/>
              </w:rPr>
            </w:pPr>
            <w:proofErr w:type="spellStart"/>
            <w:r w:rsidRPr="006630B8">
              <w:rPr>
                <w:color w:val="000000"/>
                <w:sz w:val="20"/>
                <w:szCs w:val="20"/>
              </w:rPr>
              <w:t>Wearing</w:t>
            </w:r>
            <w:proofErr w:type="spellEnd"/>
            <w:r w:rsidRPr="006630B8">
              <w:rPr>
                <w:color w:val="000000"/>
                <w:sz w:val="20"/>
                <w:szCs w:val="20"/>
              </w:rPr>
              <w:t xml:space="preserve"> </w:t>
            </w:r>
            <w:proofErr w:type="spellStart"/>
            <w:r w:rsidRPr="006630B8">
              <w:rPr>
                <w:color w:val="000000"/>
                <w:sz w:val="20"/>
                <w:szCs w:val="20"/>
              </w:rPr>
              <w:t>apparel</w:t>
            </w:r>
            <w:proofErr w:type="spellEnd"/>
          </w:p>
        </w:tc>
        <w:tc>
          <w:tcPr>
            <w:tcW w:w="670" w:type="dxa"/>
            <w:tcBorders>
              <w:top w:val="nil"/>
              <w:left w:val="nil"/>
              <w:bottom w:val="nil"/>
              <w:right w:val="nil"/>
            </w:tcBorders>
            <w:shd w:val="clear" w:color="auto" w:fill="auto"/>
            <w:noWrap/>
            <w:vAlign w:val="bottom"/>
            <w:hideMark/>
          </w:tcPr>
          <w:p w14:paraId="348480F8"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5A546B35" w14:textId="77777777" w:rsidR="006630B8" w:rsidRPr="006630B8" w:rsidRDefault="006630B8" w:rsidP="006630B8">
            <w:pPr>
              <w:jc w:val="right"/>
              <w:rPr>
                <w:color w:val="000000"/>
                <w:sz w:val="20"/>
                <w:szCs w:val="20"/>
              </w:rPr>
            </w:pPr>
            <w:r w:rsidRPr="006630B8">
              <w:rPr>
                <w:color w:val="000000"/>
                <w:sz w:val="20"/>
                <w:szCs w:val="20"/>
              </w:rPr>
              <w:t>7328</w:t>
            </w:r>
          </w:p>
        </w:tc>
        <w:tc>
          <w:tcPr>
            <w:tcW w:w="1276" w:type="dxa"/>
            <w:tcBorders>
              <w:top w:val="nil"/>
              <w:left w:val="nil"/>
              <w:bottom w:val="nil"/>
              <w:right w:val="nil"/>
            </w:tcBorders>
            <w:shd w:val="clear" w:color="auto" w:fill="auto"/>
            <w:noWrap/>
            <w:vAlign w:val="bottom"/>
            <w:hideMark/>
          </w:tcPr>
          <w:p w14:paraId="73A1A42C" w14:textId="77777777" w:rsidR="006630B8" w:rsidRPr="006630B8" w:rsidRDefault="006630B8" w:rsidP="006630B8">
            <w:pPr>
              <w:jc w:val="right"/>
              <w:rPr>
                <w:color w:val="000000"/>
                <w:sz w:val="20"/>
                <w:szCs w:val="20"/>
              </w:rPr>
            </w:pPr>
            <w:r w:rsidRPr="006630B8">
              <w:rPr>
                <w:color w:val="000000"/>
                <w:sz w:val="20"/>
                <w:szCs w:val="20"/>
              </w:rPr>
              <w:t>12536.82</w:t>
            </w:r>
          </w:p>
        </w:tc>
        <w:tc>
          <w:tcPr>
            <w:tcW w:w="269" w:type="dxa"/>
            <w:tcBorders>
              <w:top w:val="nil"/>
              <w:left w:val="nil"/>
              <w:bottom w:val="nil"/>
              <w:right w:val="nil"/>
            </w:tcBorders>
            <w:shd w:val="clear" w:color="auto" w:fill="auto"/>
            <w:noWrap/>
            <w:vAlign w:val="bottom"/>
            <w:hideMark/>
          </w:tcPr>
          <w:p w14:paraId="1B24169C"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5284246E" w14:textId="77777777" w:rsidR="006630B8" w:rsidRPr="006630B8" w:rsidRDefault="006630B8" w:rsidP="006630B8">
            <w:pPr>
              <w:jc w:val="right"/>
              <w:rPr>
                <w:color w:val="000000"/>
                <w:sz w:val="20"/>
                <w:szCs w:val="20"/>
              </w:rPr>
            </w:pPr>
            <w:r w:rsidRPr="006630B8">
              <w:rPr>
                <w:color w:val="000000"/>
                <w:sz w:val="20"/>
                <w:szCs w:val="20"/>
              </w:rPr>
              <w:t>790</w:t>
            </w:r>
          </w:p>
        </w:tc>
        <w:tc>
          <w:tcPr>
            <w:tcW w:w="1006" w:type="dxa"/>
            <w:tcBorders>
              <w:top w:val="nil"/>
              <w:left w:val="nil"/>
              <w:bottom w:val="nil"/>
              <w:right w:val="nil"/>
            </w:tcBorders>
            <w:shd w:val="clear" w:color="auto" w:fill="auto"/>
            <w:noWrap/>
            <w:vAlign w:val="bottom"/>
            <w:hideMark/>
          </w:tcPr>
          <w:p w14:paraId="32766DEC" w14:textId="77777777" w:rsidR="006630B8" w:rsidRPr="006630B8" w:rsidRDefault="006630B8" w:rsidP="006630B8">
            <w:pPr>
              <w:jc w:val="right"/>
              <w:rPr>
                <w:color w:val="000000"/>
                <w:sz w:val="20"/>
                <w:szCs w:val="20"/>
              </w:rPr>
            </w:pPr>
            <w:r w:rsidRPr="006630B8">
              <w:rPr>
                <w:color w:val="000000"/>
                <w:sz w:val="20"/>
                <w:szCs w:val="20"/>
              </w:rPr>
              <w:t>1403.223</w:t>
            </w:r>
          </w:p>
        </w:tc>
      </w:tr>
      <w:tr w:rsidR="006630B8" w:rsidRPr="006630B8" w14:paraId="526BEA34" w14:textId="77777777" w:rsidTr="006630B8">
        <w:trPr>
          <w:trHeight w:val="320"/>
        </w:trPr>
        <w:tc>
          <w:tcPr>
            <w:tcW w:w="4911" w:type="dxa"/>
            <w:tcBorders>
              <w:top w:val="nil"/>
              <w:left w:val="nil"/>
              <w:bottom w:val="nil"/>
              <w:right w:val="nil"/>
            </w:tcBorders>
            <w:shd w:val="clear" w:color="auto" w:fill="auto"/>
            <w:noWrap/>
            <w:vAlign w:val="bottom"/>
            <w:hideMark/>
          </w:tcPr>
          <w:p w14:paraId="02FDB7D2" w14:textId="77777777" w:rsidR="006630B8" w:rsidRPr="006630B8" w:rsidRDefault="006630B8" w:rsidP="006630B8">
            <w:pPr>
              <w:rPr>
                <w:color w:val="000000"/>
                <w:sz w:val="20"/>
                <w:szCs w:val="20"/>
              </w:rPr>
            </w:pPr>
            <w:r w:rsidRPr="006630B8">
              <w:rPr>
                <w:color w:val="000000"/>
                <w:sz w:val="20"/>
                <w:szCs w:val="20"/>
              </w:rPr>
              <w:t>Wood</w:t>
            </w:r>
          </w:p>
        </w:tc>
        <w:tc>
          <w:tcPr>
            <w:tcW w:w="670" w:type="dxa"/>
            <w:tcBorders>
              <w:top w:val="nil"/>
              <w:left w:val="nil"/>
              <w:bottom w:val="nil"/>
              <w:right w:val="nil"/>
            </w:tcBorders>
            <w:shd w:val="clear" w:color="auto" w:fill="auto"/>
            <w:noWrap/>
            <w:vAlign w:val="bottom"/>
            <w:hideMark/>
          </w:tcPr>
          <w:p w14:paraId="5A81AFC1"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3C406F5C" w14:textId="77777777" w:rsidR="006630B8" w:rsidRPr="006630B8" w:rsidRDefault="006630B8" w:rsidP="006630B8">
            <w:pPr>
              <w:jc w:val="right"/>
              <w:rPr>
                <w:color w:val="000000"/>
                <w:sz w:val="20"/>
                <w:szCs w:val="20"/>
              </w:rPr>
            </w:pPr>
            <w:r w:rsidRPr="006630B8">
              <w:rPr>
                <w:color w:val="000000"/>
                <w:sz w:val="20"/>
                <w:szCs w:val="20"/>
              </w:rPr>
              <w:t>5668</w:t>
            </w:r>
          </w:p>
        </w:tc>
        <w:tc>
          <w:tcPr>
            <w:tcW w:w="1276" w:type="dxa"/>
            <w:tcBorders>
              <w:top w:val="nil"/>
              <w:left w:val="nil"/>
              <w:bottom w:val="nil"/>
              <w:right w:val="nil"/>
            </w:tcBorders>
            <w:shd w:val="clear" w:color="auto" w:fill="auto"/>
            <w:noWrap/>
            <w:vAlign w:val="bottom"/>
            <w:hideMark/>
          </w:tcPr>
          <w:p w14:paraId="0EFCEAA6" w14:textId="77777777" w:rsidR="006630B8" w:rsidRPr="006630B8" w:rsidRDefault="006630B8" w:rsidP="006630B8">
            <w:pPr>
              <w:jc w:val="right"/>
              <w:rPr>
                <w:color w:val="000000"/>
                <w:sz w:val="20"/>
                <w:szCs w:val="20"/>
              </w:rPr>
            </w:pPr>
            <w:r w:rsidRPr="006630B8">
              <w:rPr>
                <w:color w:val="000000"/>
                <w:sz w:val="20"/>
                <w:szCs w:val="20"/>
              </w:rPr>
              <w:t>4990.37</w:t>
            </w:r>
          </w:p>
        </w:tc>
        <w:tc>
          <w:tcPr>
            <w:tcW w:w="269" w:type="dxa"/>
            <w:tcBorders>
              <w:top w:val="nil"/>
              <w:left w:val="nil"/>
              <w:bottom w:val="nil"/>
              <w:right w:val="nil"/>
            </w:tcBorders>
            <w:shd w:val="clear" w:color="auto" w:fill="auto"/>
            <w:noWrap/>
            <w:vAlign w:val="bottom"/>
            <w:hideMark/>
          </w:tcPr>
          <w:p w14:paraId="17C2AE0F"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229C416E" w14:textId="77777777" w:rsidR="006630B8" w:rsidRPr="006630B8" w:rsidRDefault="006630B8" w:rsidP="006630B8">
            <w:pPr>
              <w:jc w:val="right"/>
              <w:rPr>
                <w:color w:val="000000"/>
                <w:sz w:val="20"/>
                <w:szCs w:val="20"/>
              </w:rPr>
            </w:pPr>
            <w:r w:rsidRPr="006630B8">
              <w:rPr>
                <w:color w:val="000000"/>
                <w:sz w:val="20"/>
                <w:szCs w:val="20"/>
              </w:rPr>
              <w:t>998</w:t>
            </w:r>
          </w:p>
        </w:tc>
        <w:tc>
          <w:tcPr>
            <w:tcW w:w="1006" w:type="dxa"/>
            <w:tcBorders>
              <w:top w:val="nil"/>
              <w:left w:val="nil"/>
              <w:bottom w:val="nil"/>
              <w:right w:val="nil"/>
            </w:tcBorders>
            <w:shd w:val="clear" w:color="auto" w:fill="auto"/>
            <w:noWrap/>
            <w:vAlign w:val="bottom"/>
            <w:hideMark/>
          </w:tcPr>
          <w:p w14:paraId="5F86D37A" w14:textId="77777777" w:rsidR="006630B8" w:rsidRPr="006630B8" w:rsidRDefault="006630B8" w:rsidP="006630B8">
            <w:pPr>
              <w:jc w:val="right"/>
              <w:rPr>
                <w:color w:val="000000"/>
                <w:sz w:val="20"/>
                <w:szCs w:val="20"/>
              </w:rPr>
            </w:pPr>
            <w:r w:rsidRPr="006630B8">
              <w:rPr>
                <w:color w:val="000000"/>
                <w:sz w:val="20"/>
                <w:szCs w:val="20"/>
              </w:rPr>
              <w:t>1228.153</w:t>
            </w:r>
          </w:p>
        </w:tc>
      </w:tr>
      <w:tr w:rsidR="006630B8" w:rsidRPr="006630B8" w14:paraId="1A789393" w14:textId="77777777" w:rsidTr="006630B8">
        <w:trPr>
          <w:trHeight w:val="320"/>
        </w:trPr>
        <w:tc>
          <w:tcPr>
            <w:tcW w:w="4911" w:type="dxa"/>
            <w:tcBorders>
              <w:top w:val="nil"/>
              <w:left w:val="nil"/>
              <w:bottom w:val="nil"/>
              <w:right w:val="nil"/>
            </w:tcBorders>
            <w:shd w:val="clear" w:color="auto" w:fill="auto"/>
            <w:noWrap/>
            <w:vAlign w:val="bottom"/>
            <w:hideMark/>
          </w:tcPr>
          <w:p w14:paraId="1104A289" w14:textId="77777777" w:rsidR="006630B8" w:rsidRPr="006630B8" w:rsidRDefault="006630B8" w:rsidP="006630B8">
            <w:pPr>
              <w:rPr>
                <w:color w:val="000000"/>
                <w:sz w:val="20"/>
                <w:szCs w:val="20"/>
              </w:rPr>
            </w:pPr>
            <w:proofErr w:type="spellStart"/>
            <w:r w:rsidRPr="006630B8">
              <w:rPr>
                <w:color w:val="000000"/>
                <w:sz w:val="20"/>
                <w:szCs w:val="20"/>
              </w:rPr>
              <w:t>Paper</w:t>
            </w:r>
            <w:proofErr w:type="spellEnd"/>
          </w:p>
        </w:tc>
        <w:tc>
          <w:tcPr>
            <w:tcW w:w="670" w:type="dxa"/>
            <w:tcBorders>
              <w:top w:val="nil"/>
              <w:left w:val="nil"/>
              <w:bottom w:val="nil"/>
              <w:right w:val="nil"/>
            </w:tcBorders>
            <w:shd w:val="clear" w:color="auto" w:fill="auto"/>
            <w:noWrap/>
            <w:vAlign w:val="bottom"/>
            <w:hideMark/>
          </w:tcPr>
          <w:p w14:paraId="79DC2CD8"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0EB15AD3" w14:textId="77777777" w:rsidR="006630B8" w:rsidRPr="006630B8" w:rsidRDefault="006630B8" w:rsidP="006630B8">
            <w:pPr>
              <w:jc w:val="right"/>
              <w:rPr>
                <w:color w:val="000000"/>
                <w:sz w:val="20"/>
                <w:szCs w:val="20"/>
              </w:rPr>
            </w:pPr>
            <w:r w:rsidRPr="006630B8">
              <w:rPr>
                <w:color w:val="000000"/>
                <w:sz w:val="20"/>
                <w:szCs w:val="20"/>
              </w:rPr>
              <w:t>3197</w:t>
            </w:r>
          </w:p>
        </w:tc>
        <w:tc>
          <w:tcPr>
            <w:tcW w:w="1276" w:type="dxa"/>
            <w:tcBorders>
              <w:top w:val="nil"/>
              <w:left w:val="nil"/>
              <w:bottom w:val="nil"/>
              <w:right w:val="nil"/>
            </w:tcBorders>
            <w:shd w:val="clear" w:color="auto" w:fill="auto"/>
            <w:noWrap/>
            <w:vAlign w:val="bottom"/>
            <w:hideMark/>
          </w:tcPr>
          <w:p w14:paraId="44F609F9" w14:textId="77777777" w:rsidR="006630B8" w:rsidRPr="006630B8" w:rsidRDefault="006630B8" w:rsidP="006630B8">
            <w:pPr>
              <w:jc w:val="right"/>
              <w:rPr>
                <w:color w:val="000000"/>
                <w:sz w:val="20"/>
                <w:szCs w:val="20"/>
              </w:rPr>
            </w:pPr>
            <w:r w:rsidRPr="006630B8">
              <w:rPr>
                <w:color w:val="000000"/>
                <w:sz w:val="20"/>
                <w:szCs w:val="20"/>
              </w:rPr>
              <w:t>3006.707</w:t>
            </w:r>
          </w:p>
        </w:tc>
        <w:tc>
          <w:tcPr>
            <w:tcW w:w="269" w:type="dxa"/>
            <w:tcBorders>
              <w:top w:val="nil"/>
              <w:left w:val="nil"/>
              <w:bottom w:val="nil"/>
              <w:right w:val="nil"/>
            </w:tcBorders>
            <w:shd w:val="clear" w:color="auto" w:fill="auto"/>
            <w:noWrap/>
            <w:vAlign w:val="bottom"/>
            <w:hideMark/>
          </w:tcPr>
          <w:p w14:paraId="2DE96D93"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6F1D6B41" w14:textId="77777777" w:rsidR="006630B8" w:rsidRPr="006630B8" w:rsidRDefault="006630B8" w:rsidP="006630B8">
            <w:pPr>
              <w:jc w:val="right"/>
              <w:rPr>
                <w:color w:val="000000"/>
                <w:sz w:val="20"/>
                <w:szCs w:val="20"/>
              </w:rPr>
            </w:pPr>
            <w:r w:rsidRPr="006630B8">
              <w:rPr>
                <w:color w:val="000000"/>
                <w:sz w:val="20"/>
                <w:szCs w:val="20"/>
              </w:rPr>
              <w:t>105</w:t>
            </w:r>
          </w:p>
        </w:tc>
        <w:tc>
          <w:tcPr>
            <w:tcW w:w="1006" w:type="dxa"/>
            <w:tcBorders>
              <w:top w:val="nil"/>
              <w:left w:val="nil"/>
              <w:bottom w:val="nil"/>
              <w:right w:val="nil"/>
            </w:tcBorders>
            <w:shd w:val="clear" w:color="auto" w:fill="auto"/>
            <w:noWrap/>
            <w:vAlign w:val="bottom"/>
            <w:hideMark/>
          </w:tcPr>
          <w:p w14:paraId="56A8880F" w14:textId="77777777" w:rsidR="006630B8" w:rsidRPr="006630B8" w:rsidRDefault="006630B8" w:rsidP="006630B8">
            <w:pPr>
              <w:jc w:val="right"/>
              <w:rPr>
                <w:color w:val="000000"/>
                <w:sz w:val="20"/>
                <w:szCs w:val="20"/>
              </w:rPr>
            </w:pPr>
            <w:r w:rsidRPr="006630B8">
              <w:rPr>
                <w:color w:val="000000"/>
                <w:sz w:val="20"/>
                <w:szCs w:val="20"/>
              </w:rPr>
              <w:t>129.2276</w:t>
            </w:r>
          </w:p>
        </w:tc>
      </w:tr>
      <w:tr w:rsidR="006630B8" w:rsidRPr="006630B8" w14:paraId="622F8AA2" w14:textId="77777777" w:rsidTr="006630B8">
        <w:trPr>
          <w:trHeight w:val="320"/>
        </w:trPr>
        <w:tc>
          <w:tcPr>
            <w:tcW w:w="4911" w:type="dxa"/>
            <w:tcBorders>
              <w:top w:val="nil"/>
              <w:left w:val="nil"/>
              <w:bottom w:val="nil"/>
              <w:right w:val="nil"/>
            </w:tcBorders>
            <w:shd w:val="clear" w:color="auto" w:fill="auto"/>
            <w:noWrap/>
            <w:vAlign w:val="bottom"/>
            <w:hideMark/>
          </w:tcPr>
          <w:p w14:paraId="1EC22600" w14:textId="77777777" w:rsidR="006630B8" w:rsidRPr="006630B8" w:rsidRDefault="006630B8" w:rsidP="006630B8">
            <w:pPr>
              <w:rPr>
                <w:color w:val="000000"/>
                <w:sz w:val="20"/>
                <w:szCs w:val="20"/>
              </w:rPr>
            </w:pPr>
            <w:r w:rsidRPr="006630B8">
              <w:rPr>
                <w:color w:val="000000"/>
                <w:sz w:val="20"/>
                <w:szCs w:val="20"/>
              </w:rPr>
              <w:t xml:space="preserve">Publishing, </w:t>
            </w:r>
            <w:proofErr w:type="spellStart"/>
            <w:r w:rsidRPr="006630B8">
              <w:rPr>
                <w:color w:val="000000"/>
                <w:sz w:val="20"/>
                <w:szCs w:val="20"/>
              </w:rPr>
              <w:t>printing</w:t>
            </w:r>
            <w:proofErr w:type="spellEnd"/>
          </w:p>
        </w:tc>
        <w:tc>
          <w:tcPr>
            <w:tcW w:w="670" w:type="dxa"/>
            <w:tcBorders>
              <w:top w:val="nil"/>
              <w:left w:val="nil"/>
              <w:bottom w:val="nil"/>
              <w:right w:val="nil"/>
            </w:tcBorders>
            <w:shd w:val="clear" w:color="auto" w:fill="auto"/>
            <w:noWrap/>
            <w:vAlign w:val="bottom"/>
            <w:hideMark/>
          </w:tcPr>
          <w:p w14:paraId="19389F4D"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2C440386" w14:textId="77777777" w:rsidR="006630B8" w:rsidRPr="006630B8" w:rsidRDefault="006630B8" w:rsidP="006630B8">
            <w:pPr>
              <w:jc w:val="right"/>
              <w:rPr>
                <w:color w:val="000000"/>
                <w:sz w:val="20"/>
                <w:szCs w:val="20"/>
              </w:rPr>
            </w:pPr>
            <w:r w:rsidRPr="006630B8">
              <w:rPr>
                <w:color w:val="000000"/>
                <w:sz w:val="20"/>
                <w:szCs w:val="20"/>
              </w:rPr>
              <w:t>8011</w:t>
            </w:r>
          </w:p>
        </w:tc>
        <w:tc>
          <w:tcPr>
            <w:tcW w:w="1276" w:type="dxa"/>
            <w:tcBorders>
              <w:top w:val="nil"/>
              <w:left w:val="nil"/>
              <w:bottom w:val="nil"/>
              <w:right w:val="nil"/>
            </w:tcBorders>
            <w:shd w:val="clear" w:color="auto" w:fill="auto"/>
            <w:noWrap/>
            <w:vAlign w:val="bottom"/>
            <w:hideMark/>
          </w:tcPr>
          <w:p w14:paraId="4847E826" w14:textId="77777777" w:rsidR="006630B8" w:rsidRPr="006630B8" w:rsidRDefault="006630B8" w:rsidP="006630B8">
            <w:pPr>
              <w:jc w:val="right"/>
              <w:rPr>
                <w:color w:val="000000"/>
                <w:sz w:val="20"/>
                <w:szCs w:val="20"/>
              </w:rPr>
            </w:pPr>
            <w:r w:rsidRPr="006630B8">
              <w:rPr>
                <w:color w:val="000000"/>
                <w:sz w:val="20"/>
                <w:szCs w:val="20"/>
              </w:rPr>
              <w:t>10460.99</w:t>
            </w:r>
          </w:p>
        </w:tc>
        <w:tc>
          <w:tcPr>
            <w:tcW w:w="269" w:type="dxa"/>
            <w:tcBorders>
              <w:top w:val="nil"/>
              <w:left w:val="nil"/>
              <w:bottom w:val="nil"/>
              <w:right w:val="nil"/>
            </w:tcBorders>
            <w:shd w:val="clear" w:color="auto" w:fill="auto"/>
            <w:noWrap/>
            <w:vAlign w:val="bottom"/>
            <w:hideMark/>
          </w:tcPr>
          <w:p w14:paraId="09A1C3B0"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1DDCEE29" w14:textId="77777777" w:rsidR="006630B8" w:rsidRPr="006630B8" w:rsidRDefault="006630B8" w:rsidP="006630B8">
            <w:pPr>
              <w:jc w:val="right"/>
              <w:rPr>
                <w:color w:val="000000"/>
                <w:sz w:val="20"/>
                <w:szCs w:val="20"/>
              </w:rPr>
            </w:pPr>
            <w:r w:rsidRPr="006630B8">
              <w:rPr>
                <w:color w:val="000000"/>
                <w:sz w:val="20"/>
                <w:szCs w:val="20"/>
              </w:rPr>
              <w:t>1129</w:t>
            </w:r>
          </w:p>
        </w:tc>
        <w:tc>
          <w:tcPr>
            <w:tcW w:w="1006" w:type="dxa"/>
            <w:tcBorders>
              <w:top w:val="nil"/>
              <w:left w:val="nil"/>
              <w:bottom w:val="nil"/>
              <w:right w:val="nil"/>
            </w:tcBorders>
            <w:shd w:val="clear" w:color="auto" w:fill="auto"/>
            <w:noWrap/>
            <w:vAlign w:val="bottom"/>
            <w:hideMark/>
          </w:tcPr>
          <w:p w14:paraId="3FA96FB7" w14:textId="77777777" w:rsidR="006630B8" w:rsidRPr="006630B8" w:rsidRDefault="006630B8" w:rsidP="006630B8">
            <w:pPr>
              <w:jc w:val="right"/>
              <w:rPr>
                <w:color w:val="000000"/>
                <w:sz w:val="20"/>
                <w:szCs w:val="20"/>
              </w:rPr>
            </w:pPr>
            <w:r w:rsidRPr="006630B8">
              <w:rPr>
                <w:color w:val="000000"/>
                <w:sz w:val="20"/>
                <w:szCs w:val="20"/>
              </w:rPr>
              <w:t>1680.325</w:t>
            </w:r>
          </w:p>
        </w:tc>
      </w:tr>
      <w:tr w:rsidR="006630B8" w:rsidRPr="006630B8" w14:paraId="6BB9709E" w14:textId="77777777" w:rsidTr="006630B8">
        <w:trPr>
          <w:trHeight w:val="320"/>
        </w:trPr>
        <w:tc>
          <w:tcPr>
            <w:tcW w:w="4911" w:type="dxa"/>
            <w:tcBorders>
              <w:top w:val="nil"/>
              <w:left w:val="nil"/>
              <w:bottom w:val="nil"/>
              <w:right w:val="nil"/>
            </w:tcBorders>
            <w:shd w:val="clear" w:color="auto" w:fill="auto"/>
            <w:noWrap/>
            <w:vAlign w:val="bottom"/>
            <w:hideMark/>
          </w:tcPr>
          <w:p w14:paraId="54E649CF" w14:textId="77777777" w:rsidR="006630B8" w:rsidRPr="006630B8" w:rsidRDefault="006630B8" w:rsidP="006630B8">
            <w:pPr>
              <w:rPr>
                <w:color w:val="000000"/>
                <w:sz w:val="20"/>
                <w:szCs w:val="20"/>
              </w:rPr>
            </w:pPr>
            <w:proofErr w:type="spellStart"/>
            <w:r w:rsidRPr="006630B8">
              <w:rPr>
                <w:color w:val="000000"/>
                <w:sz w:val="20"/>
                <w:szCs w:val="20"/>
              </w:rPr>
              <w:t>Chemicals</w:t>
            </w:r>
            <w:proofErr w:type="spellEnd"/>
          </w:p>
        </w:tc>
        <w:tc>
          <w:tcPr>
            <w:tcW w:w="670" w:type="dxa"/>
            <w:tcBorders>
              <w:top w:val="nil"/>
              <w:left w:val="nil"/>
              <w:bottom w:val="nil"/>
              <w:right w:val="nil"/>
            </w:tcBorders>
            <w:shd w:val="clear" w:color="auto" w:fill="auto"/>
            <w:noWrap/>
            <w:vAlign w:val="bottom"/>
            <w:hideMark/>
          </w:tcPr>
          <w:p w14:paraId="21AA65B0"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210BE276" w14:textId="77777777" w:rsidR="006630B8" w:rsidRPr="006630B8" w:rsidRDefault="006630B8" w:rsidP="006630B8">
            <w:pPr>
              <w:jc w:val="right"/>
              <w:rPr>
                <w:color w:val="000000"/>
                <w:sz w:val="20"/>
                <w:szCs w:val="20"/>
              </w:rPr>
            </w:pPr>
            <w:r w:rsidRPr="006630B8">
              <w:rPr>
                <w:color w:val="000000"/>
                <w:sz w:val="20"/>
                <w:szCs w:val="20"/>
              </w:rPr>
              <w:t>7859</w:t>
            </w:r>
          </w:p>
        </w:tc>
        <w:tc>
          <w:tcPr>
            <w:tcW w:w="1276" w:type="dxa"/>
            <w:tcBorders>
              <w:top w:val="nil"/>
              <w:left w:val="nil"/>
              <w:bottom w:val="nil"/>
              <w:right w:val="nil"/>
            </w:tcBorders>
            <w:shd w:val="clear" w:color="auto" w:fill="auto"/>
            <w:noWrap/>
            <w:vAlign w:val="bottom"/>
            <w:hideMark/>
          </w:tcPr>
          <w:p w14:paraId="5FFB9451" w14:textId="77777777" w:rsidR="006630B8" w:rsidRPr="006630B8" w:rsidRDefault="006630B8" w:rsidP="006630B8">
            <w:pPr>
              <w:jc w:val="right"/>
              <w:rPr>
                <w:color w:val="000000"/>
                <w:sz w:val="20"/>
                <w:szCs w:val="20"/>
              </w:rPr>
            </w:pPr>
            <w:r w:rsidRPr="006630B8">
              <w:rPr>
                <w:color w:val="000000"/>
                <w:sz w:val="20"/>
                <w:szCs w:val="20"/>
              </w:rPr>
              <w:t>10948.5</w:t>
            </w:r>
          </w:p>
        </w:tc>
        <w:tc>
          <w:tcPr>
            <w:tcW w:w="269" w:type="dxa"/>
            <w:tcBorders>
              <w:top w:val="nil"/>
              <w:left w:val="nil"/>
              <w:bottom w:val="nil"/>
              <w:right w:val="nil"/>
            </w:tcBorders>
            <w:shd w:val="clear" w:color="auto" w:fill="auto"/>
            <w:noWrap/>
            <w:vAlign w:val="bottom"/>
            <w:hideMark/>
          </w:tcPr>
          <w:p w14:paraId="5175E441"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32C282FB" w14:textId="77777777" w:rsidR="006630B8" w:rsidRPr="006630B8" w:rsidRDefault="006630B8" w:rsidP="006630B8">
            <w:pPr>
              <w:jc w:val="right"/>
              <w:rPr>
                <w:color w:val="000000"/>
                <w:sz w:val="20"/>
                <w:szCs w:val="20"/>
              </w:rPr>
            </w:pPr>
            <w:r w:rsidRPr="006630B8">
              <w:rPr>
                <w:color w:val="000000"/>
                <w:sz w:val="20"/>
                <w:szCs w:val="20"/>
              </w:rPr>
              <w:t>193</w:t>
            </w:r>
          </w:p>
        </w:tc>
        <w:tc>
          <w:tcPr>
            <w:tcW w:w="1006" w:type="dxa"/>
            <w:tcBorders>
              <w:top w:val="nil"/>
              <w:left w:val="nil"/>
              <w:bottom w:val="nil"/>
              <w:right w:val="nil"/>
            </w:tcBorders>
            <w:shd w:val="clear" w:color="auto" w:fill="auto"/>
            <w:noWrap/>
            <w:vAlign w:val="bottom"/>
            <w:hideMark/>
          </w:tcPr>
          <w:p w14:paraId="6B27AA34" w14:textId="77777777" w:rsidR="006630B8" w:rsidRPr="006630B8" w:rsidRDefault="006630B8" w:rsidP="006630B8">
            <w:pPr>
              <w:jc w:val="right"/>
              <w:rPr>
                <w:color w:val="000000"/>
                <w:sz w:val="20"/>
                <w:szCs w:val="20"/>
              </w:rPr>
            </w:pPr>
            <w:r w:rsidRPr="006630B8">
              <w:rPr>
                <w:color w:val="000000"/>
                <w:sz w:val="20"/>
                <w:szCs w:val="20"/>
              </w:rPr>
              <w:t>263.0213</w:t>
            </w:r>
          </w:p>
        </w:tc>
      </w:tr>
      <w:tr w:rsidR="006630B8" w:rsidRPr="006630B8" w14:paraId="5BA4A107" w14:textId="77777777" w:rsidTr="006630B8">
        <w:trPr>
          <w:trHeight w:val="320"/>
        </w:trPr>
        <w:tc>
          <w:tcPr>
            <w:tcW w:w="4911" w:type="dxa"/>
            <w:tcBorders>
              <w:top w:val="nil"/>
              <w:left w:val="nil"/>
              <w:bottom w:val="nil"/>
              <w:right w:val="nil"/>
            </w:tcBorders>
            <w:shd w:val="clear" w:color="auto" w:fill="auto"/>
            <w:noWrap/>
            <w:vAlign w:val="bottom"/>
            <w:hideMark/>
          </w:tcPr>
          <w:p w14:paraId="4422549C" w14:textId="77777777" w:rsidR="006630B8" w:rsidRPr="006630B8" w:rsidRDefault="006630B8" w:rsidP="006630B8">
            <w:pPr>
              <w:rPr>
                <w:color w:val="000000"/>
                <w:sz w:val="20"/>
                <w:szCs w:val="20"/>
              </w:rPr>
            </w:pPr>
            <w:proofErr w:type="spellStart"/>
            <w:r w:rsidRPr="006630B8">
              <w:rPr>
                <w:color w:val="000000"/>
                <w:sz w:val="20"/>
                <w:szCs w:val="20"/>
              </w:rPr>
              <w:t>Rubber</w:t>
            </w:r>
            <w:proofErr w:type="spellEnd"/>
            <w:r w:rsidRPr="006630B8">
              <w:rPr>
                <w:color w:val="000000"/>
                <w:sz w:val="20"/>
                <w:szCs w:val="20"/>
              </w:rPr>
              <w:t xml:space="preserve"> and </w:t>
            </w:r>
            <w:proofErr w:type="spellStart"/>
            <w:r w:rsidRPr="006630B8">
              <w:rPr>
                <w:color w:val="000000"/>
                <w:sz w:val="20"/>
                <w:szCs w:val="20"/>
              </w:rPr>
              <w:t>plastics</w:t>
            </w:r>
            <w:proofErr w:type="spellEnd"/>
          </w:p>
        </w:tc>
        <w:tc>
          <w:tcPr>
            <w:tcW w:w="670" w:type="dxa"/>
            <w:tcBorders>
              <w:top w:val="nil"/>
              <w:left w:val="nil"/>
              <w:bottom w:val="nil"/>
              <w:right w:val="nil"/>
            </w:tcBorders>
            <w:shd w:val="clear" w:color="auto" w:fill="auto"/>
            <w:noWrap/>
            <w:vAlign w:val="bottom"/>
            <w:hideMark/>
          </w:tcPr>
          <w:p w14:paraId="7414BE35"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5AD1F9C7" w14:textId="77777777" w:rsidR="006630B8" w:rsidRPr="006630B8" w:rsidRDefault="006630B8" w:rsidP="006630B8">
            <w:pPr>
              <w:jc w:val="right"/>
              <w:rPr>
                <w:color w:val="000000"/>
                <w:sz w:val="20"/>
                <w:szCs w:val="20"/>
              </w:rPr>
            </w:pPr>
            <w:r w:rsidRPr="006630B8">
              <w:rPr>
                <w:color w:val="000000"/>
                <w:sz w:val="20"/>
                <w:szCs w:val="20"/>
              </w:rPr>
              <w:t>8214</w:t>
            </w:r>
          </w:p>
        </w:tc>
        <w:tc>
          <w:tcPr>
            <w:tcW w:w="1276" w:type="dxa"/>
            <w:tcBorders>
              <w:top w:val="nil"/>
              <w:left w:val="nil"/>
              <w:bottom w:val="nil"/>
              <w:right w:val="nil"/>
            </w:tcBorders>
            <w:shd w:val="clear" w:color="auto" w:fill="auto"/>
            <w:noWrap/>
            <w:vAlign w:val="bottom"/>
            <w:hideMark/>
          </w:tcPr>
          <w:p w14:paraId="44683151" w14:textId="77777777" w:rsidR="006630B8" w:rsidRPr="006630B8" w:rsidRDefault="006630B8" w:rsidP="006630B8">
            <w:pPr>
              <w:jc w:val="right"/>
              <w:rPr>
                <w:color w:val="000000"/>
                <w:sz w:val="20"/>
                <w:szCs w:val="20"/>
              </w:rPr>
            </w:pPr>
            <w:r w:rsidRPr="006630B8">
              <w:rPr>
                <w:color w:val="000000"/>
                <w:sz w:val="20"/>
                <w:szCs w:val="20"/>
              </w:rPr>
              <w:t>7954.704</w:t>
            </w:r>
          </w:p>
        </w:tc>
        <w:tc>
          <w:tcPr>
            <w:tcW w:w="269" w:type="dxa"/>
            <w:tcBorders>
              <w:top w:val="nil"/>
              <w:left w:val="nil"/>
              <w:bottom w:val="nil"/>
              <w:right w:val="nil"/>
            </w:tcBorders>
            <w:shd w:val="clear" w:color="auto" w:fill="auto"/>
            <w:noWrap/>
            <w:vAlign w:val="bottom"/>
            <w:hideMark/>
          </w:tcPr>
          <w:p w14:paraId="6C38CB16"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59D402F3" w14:textId="77777777" w:rsidR="006630B8" w:rsidRPr="006630B8" w:rsidRDefault="006630B8" w:rsidP="006630B8">
            <w:pPr>
              <w:jc w:val="right"/>
              <w:rPr>
                <w:color w:val="000000"/>
                <w:sz w:val="20"/>
                <w:szCs w:val="20"/>
              </w:rPr>
            </w:pPr>
            <w:r w:rsidRPr="006630B8">
              <w:rPr>
                <w:color w:val="000000"/>
                <w:sz w:val="20"/>
                <w:szCs w:val="20"/>
              </w:rPr>
              <w:t>368</w:t>
            </w:r>
          </w:p>
        </w:tc>
        <w:tc>
          <w:tcPr>
            <w:tcW w:w="1006" w:type="dxa"/>
            <w:tcBorders>
              <w:top w:val="nil"/>
              <w:left w:val="nil"/>
              <w:bottom w:val="nil"/>
              <w:right w:val="nil"/>
            </w:tcBorders>
            <w:shd w:val="clear" w:color="auto" w:fill="auto"/>
            <w:noWrap/>
            <w:vAlign w:val="bottom"/>
            <w:hideMark/>
          </w:tcPr>
          <w:p w14:paraId="35821D23" w14:textId="77777777" w:rsidR="006630B8" w:rsidRPr="006630B8" w:rsidRDefault="006630B8" w:rsidP="006630B8">
            <w:pPr>
              <w:jc w:val="right"/>
              <w:rPr>
                <w:color w:val="000000"/>
                <w:sz w:val="20"/>
                <w:szCs w:val="20"/>
              </w:rPr>
            </w:pPr>
            <w:r w:rsidRPr="006630B8">
              <w:rPr>
                <w:color w:val="000000"/>
                <w:sz w:val="20"/>
                <w:szCs w:val="20"/>
              </w:rPr>
              <w:t>511.913</w:t>
            </w:r>
          </w:p>
        </w:tc>
      </w:tr>
      <w:tr w:rsidR="006630B8" w:rsidRPr="006630B8" w14:paraId="2ABDA5E3" w14:textId="77777777" w:rsidTr="006630B8">
        <w:trPr>
          <w:trHeight w:val="320"/>
        </w:trPr>
        <w:tc>
          <w:tcPr>
            <w:tcW w:w="4911" w:type="dxa"/>
            <w:tcBorders>
              <w:top w:val="nil"/>
              <w:left w:val="nil"/>
              <w:bottom w:val="nil"/>
              <w:right w:val="nil"/>
            </w:tcBorders>
            <w:shd w:val="clear" w:color="auto" w:fill="auto"/>
            <w:noWrap/>
            <w:vAlign w:val="bottom"/>
            <w:hideMark/>
          </w:tcPr>
          <w:p w14:paraId="55C27729" w14:textId="77777777" w:rsidR="006630B8" w:rsidRPr="008A4429" w:rsidRDefault="006630B8" w:rsidP="006630B8">
            <w:pPr>
              <w:rPr>
                <w:color w:val="000000"/>
                <w:sz w:val="20"/>
                <w:szCs w:val="20"/>
                <w:lang w:val="en-US"/>
              </w:rPr>
            </w:pPr>
            <w:r w:rsidRPr="008A4429">
              <w:rPr>
                <w:color w:val="000000"/>
                <w:sz w:val="20"/>
                <w:szCs w:val="20"/>
                <w:lang w:val="en-US"/>
              </w:rPr>
              <w:t>Other non-metallic mineral products</w:t>
            </w:r>
          </w:p>
        </w:tc>
        <w:tc>
          <w:tcPr>
            <w:tcW w:w="670" w:type="dxa"/>
            <w:tcBorders>
              <w:top w:val="nil"/>
              <w:left w:val="nil"/>
              <w:bottom w:val="nil"/>
              <w:right w:val="nil"/>
            </w:tcBorders>
            <w:shd w:val="clear" w:color="auto" w:fill="auto"/>
            <w:noWrap/>
            <w:vAlign w:val="bottom"/>
            <w:hideMark/>
          </w:tcPr>
          <w:p w14:paraId="20625622"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778F21F3" w14:textId="77777777" w:rsidR="006630B8" w:rsidRPr="006630B8" w:rsidRDefault="006630B8" w:rsidP="006630B8">
            <w:pPr>
              <w:jc w:val="right"/>
              <w:rPr>
                <w:color w:val="000000"/>
                <w:sz w:val="20"/>
                <w:szCs w:val="20"/>
              </w:rPr>
            </w:pPr>
            <w:r w:rsidRPr="006630B8">
              <w:rPr>
                <w:color w:val="000000"/>
                <w:sz w:val="20"/>
                <w:szCs w:val="20"/>
              </w:rPr>
              <w:t>6928</w:t>
            </w:r>
          </w:p>
        </w:tc>
        <w:tc>
          <w:tcPr>
            <w:tcW w:w="1276" w:type="dxa"/>
            <w:tcBorders>
              <w:top w:val="nil"/>
              <w:left w:val="nil"/>
              <w:bottom w:val="nil"/>
              <w:right w:val="nil"/>
            </w:tcBorders>
            <w:shd w:val="clear" w:color="auto" w:fill="auto"/>
            <w:noWrap/>
            <w:vAlign w:val="bottom"/>
            <w:hideMark/>
          </w:tcPr>
          <w:p w14:paraId="4916720B" w14:textId="77777777" w:rsidR="006630B8" w:rsidRPr="006630B8" w:rsidRDefault="006630B8" w:rsidP="006630B8">
            <w:pPr>
              <w:jc w:val="right"/>
              <w:rPr>
                <w:color w:val="000000"/>
                <w:sz w:val="20"/>
                <w:szCs w:val="20"/>
              </w:rPr>
            </w:pPr>
            <w:r w:rsidRPr="006630B8">
              <w:rPr>
                <w:color w:val="000000"/>
                <w:sz w:val="20"/>
                <w:szCs w:val="20"/>
              </w:rPr>
              <w:t>6723.805</w:t>
            </w:r>
          </w:p>
        </w:tc>
        <w:tc>
          <w:tcPr>
            <w:tcW w:w="269" w:type="dxa"/>
            <w:tcBorders>
              <w:top w:val="nil"/>
              <w:left w:val="nil"/>
              <w:bottom w:val="nil"/>
              <w:right w:val="nil"/>
            </w:tcBorders>
            <w:shd w:val="clear" w:color="auto" w:fill="auto"/>
            <w:noWrap/>
            <w:vAlign w:val="bottom"/>
            <w:hideMark/>
          </w:tcPr>
          <w:p w14:paraId="7D21F91E"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1B5EEE09" w14:textId="77777777" w:rsidR="006630B8" w:rsidRPr="006630B8" w:rsidRDefault="006630B8" w:rsidP="006630B8">
            <w:pPr>
              <w:jc w:val="right"/>
              <w:rPr>
                <w:color w:val="000000"/>
                <w:sz w:val="20"/>
                <w:szCs w:val="20"/>
              </w:rPr>
            </w:pPr>
            <w:r w:rsidRPr="006630B8">
              <w:rPr>
                <w:color w:val="000000"/>
                <w:sz w:val="20"/>
                <w:szCs w:val="20"/>
              </w:rPr>
              <w:t>568</w:t>
            </w:r>
          </w:p>
        </w:tc>
        <w:tc>
          <w:tcPr>
            <w:tcW w:w="1006" w:type="dxa"/>
            <w:tcBorders>
              <w:top w:val="nil"/>
              <w:left w:val="nil"/>
              <w:bottom w:val="nil"/>
              <w:right w:val="nil"/>
            </w:tcBorders>
            <w:shd w:val="clear" w:color="auto" w:fill="auto"/>
            <w:noWrap/>
            <w:vAlign w:val="bottom"/>
            <w:hideMark/>
          </w:tcPr>
          <w:p w14:paraId="23DE85BF" w14:textId="77777777" w:rsidR="006630B8" w:rsidRPr="006630B8" w:rsidRDefault="006630B8" w:rsidP="006630B8">
            <w:pPr>
              <w:jc w:val="right"/>
              <w:rPr>
                <w:color w:val="000000"/>
                <w:sz w:val="20"/>
                <w:szCs w:val="20"/>
              </w:rPr>
            </w:pPr>
            <w:r w:rsidRPr="006630B8">
              <w:rPr>
                <w:color w:val="000000"/>
                <w:sz w:val="20"/>
                <w:szCs w:val="20"/>
              </w:rPr>
              <w:t>641.9258</w:t>
            </w:r>
          </w:p>
        </w:tc>
      </w:tr>
      <w:tr w:rsidR="006630B8" w:rsidRPr="006630B8" w14:paraId="1E3286F5" w14:textId="77777777" w:rsidTr="006630B8">
        <w:trPr>
          <w:trHeight w:val="320"/>
        </w:trPr>
        <w:tc>
          <w:tcPr>
            <w:tcW w:w="4911" w:type="dxa"/>
            <w:tcBorders>
              <w:top w:val="nil"/>
              <w:left w:val="nil"/>
              <w:bottom w:val="nil"/>
              <w:right w:val="nil"/>
            </w:tcBorders>
            <w:shd w:val="clear" w:color="auto" w:fill="auto"/>
            <w:noWrap/>
            <w:vAlign w:val="bottom"/>
            <w:hideMark/>
          </w:tcPr>
          <w:p w14:paraId="4891C377" w14:textId="77777777" w:rsidR="006630B8" w:rsidRPr="006630B8" w:rsidRDefault="006630B8" w:rsidP="006630B8">
            <w:pPr>
              <w:rPr>
                <w:color w:val="000000"/>
                <w:sz w:val="20"/>
                <w:szCs w:val="20"/>
              </w:rPr>
            </w:pPr>
            <w:r w:rsidRPr="006630B8">
              <w:rPr>
                <w:color w:val="000000"/>
                <w:sz w:val="20"/>
                <w:szCs w:val="20"/>
              </w:rPr>
              <w:t xml:space="preserve">Basic </w:t>
            </w:r>
            <w:proofErr w:type="spellStart"/>
            <w:r w:rsidRPr="006630B8">
              <w:rPr>
                <w:color w:val="000000"/>
                <w:sz w:val="20"/>
                <w:szCs w:val="20"/>
              </w:rPr>
              <w:t>metals</w:t>
            </w:r>
            <w:proofErr w:type="spellEnd"/>
          </w:p>
        </w:tc>
        <w:tc>
          <w:tcPr>
            <w:tcW w:w="670" w:type="dxa"/>
            <w:tcBorders>
              <w:top w:val="nil"/>
              <w:left w:val="nil"/>
              <w:bottom w:val="nil"/>
              <w:right w:val="nil"/>
            </w:tcBorders>
            <w:shd w:val="clear" w:color="auto" w:fill="auto"/>
            <w:noWrap/>
            <w:vAlign w:val="bottom"/>
            <w:hideMark/>
          </w:tcPr>
          <w:p w14:paraId="1B048972"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18198C65" w14:textId="77777777" w:rsidR="006630B8" w:rsidRPr="006630B8" w:rsidRDefault="006630B8" w:rsidP="006630B8">
            <w:pPr>
              <w:jc w:val="right"/>
              <w:rPr>
                <w:color w:val="000000"/>
                <w:sz w:val="20"/>
                <w:szCs w:val="20"/>
              </w:rPr>
            </w:pPr>
            <w:r w:rsidRPr="006630B8">
              <w:rPr>
                <w:color w:val="000000"/>
                <w:sz w:val="20"/>
                <w:szCs w:val="20"/>
              </w:rPr>
              <w:t>5442</w:t>
            </w:r>
          </w:p>
        </w:tc>
        <w:tc>
          <w:tcPr>
            <w:tcW w:w="1276" w:type="dxa"/>
            <w:tcBorders>
              <w:top w:val="nil"/>
              <w:left w:val="nil"/>
              <w:bottom w:val="nil"/>
              <w:right w:val="nil"/>
            </w:tcBorders>
            <w:shd w:val="clear" w:color="auto" w:fill="auto"/>
            <w:noWrap/>
            <w:vAlign w:val="bottom"/>
            <w:hideMark/>
          </w:tcPr>
          <w:p w14:paraId="272BB817" w14:textId="77777777" w:rsidR="006630B8" w:rsidRPr="006630B8" w:rsidRDefault="006630B8" w:rsidP="006630B8">
            <w:pPr>
              <w:jc w:val="right"/>
              <w:rPr>
                <w:color w:val="000000"/>
                <w:sz w:val="20"/>
                <w:szCs w:val="20"/>
              </w:rPr>
            </w:pPr>
            <w:r w:rsidRPr="006630B8">
              <w:rPr>
                <w:color w:val="000000"/>
                <w:sz w:val="20"/>
                <w:szCs w:val="20"/>
              </w:rPr>
              <w:t>8095.078</w:t>
            </w:r>
          </w:p>
        </w:tc>
        <w:tc>
          <w:tcPr>
            <w:tcW w:w="269" w:type="dxa"/>
            <w:tcBorders>
              <w:top w:val="nil"/>
              <w:left w:val="nil"/>
              <w:bottom w:val="nil"/>
              <w:right w:val="nil"/>
            </w:tcBorders>
            <w:shd w:val="clear" w:color="auto" w:fill="auto"/>
            <w:noWrap/>
            <w:vAlign w:val="bottom"/>
            <w:hideMark/>
          </w:tcPr>
          <w:p w14:paraId="53420313"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267CDD00" w14:textId="77777777" w:rsidR="006630B8" w:rsidRPr="006630B8" w:rsidRDefault="006630B8" w:rsidP="006630B8">
            <w:pPr>
              <w:jc w:val="right"/>
              <w:rPr>
                <w:color w:val="000000"/>
                <w:sz w:val="20"/>
                <w:szCs w:val="20"/>
              </w:rPr>
            </w:pPr>
            <w:r w:rsidRPr="006630B8">
              <w:rPr>
                <w:color w:val="000000"/>
                <w:sz w:val="20"/>
                <w:szCs w:val="20"/>
              </w:rPr>
              <w:t>86</w:t>
            </w:r>
          </w:p>
        </w:tc>
        <w:tc>
          <w:tcPr>
            <w:tcW w:w="1006" w:type="dxa"/>
            <w:tcBorders>
              <w:top w:val="nil"/>
              <w:left w:val="nil"/>
              <w:bottom w:val="nil"/>
              <w:right w:val="nil"/>
            </w:tcBorders>
            <w:shd w:val="clear" w:color="auto" w:fill="auto"/>
            <w:noWrap/>
            <w:vAlign w:val="bottom"/>
            <w:hideMark/>
          </w:tcPr>
          <w:p w14:paraId="1F370E76" w14:textId="77777777" w:rsidR="006630B8" w:rsidRPr="006630B8" w:rsidRDefault="006630B8" w:rsidP="006630B8">
            <w:pPr>
              <w:jc w:val="right"/>
              <w:rPr>
                <w:color w:val="000000"/>
                <w:sz w:val="20"/>
                <w:szCs w:val="20"/>
              </w:rPr>
            </w:pPr>
            <w:r w:rsidRPr="006630B8">
              <w:rPr>
                <w:color w:val="000000"/>
                <w:sz w:val="20"/>
                <w:szCs w:val="20"/>
              </w:rPr>
              <w:t>141.6616</w:t>
            </w:r>
          </w:p>
        </w:tc>
      </w:tr>
      <w:tr w:rsidR="006630B8" w:rsidRPr="006630B8" w14:paraId="0EADBE59" w14:textId="77777777" w:rsidTr="006630B8">
        <w:trPr>
          <w:trHeight w:val="320"/>
        </w:trPr>
        <w:tc>
          <w:tcPr>
            <w:tcW w:w="4911" w:type="dxa"/>
            <w:tcBorders>
              <w:top w:val="nil"/>
              <w:left w:val="nil"/>
              <w:bottom w:val="nil"/>
              <w:right w:val="nil"/>
            </w:tcBorders>
            <w:shd w:val="clear" w:color="auto" w:fill="auto"/>
            <w:noWrap/>
            <w:vAlign w:val="bottom"/>
            <w:hideMark/>
          </w:tcPr>
          <w:p w14:paraId="1370206D" w14:textId="77777777" w:rsidR="006630B8" w:rsidRPr="006630B8" w:rsidRDefault="006630B8" w:rsidP="006630B8">
            <w:pPr>
              <w:rPr>
                <w:color w:val="000000"/>
                <w:sz w:val="20"/>
                <w:szCs w:val="20"/>
              </w:rPr>
            </w:pPr>
            <w:proofErr w:type="spellStart"/>
            <w:r w:rsidRPr="006630B8">
              <w:rPr>
                <w:color w:val="000000"/>
                <w:sz w:val="20"/>
                <w:szCs w:val="20"/>
              </w:rPr>
              <w:t>Fabricated</w:t>
            </w:r>
            <w:proofErr w:type="spellEnd"/>
            <w:r w:rsidRPr="006630B8">
              <w:rPr>
                <w:color w:val="000000"/>
                <w:sz w:val="20"/>
                <w:szCs w:val="20"/>
              </w:rPr>
              <w:t xml:space="preserve"> metal </w:t>
            </w:r>
            <w:proofErr w:type="spellStart"/>
            <w:r w:rsidRPr="006630B8">
              <w:rPr>
                <w:color w:val="000000"/>
                <w:sz w:val="20"/>
                <w:szCs w:val="20"/>
              </w:rPr>
              <w:t>products</w:t>
            </w:r>
            <w:proofErr w:type="spellEnd"/>
          </w:p>
        </w:tc>
        <w:tc>
          <w:tcPr>
            <w:tcW w:w="670" w:type="dxa"/>
            <w:tcBorders>
              <w:top w:val="nil"/>
              <w:left w:val="nil"/>
              <w:bottom w:val="nil"/>
              <w:right w:val="nil"/>
            </w:tcBorders>
            <w:shd w:val="clear" w:color="auto" w:fill="auto"/>
            <w:noWrap/>
            <w:vAlign w:val="bottom"/>
            <w:hideMark/>
          </w:tcPr>
          <w:p w14:paraId="4F98AAA5"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2ED76CDC" w14:textId="77777777" w:rsidR="006630B8" w:rsidRPr="006630B8" w:rsidRDefault="006630B8" w:rsidP="006630B8">
            <w:pPr>
              <w:jc w:val="right"/>
              <w:rPr>
                <w:color w:val="000000"/>
                <w:sz w:val="20"/>
                <w:szCs w:val="20"/>
              </w:rPr>
            </w:pPr>
            <w:r w:rsidRPr="006630B8">
              <w:rPr>
                <w:color w:val="000000"/>
                <w:sz w:val="20"/>
                <w:szCs w:val="20"/>
              </w:rPr>
              <w:t>19403</w:t>
            </w:r>
          </w:p>
        </w:tc>
        <w:tc>
          <w:tcPr>
            <w:tcW w:w="1276" w:type="dxa"/>
            <w:tcBorders>
              <w:top w:val="nil"/>
              <w:left w:val="nil"/>
              <w:bottom w:val="nil"/>
              <w:right w:val="nil"/>
            </w:tcBorders>
            <w:shd w:val="clear" w:color="auto" w:fill="auto"/>
            <w:noWrap/>
            <w:vAlign w:val="bottom"/>
            <w:hideMark/>
          </w:tcPr>
          <w:p w14:paraId="19780380" w14:textId="77777777" w:rsidR="006630B8" w:rsidRPr="006630B8" w:rsidRDefault="006630B8" w:rsidP="006630B8">
            <w:pPr>
              <w:jc w:val="right"/>
              <w:rPr>
                <w:color w:val="000000"/>
                <w:sz w:val="20"/>
                <w:szCs w:val="20"/>
              </w:rPr>
            </w:pPr>
            <w:r w:rsidRPr="006630B8">
              <w:rPr>
                <w:color w:val="000000"/>
                <w:sz w:val="20"/>
                <w:szCs w:val="20"/>
              </w:rPr>
              <w:t>23201.59</w:t>
            </w:r>
          </w:p>
        </w:tc>
        <w:tc>
          <w:tcPr>
            <w:tcW w:w="269" w:type="dxa"/>
            <w:tcBorders>
              <w:top w:val="nil"/>
              <w:left w:val="nil"/>
              <w:bottom w:val="nil"/>
              <w:right w:val="nil"/>
            </w:tcBorders>
            <w:shd w:val="clear" w:color="auto" w:fill="auto"/>
            <w:noWrap/>
            <w:vAlign w:val="bottom"/>
            <w:hideMark/>
          </w:tcPr>
          <w:p w14:paraId="2C2AF53B"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070EA6F6" w14:textId="77777777" w:rsidR="006630B8" w:rsidRPr="006630B8" w:rsidRDefault="006630B8" w:rsidP="006630B8">
            <w:pPr>
              <w:jc w:val="right"/>
              <w:rPr>
                <w:color w:val="000000"/>
                <w:sz w:val="20"/>
                <w:szCs w:val="20"/>
              </w:rPr>
            </w:pPr>
            <w:r w:rsidRPr="006630B8">
              <w:rPr>
                <w:color w:val="000000"/>
                <w:sz w:val="20"/>
                <w:szCs w:val="20"/>
              </w:rPr>
              <w:t>2027</w:t>
            </w:r>
          </w:p>
        </w:tc>
        <w:tc>
          <w:tcPr>
            <w:tcW w:w="1006" w:type="dxa"/>
            <w:tcBorders>
              <w:top w:val="nil"/>
              <w:left w:val="nil"/>
              <w:bottom w:val="nil"/>
              <w:right w:val="nil"/>
            </w:tcBorders>
            <w:shd w:val="clear" w:color="auto" w:fill="auto"/>
            <w:noWrap/>
            <w:vAlign w:val="bottom"/>
            <w:hideMark/>
          </w:tcPr>
          <w:p w14:paraId="5827ECA1" w14:textId="77777777" w:rsidR="006630B8" w:rsidRPr="006630B8" w:rsidRDefault="006630B8" w:rsidP="006630B8">
            <w:pPr>
              <w:jc w:val="right"/>
              <w:rPr>
                <w:color w:val="000000"/>
                <w:sz w:val="20"/>
                <w:szCs w:val="20"/>
              </w:rPr>
            </w:pPr>
            <w:r w:rsidRPr="006630B8">
              <w:rPr>
                <w:color w:val="000000"/>
                <w:sz w:val="20"/>
                <w:szCs w:val="20"/>
              </w:rPr>
              <w:t>2976.906</w:t>
            </w:r>
          </w:p>
        </w:tc>
      </w:tr>
      <w:tr w:rsidR="006630B8" w:rsidRPr="006630B8" w14:paraId="7FC1FC06" w14:textId="77777777" w:rsidTr="006630B8">
        <w:trPr>
          <w:trHeight w:val="320"/>
        </w:trPr>
        <w:tc>
          <w:tcPr>
            <w:tcW w:w="4911" w:type="dxa"/>
            <w:tcBorders>
              <w:top w:val="nil"/>
              <w:left w:val="nil"/>
              <w:bottom w:val="nil"/>
              <w:right w:val="nil"/>
            </w:tcBorders>
            <w:shd w:val="clear" w:color="auto" w:fill="auto"/>
            <w:noWrap/>
            <w:vAlign w:val="bottom"/>
            <w:hideMark/>
          </w:tcPr>
          <w:p w14:paraId="3A6C185A" w14:textId="77777777" w:rsidR="006630B8" w:rsidRPr="006630B8" w:rsidRDefault="006630B8" w:rsidP="006630B8">
            <w:pPr>
              <w:rPr>
                <w:color w:val="000000"/>
                <w:sz w:val="20"/>
                <w:szCs w:val="20"/>
              </w:rPr>
            </w:pPr>
            <w:proofErr w:type="spellStart"/>
            <w:r w:rsidRPr="006630B8">
              <w:rPr>
                <w:color w:val="000000"/>
                <w:sz w:val="20"/>
                <w:szCs w:val="20"/>
              </w:rPr>
              <w:t>Machinery</w:t>
            </w:r>
            <w:proofErr w:type="spellEnd"/>
            <w:r w:rsidRPr="006630B8">
              <w:rPr>
                <w:color w:val="000000"/>
                <w:sz w:val="20"/>
                <w:szCs w:val="20"/>
              </w:rPr>
              <w:t xml:space="preserve"> and </w:t>
            </w:r>
            <w:proofErr w:type="spellStart"/>
            <w:r w:rsidRPr="006630B8">
              <w:rPr>
                <w:color w:val="000000"/>
                <w:sz w:val="20"/>
                <w:szCs w:val="20"/>
              </w:rPr>
              <w:t>equipment</w:t>
            </w:r>
            <w:proofErr w:type="spellEnd"/>
          </w:p>
        </w:tc>
        <w:tc>
          <w:tcPr>
            <w:tcW w:w="670" w:type="dxa"/>
            <w:tcBorders>
              <w:top w:val="nil"/>
              <w:left w:val="nil"/>
              <w:bottom w:val="nil"/>
              <w:right w:val="nil"/>
            </w:tcBorders>
            <w:shd w:val="clear" w:color="auto" w:fill="auto"/>
            <w:noWrap/>
            <w:vAlign w:val="bottom"/>
            <w:hideMark/>
          </w:tcPr>
          <w:p w14:paraId="5FEEFB20"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6E24F0EF" w14:textId="77777777" w:rsidR="006630B8" w:rsidRPr="006630B8" w:rsidRDefault="006630B8" w:rsidP="006630B8">
            <w:pPr>
              <w:jc w:val="right"/>
              <w:rPr>
                <w:color w:val="000000"/>
                <w:sz w:val="20"/>
                <w:szCs w:val="20"/>
              </w:rPr>
            </w:pPr>
            <w:r w:rsidRPr="006630B8">
              <w:rPr>
                <w:color w:val="000000"/>
                <w:sz w:val="20"/>
                <w:szCs w:val="20"/>
              </w:rPr>
              <w:t>17984</w:t>
            </w:r>
          </w:p>
        </w:tc>
        <w:tc>
          <w:tcPr>
            <w:tcW w:w="1276" w:type="dxa"/>
            <w:tcBorders>
              <w:top w:val="nil"/>
              <w:left w:val="nil"/>
              <w:bottom w:val="nil"/>
              <w:right w:val="nil"/>
            </w:tcBorders>
            <w:shd w:val="clear" w:color="auto" w:fill="auto"/>
            <w:noWrap/>
            <w:vAlign w:val="bottom"/>
            <w:hideMark/>
          </w:tcPr>
          <w:p w14:paraId="1A3BF9C3" w14:textId="77777777" w:rsidR="006630B8" w:rsidRPr="006630B8" w:rsidRDefault="006630B8" w:rsidP="006630B8">
            <w:pPr>
              <w:jc w:val="right"/>
              <w:rPr>
                <w:color w:val="000000"/>
                <w:sz w:val="20"/>
                <w:szCs w:val="20"/>
              </w:rPr>
            </w:pPr>
            <w:r w:rsidRPr="006630B8">
              <w:rPr>
                <w:color w:val="000000"/>
                <w:sz w:val="20"/>
                <w:szCs w:val="20"/>
              </w:rPr>
              <w:t>23947.45</w:t>
            </w:r>
          </w:p>
        </w:tc>
        <w:tc>
          <w:tcPr>
            <w:tcW w:w="269" w:type="dxa"/>
            <w:tcBorders>
              <w:top w:val="nil"/>
              <w:left w:val="nil"/>
              <w:bottom w:val="nil"/>
              <w:right w:val="nil"/>
            </w:tcBorders>
            <w:shd w:val="clear" w:color="auto" w:fill="auto"/>
            <w:noWrap/>
            <w:vAlign w:val="bottom"/>
            <w:hideMark/>
          </w:tcPr>
          <w:p w14:paraId="09E967EA"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5A4426B7" w14:textId="77777777" w:rsidR="006630B8" w:rsidRPr="006630B8" w:rsidRDefault="006630B8" w:rsidP="006630B8">
            <w:pPr>
              <w:jc w:val="right"/>
              <w:rPr>
                <w:color w:val="000000"/>
                <w:sz w:val="20"/>
                <w:szCs w:val="20"/>
              </w:rPr>
            </w:pPr>
            <w:r w:rsidRPr="006630B8">
              <w:rPr>
                <w:color w:val="000000"/>
                <w:sz w:val="20"/>
                <w:szCs w:val="20"/>
              </w:rPr>
              <w:t>909</w:t>
            </w:r>
          </w:p>
        </w:tc>
        <w:tc>
          <w:tcPr>
            <w:tcW w:w="1006" w:type="dxa"/>
            <w:tcBorders>
              <w:top w:val="nil"/>
              <w:left w:val="nil"/>
              <w:bottom w:val="nil"/>
              <w:right w:val="nil"/>
            </w:tcBorders>
            <w:shd w:val="clear" w:color="auto" w:fill="auto"/>
            <w:noWrap/>
            <w:vAlign w:val="bottom"/>
            <w:hideMark/>
          </w:tcPr>
          <w:p w14:paraId="038E28DB" w14:textId="77777777" w:rsidR="006630B8" w:rsidRPr="006630B8" w:rsidRDefault="006630B8" w:rsidP="006630B8">
            <w:pPr>
              <w:jc w:val="right"/>
              <w:rPr>
                <w:color w:val="000000"/>
                <w:sz w:val="20"/>
                <w:szCs w:val="20"/>
              </w:rPr>
            </w:pPr>
            <w:r w:rsidRPr="006630B8">
              <w:rPr>
                <w:color w:val="000000"/>
                <w:sz w:val="20"/>
                <w:szCs w:val="20"/>
              </w:rPr>
              <w:t>1380.023</w:t>
            </w:r>
          </w:p>
        </w:tc>
      </w:tr>
      <w:tr w:rsidR="006630B8" w:rsidRPr="006630B8" w14:paraId="01EA8B23" w14:textId="77777777" w:rsidTr="006630B8">
        <w:trPr>
          <w:trHeight w:val="320"/>
        </w:trPr>
        <w:tc>
          <w:tcPr>
            <w:tcW w:w="4911" w:type="dxa"/>
            <w:tcBorders>
              <w:top w:val="nil"/>
              <w:left w:val="nil"/>
              <w:bottom w:val="nil"/>
              <w:right w:val="nil"/>
            </w:tcBorders>
            <w:shd w:val="clear" w:color="auto" w:fill="auto"/>
            <w:noWrap/>
            <w:vAlign w:val="bottom"/>
            <w:hideMark/>
          </w:tcPr>
          <w:p w14:paraId="4FEE614C" w14:textId="77777777" w:rsidR="006630B8" w:rsidRPr="006630B8" w:rsidRDefault="006630B8" w:rsidP="006630B8">
            <w:pPr>
              <w:rPr>
                <w:color w:val="000000"/>
                <w:sz w:val="20"/>
                <w:szCs w:val="20"/>
              </w:rPr>
            </w:pPr>
            <w:r w:rsidRPr="006630B8">
              <w:rPr>
                <w:color w:val="000000"/>
                <w:sz w:val="20"/>
                <w:szCs w:val="20"/>
              </w:rPr>
              <w:t xml:space="preserve">Office </w:t>
            </w:r>
            <w:proofErr w:type="spellStart"/>
            <w:r w:rsidRPr="006630B8">
              <w:rPr>
                <w:color w:val="000000"/>
                <w:sz w:val="20"/>
                <w:szCs w:val="20"/>
              </w:rPr>
              <w:t>machinery</w:t>
            </w:r>
            <w:proofErr w:type="spellEnd"/>
            <w:r w:rsidRPr="006630B8">
              <w:rPr>
                <w:color w:val="000000"/>
                <w:sz w:val="20"/>
                <w:szCs w:val="20"/>
              </w:rPr>
              <w:t xml:space="preserve"> and </w:t>
            </w:r>
            <w:proofErr w:type="spellStart"/>
            <w:r w:rsidRPr="006630B8">
              <w:rPr>
                <w:color w:val="000000"/>
                <w:sz w:val="20"/>
                <w:szCs w:val="20"/>
              </w:rPr>
              <w:t>computers</w:t>
            </w:r>
            <w:proofErr w:type="spellEnd"/>
          </w:p>
        </w:tc>
        <w:tc>
          <w:tcPr>
            <w:tcW w:w="670" w:type="dxa"/>
            <w:tcBorders>
              <w:top w:val="nil"/>
              <w:left w:val="nil"/>
              <w:bottom w:val="nil"/>
              <w:right w:val="nil"/>
            </w:tcBorders>
            <w:shd w:val="clear" w:color="auto" w:fill="auto"/>
            <w:noWrap/>
            <w:vAlign w:val="bottom"/>
            <w:hideMark/>
          </w:tcPr>
          <w:p w14:paraId="071788D7"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2CE9469F" w14:textId="77777777" w:rsidR="006630B8" w:rsidRPr="006630B8" w:rsidRDefault="006630B8" w:rsidP="006630B8">
            <w:pPr>
              <w:jc w:val="right"/>
              <w:rPr>
                <w:color w:val="000000"/>
                <w:sz w:val="20"/>
                <w:szCs w:val="20"/>
              </w:rPr>
            </w:pPr>
            <w:r w:rsidRPr="006630B8">
              <w:rPr>
                <w:color w:val="000000"/>
                <w:sz w:val="20"/>
                <w:szCs w:val="20"/>
              </w:rPr>
              <w:t>738</w:t>
            </w:r>
          </w:p>
        </w:tc>
        <w:tc>
          <w:tcPr>
            <w:tcW w:w="1276" w:type="dxa"/>
            <w:tcBorders>
              <w:top w:val="nil"/>
              <w:left w:val="nil"/>
              <w:bottom w:val="nil"/>
              <w:right w:val="nil"/>
            </w:tcBorders>
            <w:shd w:val="clear" w:color="auto" w:fill="auto"/>
            <w:noWrap/>
            <w:vAlign w:val="bottom"/>
            <w:hideMark/>
          </w:tcPr>
          <w:p w14:paraId="0C47032D" w14:textId="77777777" w:rsidR="006630B8" w:rsidRPr="006630B8" w:rsidRDefault="006630B8" w:rsidP="006630B8">
            <w:pPr>
              <w:jc w:val="right"/>
              <w:rPr>
                <w:color w:val="000000"/>
                <w:sz w:val="20"/>
                <w:szCs w:val="20"/>
              </w:rPr>
            </w:pPr>
            <w:r w:rsidRPr="006630B8">
              <w:rPr>
                <w:color w:val="000000"/>
                <w:sz w:val="20"/>
                <w:szCs w:val="20"/>
              </w:rPr>
              <w:t>1002.606</w:t>
            </w:r>
          </w:p>
        </w:tc>
        <w:tc>
          <w:tcPr>
            <w:tcW w:w="269" w:type="dxa"/>
            <w:tcBorders>
              <w:top w:val="nil"/>
              <w:left w:val="nil"/>
              <w:bottom w:val="nil"/>
              <w:right w:val="nil"/>
            </w:tcBorders>
            <w:shd w:val="clear" w:color="auto" w:fill="auto"/>
            <w:noWrap/>
            <w:vAlign w:val="bottom"/>
            <w:hideMark/>
          </w:tcPr>
          <w:p w14:paraId="1B519EC8"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2545126F" w14:textId="77777777" w:rsidR="006630B8" w:rsidRPr="006630B8" w:rsidRDefault="006630B8" w:rsidP="006630B8">
            <w:pPr>
              <w:jc w:val="right"/>
              <w:rPr>
                <w:color w:val="000000"/>
                <w:sz w:val="20"/>
                <w:szCs w:val="20"/>
              </w:rPr>
            </w:pPr>
            <w:r w:rsidRPr="006630B8">
              <w:rPr>
                <w:color w:val="000000"/>
                <w:sz w:val="20"/>
                <w:szCs w:val="20"/>
              </w:rPr>
              <w:t>49</w:t>
            </w:r>
          </w:p>
        </w:tc>
        <w:tc>
          <w:tcPr>
            <w:tcW w:w="1006" w:type="dxa"/>
            <w:tcBorders>
              <w:top w:val="nil"/>
              <w:left w:val="nil"/>
              <w:bottom w:val="nil"/>
              <w:right w:val="nil"/>
            </w:tcBorders>
            <w:shd w:val="clear" w:color="auto" w:fill="auto"/>
            <w:noWrap/>
            <w:vAlign w:val="bottom"/>
            <w:hideMark/>
          </w:tcPr>
          <w:p w14:paraId="65E0F381" w14:textId="77777777" w:rsidR="006630B8" w:rsidRPr="006630B8" w:rsidRDefault="006630B8" w:rsidP="006630B8">
            <w:pPr>
              <w:jc w:val="right"/>
              <w:rPr>
                <w:color w:val="000000"/>
                <w:sz w:val="20"/>
                <w:szCs w:val="20"/>
              </w:rPr>
            </w:pPr>
            <w:r w:rsidRPr="006630B8">
              <w:rPr>
                <w:color w:val="000000"/>
                <w:sz w:val="20"/>
                <w:szCs w:val="20"/>
              </w:rPr>
              <w:t>63.2692</w:t>
            </w:r>
          </w:p>
        </w:tc>
      </w:tr>
      <w:tr w:rsidR="006630B8" w:rsidRPr="006630B8" w14:paraId="3E6E7874" w14:textId="77777777" w:rsidTr="006630B8">
        <w:trPr>
          <w:trHeight w:val="320"/>
        </w:trPr>
        <w:tc>
          <w:tcPr>
            <w:tcW w:w="4911" w:type="dxa"/>
            <w:tcBorders>
              <w:top w:val="nil"/>
              <w:left w:val="nil"/>
              <w:bottom w:val="nil"/>
              <w:right w:val="nil"/>
            </w:tcBorders>
            <w:shd w:val="clear" w:color="auto" w:fill="auto"/>
            <w:noWrap/>
            <w:vAlign w:val="bottom"/>
            <w:hideMark/>
          </w:tcPr>
          <w:p w14:paraId="1DE86714" w14:textId="77777777" w:rsidR="006630B8" w:rsidRPr="008A4429" w:rsidRDefault="006630B8" w:rsidP="006630B8">
            <w:pPr>
              <w:rPr>
                <w:color w:val="000000"/>
                <w:sz w:val="20"/>
                <w:szCs w:val="20"/>
                <w:lang w:val="en-US"/>
              </w:rPr>
            </w:pPr>
            <w:r w:rsidRPr="008A4429">
              <w:rPr>
                <w:color w:val="000000"/>
                <w:sz w:val="20"/>
                <w:szCs w:val="20"/>
                <w:lang w:val="en-US"/>
              </w:rPr>
              <w:t xml:space="preserve">Electrical machinery and apparatus </w:t>
            </w:r>
            <w:proofErr w:type="spellStart"/>
            <w:r w:rsidRPr="008A4429">
              <w:rPr>
                <w:color w:val="000000"/>
                <w:sz w:val="20"/>
                <w:szCs w:val="20"/>
                <w:lang w:val="en-US"/>
              </w:rPr>
              <w:t>n.e.c</w:t>
            </w:r>
            <w:proofErr w:type="spellEnd"/>
            <w:r w:rsidRPr="008A4429">
              <w:rPr>
                <w:color w:val="000000"/>
                <w:sz w:val="20"/>
                <w:szCs w:val="20"/>
                <w:lang w:val="en-US"/>
              </w:rPr>
              <w:t>.</w:t>
            </w:r>
          </w:p>
        </w:tc>
        <w:tc>
          <w:tcPr>
            <w:tcW w:w="670" w:type="dxa"/>
            <w:tcBorders>
              <w:top w:val="nil"/>
              <w:left w:val="nil"/>
              <w:bottom w:val="nil"/>
              <w:right w:val="nil"/>
            </w:tcBorders>
            <w:shd w:val="clear" w:color="auto" w:fill="auto"/>
            <w:noWrap/>
            <w:vAlign w:val="bottom"/>
            <w:hideMark/>
          </w:tcPr>
          <w:p w14:paraId="77C727EE"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2E53D91D" w14:textId="77777777" w:rsidR="006630B8" w:rsidRPr="006630B8" w:rsidRDefault="006630B8" w:rsidP="006630B8">
            <w:pPr>
              <w:jc w:val="right"/>
              <w:rPr>
                <w:color w:val="000000"/>
                <w:sz w:val="20"/>
                <w:szCs w:val="20"/>
              </w:rPr>
            </w:pPr>
            <w:r w:rsidRPr="006630B8">
              <w:rPr>
                <w:color w:val="000000"/>
                <w:sz w:val="20"/>
                <w:szCs w:val="20"/>
              </w:rPr>
              <w:t>7969</w:t>
            </w:r>
          </w:p>
        </w:tc>
        <w:tc>
          <w:tcPr>
            <w:tcW w:w="1276" w:type="dxa"/>
            <w:tcBorders>
              <w:top w:val="nil"/>
              <w:left w:val="nil"/>
              <w:bottom w:val="nil"/>
              <w:right w:val="nil"/>
            </w:tcBorders>
            <w:shd w:val="clear" w:color="auto" w:fill="auto"/>
            <w:noWrap/>
            <w:vAlign w:val="bottom"/>
            <w:hideMark/>
          </w:tcPr>
          <w:p w14:paraId="61BCE68E" w14:textId="77777777" w:rsidR="006630B8" w:rsidRPr="006630B8" w:rsidRDefault="006630B8" w:rsidP="006630B8">
            <w:pPr>
              <w:jc w:val="right"/>
              <w:rPr>
                <w:color w:val="000000"/>
                <w:sz w:val="20"/>
                <w:szCs w:val="20"/>
              </w:rPr>
            </w:pPr>
            <w:r w:rsidRPr="006630B8">
              <w:rPr>
                <w:color w:val="000000"/>
                <w:sz w:val="20"/>
                <w:szCs w:val="20"/>
              </w:rPr>
              <w:t>8445.964</w:t>
            </w:r>
          </w:p>
        </w:tc>
        <w:tc>
          <w:tcPr>
            <w:tcW w:w="269" w:type="dxa"/>
            <w:tcBorders>
              <w:top w:val="nil"/>
              <w:left w:val="nil"/>
              <w:bottom w:val="nil"/>
              <w:right w:val="nil"/>
            </w:tcBorders>
            <w:shd w:val="clear" w:color="auto" w:fill="auto"/>
            <w:noWrap/>
            <w:vAlign w:val="bottom"/>
            <w:hideMark/>
          </w:tcPr>
          <w:p w14:paraId="26E5B832"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55D80B23" w14:textId="77777777" w:rsidR="006630B8" w:rsidRPr="006630B8" w:rsidRDefault="006630B8" w:rsidP="006630B8">
            <w:pPr>
              <w:jc w:val="right"/>
              <w:rPr>
                <w:color w:val="000000"/>
                <w:sz w:val="20"/>
                <w:szCs w:val="20"/>
              </w:rPr>
            </w:pPr>
            <w:r w:rsidRPr="006630B8">
              <w:rPr>
                <w:color w:val="000000"/>
                <w:sz w:val="20"/>
                <w:szCs w:val="20"/>
              </w:rPr>
              <w:t>417</w:t>
            </w:r>
          </w:p>
        </w:tc>
        <w:tc>
          <w:tcPr>
            <w:tcW w:w="1006" w:type="dxa"/>
            <w:tcBorders>
              <w:top w:val="nil"/>
              <w:left w:val="nil"/>
              <w:bottom w:val="nil"/>
              <w:right w:val="nil"/>
            </w:tcBorders>
            <w:shd w:val="clear" w:color="auto" w:fill="auto"/>
            <w:noWrap/>
            <w:vAlign w:val="bottom"/>
            <w:hideMark/>
          </w:tcPr>
          <w:p w14:paraId="5C3027A9" w14:textId="77777777" w:rsidR="006630B8" w:rsidRPr="006630B8" w:rsidRDefault="006630B8" w:rsidP="006630B8">
            <w:pPr>
              <w:jc w:val="right"/>
              <w:rPr>
                <w:color w:val="000000"/>
                <w:sz w:val="20"/>
                <w:szCs w:val="20"/>
              </w:rPr>
            </w:pPr>
            <w:r w:rsidRPr="006630B8">
              <w:rPr>
                <w:color w:val="000000"/>
                <w:sz w:val="20"/>
                <w:szCs w:val="20"/>
              </w:rPr>
              <w:t>732.1853</w:t>
            </w:r>
          </w:p>
        </w:tc>
      </w:tr>
      <w:tr w:rsidR="006630B8" w:rsidRPr="006630B8" w14:paraId="28C8F63B" w14:textId="77777777" w:rsidTr="006630B8">
        <w:trPr>
          <w:trHeight w:val="320"/>
        </w:trPr>
        <w:tc>
          <w:tcPr>
            <w:tcW w:w="4911" w:type="dxa"/>
            <w:tcBorders>
              <w:top w:val="nil"/>
              <w:left w:val="nil"/>
              <w:bottom w:val="nil"/>
              <w:right w:val="nil"/>
            </w:tcBorders>
            <w:shd w:val="clear" w:color="auto" w:fill="auto"/>
            <w:noWrap/>
            <w:vAlign w:val="bottom"/>
            <w:hideMark/>
          </w:tcPr>
          <w:p w14:paraId="2F0FCFDC" w14:textId="77777777" w:rsidR="006630B8" w:rsidRPr="008A4429" w:rsidRDefault="006630B8" w:rsidP="006630B8">
            <w:pPr>
              <w:rPr>
                <w:color w:val="000000"/>
                <w:sz w:val="20"/>
                <w:szCs w:val="20"/>
                <w:lang w:val="en-US"/>
              </w:rPr>
            </w:pPr>
            <w:r w:rsidRPr="008A4429">
              <w:rPr>
                <w:color w:val="000000"/>
                <w:sz w:val="20"/>
                <w:szCs w:val="20"/>
                <w:lang w:val="en-US"/>
              </w:rPr>
              <w:t>Radio, television and communication equipment</w:t>
            </w:r>
          </w:p>
        </w:tc>
        <w:tc>
          <w:tcPr>
            <w:tcW w:w="670" w:type="dxa"/>
            <w:tcBorders>
              <w:top w:val="nil"/>
              <w:left w:val="nil"/>
              <w:bottom w:val="nil"/>
              <w:right w:val="nil"/>
            </w:tcBorders>
            <w:shd w:val="clear" w:color="auto" w:fill="auto"/>
            <w:noWrap/>
            <w:vAlign w:val="bottom"/>
            <w:hideMark/>
          </w:tcPr>
          <w:p w14:paraId="0CA5FCF9"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56E68BF6" w14:textId="77777777" w:rsidR="006630B8" w:rsidRPr="006630B8" w:rsidRDefault="006630B8" w:rsidP="006630B8">
            <w:pPr>
              <w:jc w:val="right"/>
              <w:rPr>
                <w:color w:val="000000"/>
                <w:sz w:val="20"/>
                <w:szCs w:val="20"/>
              </w:rPr>
            </w:pPr>
            <w:r w:rsidRPr="006630B8">
              <w:rPr>
                <w:color w:val="000000"/>
                <w:sz w:val="20"/>
                <w:szCs w:val="20"/>
              </w:rPr>
              <w:t>3660</w:t>
            </w:r>
          </w:p>
        </w:tc>
        <w:tc>
          <w:tcPr>
            <w:tcW w:w="1276" w:type="dxa"/>
            <w:tcBorders>
              <w:top w:val="nil"/>
              <w:left w:val="nil"/>
              <w:bottom w:val="nil"/>
              <w:right w:val="nil"/>
            </w:tcBorders>
            <w:shd w:val="clear" w:color="auto" w:fill="auto"/>
            <w:noWrap/>
            <w:vAlign w:val="bottom"/>
            <w:hideMark/>
          </w:tcPr>
          <w:p w14:paraId="65943C59" w14:textId="77777777" w:rsidR="006630B8" w:rsidRPr="006630B8" w:rsidRDefault="006630B8" w:rsidP="006630B8">
            <w:pPr>
              <w:jc w:val="right"/>
              <w:rPr>
                <w:color w:val="000000"/>
                <w:sz w:val="20"/>
                <w:szCs w:val="20"/>
              </w:rPr>
            </w:pPr>
            <w:r w:rsidRPr="006630B8">
              <w:rPr>
                <w:color w:val="000000"/>
                <w:sz w:val="20"/>
                <w:szCs w:val="20"/>
              </w:rPr>
              <w:t>5047.407</w:t>
            </w:r>
          </w:p>
        </w:tc>
        <w:tc>
          <w:tcPr>
            <w:tcW w:w="269" w:type="dxa"/>
            <w:tcBorders>
              <w:top w:val="nil"/>
              <w:left w:val="nil"/>
              <w:bottom w:val="nil"/>
              <w:right w:val="nil"/>
            </w:tcBorders>
            <w:shd w:val="clear" w:color="auto" w:fill="auto"/>
            <w:noWrap/>
            <w:vAlign w:val="bottom"/>
            <w:hideMark/>
          </w:tcPr>
          <w:p w14:paraId="02DC1653"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50512885" w14:textId="77777777" w:rsidR="006630B8" w:rsidRPr="006630B8" w:rsidRDefault="006630B8" w:rsidP="006630B8">
            <w:pPr>
              <w:jc w:val="right"/>
              <w:rPr>
                <w:color w:val="000000"/>
                <w:sz w:val="20"/>
                <w:szCs w:val="20"/>
              </w:rPr>
            </w:pPr>
            <w:r w:rsidRPr="006630B8">
              <w:rPr>
                <w:color w:val="000000"/>
                <w:sz w:val="20"/>
                <w:szCs w:val="20"/>
              </w:rPr>
              <w:t>175</w:t>
            </w:r>
          </w:p>
        </w:tc>
        <w:tc>
          <w:tcPr>
            <w:tcW w:w="1006" w:type="dxa"/>
            <w:tcBorders>
              <w:top w:val="nil"/>
              <w:left w:val="nil"/>
              <w:bottom w:val="nil"/>
              <w:right w:val="nil"/>
            </w:tcBorders>
            <w:shd w:val="clear" w:color="auto" w:fill="auto"/>
            <w:noWrap/>
            <w:vAlign w:val="bottom"/>
            <w:hideMark/>
          </w:tcPr>
          <w:p w14:paraId="548C6343" w14:textId="77777777" w:rsidR="006630B8" w:rsidRPr="006630B8" w:rsidRDefault="006630B8" w:rsidP="006630B8">
            <w:pPr>
              <w:jc w:val="right"/>
              <w:rPr>
                <w:color w:val="000000"/>
                <w:sz w:val="20"/>
                <w:szCs w:val="20"/>
              </w:rPr>
            </w:pPr>
            <w:r w:rsidRPr="006630B8">
              <w:rPr>
                <w:color w:val="000000"/>
                <w:sz w:val="20"/>
                <w:szCs w:val="20"/>
              </w:rPr>
              <w:t>271.4882</w:t>
            </w:r>
          </w:p>
        </w:tc>
      </w:tr>
      <w:tr w:rsidR="006630B8" w:rsidRPr="006630B8" w14:paraId="6BBA75CD" w14:textId="77777777" w:rsidTr="006630B8">
        <w:trPr>
          <w:trHeight w:val="320"/>
        </w:trPr>
        <w:tc>
          <w:tcPr>
            <w:tcW w:w="4911" w:type="dxa"/>
            <w:tcBorders>
              <w:top w:val="nil"/>
              <w:left w:val="nil"/>
              <w:bottom w:val="nil"/>
              <w:right w:val="nil"/>
            </w:tcBorders>
            <w:shd w:val="clear" w:color="auto" w:fill="auto"/>
            <w:noWrap/>
            <w:vAlign w:val="bottom"/>
            <w:hideMark/>
          </w:tcPr>
          <w:p w14:paraId="409AF6B2" w14:textId="77777777" w:rsidR="006630B8" w:rsidRPr="008A4429" w:rsidRDefault="006630B8" w:rsidP="006630B8">
            <w:pPr>
              <w:rPr>
                <w:color w:val="000000"/>
                <w:sz w:val="20"/>
                <w:szCs w:val="20"/>
                <w:lang w:val="en-US"/>
              </w:rPr>
            </w:pPr>
            <w:r w:rsidRPr="008A4429">
              <w:rPr>
                <w:color w:val="000000"/>
                <w:sz w:val="20"/>
                <w:szCs w:val="20"/>
                <w:lang w:val="en-US"/>
              </w:rPr>
              <w:t>Medical, precision and optical instruments, watches and clocks</w:t>
            </w:r>
          </w:p>
        </w:tc>
        <w:tc>
          <w:tcPr>
            <w:tcW w:w="670" w:type="dxa"/>
            <w:tcBorders>
              <w:top w:val="nil"/>
              <w:left w:val="nil"/>
              <w:bottom w:val="nil"/>
              <w:right w:val="nil"/>
            </w:tcBorders>
            <w:shd w:val="clear" w:color="auto" w:fill="auto"/>
            <w:noWrap/>
            <w:vAlign w:val="bottom"/>
            <w:hideMark/>
          </w:tcPr>
          <w:p w14:paraId="13F6EC86"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02DC8CB4" w14:textId="77777777" w:rsidR="006630B8" w:rsidRPr="006630B8" w:rsidRDefault="006630B8" w:rsidP="006630B8">
            <w:pPr>
              <w:jc w:val="right"/>
              <w:rPr>
                <w:color w:val="000000"/>
                <w:sz w:val="20"/>
                <w:szCs w:val="20"/>
              </w:rPr>
            </w:pPr>
            <w:r w:rsidRPr="006630B8">
              <w:rPr>
                <w:color w:val="000000"/>
                <w:sz w:val="20"/>
                <w:szCs w:val="20"/>
              </w:rPr>
              <w:t>4777</w:t>
            </w:r>
          </w:p>
        </w:tc>
        <w:tc>
          <w:tcPr>
            <w:tcW w:w="1276" w:type="dxa"/>
            <w:tcBorders>
              <w:top w:val="nil"/>
              <w:left w:val="nil"/>
              <w:bottom w:val="nil"/>
              <w:right w:val="nil"/>
            </w:tcBorders>
            <w:shd w:val="clear" w:color="auto" w:fill="auto"/>
            <w:noWrap/>
            <w:vAlign w:val="bottom"/>
            <w:hideMark/>
          </w:tcPr>
          <w:p w14:paraId="620E7575" w14:textId="77777777" w:rsidR="006630B8" w:rsidRPr="006630B8" w:rsidRDefault="006630B8" w:rsidP="006630B8">
            <w:pPr>
              <w:jc w:val="right"/>
              <w:rPr>
                <w:color w:val="000000"/>
                <w:sz w:val="20"/>
                <w:szCs w:val="20"/>
              </w:rPr>
            </w:pPr>
            <w:r w:rsidRPr="006630B8">
              <w:rPr>
                <w:color w:val="000000"/>
                <w:sz w:val="20"/>
                <w:szCs w:val="20"/>
              </w:rPr>
              <w:t>5911.84</w:t>
            </w:r>
          </w:p>
        </w:tc>
        <w:tc>
          <w:tcPr>
            <w:tcW w:w="269" w:type="dxa"/>
            <w:tcBorders>
              <w:top w:val="nil"/>
              <w:left w:val="nil"/>
              <w:bottom w:val="nil"/>
              <w:right w:val="nil"/>
            </w:tcBorders>
            <w:shd w:val="clear" w:color="auto" w:fill="auto"/>
            <w:noWrap/>
            <w:vAlign w:val="bottom"/>
            <w:hideMark/>
          </w:tcPr>
          <w:p w14:paraId="5FBCFFD1"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70AEDE7F" w14:textId="77777777" w:rsidR="006630B8" w:rsidRPr="006630B8" w:rsidRDefault="006630B8" w:rsidP="006630B8">
            <w:pPr>
              <w:jc w:val="right"/>
              <w:rPr>
                <w:color w:val="000000"/>
                <w:sz w:val="20"/>
                <w:szCs w:val="20"/>
              </w:rPr>
            </w:pPr>
            <w:r w:rsidRPr="006630B8">
              <w:rPr>
                <w:color w:val="000000"/>
                <w:sz w:val="20"/>
                <w:szCs w:val="20"/>
              </w:rPr>
              <w:t>476</w:t>
            </w:r>
          </w:p>
        </w:tc>
        <w:tc>
          <w:tcPr>
            <w:tcW w:w="1006" w:type="dxa"/>
            <w:tcBorders>
              <w:top w:val="nil"/>
              <w:left w:val="nil"/>
              <w:bottom w:val="nil"/>
              <w:right w:val="nil"/>
            </w:tcBorders>
            <w:shd w:val="clear" w:color="auto" w:fill="auto"/>
            <w:noWrap/>
            <w:vAlign w:val="bottom"/>
            <w:hideMark/>
          </w:tcPr>
          <w:p w14:paraId="7F9AABB7" w14:textId="77777777" w:rsidR="006630B8" w:rsidRPr="006630B8" w:rsidRDefault="006630B8" w:rsidP="006630B8">
            <w:pPr>
              <w:jc w:val="right"/>
              <w:rPr>
                <w:color w:val="000000"/>
                <w:sz w:val="20"/>
                <w:szCs w:val="20"/>
              </w:rPr>
            </w:pPr>
            <w:r w:rsidRPr="006630B8">
              <w:rPr>
                <w:color w:val="000000"/>
                <w:sz w:val="20"/>
                <w:szCs w:val="20"/>
              </w:rPr>
              <w:t>655.6935</w:t>
            </w:r>
          </w:p>
        </w:tc>
      </w:tr>
      <w:tr w:rsidR="006630B8" w:rsidRPr="006630B8" w14:paraId="2044AFDF" w14:textId="77777777" w:rsidTr="006630B8">
        <w:trPr>
          <w:trHeight w:val="320"/>
        </w:trPr>
        <w:tc>
          <w:tcPr>
            <w:tcW w:w="4911" w:type="dxa"/>
            <w:tcBorders>
              <w:top w:val="nil"/>
              <w:left w:val="nil"/>
              <w:bottom w:val="nil"/>
              <w:right w:val="nil"/>
            </w:tcBorders>
            <w:shd w:val="clear" w:color="auto" w:fill="auto"/>
            <w:noWrap/>
            <w:vAlign w:val="bottom"/>
            <w:hideMark/>
          </w:tcPr>
          <w:p w14:paraId="6B463015" w14:textId="77777777" w:rsidR="006630B8" w:rsidRPr="006630B8" w:rsidRDefault="006630B8" w:rsidP="006630B8">
            <w:pPr>
              <w:rPr>
                <w:color w:val="000000"/>
                <w:sz w:val="20"/>
                <w:szCs w:val="20"/>
              </w:rPr>
            </w:pPr>
            <w:r w:rsidRPr="006630B8">
              <w:rPr>
                <w:color w:val="000000"/>
                <w:sz w:val="20"/>
                <w:szCs w:val="20"/>
              </w:rPr>
              <w:t xml:space="preserve">Motor </w:t>
            </w:r>
            <w:proofErr w:type="spellStart"/>
            <w:r w:rsidRPr="006630B8">
              <w:rPr>
                <w:color w:val="000000"/>
                <w:sz w:val="20"/>
                <w:szCs w:val="20"/>
              </w:rPr>
              <w:t>vehicles</w:t>
            </w:r>
            <w:proofErr w:type="spellEnd"/>
          </w:p>
        </w:tc>
        <w:tc>
          <w:tcPr>
            <w:tcW w:w="670" w:type="dxa"/>
            <w:tcBorders>
              <w:top w:val="nil"/>
              <w:left w:val="nil"/>
              <w:bottom w:val="nil"/>
              <w:right w:val="nil"/>
            </w:tcBorders>
            <w:shd w:val="clear" w:color="auto" w:fill="auto"/>
            <w:noWrap/>
            <w:vAlign w:val="bottom"/>
            <w:hideMark/>
          </w:tcPr>
          <w:p w14:paraId="7EAF8425"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2E6D7CA6" w14:textId="77777777" w:rsidR="006630B8" w:rsidRPr="006630B8" w:rsidRDefault="006630B8" w:rsidP="006630B8">
            <w:pPr>
              <w:jc w:val="right"/>
              <w:rPr>
                <w:color w:val="000000"/>
                <w:sz w:val="20"/>
                <w:szCs w:val="20"/>
              </w:rPr>
            </w:pPr>
            <w:r w:rsidRPr="006630B8">
              <w:rPr>
                <w:color w:val="000000"/>
                <w:sz w:val="20"/>
                <w:szCs w:val="20"/>
              </w:rPr>
              <w:t>9365</w:t>
            </w:r>
          </w:p>
        </w:tc>
        <w:tc>
          <w:tcPr>
            <w:tcW w:w="1276" w:type="dxa"/>
            <w:tcBorders>
              <w:top w:val="nil"/>
              <w:left w:val="nil"/>
              <w:bottom w:val="nil"/>
              <w:right w:val="nil"/>
            </w:tcBorders>
            <w:shd w:val="clear" w:color="auto" w:fill="auto"/>
            <w:noWrap/>
            <w:vAlign w:val="bottom"/>
            <w:hideMark/>
          </w:tcPr>
          <w:p w14:paraId="3953B3DD" w14:textId="77777777" w:rsidR="006630B8" w:rsidRPr="006630B8" w:rsidRDefault="006630B8" w:rsidP="006630B8">
            <w:pPr>
              <w:jc w:val="right"/>
              <w:rPr>
                <w:color w:val="000000"/>
                <w:sz w:val="20"/>
                <w:szCs w:val="20"/>
              </w:rPr>
            </w:pPr>
            <w:r w:rsidRPr="006630B8">
              <w:rPr>
                <w:color w:val="000000"/>
                <w:sz w:val="20"/>
                <w:szCs w:val="20"/>
              </w:rPr>
              <w:t>16364.25</w:t>
            </w:r>
          </w:p>
        </w:tc>
        <w:tc>
          <w:tcPr>
            <w:tcW w:w="269" w:type="dxa"/>
            <w:tcBorders>
              <w:top w:val="nil"/>
              <w:left w:val="nil"/>
              <w:bottom w:val="nil"/>
              <w:right w:val="nil"/>
            </w:tcBorders>
            <w:shd w:val="clear" w:color="auto" w:fill="auto"/>
            <w:noWrap/>
            <w:vAlign w:val="bottom"/>
            <w:hideMark/>
          </w:tcPr>
          <w:p w14:paraId="5B27EAAB"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2562839B" w14:textId="77777777" w:rsidR="006630B8" w:rsidRPr="006630B8" w:rsidRDefault="006630B8" w:rsidP="006630B8">
            <w:pPr>
              <w:jc w:val="right"/>
              <w:rPr>
                <w:color w:val="000000"/>
                <w:sz w:val="20"/>
                <w:szCs w:val="20"/>
              </w:rPr>
            </w:pPr>
            <w:r w:rsidRPr="006630B8">
              <w:rPr>
                <w:color w:val="000000"/>
                <w:sz w:val="20"/>
                <w:szCs w:val="20"/>
              </w:rPr>
              <w:t>95</w:t>
            </w:r>
          </w:p>
        </w:tc>
        <w:tc>
          <w:tcPr>
            <w:tcW w:w="1006" w:type="dxa"/>
            <w:tcBorders>
              <w:top w:val="nil"/>
              <w:left w:val="nil"/>
              <w:bottom w:val="nil"/>
              <w:right w:val="nil"/>
            </w:tcBorders>
            <w:shd w:val="clear" w:color="auto" w:fill="auto"/>
            <w:noWrap/>
            <w:vAlign w:val="bottom"/>
            <w:hideMark/>
          </w:tcPr>
          <w:p w14:paraId="4F5F90D9" w14:textId="77777777" w:rsidR="006630B8" w:rsidRPr="006630B8" w:rsidRDefault="006630B8" w:rsidP="006630B8">
            <w:pPr>
              <w:jc w:val="right"/>
              <w:rPr>
                <w:color w:val="000000"/>
                <w:sz w:val="20"/>
                <w:szCs w:val="20"/>
              </w:rPr>
            </w:pPr>
            <w:r w:rsidRPr="006630B8">
              <w:rPr>
                <w:color w:val="000000"/>
                <w:sz w:val="20"/>
                <w:szCs w:val="20"/>
              </w:rPr>
              <w:t>86.5742</w:t>
            </w:r>
          </w:p>
        </w:tc>
      </w:tr>
      <w:tr w:rsidR="006630B8" w:rsidRPr="006630B8" w14:paraId="40381B5D" w14:textId="77777777" w:rsidTr="006630B8">
        <w:trPr>
          <w:trHeight w:val="320"/>
        </w:trPr>
        <w:tc>
          <w:tcPr>
            <w:tcW w:w="4911" w:type="dxa"/>
            <w:tcBorders>
              <w:top w:val="nil"/>
              <w:left w:val="nil"/>
              <w:bottom w:val="nil"/>
              <w:right w:val="nil"/>
            </w:tcBorders>
            <w:shd w:val="clear" w:color="auto" w:fill="auto"/>
            <w:noWrap/>
            <w:vAlign w:val="bottom"/>
            <w:hideMark/>
          </w:tcPr>
          <w:p w14:paraId="061BCC17" w14:textId="77777777" w:rsidR="006630B8" w:rsidRPr="006630B8" w:rsidRDefault="006630B8" w:rsidP="006630B8">
            <w:pPr>
              <w:rPr>
                <w:color w:val="000000"/>
                <w:sz w:val="20"/>
                <w:szCs w:val="20"/>
              </w:rPr>
            </w:pPr>
            <w:proofErr w:type="spellStart"/>
            <w:r w:rsidRPr="006630B8">
              <w:rPr>
                <w:color w:val="000000"/>
                <w:sz w:val="20"/>
                <w:szCs w:val="20"/>
              </w:rPr>
              <w:t>Other</w:t>
            </w:r>
            <w:proofErr w:type="spellEnd"/>
            <w:r w:rsidRPr="006630B8">
              <w:rPr>
                <w:color w:val="000000"/>
                <w:sz w:val="20"/>
                <w:szCs w:val="20"/>
              </w:rPr>
              <w:t xml:space="preserve"> </w:t>
            </w:r>
            <w:proofErr w:type="spellStart"/>
            <w:r w:rsidRPr="006630B8">
              <w:rPr>
                <w:color w:val="000000"/>
                <w:sz w:val="20"/>
                <w:szCs w:val="20"/>
              </w:rPr>
              <w:t>transport</w:t>
            </w:r>
            <w:proofErr w:type="spellEnd"/>
            <w:r w:rsidRPr="006630B8">
              <w:rPr>
                <w:color w:val="000000"/>
                <w:sz w:val="20"/>
                <w:szCs w:val="20"/>
              </w:rPr>
              <w:t xml:space="preserve"> </w:t>
            </w:r>
            <w:proofErr w:type="spellStart"/>
            <w:r w:rsidRPr="006630B8">
              <w:rPr>
                <w:color w:val="000000"/>
                <w:sz w:val="20"/>
                <w:szCs w:val="20"/>
              </w:rPr>
              <w:t>equipment</w:t>
            </w:r>
            <w:proofErr w:type="spellEnd"/>
          </w:p>
        </w:tc>
        <w:tc>
          <w:tcPr>
            <w:tcW w:w="670" w:type="dxa"/>
            <w:tcBorders>
              <w:top w:val="nil"/>
              <w:left w:val="nil"/>
              <w:bottom w:val="nil"/>
              <w:right w:val="nil"/>
            </w:tcBorders>
            <w:shd w:val="clear" w:color="auto" w:fill="auto"/>
            <w:noWrap/>
            <w:vAlign w:val="bottom"/>
            <w:hideMark/>
          </w:tcPr>
          <w:p w14:paraId="73714C2B"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5C840834" w14:textId="77777777" w:rsidR="006630B8" w:rsidRPr="006630B8" w:rsidRDefault="006630B8" w:rsidP="006630B8">
            <w:pPr>
              <w:jc w:val="right"/>
              <w:rPr>
                <w:color w:val="000000"/>
                <w:sz w:val="20"/>
                <w:szCs w:val="20"/>
              </w:rPr>
            </w:pPr>
            <w:r w:rsidRPr="006630B8">
              <w:rPr>
                <w:color w:val="000000"/>
                <w:sz w:val="20"/>
                <w:szCs w:val="20"/>
              </w:rPr>
              <w:t>4522</w:t>
            </w:r>
          </w:p>
        </w:tc>
        <w:tc>
          <w:tcPr>
            <w:tcW w:w="1276" w:type="dxa"/>
            <w:tcBorders>
              <w:top w:val="nil"/>
              <w:left w:val="nil"/>
              <w:bottom w:val="nil"/>
              <w:right w:val="nil"/>
            </w:tcBorders>
            <w:shd w:val="clear" w:color="auto" w:fill="auto"/>
            <w:noWrap/>
            <w:vAlign w:val="bottom"/>
            <w:hideMark/>
          </w:tcPr>
          <w:p w14:paraId="503B9306" w14:textId="77777777" w:rsidR="006630B8" w:rsidRPr="006630B8" w:rsidRDefault="006630B8" w:rsidP="006630B8">
            <w:pPr>
              <w:jc w:val="right"/>
              <w:rPr>
                <w:color w:val="000000"/>
                <w:sz w:val="20"/>
                <w:szCs w:val="20"/>
              </w:rPr>
            </w:pPr>
            <w:r w:rsidRPr="006630B8">
              <w:rPr>
                <w:color w:val="000000"/>
                <w:sz w:val="20"/>
                <w:szCs w:val="20"/>
              </w:rPr>
              <w:t>5089.113</w:t>
            </w:r>
          </w:p>
        </w:tc>
        <w:tc>
          <w:tcPr>
            <w:tcW w:w="269" w:type="dxa"/>
            <w:tcBorders>
              <w:top w:val="nil"/>
              <w:left w:val="nil"/>
              <w:bottom w:val="nil"/>
              <w:right w:val="nil"/>
            </w:tcBorders>
            <w:shd w:val="clear" w:color="auto" w:fill="auto"/>
            <w:noWrap/>
            <w:vAlign w:val="bottom"/>
            <w:hideMark/>
          </w:tcPr>
          <w:p w14:paraId="188428BF"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211BD984" w14:textId="77777777" w:rsidR="006630B8" w:rsidRPr="006630B8" w:rsidRDefault="006630B8" w:rsidP="006630B8">
            <w:pPr>
              <w:jc w:val="right"/>
              <w:rPr>
                <w:color w:val="000000"/>
                <w:sz w:val="20"/>
                <w:szCs w:val="20"/>
              </w:rPr>
            </w:pPr>
            <w:r w:rsidRPr="006630B8">
              <w:rPr>
                <w:color w:val="000000"/>
                <w:sz w:val="20"/>
                <w:szCs w:val="20"/>
              </w:rPr>
              <w:t>135</w:t>
            </w:r>
          </w:p>
        </w:tc>
        <w:tc>
          <w:tcPr>
            <w:tcW w:w="1006" w:type="dxa"/>
            <w:tcBorders>
              <w:top w:val="nil"/>
              <w:left w:val="nil"/>
              <w:bottom w:val="nil"/>
              <w:right w:val="nil"/>
            </w:tcBorders>
            <w:shd w:val="clear" w:color="auto" w:fill="auto"/>
            <w:noWrap/>
            <w:vAlign w:val="bottom"/>
            <w:hideMark/>
          </w:tcPr>
          <w:p w14:paraId="44746449" w14:textId="77777777" w:rsidR="006630B8" w:rsidRPr="006630B8" w:rsidRDefault="006630B8" w:rsidP="006630B8">
            <w:pPr>
              <w:jc w:val="right"/>
              <w:rPr>
                <w:color w:val="000000"/>
                <w:sz w:val="20"/>
                <w:szCs w:val="20"/>
              </w:rPr>
            </w:pPr>
            <w:r w:rsidRPr="006630B8">
              <w:rPr>
                <w:color w:val="000000"/>
                <w:sz w:val="20"/>
                <w:szCs w:val="20"/>
              </w:rPr>
              <w:t>191.5075</w:t>
            </w:r>
          </w:p>
        </w:tc>
      </w:tr>
      <w:tr w:rsidR="006630B8" w:rsidRPr="006630B8" w14:paraId="0E6B9460" w14:textId="77777777" w:rsidTr="006630B8">
        <w:trPr>
          <w:trHeight w:val="320"/>
        </w:trPr>
        <w:tc>
          <w:tcPr>
            <w:tcW w:w="4911" w:type="dxa"/>
            <w:tcBorders>
              <w:top w:val="nil"/>
              <w:left w:val="nil"/>
              <w:bottom w:val="nil"/>
              <w:right w:val="nil"/>
            </w:tcBorders>
            <w:shd w:val="clear" w:color="auto" w:fill="auto"/>
            <w:noWrap/>
            <w:vAlign w:val="bottom"/>
            <w:hideMark/>
          </w:tcPr>
          <w:p w14:paraId="437E8644" w14:textId="77777777" w:rsidR="006630B8" w:rsidRPr="008A4429" w:rsidRDefault="006630B8" w:rsidP="006630B8">
            <w:pPr>
              <w:rPr>
                <w:color w:val="000000"/>
                <w:sz w:val="20"/>
                <w:szCs w:val="20"/>
                <w:lang w:val="en-US"/>
              </w:rPr>
            </w:pPr>
            <w:r w:rsidRPr="008A4429">
              <w:rPr>
                <w:color w:val="000000"/>
                <w:sz w:val="20"/>
                <w:szCs w:val="20"/>
                <w:lang w:val="en-US"/>
              </w:rPr>
              <w:t xml:space="preserve">Furniture; manufacturing </w:t>
            </w:r>
            <w:proofErr w:type="spellStart"/>
            <w:r w:rsidRPr="008A4429">
              <w:rPr>
                <w:color w:val="000000"/>
                <w:sz w:val="20"/>
                <w:szCs w:val="20"/>
                <w:lang w:val="en-US"/>
              </w:rPr>
              <w:t>n.e.c</w:t>
            </w:r>
            <w:proofErr w:type="spellEnd"/>
            <w:r w:rsidRPr="008A4429">
              <w:rPr>
                <w:color w:val="000000"/>
                <w:sz w:val="20"/>
                <w:szCs w:val="20"/>
                <w:lang w:val="en-US"/>
              </w:rPr>
              <w:t>.</w:t>
            </w:r>
          </w:p>
        </w:tc>
        <w:tc>
          <w:tcPr>
            <w:tcW w:w="670" w:type="dxa"/>
            <w:tcBorders>
              <w:top w:val="nil"/>
              <w:left w:val="nil"/>
              <w:bottom w:val="nil"/>
              <w:right w:val="nil"/>
            </w:tcBorders>
            <w:shd w:val="clear" w:color="auto" w:fill="auto"/>
            <w:noWrap/>
            <w:vAlign w:val="bottom"/>
            <w:hideMark/>
          </w:tcPr>
          <w:p w14:paraId="67F1C37B"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nil"/>
              <w:right w:val="nil"/>
            </w:tcBorders>
            <w:shd w:val="clear" w:color="auto" w:fill="auto"/>
            <w:noWrap/>
            <w:vAlign w:val="bottom"/>
            <w:hideMark/>
          </w:tcPr>
          <w:p w14:paraId="40E52B49" w14:textId="77777777" w:rsidR="006630B8" w:rsidRPr="006630B8" w:rsidRDefault="006630B8" w:rsidP="006630B8">
            <w:pPr>
              <w:jc w:val="right"/>
              <w:rPr>
                <w:color w:val="000000"/>
                <w:sz w:val="20"/>
                <w:szCs w:val="20"/>
              </w:rPr>
            </w:pPr>
            <w:r w:rsidRPr="006630B8">
              <w:rPr>
                <w:color w:val="000000"/>
                <w:sz w:val="20"/>
                <w:szCs w:val="20"/>
              </w:rPr>
              <w:t>8322</w:t>
            </w:r>
          </w:p>
        </w:tc>
        <w:tc>
          <w:tcPr>
            <w:tcW w:w="1276" w:type="dxa"/>
            <w:tcBorders>
              <w:top w:val="nil"/>
              <w:left w:val="nil"/>
              <w:bottom w:val="nil"/>
              <w:right w:val="nil"/>
            </w:tcBorders>
            <w:shd w:val="clear" w:color="auto" w:fill="auto"/>
            <w:noWrap/>
            <w:vAlign w:val="bottom"/>
            <w:hideMark/>
          </w:tcPr>
          <w:p w14:paraId="32BA750C" w14:textId="77777777" w:rsidR="006630B8" w:rsidRPr="006630B8" w:rsidRDefault="006630B8" w:rsidP="006630B8">
            <w:pPr>
              <w:jc w:val="right"/>
              <w:rPr>
                <w:color w:val="000000"/>
                <w:sz w:val="20"/>
                <w:szCs w:val="20"/>
              </w:rPr>
            </w:pPr>
            <w:r w:rsidRPr="006630B8">
              <w:rPr>
                <w:color w:val="000000"/>
                <w:sz w:val="20"/>
                <w:szCs w:val="20"/>
              </w:rPr>
              <w:t>9151.03</w:t>
            </w:r>
          </w:p>
        </w:tc>
        <w:tc>
          <w:tcPr>
            <w:tcW w:w="269" w:type="dxa"/>
            <w:tcBorders>
              <w:top w:val="nil"/>
              <w:left w:val="nil"/>
              <w:bottom w:val="nil"/>
              <w:right w:val="nil"/>
            </w:tcBorders>
            <w:shd w:val="clear" w:color="auto" w:fill="auto"/>
            <w:noWrap/>
            <w:vAlign w:val="bottom"/>
            <w:hideMark/>
          </w:tcPr>
          <w:p w14:paraId="36292BEB" w14:textId="77777777" w:rsidR="006630B8" w:rsidRPr="006630B8" w:rsidRDefault="006630B8" w:rsidP="006630B8">
            <w:pPr>
              <w:jc w:val="right"/>
              <w:rPr>
                <w:color w:val="000000"/>
                <w:sz w:val="20"/>
                <w:szCs w:val="20"/>
              </w:rPr>
            </w:pPr>
          </w:p>
        </w:tc>
        <w:tc>
          <w:tcPr>
            <w:tcW w:w="639" w:type="dxa"/>
            <w:tcBorders>
              <w:top w:val="nil"/>
              <w:left w:val="nil"/>
              <w:bottom w:val="nil"/>
              <w:right w:val="nil"/>
            </w:tcBorders>
            <w:shd w:val="clear" w:color="auto" w:fill="auto"/>
            <w:noWrap/>
            <w:vAlign w:val="bottom"/>
            <w:hideMark/>
          </w:tcPr>
          <w:p w14:paraId="6486B90D" w14:textId="77777777" w:rsidR="006630B8" w:rsidRPr="006630B8" w:rsidRDefault="006630B8" w:rsidP="006630B8">
            <w:pPr>
              <w:jc w:val="right"/>
              <w:rPr>
                <w:color w:val="000000"/>
                <w:sz w:val="20"/>
                <w:szCs w:val="20"/>
              </w:rPr>
            </w:pPr>
            <w:r w:rsidRPr="006630B8">
              <w:rPr>
                <w:color w:val="000000"/>
                <w:sz w:val="20"/>
                <w:szCs w:val="20"/>
              </w:rPr>
              <w:t>1150</w:t>
            </w:r>
          </w:p>
        </w:tc>
        <w:tc>
          <w:tcPr>
            <w:tcW w:w="1006" w:type="dxa"/>
            <w:tcBorders>
              <w:top w:val="nil"/>
              <w:left w:val="nil"/>
              <w:bottom w:val="nil"/>
              <w:right w:val="nil"/>
            </w:tcBorders>
            <w:shd w:val="clear" w:color="auto" w:fill="auto"/>
            <w:noWrap/>
            <w:vAlign w:val="bottom"/>
            <w:hideMark/>
          </w:tcPr>
          <w:p w14:paraId="1F760A08" w14:textId="77777777" w:rsidR="006630B8" w:rsidRPr="006630B8" w:rsidRDefault="006630B8" w:rsidP="006630B8">
            <w:pPr>
              <w:jc w:val="right"/>
              <w:rPr>
                <w:color w:val="000000"/>
                <w:sz w:val="20"/>
                <w:szCs w:val="20"/>
              </w:rPr>
            </w:pPr>
            <w:r w:rsidRPr="006630B8">
              <w:rPr>
                <w:color w:val="000000"/>
                <w:sz w:val="20"/>
                <w:szCs w:val="20"/>
              </w:rPr>
              <w:t>1439.624</w:t>
            </w:r>
          </w:p>
        </w:tc>
      </w:tr>
      <w:tr w:rsidR="006630B8" w:rsidRPr="006630B8" w14:paraId="3CDFD9B6" w14:textId="77777777" w:rsidTr="006630B8">
        <w:trPr>
          <w:trHeight w:val="320"/>
        </w:trPr>
        <w:tc>
          <w:tcPr>
            <w:tcW w:w="4911" w:type="dxa"/>
            <w:tcBorders>
              <w:top w:val="nil"/>
              <w:left w:val="nil"/>
              <w:bottom w:val="single" w:sz="4" w:space="0" w:color="auto"/>
              <w:right w:val="nil"/>
            </w:tcBorders>
            <w:shd w:val="clear" w:color="auto" w:fill="auto"/>
            <w:noWrap/>
            <w:vAlign w:val="bottom"/>
            <w:hideMark/>
          </w:tcPr>
          <w:p w14:paraId="5027D495" w14:textId="77777777" w:rsidR="006630B8" w:rsidRPr="006630B8" w:rsidRDefault="006630B8" w:rsidP="006630B8">
            <w:pPr>
              <w:rPr>
                <w:color w:val="000000"/>
                <w:sz w:val="20"/>
                <w:szCs w:val="20"/>
              </w:rPr>
            </w:pPr>
            <w:proofErr w:type="spellStart"/>
            <w:r w:rsidRPr="006630B8">
              <w:rPr>
                <w:color w:val="000000"/>
                <w:sz w:val="20"/>
                <w:szCs w:val="20"/>
              </w:rPr>
              <w:t>Recycling</w:t>
            </w:r>
            <w:proofErr w:type="spellEnd"/>
          </w:p>
        </w:tc>
        <w:tc>
          <w:tcPr>
            <w:tcW w:w="670" w:type="dxa"/>
            <w:tcBorders>
              <w:top w:val="nil"/>
              <w:left w:val="nil"/>
              <w:bottom w:val="single" w:sz="4" w:space="0" w:color="auto"/>
              <w:right w:val="nil"/>
            </w:tcBorders>
            <w:shd w:val="clear" w:color="auto" w:fill="auto"/>
            <w:noWrap/>
            <w:vAlign w:val="bottom"/>
            <w:hideMark/>
          </w:tcPr>
          <w:p w14:paraId="23132A54" w14:textId="77777777" w:rsidR="006630B8" w:rsidRPr="006630B8" w:rsidRDefault="006630B8" w:rsidP="006630B8">
            <w:pPr>
              <w:jc w:val="center"/>
              <w:rPr>
                <w:color w:val="000000"/>
                <w:sz w:val="20"/>
                <w:szCs w:val="20"/>
              </w:rPr>
            </w:pPr>
            <w:r w:rsidRPr="006630B8">
              <w:rPr>
                <w:color w:val="000000"/>
                <w:sz w:val="20"/>
                <w:szCs w:val="20"/>
              </w:rPr>
              <w:t>133</w:t>
            </w:r>
          </w:p>
        </w:tc>
        <w:tc>
          <w:tcPr>
            <w:tcW w:w="867" w:type="dxa"/>
            <w:tcBorders>
              <w:top w:val="nil"/>
              <w:left w:val="nil"/>
              <w:bottom w:val="single" w:sz="4" w:space="0" w:color="auto"/>
              <w:right w:val="nil"/>
            </w:tcBorders>
            <w:shd w:val="clear" w:color="auto" w:fill="auto"/>
            <w:noWrap/>
            <w:vAlign w:val="bottom"/>
            <w:hideMark/>
          </w:tcPr>
          <w:p w14:paraId="314B95F5" w14:textId="77777777" w:rsidR="006630B8" w:rsidRPr="006630B8" w:rsidRDefault="006630B8" w:rsidP="006630B8">
            <w:pPr>
              <w:jc w:val="right"/>
              <w:rPr>
                <w:color w:val="000000"/>
                <w:sz w:val="20"/>
                <w:szCs w:val="20"/>
              </w:rPr>
            </w:pPr>
            <w:r w:rsidRPr="006630B8">
              <w:rPr>
                <w:color w:val="000000"/>
                <w:sz w:val="20"/>
                <w:szCs w:val="20"/>
              </w:rPr>
              <w:t>806</w:t>
            </w:r>
          </w:p>
        </w:tc>
        <w:tc>
          <w:tcPr>
            <w:tcW w:w="1276" w:type="dxa"/>
            <w:tcBorders>
              <w:top w:val="nil"/>
              <w:left w:val="nil"/>
              <w:bottom w:val="single" w:sz="4" w:space="0" w:color="auto"/>
              <w:right w:val="nil"/>
            </w:tcBorders>
            <w:shd w:val="clear" w:color="auto" w:fill="auto"/>
            <w:noWrap/>
            <w:vAlign w:val="bottom"/>
            <w:hideMark/>
          </w:tcPr>
          <w:p w14:paraId="3BC4AFBF" w14:textId="77777777" w:rsidR="006630B8" w:rsidRPr="006630B8" w:rsidRDefault="006630B8" w:rsidP="006630B8">
            <w:pPr>
              <w:jc w:val="right"/>
              <w:rPr>
                <w:color w:val="000000"/>
                <w:sz w:val="20"/>
                <w:szCs w:val="20"/>
              </w:rPr>
            </w:pPr>
            <w:r w:rsidRPr="006630B8">
              <w:rPr>
                <w:color w:val="000000"/>
                <w:sz w:val="20"/>
                <w:szCs w:val="20"/>
              </w:rPr>
              <w:t>718.2209</w:t>
            </w:r>
          </w:p>
        </w:tc>
        <w:tc>
          <w:tcPr>
            <w:tcW w:w="269" w:type="dxa"/>
            <w:tcBorders>
              <w:top w:val="nil"/>
              <w:left w:val="nil"/>
              <w:bottom w:val="single" w:sz="4" w:space="0" w:color="auto"/>
              <w:right w:val="nil"/>
            </w:tcBorders>
            <w:shd w:val="clear" w:color="auto" w:fill="auto"/>
            <w:noWrap/>
            <w:vAlign w:val="bottom"/>
            <w:hideMark/>
          </w:tcPr>
          <w:p w14:paraId="039700C4" w14:textId="77777777" w:rsidR="006630B8" w:rsidRPr="006630B8" w:rsidRDefault="006630B8" w:rsidP="006630B8">
            <w:pPr>
              <w:rPr>
                <w:color w:val="000000"/>
                <w:sz w:val="20"/>
                <w:szCs w:val="20"/>
              </w:rPr>
            </w:pPr>
            <w:r w:rsidRPr="006630B8">
              <w:rPr>
                <w:color w:val="000000"/>
                <w:sz w:val="20"/>
                <w:szCs w:val="20"/>
              </w:rPr>
              <w:t> </w:t>
            </w:r>
          </w:p>
        </w:tc>
        <w:tc>
          <w:tcPr>
            <w:tcW w:w="639" w:type="dxa"/>
            <w:tcBorders>
              <w:top w:val="nil"/>
              <w:left w:val="nil"/>
              <w:bottom w:val="single" w:sz="4" w:space="0" w:color="auto"/>
              <w:right w:val="nil"/>
            </w:tcBorders>
            <w:shd w:val="clear" w:color="auto" w:fill="auto"/>
            <w:noWrap/>
            <w:vAlign w:val="bottom"/>
            <w:hideMark/>
          </w:tcPr>
          <w:p w14:paraId="53051287" w14:textId="77777777" w:rsidR="006630B8" w:rsidRPr="006630B8" w:rsidRDefault="006630B8" w:rsidP="006630B8">
            <w:pPr>
              <w:jc w:val="right"/>
              <w:rPr>
                <w:color w:val="000000"/>
                <w:sz w:val="20"/>
                <w:szCs w:val="20"/>
              </w:rPr>
            </w:pPr>
            <w:r w:rsidRPr="006630B8">
              <w:rPr>
                <w:color w:val="000000"/>
                <w:sz w:val="20"/>
                <w:szCs w:val="20"/>
              </w:rPr>
              <w:t>111</w:t>
            </w:r>
          </w:p>
        </w:tc>
        <w:tc>
          <w:tcPr>
            <w:tcW w:w="1006" w:type="dxa"/>
            <w:tcBorders>
              <w:top w:val="nil"/>
              <w:left w:val="nil"/>
              <w:bottom w:val="single" w:sz="4" w:space="0" w:color="auto"/>
              <w:right w:val="nil"/>
            </w:tcBorders>
            <w:shd w:val="clear" w:color="auto" w:fill="auto"/>
            <w:noWrap/>
            <w:vAlign w:val="bottom"/>
            <w:hideMark/>
          </w:tcPr>
          <w:p w14:paraId="04A4AF25" w14:textId="77777777" w:rsidR="006630B8" w:rsidRPr="006630B8" w:rsidRDefault="006630B8" w:rsidP="006630B8">
            <w:pPr>
              <w:jc w:val="right"/>
              <w:rPr>
                <w:color w:val="000000"/>
                <w:sz w:val="20"/>
                <w:szCs w:val="20"/>
              </w:rPr>
            </w:pPr>
            <w:r w:rsidRPr="006630B8">
              <w:rPr>
                <w:color w:val="000000"/>
                <w:sz w:val="20"/>
                <w:szCs w:val="20"/>
              </w:rPr>
              <w:t>116.0304</w:t>
            </w:r>
          </w:p>
        </w:tc>
      </w:tr>
    </w:tbl>
    <w:p w14:paraId="2BB3B305" w14:textId="7CE84D05" w:rsidR="006630B8" w:rsidRDefault="006630B8" w:rsidP="007F4EAE">
      <w:pPr>
        <w:spacing w:before="60" w:line="480" w:lineRule="auto"/>
        <w:jc w:val="both"/>
        <w:rPr>
          <w:rFonts w:ascii="Times New Roman" w:hAnsi="Times New Roman"/>
          <w:lang w:val="en-US"/>
        </w:rPr>
      </w:pPr>
    </w:p>
    <w:p w14:paraId="11257AFB" w14:textId="77777777" w:rsidR="005C1954" w:rsidRPr="00504D7E" w:rsidRDefault="005C1954" w:rsidP="007F4EAE">
      <w:pPr>
        <w:spacing w:before="60" w:line="480" w:lineRule="auto"/>
        <w:jc w:val="both"/>
        <w:rPr>
          <w:rFonts w:ascii="Times New Roman" w:hAnsi="Times New Roman"/>
          <w:lang w:val="en-US"/>
        </w:rPr>
      </w:pPr>
    </w:p>
    <w:p w14:paraId="2AACE911" w14:textId="77777777" w:rsidR="00916CC2" w:rsidRPr="00504D7E" w:rsidRDefault="00916CC2" w:rsidP="007F4EAE">
      <w:pPr>
        <w:spacing w:before="60" w:line="480" w:lineRule="auto"/>
        <w:jc w:val="both"/>
        <w:rPr>
          <w:rFonts w:ascii="Times New Roman" w:hAnsi="Times New Roman"/>
          <w:lang w:val="en-US"/>
        </w:rPr>
      </w:pPr>
    </w:p>
    <w:p w14:paraId="4675EFE4" w14:textId="77777777" w:rsidR="00753112" w:rsidRPr="00504D7E" w:rsidRDefault="00753112" w:rsidP="00BE15D6">
      <w:pPr>
        <w:spacing w:before="60" w:line="480" w:lineRule="auto"/>
        <w:ind w:left="708"/>
        <w:jc w:val="both"/>
        <w:rPr>
          <w:rFonts w:asciiTheme="majorHAnsi" w:hAnsiTheme="majorHAnsi"/>
          <w:b/>
          <w:sz w:val="26"/>
          <w:szCs w:val="26"/>
          <w:lang w:val="en-US"/>
        </w:rPr>
      </w:pPr>
      <w:r w:rsidRPr="00504D7E">
        <w:rPr>
          <w:rFonts w:asciiTheme="majorHAnsi" w:hAnsiTheme="majorHAnsi"/>
          <w:b/>
          <w:sz w:val="26"/>
          <w:szCs w:val="26"/>
          <w:lang w:val="en-US"/>
        </w:rPr>
        <w:t>4.2 Results</w:t>
      </w:r>
    </w:p>
    <w:p w14:paraId="3580D8F1" w14:textId="42A7DC2D" w:rsidR="004B7568" w:rsidRPr="00504D7E" w:rsidRDefault="003F76AB" w:rsidP="006849EA">
      <w:pPr>
        <w:spacing w:line="480" w:lineRule="auto"/>
        <w:jc w:val="both"/>
        <w:rPr>
          <w:rFonts w:ascii="Times New Roman" w:hAnsi="Times New Roman"/>
          <w:lang w:val="en-US"/>
        </w:rPr>
      </w:pPr>
      <w:r w:rsidRPr="00504D7E">
        <w:rPr>
          <w:rFonts w:ascii="Times New Roman" w:hAnsi="Times New Roman"/>
          <w:lang w:val="en-US"/>
        </w:rPr>
        <w:t>Before presenti</w:t>
      </w:r>
      <w:r w:rsidR="002F7FC3" w:rsidRPr="00504D7E">
        <w:rPr>
          <w:rFonts w:ascii="Times New Roman" w:hAnsi="Times New Roman"/>
          <w:lang w:val="en-US"/>
        </w:rPr>
        <w:t>ng the results of</w:t>
      </w:r>
      <w:r w:rsidRPr="00504D7E">
        <w:rPr>
          <w:rFonts w:ascii="Times New Roman" w:hAnsi="Times New Roman"/>
          <w:lang w:val="en-US"/>
        </w:rPr>
        <w:t xml:space="preserve"> the statistical testing procedure</w:t>
      </w:r>
      <w:r w:rsidR="00076157" w:rsidRPr="00504D7E">
        <w:rPr>
          <w:rFonts w:ascii="Times New Roman" w:hAnsi="Times New Roman"/>
          <w:lang w:val="en-US"/>
        </w:rPr>
        <w:t xml:space="preserve"> applied to en</w:t>
      </w:r>
      <w:r w:rsidRPr="00504D7E">
        <w:rPr>
          <w:rFonts w:ascii="Times New Roman" w:hAnsi="Times New Roman"/>
          <w:lang w:val="en-US"/>
        </w:rPr>
        <w:t xml:space="preserve">tropy-based </w:t>
      </w:r>
      <w:proofErr w:type="gramStart"/>
      <w:r w:rsidRPr="00504D7E">
        <w:rPr>
          <w:rFonts w:ascii="Times New Roman" w:hAnsi="Times New Roman"/>
          <w:lang w:val="en-US"/>
        </w:rPr>
        <w:t>measures</w:t>
      </w:r>
      <w:proofErr w:type="gramEnd"/>
      <w:r w:rsidRPr="00504D7E">
        <w:rPr>
          <w:rFonts w:ascii="Times New Roman" w:hAnsi="Times New Roman"/>
          <w:lang w:val="en-US"/>
        </w:rPr>
        <w:t xml:space="preserve"> </w:t>
      </w:r>
      <w:r w:rsidR="00076157" w:rsidRPr="00504D7E">
        <w:rPr>
          <w:rFonts w:ascii="Times New Roman" w:hAnsi="Times New Roman"/>
          <w:lang w:val="en-US"/>
        </w:rPr>
        <w:t>we present summary statistics for the average regional firm size for all the industries and total manufacturing</w:t>
      </w:r>
      <w:r w:rsidR="00AF492E" w:rsidRPr="00504D7E">
        <w:rPr>
          <w:rFonts w:ascii="Times New Roman" w:hAnsi="Times New Roman"/>
          <w:lang w:val="en-US"/>
        </w:rPr>
        <w:t xml:space="preserve"> (See Table </w:t>
      </w:r>
      <w:r w:rsidR="00791E3F">
        <w:rPr>
          <w:rFonts w:ascii="Times New Roman" w:hAnsi="Times New Roman"/>
          <w:lang w:val="en-US"/>
        </w:rPr>
        <w:t>3</w:t>
      </w:r>
      <w:r w:rsidR="00076157" w:rsidRPr="00504D7E">
        <w:rPr>
          <w:rFonts w:ascii="Times New Roman" w:hAnsi="Times New Roman"/>
          <w:lang w:val="en-US"/>
        </w:rPr>
        <w:t>).</w:t>
      </w:r>
    </w:p>
    <w:p w14:paraId="2B0F6A99" w14:textId="67A638CE" w:rsidR="00CB7B12" w:rsidRPr="00504D7E" w:rsidRDefault="00AF492E" w:rsidP="003F76AB">
      <w:pPr>
        <w:spacing w:line="480" w:lineRule="auto"/>
        <w:jc w:val="both"/>
        <w:rPr>
          <w:rFonts w:ascii="Times New Roman" w:hAnsi="Times New Roman"/>
          <w:lang w:val="en-US"/>
        </w:rPr>
      </w:pPr>
      <w:r w:rsidRPr="00504D7E">
        <w:rPr>
          <w:rFonts w:ascii="Times New Roman" w:hAnsi="Times New Roman"/>
          <w:lang w:val="en-US"/>
        </w:rPr>
        <w:t xml:space="preserve">Figures in Table </w:t>
      </w:r>
      <w:r w:rsidR="00791E3F">
        <w:rPr>
          <w:rFonts w:ascii="Times New Roman" w:hAnsi="Times New Roman"/>
          <w:lang w:val="en-US"/>
        </w:rPr>
        <w:t>3</w:t>
      </w:r>
      <w:r w:rsidR="003F76AB" w:rsidRPr="00504D7E">
        <w:rPr>
          <w:rFonts w:ascii="Times New Roman" w:hAnsi="Times New Roman"/>
          <w:lang w:val="en-US"/>
        </w:rPr>
        <w:t xml:space="preserve"> clearly highlight that the industries with smaller average firm sizes are </w:t>
      </w:r>
      <w:r w:rsidR="003F76AB" w:rsidRPr="00504D7E">
        <w:rPr>
          <w:rFonts w:ascii="Times New Roman" w:hAnsi="Times New Roman"/>
          <w:i/>
          <w:lang w:val="en-US"/>
        </w:rPr>
        <w:t xml:space="preserve">wood, recycling, wearing apparel, fabricated metal products, textiles, Medical, precision and optical instruments, watches and clocks, furniture, manufacturing </w:t>
      </w:r>
      <w:proofErr w:type="spellStart"/>
      <w:r w:rsidR="003F76AB" w:rsidRPr="00504D7E">
        <w:rPr>
          <w:rFonts w:ascii="Times New Roman" w:hAnsi="Times New Roman"/>
          <w:i/>
          <w:lang w:val="en-US"/>
        </w:rPr>
        <w:t>nec</w:t>
      </w:r>
      <w:proofErr w:type="spellEnd"/>
      <w:r w:rsidR="003F76AB" w:rsidRPr="00504D7E">
        <w:rPr>
          <w:rFonts w:ascii="Times New Roman" w:hAnsi="Times New Roman"/>
          <w:i/>
          <w:lang w:val="en-US"/>
        </w:rPr>
        <w:t>, Other non-metallic mineral products, publishing printing</w:t>
      </w:r>
      <w:r w:rsidR="003F76AB" w:rsidRPr="00504D7E">
        <w:rPr>
          <w:rFonts w:ascii="Times New Roman" w:hAnsi="Times New Roman"/>
          <w:lang w:val="en-US"/>
        </w:rPr>
        <w:t>. In these low-scale industries the regional variation in the average firm size is also quite low.</w:t>
      </w:r>
    </w:p>
    <w:p w14:paraId="08315D64" w14:textId="258A9F9E" w:rsidR="00916CC2" w:rsidRDefault="00916CC2" w:rsidP="003F76AB">
      <w:pPr>
        <w:spacing w:line="480" w:lineRule="auto"/>
        <w:jc w:val="both"/>
        <w:rPr>
          <w:rFonts w:ascii="Times New Roman" w:hAnsi="Times New Roman"/>
          <w:lang w:val="en-US"/>
        </w:rPr>
      </w:pPr>
    </w:p>
    <w:p w14:paraId="521A3CD3" w14:textId="77777777" w:rsidR="00F61CC2" w:rsidRPr="00504D7E" w:rsidRDefault="00F61CC2" w:rsidP="003F76AB">
      <w:pPr>
        <w:spacing w:line="480" w:lineRule="auto"/>
        <w:jc w:val="both"/>
        <w:rPr>
          <w:rFonts w:ascii="Times New Roman" w:hAnsi="Times New Roman"/>
          <w:lang w:val="en-US"/>
        </w:rPr>
      </w:pPr>
    </w:p>
    <w:p w14:paraId="68D87B93" w14:textId="6BA66EB6" w:rsidR="003F76AB" w:rsidRPr="00504D7E" w:rsidRDefault="00AF492E" w:rsidP="005A77B3">
      <w:pPr>
        <w:spacing w:line="480" w:lineRule="auto"/>
        <w:jc w:val="center"/>
        <w:rPr>
          <w:rFonts w:ascii="Times New Roman" w:hAnsi="Times New Roman"/>
          <w:b/>
          <w:i/>
          <w:lang w:val="en-US"/>
        </w:rPr>
      </w:pPr>
      <w:r w:rsidRPr="00504D7E">
        <w:rPr>
          <w:rFonts w:ascii="Times New Roman" w:hAnsi="Times New Roman"/>
          <w:b/>
          <w:i/>
          <w:lang w:val="en-US"/>
        </w:rPr>
        <w:t xml:space="preserve">Table </w:t>
      </w:r>
      <w:r w:rsidR="00791E3F">
        <w:rPr>
          <w:rFonts w:ascii="Times New Roman" w:hAnsi="Times New Roman"/>
          <w:b/>
          <w:i/>
          <w:lang w:val="en-US"/>
        </w:rPr>
        <w:t>3</w:t>
      </w:r>
      <w:r w:rsidR="003F76AB" w:rsidRPr="00504D7E">
        <w:rPr>
          <w:rFonts w:ascii="Times New Roman" w:hAnsi="Times New Roman"/>
          <w:b/>
          <w:i/>
          <w:lang w:val="en-US"/>
        </w:rPr>
        <w:t xml:space="preserve"> Average regional firm size, aggregate regional data by sector</w:t>
      </w:r>
    </w:p>
    <w:tbl>
      <w:tblPr>
        <w:tblW w:w="9160" w:type="dxa"/>
        <w:tblInd w:w="55" w:type="dxa"/>
        <w:tblCellMar>
          <w:left w:w="70" w:type="dxa"/>
          <w:right w:w="70" w:type="dxa"/>
        </w:tblCellMar>
        <w:tblLook w:val="04A0" w:firstRow="1" w:lastRow="0" w:firstColumn="1" w:lastColumn="0" w:noHBand="0" w:noVBand="1"/>
      </w:tblPr>
      <w:tblGrid>
        <w:gridCol w:w="4860"/>
        <w:gridCol w:w="980"/>
        <w:gridCol w:w="800"/>
        <w:gridCol w:w="980"/>
        <w:gridCol w:w="760"/>
        <w:gridCol w:w="780"/>
      </w:tblGrid>
      <w:tr w:rsidR="008978CE" w:rsidRPr="00504D7E" w14:paraId="7F3DA675" w14:textId="77777777" w:rsidTr="008978CE">
        <w:trPr>
          <w:trHeight w:val="300"/>
        </w:trPr>
        <w:tc>
          <w:tcPr>
            <w:tcW w:w="4860" w:type="dxa"/>
            <w:tcBorders>
              <w:top w:val="single" w:sz="4" w:space="0" w:color="auto"/>
              <w:left w:val="nil"/>
              <w:bottom w:val="single" w:sz="4" w:space="0" w:color="auto"/>
              <w:right w:val="nil"/>
            </w:tcBorders>
            <w:shd w:val="clear" w:color="000000" w:fill="FFFFFF"/>
            <w:noWrap/>
            <w:vAlign w:val="bottom"/>
            <w:hideMark/>
          </w:tcPr>
          <w:p w14:paraId="5409A3B9" w14:textId="77777777" w:rsidR="008978CE" w:rsidRPr="00504D7E" w:rsidRDefault="008978CE" w:rsidP="008978CE">
            <w:pPr>
              <w:jc w:val="center"/>
              <w:rPr>
                <w:b/>
                <w:bCs/>
                <w:color w:val="000000"/>
                <w:lang w:val="en-US"/>
              </w:rPr>
            </w:pPr>
            <w:r w:rsidRPr="00504D7E">
              <w:rPr>
                <w:b/>
                <w:bCs/>
                <w:color w:val="000000"/>
                <w:lang w:val="en-US"/>
              </w:rPr>
              <w:t> </w:t>
            </w:r>
          </w:p>
        </w:tc>
        <w:tc>
          <w:tcPr>
            <w:tcW w:w="980" w:type="dxa"/>
            <w:tcBorders>
              <w:top w:val="single" w:sz="4" w:space="0" w:color="auto"/>
              <w:left w:val="nil"/>
              <w:bottom w:val="single" w:sz="4" w:space="0" w:color="auto"/>
              <w:right w:val="nil"/>
            </w:tcBorders>
            <w:shd w:val="clear" w:color="000000" w:fill="FFFFFF"/>
            <w:noWrap/>
            <w:vAlign w:val="bottom"/>
            <w:hideMark/>
          </w:tcPr>
          <w:p w14:paraId="10DACA93" w14:textId="77777777" w:rsidR="008978CE" w:rsidRPr="00504D7E" w:rsidRDefault="008978CE" w:rsidP="008978CE">
            <w:pPr>
              <w:jc w:val="center"/>
              <w:rPr>
                <w:b/>
                <w:bCs/>
                <w:color w:val="000000"/>
              </w:rPr>
            </w:pPr>
            <w:proofErr w:type="spellStart"/>
            <w:r w:rsidRPr="00504D7E">
              <w:rPr>
                <w:b/>
                <w:bCs/>
                <w:color w:val="000000"/>
              </w:rPr>
              <w:t>Obs</w:t>
            </w:r>
            <w:proofErr w:type="spellEnd"/>
          </w:p>
        </w:tc>
        <w:tc>
          <w:tcPr>
            <w:tcW w:w="800" w:type="dxa"/>
            <w:tcBorders>
              <w:top w:val="single" w:sz="4" w:space="0" w:color="auto"/>
              <w:left w:val="nil"/>
              <w:bottom w:val="single" w:sz="4" w:space="0" w:color="auto"/>
              <w:right w:val="nil"/>
            </w:tcBorders>
            <w:shd w:val="clear" w:color="000000" w:fill="FFFFFF"/>
            <w:noWrap/>
            <w:vAlign w:val="bottom"/>
            <w:hideMark/>
          </w:tcPr>
          <w:p w14:paraId="349A1F21" w14:textId="77777777" w:rsidR="008978CE" w:rsidRPr="00504D7E" w:rsidRDefault="008978CE" w:rsidP="008978CE">
            <w:pPr>
              <w:jc w:val="center"/>
              <w:rPr>
                <w:b/>
                <w:bCs/>
                <w:color w:val="000000"/>
              </w:rPr>
            </w:pPr>
            <w:proofErr w:type="spellStart"/>
            <w:r w:rsidRPr="00504D7E">
              <w:rPr>
                <w:b/>
                <w:bCs/>
                <w:color w:val="000000"/>
              </w:rPr>
              <w:t>Mean</w:t>
            </w:r>
            <w:proofErr w:type="spellEnd"/>
          </w:p>
        </w:tc>
        <w:tc>
          <w:tcPr>
            <w:tcW w:w="980" w:type="dxa"/>
            <w:tcBorders>
              <w:top w:val="single" w:sz="4" w:space="0" w:color="auto"/>
              <w:left w:val="nil"/>
              <w:bottom w:val="single" w:sz="4" w:space="0" w:color="auto"/>
              <w:right w:val="nil"/>
            </w:tcBorders>
            <w:shd w:val="clear" w:color="000000" w:fill="FFFFFF"/>
            <w:vAlign w:val="bottom"/>
            <w:hideMark/>
          </w:tcPr>
          <w:p w14:paraId="17A8F188" w14:textId="77777777" w:rsidR="008978CE" w:rsidRPr="00504D7E" w:rsidRDefault="008978CE" w:rsidP="008978CE">
            <w:pPr>
              <w:jc w:val="center"/>
              <w:rPr>
                <w:b/>
                <w:bCs/>
                <w:color w:val="000000"/>
              </w:rPr>
            </w:pPr>
            <w:proofErr w:type="spellStart"/>
            <w:r w:rsidRPr="00504D7E">
              <w:rPr>
                <w:b/>
                <w:bCs/>
                <w:color w:val="000000"/>
              </w:rPr>
              <w:t>Std</w:t>
            </w:r>
            <w:proofErr w:type="spellEnd"/>
            <w:r w:rsidRPr="00504D7E">
              <w:rPr>
                <w:b/>
                <w:bCs/>
                <w:color w:val="000000"/>
              </w:rPr>
              <w:t xml:space="preserve">. </w:t>
            </w:r>
            <w:proofErr w:type="spellStart"/>
            <w:r w:rsidRPr="00504D7E">
              <w:rPr>
                <w:b/>
                <w:bCs/>
                <w:color w:val="000000"/>
              </w:rPr>
              <w:t>Dev</w:t>
            </w:r>
            <w:proofErr w:type="spellEnd"/>
            <w:r w:rsidRPr="00504D7E">
              <w:rPr>
                <w:b/>
                <w:bCs/>
                <w:color w:val="000000"/>
              </w:rPr>
              <w:t>.</w:t>
            </w:r>
          </w:p>
        </w:tc>
        <w:tc>
          <w:tcPr>
            <w:tcW w:w="760" w:type="dxa"/>
            <w:tcBorders>
              <w:top w:val="single" w:sz="4" w:space="0" w:color="auto"/>
              <w:left w:val="nil"/>
              <w:bottom w:val="single" w:sz="4" w:space="0" w:color="auto"/>
              <w:right w:val="nil"/>
            </w:tcBorders>
            <w:shd w:val="clear" w:color="000000" w:fill="FFFFFF"/>
            <w:noWrap/>
            <w:vAlign w:val="bottom"/>
            <w:hideMark/>
          </w:tcPr>
          <w:p w14:paraId="4746BF41" w14:textId="77777777" w:rsidR="008978CE" w:rsidRPr="00504D7E" w:rsidRDefault="008978CE" w:rsidP="008978CE">
            <w:pPr>
              <w:jc w:val="center"/>
              <w:rPr>
                <w:b/>
                <w:bCs/>
                <w:color w:val="000000"/>
              </w:rPr>
            </w:pPr>
            <w:proofErr w:type="spellStart"/>
            <w:r w:rsidRPr="00504D7E">
              <w:rPr>
                <w:b/>
                <w:bCs/>
                <w:color w:val="000000"/>
              </w:rPr>
              <w:t>Min</w:t>
            </w:r>
            <w:proofErr w:type="spellEnd"/>
          </w:p>
        </w:tc>
        <w:tc>
          <w:tcPr>
            <w:tcW w:w="780" w:type="dxa"/>
            <w:tcBorders>
              <w:top w:val="single" w:sz="4" w:space="0" w:color="auto"/>
              <w:left w:val="nil"/>
              <w:bottom w:val="single" w:sz="4" w:space="0" w:color="auto"/>
              <w:right w:val="nil"/>
            </w:tcBorders>
            <w:shd w:val="clear" w:color="000000" w:fill="FFFFFF"/>
            <w:noWrap/>
            <w:vAlign w:val="bottom"/>
            <w:hideMark/>
          </w:tcPr>
          <w:p w14:paraId="0023FA15" w14:textId="77777777" w:rsidR="008978CE" w:rsidRPr="00504D7E" w:rsidRDefault="008978CE" w:rsidP="008978CE">
            <w:pPr>
              <w:jc w:val="center"/>
              <w:rPr>
                <w:b/>
                <w:bCs/>
                <w:color w:val="000000"/>
              </w:rPr>
            </w:pPr>
            <w:r w:rsidRPr="00504D7E">
              <w:rPr>
                <w:b/>
                <w:bCs/>
                <w:color w:val="000000"/>
              </w:rPr>
              <w:t>Max</w:t>
            </w:r>
          </w:p>
        </w:tc>
      </w:tr>
      <w:tr w:rsidR="008978CE" w:rsidRPr="00504D7E" w14:paraId="598B7C15" w14:textId="77777777" w:rsidTr="008978CE">
        <w:trPr>
          <w:trHeight w:val="300"/>
        </w:trPr>
        <w:tc>
          <w:tcPr>
            <w:tcW w:w="4860" w:type="dxa"/>
            <w:tcBorders>
              <w:top w:val="nil"/>
              <w:left w:val="nil"/>
              <w:bottom w:val="nil"/>
              <w:right w:val="nil"/>
            </w:tcBorders>
            <w:shd w:val="clear" w:color="000000" w:fill="FFFFFF"/>
            <w:noWrap/>
            <w:vAlign w:val="bottom"/>
            <w:hideMark/>
          </w:tcPr>
          <w:p w14:paraId="7B27C47F" w14:textId="77777777" w:rsidR="008978CE" w:rsidRPr="00504D7E" w:rsidRDefault="008978CE" w:rsidP="008978CE">
            <w:pPr>
              <w:jc w:val="center"/>
              <w:rPr>
                <w:color w:val="000000"/>
              </w:rPr>
            </w:pPr>
            <w:r w:rsidRPr="00504D7E">
              <w:rPr>
                <w:color w:val="000000"/>
                <w:sz w:val="22"/>
                <w:szCs w:val="22"/>
              </w:rPr>
              <w:t> </w:t>
            </w:r>
          </w:p>
        </w:tc>
        <w:tc>
          <w:tcPr>
            <w:tcW w:w="980" w:type="dxa"/>
            <w:tcBorders>
              <w:top w:val="nil"/>
              <w:left w:val="nil"/>
              <w:bottom w:val="nil"/>
              <w:right w:val="nil"/>
            </w:tcBorders>
            <w:shd w:val="clear" w:color="000000" w:fill="FFFFFF"/>
            <w:noWrap/>
            <w:vAlign w:val="bottom"/>
            <w:hideMark/>
          </w:tcPr>
          <w:p w14:paraId="3FAA3D3D" w14:textId="77777777" w:rsidR="008978CE" w:rsidRPr="00504D7E" w:rsidRDefault="008978CE" w:rsidP="008978CE">
            <w:pPr>
              <w:jc w:val="center"/>
              <w:rPr>
                <w:color w:val="000000"/>
              </w:rPr>
            </w:pPr>
            <w:r w:rsidRPr="00504D7E">
              <w:rPr>
                <w:color w:val="000000"/>
                <w:sz w:val="22"/>
                <w:szCs w:val="22"/>
              </w:rPr>
              <w:t> </w:t>
            </w:r>
          </w:p>
        </w:tc>
        <w:tc>
          <w:tcPr>
            <w:tcW w:w="800" w:type="dxa"/>
            <w:tcBorders>
              <w:top w:val="nil"/>
              <w:left w:val="nil"/>
              <w:bottom w:val="nil"/>
              <w:right w:val="nil"/>
            </w:tcBorders>
            <w:shd w:val="clear" w:color="000000" w:fill="FFFFFF"/>
            <w:noWrap/>
            <w:vAlign w:val="bottom"/>
            <w:hideMark/>
          </w:tcPr>
          <w:p w14:paraId="00FC25CE" w14:textId="77777777" w:rsidR="008978CE" w:rsidRPr="00504D7E" w:rsidRDefault="008978CE" w:rsidP="008978CE">
            <w:pPr>
              <w:jc w:val="center"/>
              <w:rPr>
                <w:color w:val="000000"/>
              </w:rPr>
            </w:pPr>
            <w:r w:rsidRPr="00504D7E">
              <w:rPr>
                <w:color w:val="000000"/>
                <w:sz w:val="22"/>
                <w:szCs w:val="22"/>
              </w:rPr>
              <w:t> </w:t>
            </w:r>
          </w:p>
        </w:tc>
        <w:tc>
          <w:tcPr>
            <w:tcW w:w="980" w:type="dxa"/>
            <w:tcBorders>
              <w:top w:val="nil"/>
              <w:left w:val="nil"/>
              <w:bottom w:val="nil"/>
              <w:right w:val="nil"/>
            </w:tcBorders>
            <w:shd w:val="clear" w:color="000000" w:fill="FFFFFF"/>
            <w:noWrap/>
            <w:vAlign w:val="bottom"/>
            <w:hideMark/>
          </w:tcPr>
          <w:p w14:paraId="6442FEBD" w14:textId="77777777" w:rsidR="008978CE" w:rsidRPr="00504D7E" w:rsidRDefault="008978CE" w:rsidP="008978CE">
            <w:pPr>
              <w:jc w:val="center"/>
              <w:rPr>
                <w:color w:val="000000"/>
              </w:rPr>
            </w:pPr>
            <w:r w:rsidRPr="00504D7E">
              <w:rPr>
                <w:color w:val="000000"/>
                <w:sz w:val="22"/>
                <w:szCs w:val="22"/>
              </w:rPr>
              <w:t> </w:t>
            </w:r>
          </w:p>
        </w:tc>
        <w:tc>
          <w:tcPr>
            <w:tcW w:w="760" w:type="dxa"/>
            <w:tcBorders>
              <w:top w:val="nil"/>
              <w:left w:val="nil"/>
              <w:bottom w:val="nil"/>
              <w:right w:val="nil"/>
            </w:tcBorders>
            <w:shd w:val="clear" w:color="000000" w:fill="FFFFFF"/>
            <w:noWrap/>
            <w:vAlign w:val="bottom"/>
            <w:hideMark/>
          </w:tcPr>
          <w:p w14:paraId="79338D9F" w14:textId="77777777" w:rsidR="008978CE" w:rsidRPr="00504D7E" w:rsidRDefault="008978CE" w:rsidP="008978CE">
            <w:pPr>
              <w:jc w:val="center"/>
              <w:rPr>
                <w:color w:val="000000"/>
              </w:rPr>
            </w:pPr>
            <w:r w:rsidRPr="00504D7E">
              <w:rPr>
                <w:color w:val="000000"/>
                <w:sz w:val="22"/>
                <w:szCs w:val="22"/>
              </w:rPr>
              <w:t> </w:t>
            </w:r>
          </w:p>
        </w:tc>
        <w:tc>
          <w:tcPr>
            <w:tcW w:w="780" w:type="dxa"/>
            <w:tcBorders>
              <w:top w:val="nil"/>
              <w:left w:val="nil"/>
              <w:bottom w:val="nil"/>
              <w:right w:val="nil"/>
            </w:tcBorders>
            <w:shd w:val="clear" w:color="000000" w:fill="FFFFFF"/>
            <w:noWrap/>
            <w:vAlign w:val="bottom"/>
            <w:hideMark/>
          </w:tcPr>
          <w:p w14:paraId="49CD06D2" w14:textId="77777777" w:rsidR="008978CE" w:rsidRPr="00504D7E" w:rsidRDefault="008978CE" w:rsidP="008978CE">
            <w:pPr>
              <w:jc w:val="center"/>
              <w:rPr>
                <w:color w:val="000000"/>
              </w:rPr>
            </w:pPr>
            <w:r w:rsidRPr="00504D7E">
              <w:rPr>
                <w:color w:val="000000"/>
                <w:sz w:val="22"/>
                <w:szCs w:val="22"/>
              </w:rPr>
              <w:t> </w:t>
            </w:r>
          </w:p>
        </w:tc>
      </w:tr>
      <w:tr w:rsidR="008978CE" w:rsidRPr="00504D7E" w14:paraId="431D6544" w14:textId="77777777" w:rsidTr="008978CE">
        <w:trPr>
          <w:trHeight w:val="320"/>
        </w:trPr>
        <w:tc>
          <w:tcPr>
            <w:tcW w:w="4860" w:type="dxa"/>
            <w:tcBorders>
              <w:top w:val="nil"/>
              <w:left w:val="nil"/>
              <w:bottom w:val="nil"/>
              <w:right w:val="nil"/>
            </w:tcBorders>
            <w:shd w:val="clear" w:color="000000" w:fill="FFFFFF"/>
            <w:noWrap/>
            <w:vAlign w:val="bottom"/>
            <w:hideMark/>
          </w:tcPr>
          <w:p w14:paraId="57240AA5" w14:textId="77777777" w:rsidR="008978CE" w:rsidRPr="00504D7E" w:rsidRDefault="008978CE" w:rsidP="008978CE">
            <w:pPr>
              <w:rPr>
                <w:color w:val="000000"/>
                <w:sz w:val="20"/>
                <w:szCs w:val="20"/>
              </w:rPr>
            </w:pPr>
            <w:proofErr w:type="spellStart"/>
            <w:r w:rsidRPr="00504D7E">
              <w:rPr>
                <w:color w:val="000000"/>
                <w:sz w:val="20"/>
                <w:szCs w:val="20"/>
              </w:rPr>
              <w:t>Textiles</w:t>
            </w:r>
            <w:proofErr w:type="spellEnd"/>
          </w:p>
        </w:tc>
        <w:tc>
          <w:tcPr>
            <w:tcW w:w="980" w:type="dxa"/>
            <w:tcBorders>
              <w:top w:val="nil"/>
              <w:left w:val="nil"/>
              <w:bottom w:val="nil"/>
              <w:right w:val="nil"/>
            </w:tcBorders>
            <w:shd w:val="clear" w:color="000000" w:fill="FFFFFF"/>
            <w:noWrap/>
            <w:vAlign w:val="bottom"/>
            <w:hideMark/>
          </w:tcPr>
          <w:p w14:paraId="1CB92DB1"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071A994D" w14:textId="77777777" w:rsidR="008978CE" w:rsidRPr="00504D7E" w:rsidRDefault="008978CE" w:rsidP="008978CE">
            <w:pPr>
              <w:jc w:val="center"/>
              <w:rPr>
                <w:color w:val="000000"/>
              </w:rPr>
            </w:pPr>
            <w:r w:rsidRPr="00504D7E">
              <w:rPr>
                <w:color w:val="000000"/>
                <w:sz w:val="22"/>
                <w:szCs w:val="22"/>
              </w:rPr>
              <w:t>19</w:t>
            </w:r>
          </w:p>
        </w:tc>
        <w:tc>
          <w:tcPr>
            <w:tcW w:w="980" w:type="dxa"/>
            <w:tcBorders>
              <w:top w:val="nil"/>
              <w:left w:val="nil"/>
              <w:bottom w:val="nil"/>
              <w:right w:val="nil"/>
            </w:tcBorders>
            <w:shd w:val="clear" w:color="000000" w:fill="FFFFFF"/>
            <w:noWrap/>
            <w:vAlign w:val="bottom"/>
            <w:hideMark/>
          </w:tcPr>
          <w:p w14:paraId="2277C2B7" w14:textId="77777777" w:rsidR="008978CE" w:rsidRPr="00504D7E" w:rsidRDefault="008978CE" w:rsidP="008978CE">
            <w:pPr>
              <w:jc w:val="center"/>
              <w:rPr>
                <w:color w:val="000000"/>
              </w:rPr>
            </w:pPr>
            <w:r w:rsidRPr="00504D7E">
              <w:rPr>
                <w:color w:val="000000"/>
                <w:sz w:val="22"/>
                <w:szCs w:val="22"/>
              </w:rPr>
              <w:t>22.86</w:t>
            </w:r>
          </w:p>
        </w:tc>
        <w:tc>
          <w:tcPr>
            <w:tcW w:w="760" w:type="dxa"/>
            <w:tcBorders>
              <w:top w:val="nil"/>
              <w:left w:val="nil"/>
              <w:bottom w:val="nil"/>
              <w:right w:val="nil"/>
            </w:tcBorders>
            <w:shd w:val="clear" w:color="000000" w:fill="FFFFFF"/>
            <w:noWrap/>
            <w:vAlign w:val="bottom"/>
            <w:hideMark/>
          </w:tcPr>
          <w:p w14:paraId="6775B29B" w14:textId="77777777" w:rsidR="008978CE" w:rsidRPr="00504D7E" w:rsidRDefault="008978CE" w:rsidP="008978CE">
            <w:pPr>
              <w:jc w:val="center"/>
              <w:rPr>
                <w:color w:val="000000"/>
              </w:rPr>
            </w:pPr>
            <w:r w:rsidRPr="00504D7E">
              <w:rPr>
                <w:color w:val="000000"/>
                <w:sz w:val="22"/>
                <w:szCs w:val="22"/>
              </w:rPr>
              <w:t>1</w:t>
            </w:r>
          </w:p>
        </w:tc>
        <w:tc>
          <w:tcPr>
            <w:tcW w:w="780" w:type="dxa"/>
            <w:tcBorders>
              <w:top w:val="nil"/>
              <w:left w:val="nil"/>
              <w:bottom w:val="nil"/>
              <w:right w:val="nil"/>
            </w:tcBorders>
            <w:shd w:val="clear" w:color="000000" w:fill="FFFFFF"/>
            <w:noWrap/>
            <w:vAlign w:val="bottom"/>
            <w:hideMark/>
          </w:tcPr>
          <w:p w14:paraId="2951D321" w14:textId="77777777" w:rsidR="008978CE" w:rsidRPr="00504D7E" w:rsidRDefault="008978CE" w:rsidP="008978CE">
            <w:pPr>
              <w:jc w:val="center"/>
              <w:rPr>
                <w:color w:val="000000"/>
              </w:rPr>
            </w:pPr>
            <w:r w:rsidRPr="00504D7E">
              <w:rPr>
                <w:color w:val="000000"/>
                <w:sz w:val="22"/>
                <w:szCs w:val="22"/>
              </w:rPr>
              <w:t>125</w:t>
            </w:r>
          </w:p>
        </w:tc>
      </w:tr>
      <w:tr w:rsidR="008978CE" w:rsidRPr="00504D7E" w14:paraId="3DB4C1B7" w14:textId="77777777" w:rsidTr="008978CE">
        <w:trPr>
          <w:trHeight w:val="320"/>
        </w:trPr>
        <w:tc>
          <w:tcPr>
            <w:tcW w:w="4860" w:type="dxa"/>
            <w:tcBorders>
              <w:top w:val="nil"/>
              <w:left w:val="nil"/>
              <w:bottom w:val="nil"/>
              <w:right w:val="nil"/>
            </w:tcBorders>
            <w:shd w:val="clear" w:color="000000" w:fill="FFFFFF"/>
            <w:noWrap/>
            <w:vAlign w:val="center"/>
            <w:hideMark/>
          </w:tcPr>
          <w:p w14:paraId="59C2B818" w14:textId="77777777" w:rsidR="008978CE" w:rsidRPr="00504D7E" w:rsidRDefault="008978CE" w:rsidP="008978CE">
            <w:pPr>
              <w:rPr>
                <w:color w:val="000000"/>
                <w:sz w:val="20"/>
                <w:szCs w:val="20"/>
              </w:rPr>
            </w:pPr>
            <w:proofErr w:type="spellStart"/>
            <w:r w:rsidRPr="00504D7E">
              <w:rPr>
                <w:color w:val="000000"/>
                <w:sz w:val="20"/>
                <w:szCs w:val="20"/>
              </w:rPr>
              <w:t>Wearing</w:t>
            </w:r>
            <w:proofErr w:type="spellEnd"/>
            <w:r w:rsidRPr="00504D7E">
              <w:rPr>
                <w:color w:val="000000"/>
                <w:sz w:val="20"/>
                <w:szCs w:val="20"/>
              </w:rPr>
              <w:t xml:space="preserve"> </w:t>
            </w:r>
            <w:proofErr w:type="spellStart"/>
            <w:r w:rsidRPr="00504D7E">
              <w:rPr>
                <w:color w:val="000000"/>
                <w:sz w:val="20"/>
                <w:szCs w:val="20"/>
              </w:rPr>
              <w:t>apparel</w:t>
            </w:r>
            <w:proofErr w:type="spellEnd"/>
          </w:p>
        </w:tc>
        <w:tc>
          <w:tcPr>
            <w:tcW w:w="980" w:type="dxa"/>
            <w:tcBorders>
              <w:top w:val="nil"/>
              <w:left w:val="nil"/>
              <w:bottom w:val="nil"/>
              <w:right w:val="nil"/>
            </w:tcBorders>
            <w:shd w:val="clear" w:color="000000" w:fill="FFFFFF"/>
            <w:noWrap/>
            <w:vAlign w:val="bottom"/>
            <w:hideMark/>
          </w:tcPr>
          <w:p w14:paraId="1E1D5B1F"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673D650A" w14:textId="77777777" w:rsidR="008978CE" w:rsidRPr="00504D7E" w:rsidRDefault="008978CE" w:rsidP="008978CE">
            <w:pPr>
              <w:jc w:val="center"/>
              <w:rPr>
                <w:color w:val="000000"/>
              </w:rPr>
            </w:pPr>
            <w:r w:rsidRPr="00504D7E">
              <w:rPr>
                <w:color w:val="000000"/>
                <w:sz w:val="22"/>
                <w:szCs w:val="22"/>
              </w:rPr>
              <w:t>15</w:t>
            </w:r>
          </w:p>
        </w:tc>
        <w:tc>
          <w:tcPr>
            <w:tcW w:w="980" w:type="dxa"/>
            <w:tcBorders>
              <w:top w:val="nil"/>
              <w:left w:val="nil"/>
              <w:bottom w:val="nil"/>
              <w:right w:val="nil"/>
            </w:tcBorders>
            <w:shd w:val="clear" w:color="000000" w:fill="FFFFFF"/>
            <w:noWrap/>
            <w:vAlign w:val="bottom"/>
            <w:hideMark/>
          </w:tcPr>
          <w:p w14:paraId="395A13FD" w14:textId="77777777" w:rsidR="008978CE" w:rsidRPr="00504D7E" w:rsidRDefault="008978CE" w:rsidP="008978CE">
            <w:pPr>
              <w:jc w:val="center"/>
              <w:rPr>
                <w:color w:val="000000"/>
              </w:rPr>
            </w:pPr>
            <w:r w:rsidRPr="00504D7E">
              <w:rPr>
                <w:color w:val="000000"/>
                <w:sz w:val="22"/>
                <w:szCs w:val="22"/>
              </w:rPr>
              <w:t>24.27</w:t>
            </w:r>
          </w:p>
        </w:tc>
        <w:tc>
          <w:tcPr>
            <w:tcW w:w="760" w:type="dxa"/>
            <w:tcBorders>
              <w:top w:val="nil"/>
              <w:left w:val="nil"/>
              <w:bottom w:val="nil"/>
              <w:right w:val="nil"/>
            </w:tcBorders>
            <w:shd w:val="clear" w:color="000000" w:fill="FFFFFF"/>
            <w:noWrap/>
            <w:vAlign w:val="bottom"/>
            <w:hideMark/>
          </w:tcPr>
          <w:p w14:paraId="4FBDA534" w14:textId="77777777" w:rsidR="008978CE" w:rsidRPr="00504D7E" w:rsidRDefault="008978CE" w:rsidP="008978CE">
            <w:pPr>
              <w:jc w:val="center"/>
              <w:rPr>
                <w:color w:val="000000"/>
              </w:rPr>
            </w:pPr>
            <w:r w:rsidRPr="00504D7E">
              <w:rPr>
                <w:color w:val="000000"/>
                <w:sz w:val="22"/>
                <w:szCs w:val="22"/>
              </w:rPr>
              <w:t>1</w:t>
            </w:r>
          </w:p>
        </w:tc>
        <w:tc>
          <w:tcPr>
            <w:tcW w:w="780" w:type="dxa"/>
            <w:tcBorders>
              <w:top w:val="nil"/>
              <w:left w:val="nil"/>
              <w:bottom w:val="nil"/>
              <w:right w:val="nil"/>
            </w:tcBorders>
            <w:shd w:val="clear" w:color="000000" w:fill="FFFFFF"/>
            <w:noWrap/>
            <w:vAlign w:val="bottom"/>
            <w:hideMark/>
          </w:tcPr>
          <w:p w14:paraId="3977A2FE" w14:textId="77777777" w:rsidR="008978CE" w:rsidRPr="00504D7E" w:rsidRDefault="008978CE" w:rsidP="008978CE">
            <w:pPr>
              <w:jc w:val="center"/>
              <w:rPr>
                <w:color w:val="000000"/>
              </w:rPr>
            </w:pPr>
            <w:r w:rsidRPr="00504D7E">
              <w:rPr>
                <w:color w:val="000000"/>
                <w:sz w:val="22"/>
                <w:szCs w:val="22"/>
              </w:rPr>
              <w:t>147</w:t>
            </w:r>
          </w:p>
        </w:tc>
      </w:tr>
      <w:tr w:rsidR="008978CE" w:rsidRPr="00504D7E" w14:paraId="03D39940" w14:textId="77777777" w:rsidTr="008978CE">
        <w:trPr>
          <w:trHeight w:val="320"/>
        </w:trPr>
        <w:tc>
          <w:tcPr>
            <w:tcW w:w="4860" w:type="dxa"/>
            <w:tcBorders>
              <w:top w:val="nil"/>
              <w:left w:val="nil"/>
              <w:bottom w:val="nil"/>
              <w:right w:val="nil"/>
            </w:tcBorders>
            <w:shd w:val="clear" w:color="000000" w:fill="FFFFFF"/>
            <w:noWrap/>
            <w:vAlign w:val="center"/>
            <w:hideMark/>
          </w:tcPr>
          <w:p w14:paraId="5A786258" w14:textId="77777777" w:rsidR="008978CE" w:rsidRPr="00504D7E" w:rsidRDefault="008978CE" w:rsidP="008978CE">
            <w:pPr>
              <w:rPr>
                <w:color w:val="000000"/>
                <w:sz w:val="20"/>
                <w:szCs w:val="20"/>
              </w:rPr>
            </w:pPr>
            <w:r w:rsidRPr="00504D7E">
              <w:rPr>
                <w:color w:val="000000"/>
                <w:sz w:val="20"/>
                <w:szCs w:val="20"/>
              </w:rPr>
              <w:t>Wood</w:t>
            </w:r>
          </w:p>
        </w:tc>
        <w:tc>
          <w:tcPr>
            <w:tcW w:w="980" w:type="dxa"/>
            <w:tcBorders>
              <w:top w:val="nil"/>
              <w:left w:val="nil"/>
              <w:bottom w:val="nil"/>
              <w:right w:val="nil"/>
            </w:tcBorders>
            <w:shd w:val="clear" w:color="000000" w:fill="FFFFFF"/>
            <w:noWrap/>
            <w:vAlign w:val="bottom"/>
            <w:hideMark/>
          </w:tcPr>
          <w:p w14:paraId="5761B424"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5A48B1AD" w14:textId="77777777" w:rsidR="008978CE" w:rsidRPr="00504D7E" w:rsidRDefault="008978CE" w:rsidP="008978CE">
            <w:pPr>
              <w:jc w:val="center"/>
              <w:rPr>
                <w:color w:val="000000"/>
              </w:rPr>
            </w:pPr>
            <w:r w:rsidRPr="00504D7E">
              <w:rPr>
                <w:color w:val="000000"/>
                <w:sz w:val="22"/>
                <w:szCs w:val="22"/>
              </w:rPr>
              <w:t>11</w:t>
            </w:r>
          </w:p>
        </w:tc>
        <w:tc>
          <w:tcPr>
            <w:tcW w:w="980" w:type="dxa"/>
            <w:tcBorders>
              <w:top w:val="nil"/>
              <w:left w:val="nil"/>
              <w:bottom w:val="nil"/>
              <w:right w:val="nil"/>
            </w:tcBorders>
            <w:shd w:val="clear" w:color="000000" w:fill="FFFFFF"/>
            <w:noWrap/>
            <w:vAlign w:val="bottom"/>
            <w:hideMark/>
          </w:tcPr>
          <w:p w14:paraId="31D52991" w14:textId="77777777" w:rsidR="008978CE" w:rsidRPr="00504D7E" w:rsidRDefault="008978CE" w:rsidP="008978CE">
            <w:pPr>
              <w:jc w:val="center"/>
              <w:rPr>
                <w:color w:val="000000"/>
              </w:rPr>
            </w:pPr>
            <w:r w:rsidRPr="00504D7E">
              <w:rPr>
                <w:color w:val="000000"/>
                <w:sz w:val="22"/>
                <w:szCs w:val="22"/>
              </w:rPr>
              <w:t>14.39</w:t>
            </w:r>
          </w:p>
        </w:tc>
        <w:tc>
          <w:tcPr>
            <w:tcW w:w="760" w:type="dxa"/>
            <w:tcBorders>
              <w:top w:val="nil"/>
              <w:left w:val="nil"/>
              <w:bottom w:val="nil"/>
              <w:right w:val="nil"/>
            </w:tcBorders>
            <w:shd w:val="clear" w:color="000000" w:fill="FFFFFF"/>
            <w:noWrap/>
            <w:vAlign w:val="bottom"/>
            <w:hideMark/>
          </w:tcPr>
          <w:p w14:paraId="59A872D8" w14:textId="77777777" w:rsidR="008978CE" w:rsidRPr="00504D7E" w:rsidRDefault="008978CE" w:rsidP="008978CE">
            <w:pPr>
              <w:jc w:val="center"/>
              <w:rPr>
                <w:color w:val="000000"/>
              </w:rPr>
            </w:pPr>
            <w:r w:rsidRPr="00504D7E">
              <w:rPr>
                <w:color w:val="000000"/>
                <w:sz w:val="22"/>
                <w:szCs w:val="22"/>
              </w:rPr>
              <w:t>2</w:t>
            </w:r>
          </w:p>
        </w:tc>
        <w:tc>
          <w:tcPr>
            <w:tcW w:w="780" w:type="dxa"/>
            <w:tcBorders>
              <w:top w:val="nil"/>
              <w:left w:val="nil"/>
              <w:bottom w:val="nil"/>
              <w:right w:val="nil"/>
            </w:tcBorders>
            <w:shd w:val="clear" w:color="000000" w:fill="FFFFFF"/>
            <w:noWrap/>
            <w:vAlign w:val="bottom"/>
            <w:hideMark/>
          </w:tcPr>
          <w:p w14:paraId="2E4ABA23" w14:textId="77777777" w:rsidR="008978CE" w:rsidRPr="00504D7E" w:rsidRDefault="008978CE" w:rsidP="008978CE">
            <w:pPr>
              <w:jc w:val="center"/>
              <w:rPr>
                <w:color w:val="000000"/>
              </w:rPr>
            </w:pPr>
            <w:r w:rsidRPr="00504D7E">
              <w:rPr>
                <w:color w:val="000000"/>
                <w:sz w:val="22"/>
                <w:szCs w:val="22"/>
              </w:rPr>
              <w:t>82</w:t>
            </w:r>
          </w:p>
        </w:tc>
      </w:tr>
      <w:tr w:rsidR="008978CE" w:rsidRPr="00504D7E" w14:paraId="45C9F3F8" w14:textId="77777777" w:rsidTr="008978CE">
        <w:trPr>
          <w:trHeight w:val="320"/>
        </w:trPr>
        <w:tc>
          <w:tcPr>
            <w:tcW w:w="4860" w:type="dxa"/>
            <w:tcBorders>
              <w:top w:val="nil"/>
              <w:left w:val="nil"/>
              <w:bottom w:val="nil"/>
              <w:right w:val="nil"/>
            </w:tcBorders>
            <w:shd w:val="clear" w:color="000000" w:fill="FFFFFF"/>
            <w:noWrap/>
            <w:vAlign w:val="center"/>
            <w:hideMark/>
          </w:tcPr>
          <w:p w14:paraId="67AAD921" w14:textId="77777777" w:rsidR="008978CE" w:rsidRPr="00504D7E" w:rsidRDefault="008978CE" w:rsidP="008978CE">
            <w:pPr>
              <w:rPr>
                <w:color w:val="000000"/>
                <w:sz w:val="20"/>
                <w:szCs w:val="20"/>
              </w:rPr>
            </w:pPr>
            <w:proofErr w:type="spellStart"/>
            <w:r w:rsidRPr="00504D7E">
              <w:rPr>
                <w:color w:val="000000"/>
                <w:sz w:val="20"/>
                <w:szCs w:val="20"/>
              </w:rPr>
              <w:t>Paper</w:t>
            </w:r>
            <w:proofErr w:type="spellEnd"/>
          </w:p>
        </w:tc>
        <w:tc>
          <w:tcPr>
            <w:tcW w:w="980" w:type="dxa"/>
            <w:tcBorders>
              <w:top w:val="nil"/>
              <w:left w:val="nil"/>
              <w:bottom w:val="nil"/>
              <w:right w:val="nil"/>
            </w:tcBorders>
            <w:shd w:val="clear" w:color="000000" w:fill="FFFFFF"/>
            <w:noWrap/>
            <w:vAlign w:val="bottom"/>
            <w:hideMark/>
          </w:tcPr>
          <w:p w14:paraId="2058BFA0"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07BC218A" w14:textId="77777777" w:rsidR="008978CE" w:rsidRPr="00504D7E" w:rsidRDefault="008978CE" w:rsidP="008978CE">
            <w:pPr>
              <w:jc w:val="center"/>
              <w:rPr>
                <w:color w:val="000000"/>
              </w:rPr>
            </w:pPr>
            <w:r w:rsidRPr="00504D7E">
              <w:rPr>
                <w:color w:val="000000"/>
                <w:sz w:val="22"/>
                <w:szCs w:val="22"/>
              </w:rPr>
              <w:t>43</w:t>
            </w:r>
          </w:p>
        </w:tc>
        <w:tc>
          <w:tcPr>
            <w:tcW w:w="980" w:type="dxa"/>
            <w:tcBorders>
              <w:top w:val="nil"/>
              <w:left w:val="nil"/>
              <w:bottom w:val="nil"/>
              <w:right w:val="nil"/>
            </w:tcBorders>
            <w:shd w:val="clear" w:color="000000" w:fill="FFFFFF"/>
            <w:noWrap/>
            <w:vAlign w:val="bottom"/>
            <w:hideMark/>
          </w:tcPr>
          <w:p w14:paraId="575F5863" w14:textId="77777777" w:rsidR="008978CE" w:rsidRPr="00504D7E" w:rsidRDefault="008978CE" w:rsidP="008978CE">
            <w:pPr>
              <w:jc w:val="center"/>
              <w:rPr>
                <w:color w:val="000000"/>
              </w:rPr>
            </w:pPr>
            <w:r w:rsidRPr="00504D7E">
              <w:rPr>
                <w:color w:val="000000"/>
                <w:sz w:val="22"/>
                <w:szCs w:val="22"/>
              </w:rPr>
              <w:t>41.04</w:t>
            </w:r>
          </w:p>
        </w:tc>
        <w:tc>
          <w:tcPr>
            <w:tcW w:w="760" w:type="dxa"/>
            <w:tcBorders>
              <w:top w:val="nil"/>
              <w:left w:val="nil"/>
              <w:bottom w:val="nil"/>
              <w:right w:val="nil"/>
            </w:tcBorders>
            <w:shd w:val="clear" w:color="000000" w:fill="FFFFFF"/>
            <w:noWrap/>
            <w:vAlign w:val="bottom"/>
            <w:hideMark/>
          </w:tcPr>
          <w:p w14:paraId="7FCEC313" w14:textId="77777777" w:rsidR="008978CE" w:rsidRPr="00504D7E" w:rsidRDefault="008978CE" w:rsidP="008978CE">
            <w:pPr>
              <w:jc w:val="center"/>
              <w:rPr>
                <w:color w:val="000000"/>
              </w:rPr>
            </w:pPr>
            <w:r w:rsidRPr="00504D7E">
              <w:rPr>
                <w:color w:val="000000"/>
                <w:sz w:val="22"/>
                <w:szCs w:val="22"/>
              </w:rPr>
              <w:t>3</w:t>
            </w:r>
          </w:p>
        </w:tc>
        <w:tc>
          <w:tcPr>
            <w:tcW w:w="780" w:type="dxa"/>
            <w:tcBorders>
              <w:top w:val="nil"/>
              <w:left w:val="nil"/>
              <w:bottom w:val="nil"/>
              <w:right w:val="nil"/>
            </w:tcBorders>
            <w:shd w:val="clear" w:color="000000" w:fill="FFFFFF"/>
            <w:noWrap/>
            <w:vAlign w:val="bottom"/>
            <w:hideMark/>
          </w:tcPr>
          <w:p w14:paraId="3A1EAC6F" w14:textId="77777777" w:rsidR="008978CE" w:rsidRPr="00504D7E" w:rsidRDefault="008978CE" w:rsidP="008978CE">
            <w:pPr>
              <w:jc w:val="center"/>
              <w:rPr>
                <w:color w:val="000000"/>
              </w:rPr>
            </w:pPr>
            <w:r w:rsidRPr="00504D7E">
              <w:rPr>
                <w:color w:val="000000"/>
                <w:sz w:val="22"/>
                <w:szCs w:val="22"/>
              </w:rPr>
              <w:t>228</w:t>
            </w:r>
          </w:p>
        </w:tc>
      </w:tr>
      <w:tr w:rsidR="008978CE" w:rsidRPr="00504D7E" w14:paraId="514C6265" w14:textId="77777777" w:rsidTr="008978CE">
        <w:trPr>
          <w:trHeight w:val="320"/>
        </w:trPr>
        <w:tc>
          <w:tcPr>
            <w:tcW w:w="4860" w:type="dxa"/>
            <w:tcBorders>
              <w:top w:val="nil"/>
              <w:left w:val="nil"/>
              <w:bottom w:val="nil"/>
              <w:right w:val="nil"/>
            </w:tcBorders>
            <w:shd w:val="clear" w:color="000000" w:fill="FFFFFF"/>
            <w:noWrap/>
            <w:vAlign w:val="center"/>
            <w:hideMark/>
          </w:tcPr>
          <w:p w14:paraId="6FA13C2B" w14:textId="77777777" w:rsidR="008978CE" w:rsidRPr="00504D7E" w:rsidRDefault="008978CE" w:rsidP="008978CE">
            <w:pPr>
              <w:rPr>
                <w:color w:val="000000"/>
                <w:sz w:val="20"/>
                <w:szCs w:val="20"/>
              </w:rPr>
            </w:pPr>
            <w:r w:rsidRPr="00504D7E">
              <w:rPr>
                <w:color w:val="000000"/>
                <w:sz w:val="20"/>
                <w:szCs w:val="20"/>
              </w:rPr>
              <w:t xml:space="preserve">Publishing, </w:t>
            </w:r>
            <w:proofErr w:type="spellStart"/>
            <w:r w:rsidRPr="00504D7E">
              <w:rPr>
                <w:color w:val="000000"/>
                <w:sz w:val="20"/>
                <w:szCs w:val="20"/>
              </w:rPr>
              <w:t>printing</w:t>
            </w:r>
            <w:proofErr w:type="spellEnd"/>
          </w:p>
        </w:tc>
        <w:tc>
          <w:tcPr>
            <w:tcW w:w="980" w:type="dxa"/>
            <w:tcBorders>
              <w:top w:val="nil"/>
              <w:left w:val="nil"/>
              <w:bottom w:val="nil"/>
              <w:right w:val="nil"/>
            </w:tcBorders>
            <w:shd w:val="clear" w:color="000000" w:fill="FFFFFF"/>
            <w:noWrap/>
            <w:vAlign w:val="bottom"/>
            <w:hideMark/>
          </w:tcPr>
          <w:p w14:paraId="178E3DFA"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46EC5924" w14:textId="77777777" w:rsidR="008978CE" w:rsidRPr="00504D7E" w:rsidRDefault="008978CE" w:rsidP="008978CE">
            <w:pPr>
              <w:jc w:val="center"/>
              <w:rPr>
                <w:color w:val="000000"/>
              </w:rPr>
            </w:pPr>
            <w:r w:rsidRPr="00504D7E">
              <w:rPr>
                <w:color w:val="000000"/>
                <w:sz w:val="22"/>
                <w:szCs w:val="22"/>
              </w:rPr>
              <w:t>17</w:t>
            </w:r>
          </w:p>
        </w:tc>
        <w:tc>
          <w:tcPr>
            <w:tcW w:w="980" w:type="dxa"/>
            <w:tcBorders>
              <w:top w:val="nil"/>
              <w:left w:val="nil"/>
              <w:bottom w:val="nil"/>
              <w:right w:val="nil"/>
            </w:tcBorders>
            <w:shd w:val="clear" w:color="000000" w:fill="FFFFFF"/>
            <w:noWrap/>
            <w:vAlign w:val="bottom"/>
            <w:hideMark/>
          </w:tcPr>
          <w:p w14:paraId="74249231" w14:textId="77777777" w:rsidR="008978CE" w:rsidRPr="00504D7E" w:rsidRDefault="008978CE" w:rsidP="008978CE">
            <w:pPr>
              <w:jc w:val="center"/>
              <w:rPr>
                <w:color w:val="000000"/>
              </w:rPr>
            </w:pPr>
            <w:r w:rsidRPr="00504D7E">
              <w:rPr>
                <w:color w:val="000000"/>
                <w:sz w:val="22"/>
                <w:szCs w:val="22"/>
              </w:rPr>
              <w:t>59.33</w:t>
            </w:r>
          </w:p>
        </w:tc>
        <w:tc>
          <w:tcPr>
            <w:tcW w:w="760" w:type="dxa"/>
            <w:tcBorders>
              <w:top w:val="nil"/>
              <w:left w:val="nil"/>
              <w:bottom w:val="nil"/>
              <w:right w:val="nil"/>
            </w:tcBorders>
            <w:shd w:val="clear" w:color="000000" w:fill="FFFFFF"/>
            <w:noWrap/>
            <w:vAlign w:val="bottom"/>
            <w:hideMark/>
          </w:tcPr>
          <w:p w14:paraId="3A095305" w14:textId="77777777" w:rsidR="008978CE" w:rsidRPr="00504D7E" w:rsidRDefault="008978CE" w:rsidP="008978CE">
            <w:pPr>
              <w:jc w:val="center"/>
              <w:rPr>
                <w:color w:val="000000"/>
              </w:rPr>
            </w:pPr>
            <w:r w:rsidRPr="00504D7E">
              <w:rPr>
                <w:color w:val="000000"/>
                <w:sz w:val="22"/>
                <w:szCs w:val="22"/>
              </w:rPr>
              <w:t>1</w:t>
            </w:r>
          </w:p>
        </w:tc>
        <w:tc>
          <w:tcPr>
            <w:tcW w:w="780" w:type="dxa"/>
            <w:tcBorders>
              <w:top w:val="nil"/>
              <w:left w:val="nil"/>
              <w:bottom w:val="nil"/>
              <w:right w:val="nil"/>
            </w:tcBorders>
            <w:shd w:val="clear" w:color="000000" w:fill="FFFFFF"/>
            <w:noWrap/>
            <w:vAlign w:val="bottom"/>
            <w:hideMark/>
          </w:tcPr>
          <w:p w14:paraId="12C2ABFA" w14:textId="77777777" w:rsidR="008978CE" w:rsidRPr="00504D7E" w:rsidRDefault="008978CE" w:rsidP="008978CE">
            <w:pPr>
              <w:jc w:val="center"/>
              <w:rPr>
                <w:color w:val="000000"/>
              </w:rPr>
            </w:pPr>
            <w:r w:rsidRPr="00504D7E">
              <w:rPr>
                <w:color w:val="000000"/>
                <w:sz w:val="22"/>
                <w:szCs w:val="22"/>
              </w:rPr>
              <w:t>652</w:t>
            </w:r>
          </w:p>
        </w:tc>
      </w:tr>
      <w:tr w:rsidR="008978CE" w:rsidRPr="00504D7E" w14:paraId="1EA03E16" w14:textId="77777777" w:rsidTr="008978CE">
        <w:trPr>
          <w:trHeight w:val="320"/>
        </w:trPr>
        <w:tc>
          <w:tcPr>
            <w:tcW w:w="4860" w:type="dxa"/>
            <w:tcBorders>
              <w:top w:val="nil"/>
              <w:left w:val="nil"/>
              <w:bottom w:val="nil"/>
              <w:right w:val="nil"/>
            </w:tcBorders>
            <w:shd w:val="clear" w:color="000000" w:fill="FFFFFF"/>
            <w:noWrap/>
            <w:vAlign w:val="center"/>
            <w:hideMark/>
          </w:tcPr>
          <w:p w14:paraId="7A67AEF4" w14:textId="77777777" w:rsidR="008978CE" w:rsidRPr="00504D7E" w:rsidRDefault="008978CE" w:rsidP="008978CE">
            <w:pPr>
              <w:rPr>
                <w:color w:val="000000"/>
                <w:sz w:val="20"/>
                <w:szCs w:val="20"/>
              </w:rPr>
            </w:pPr>
            <w:proofErr w:type="spellStart"/>
            <w:r w:rsidRPr="00504D7E">
              <w:rPr>
                <w:color w:val="000000"/>
                <w:sz w:val="20"/>
                <w:szCs w:val="20"/>
              </w:rPr>
              <w:t>Chemicals</w:t>
            </w:r>
            <w:proofErr w:type="spellEnd"/>
          </w:p>
        </w:tc>
        <w:tc>
          <w:tcPr>
            <w:tcW w:w="980" w:type="dxa"/>
            <w:tcBorders>
              <w:top w:val="nil"/>
              <w:left w:val="nil"/>
              <w:bottom w:val="nil"/>
              <w:right w:val="nil"/>
            </w:tcBorders>
            <w:shd w:val="clear" w:color="000000" w:fill="FFFFFF"/>
            <w:noWrap/>
            <w:vAlign w:val="bottom"/>
            <w:hideMark/>
          </w:tcPr>
          <w:p w14:paraId="76AFC6EA"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506EFE03" w14:textId="77777777" w:rsidR="008978CE" w:rsidRPr="00504D7E" w:rsidRDefault="008978CE" w:rsidP="008978CE">
            <w:pPr>
              <w:jc w:val="center"/>
              <w:rPr>
                <w:color w:val="000000"/>
              </w:rPr>
            </w:pPr>
            <w:r w:rsidRPr="00504D7E">
              <w:rPr>
                <w:color w:val="000000"/>
                <w:sz w:val="22"/>
                <w:szCs w:val="22"/>
              </w:rPr>
              <w:t>52</w:t>
            </w:r>
          </w:p>
        </w:tc>
        <w:tc>
          <w:tcPr>
            <w:tcW w:w="980" w:type="dxa"/>
            <w:tcBorders>
              <w:top w:val="nil"/>
              <w:left w:val="nil"/>
              <w:bottom w:val="nil"/>
              <w:right w:val="nil"/>
            </w:tcBorders>
            <w:shd w:val="clear" w:color="000000" w:fill="FFFFFF"/>
            <w:noWrap/>
            <w:vAlign w:val="bottom"/>
            <w:hideMark/>
          </w:tcPr>
          <w:p w14:paraId="4D138E6F" w14:textId="77777777" w:rsidR="008978CE" w:rsidRPr="00504D7E" w:rsidRDefault="008978CE" w:rsidP="008978CE">
            <w:pPr>
              <w:jc w:val="center"/>
              <w:rPr>
                <w:color w:val="000000"/>
              </w:rPr>
            </w:pPr>
            <w:r w:rsidRPr="00504D7E">
              <w:rPr>
                <w:color w:val="000000"/>
                <w:sz w:val="22"/>
                <w:szCs w:val="22"/>
              </w:rPr>
              <w:t>64.54</w:t>
            </w:r>
          </w:p>
        </w:tc>
        <w:tc>
          <w:tcPr>
            <w:tcW w:w="760" w:type="dxa"/>
            <w:tcBorders>
              <w:top w:val="nil"/>
              <w:left w:val="nil"/>
              <w:bottom w:val="nil"/>
              <w:right w:val="nil"/>
            </w:tcBorders>
            <w:shd w:val="clear" w:color="000000" w:fill="FFFFFF"/>
            <w:noWrap/>
            <w:vAlign w:val="bottom"/>
            <w:hideMark/>
          </w:tcPr>
          <w:p w14:paraId="024C0DE5" w14:textId="77777777" w:rsidR="008978CE" w:rsidRPr="00504D7E" w:rsidRDefault="008978CE" w:rsidP="008978CE">
            <w:pPr>
              <w:jc w:val="center"/>
              <w:rPr>
                <w:color w:val="000000"/>
              </w:rPr>
            </w:pPr>
            <w:r w:rsidRPr="00504D7E">
              <w:rPr>
                <w:color w:val="000000"/>
                <w:sz w:val="22"/>
                <w:szCs w:val="22"/>
              </w:rPr>
              <w:t>7</w:t>
            </w:r>
          </w:p>
        </w:tc>
        <w:tc>
          <w:tcPr>
            <w:tcW w:w="780" w:type="dxa"/>
            <w:tcBorders>
              <w:top w:val="nil"/>
              <w:left w:val="nil"/>
              <w:bottom w:val="nil"/>
              <w:right w:val="nil"/>
            </w:tcBorders>
            <w:shd w:val="clear" w:color="000000" w:fill="FFFFFF"/>
            <w:noWrap/>
            <w:vAlign w:val="bottom"/>
            <w:hideMark/>
          </w:tcPr>
          <w:p w14:paraId="3ABDCE4D" w14:textId="77777777" w:rsidR="008978CE" w:rsidRPr="00504D7E" w:rsidRDefault="008978CE" w:rsidP="008978CE">
            <w:pPr>
              <w:jc w:val="center"/>
              <w:rPr>
                <w:color w:val="000000"/>
              </w:rPr>
            </w:pPr>
            <w:r w:rsidRPr="00504D7E">
              <w:rPr>
                <w:color w:val="000000"/>
                <w:sz w:val="22"/>
                <w:szCs w:val="22"/>
              </w:rPr>
              <w:t>474</w:t>
            </w:r>
          </w:p>
        </w:tc>
      </w:tr>
      <w:tr w:rsidR="008978CE" w:rsidRPr="00504D7E" w14:paraId="45927565" w14:textId="77777777" w:rsidTr="008978CE">
        <w:trPr>
          <w:trHeight w:val="320"/>
        </w:trPr>
        <w:tc>
          <w:tcPr>
            <w:tcW w:w="4860" w:type="dxa"/>
            <w:tcBorders>
              <w:top w:val="nil"/>
              <w:left w:val="nil"/>
              <w:bottom w:val="nil"/>
              <w:right w:val="nil"/>
            </w:tcBorders>
            <w:shd w:val="clear" w:color="000000" w:fill="FFFFFF"/>
            <w:noWrap/>
            <w:vAlign w:val="center"/>
            <w:hideMark/>
          </w:tcPr>
          <w:p w14:paraId="047AA1DF" w14:textId="77777777" w:rsidR="008978CE" w:rsidRPr="00504D7E" w:rsidRDefault="008978CE" w:rsidP="008978CE">
            <w:pPr>
              <w:rPr>
                <w:color w:val="000000"/>
                <w:sz w:val="20"/>
                <w:szCs w:val="20"/>
              </w:rPr>
            </w:pPr>
            <w:proofErr w:type="spellStart"/>
            <w:r w:rsidRPr="00504D7E">
              <w:rPr>
                <w:color w:val="000000"/>
                <w:sz w:val="20"/>
                <w:szCs w:val="20"/>
              </w:rPr>
              <w:t>Rubber</w:t>
            </w:r>
            <w:proofErr w:type="spellEnd"/>
            <w:r w:rsidRPr="00504D7E">
              <w:rPr>
                <w:color w:val="000000"/>
                <w:sz w:val="20"/>
                <w:szCs w:val="20"/>
              </w:rPr>
              <w:t xml:space="preserve"> and </w:t>
            </w:r>
            <w:proofErr w:type="spellStart"/>
            <w:r w:rsidRPr="00504D7E">
              <w:rPr>
                <w:color w:val="000000"/>
                <w:sz w:val="20"/>
                <w:szCs w:val="20"/>
              </w:rPr>
              <w:t>plastics</w:t>
            </w:r>
            <w:proofErr w:type="spellEnd"/>
          </w:p>
        </w:tc>
        <w:tc>
          <w:tcPr>
            <w:tcW w:w="980" w:type="dxa"/>
            <w:tcBorders>
              <w:top w:val="nil"/>
              <w:left w:val="nil"/>
              <w:bottom w:val="nil"/>
              <w:right w:val="nil"/>
            </w:tcBorders>
            <w:shd w:val="clear" w:color="000000" w:fill="FFFFFF"/>
            <w:noWrap/>
            <w:vAlign w:val="bottom"/>
            <w:hideMark/>
          </w:tcPr>
          <w:p w14:paraId="6FA08D40"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7D57B4A7" w14:textId="77777777" w:rsidR="008978CE" w:rsidRPr="00504D7E" w:rsidRDefault="008978CE" w:rsidP="008978CE">
            <w:pPr>
              <w:jc w:val="center"/>
              <w:rPr>
                <w:color w:val="000000"/>
              </w:rPr>
            </w:pPr>
            <w:r w:rsidRPr="00504D7E">
              <w:rPr>
                <w:color w:val="000000"/>
                <w:sz w:val="22"/>
                <w:szCs w:val="22"/>
              </w:rPr>
              <w:t>29</w:t>
            </w:r>
          </w:p>
        </w:tc>
        <w:tc>
          <w:tcPr>
            <w:tcW w:w="980" w:type="dxa"/>
            <w:tcBorders>
              <w:top w:val="nil"/>
              <w:left w:val="nil"/>
              <w:bottom w:val="nil"/>
              <w:right w:val="nil"/>
            </w:tcBorders>
            <w:shd w:val="clear" w:color="000000" w:fill="FFFFFF"/>
            <w:noWrap/>
            <w:vAlign w:val="bottom"/>
            <w:hideMark/>
          </w:tcPr>
          <w:p w14:paraId="28BA53CB" w14:textId="77777777" w:rsidR="008978CE" w:rsidRPr="00504D7E" w:rsidRDefault="008978CE" w:rsidP="008978CE">
            <w:pPr>
              <w:jc w:val="center"/>
              <w:rPr>
                <w:color w:val="000000"/>
              </w:rPr>
            </w:pPr>
            <w:r w:rsidRPr="00504D7E">
              <w:rPr>
                <w:color w:val="000000"/>
                <w:sz w:val="22"/>
                <w:szCs w:val="22"/>
              </w:rPr>
              <w:t>22.18</w:t>
            </w:r>
          </w:p>
        </w:tc>
        <w:tc>
          <w:tcPr>
            <w:tcW w:w="760" w:type="dxa"/>
            <w:tcBorders>
              <w:top w:val="nil"/>
              <w:left w:val="nil"/>
              <w:bottom w:val="nil"/>
              <w:right w:val="nil"/>
            </w:tcBorders>
            <w:shd w:val="clear" w:color="000000" w:fill="FFFFFF"/>
            <w:noWrap/>
            <w:vAlign w:val="bottom"/>
            <w:hideMark/>
          </w:tcPr>
          <w:p w14:paraId="0F2D6698" w14:textId="77777777" w:rsidR="008978CE" w:rsidRPr="00504D7E" w:rsidRDefault="008978CE" w:rsidP="008978CE">
            <w:pPr>
              <w:jc w:val="center"/>
              <w:rPr>
                <w:color w:val="000000"/>
              </w:rPr>
            </w:pPr>
            <w:r w:rsidRPr="00504D7E">
              <w:rPr>
                <w:color w:val="000000"/>
                <w:sz w:val="22"/>
                <w:szCs w:val="22"/>
              </w:rPr>
              <w:t>7</w:t>
            </w:r>
          </w:p>
        </w:tc>
        <w:tc>
          <w:tcPr>
            <w:tcW w:w="780" w:type="dxa"/>
            <w:tcBorders>
              <w:top w:val="nil"/>
              <w:left w:val="nil"/>
              <w:bottom w:val="nil"/>
              <w:right w:val="nil"/>
            </w:tcBorders>
            <w:shd w:val="clear" w:color="000000" w:fill="FFFFFF"/>
            <w:noWrap/>
            <w:vAlign w:val="bottom"/>
            <w:hideMark/>
          </w:tcPr>
          <w:p w14:paraId="5BC59282" w14:textId="77777777" w:rsidR="008978CE" w:rsidRPr="00504D7E" w:rsidRDefault="008978CE" w:rsidP="008978CE">
            <w:pPr>
              <w:jc w:val="center"/>
              <w:rPr>
                <w:color w:val="000000"/>
              </w:rPr>
            </w:pPr>
            <w:r w:rsidRPr="00504D7E">
              <w:rPr>
                <w:color w:val="000000"/>
                <w:sz w:val="22"/>
                <w:szCs w:val="22"/>
              </w:rPr>
              <w:t>117</w:t>
            </w:r>
          </w:p>
        </w:tc>
      </w:tr>
      <w:tr w:rsidR="008978CE" w:rsidRPr="00504D7E" w14:paraId="5C0783F5" w14:textId="77777777" w:rsidTr="008978CE">
        <w:trPr>
          <w:trHeight w:val="320"/>
        </w:trPr>
        <w:tc>
          <w:tcPr>
            <w:tcW w:w="4860" w:type="dxa"/>
            <w:tcBorders>
              <w:top w:val="nil"/>
              <w:left w:val="nil"/>
              <w:bottom w:val="nil"/>
              <w:right w:val="nil"/>
            </w:tcBorders>
            <w:shd w:val="clear" w:color="000000" w:fill="FFFFFF"/>
            <w:vAlign w:val="center"/>
            <w:hideMark/>
          </w:tcPr>
          <w:p w14:paraId="1EAE7A50" w14:textId="77777777" w:rsidR="008978CE" w:rsidRPr="00504D7E" w:rsidRDefault="008978CE" w:rsidP="008978CE">
            <w:pPr>
              <w:rPr>
                <w:color w:val="000000"/>
                <w:sz w:val="20"/>
                <w:szCs w:val="20"/>
                <w:lang w:val="en-US"/>
              </w:rPr>
            </w:pPr>
            <w:r w:rsidRPr="00504D7E">
              <w:rPr>
                <w:color w:val="000000"/>
                <w:sz w:val="20"/>
                <w:szCs w:val="20"/>
                <w:lang w:val="en-US"/>
              </w:rPr>
              <w:t>Other non-metallic mineral products</w:t>
            </w:r>
          </w:p>
        </w:tc>
        <w:tc>
          <w:tcPr>
            <w:tcW w:w="980" w:type="dxa"/>
            <w:tcBorders>
              <w:top w:val="nil"/>
              <w:left w:val="nil"/>
              <w:bottom w:val="nil"/>
              <w:right w:val="nil"/>
            </w:tcBorders>
            <w:shd w:val="clear" w:color="000000" w:fill="FFFFFF"/>
            <w:noWrap/>
            <w:vAlign w:val="bottom"/>
            <w:hideMark/>
          </w:tcPr>
          <w:p w14:paraId="269701A4"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0A26BB5C" w14:textId="77777777" w:rsidR="008978CE" w:rsidRPr="00504D7E" w:rsidRDefault="008978CE" w:rsidP="008978CE">
            <w:pPr>
              <w:jc w:val="center"/>
              <w:rPr>
                <w:color w:val="000000"/>
              </w:rPr>
            </w:pPr>
            <w:r w:rsidRPr="00504D7E">
              <w:rPr>
                <w:color w:val="000000"/>
                <w:sz w:val="22"/>
                <w:szCs w:val="22"/>
              </w:rPr>
              <w:t>17</w:t>
            </w:r>
          </w:p>
        </w:tc>
        <w:tc>
          <w:tcPr>
            <w:tcW w:w="980" w:type="dxa"/>
            <w:tcBorders>
              <w:top w:val="nil"/>
              <w:left w:val="nil"/>
              <w:bottom w:val="nil"/>
              <w:right w:val="nil"/>
            </w:tcBorders>
            <w:shd w:val="clear" w:color="000000" w:fill="FFFFFF"/>
            <w:noWrap/>
            <w:vAlign w:val="bottom"/>
            <w:hideMark/>
          </w:tcPr>
          <w:p w14:paraId="0AEE768A" w14:textId="77777777" w:rsidR="008978CE" w:rsidRPr="00504D7E" w:rsidRDefault="008978CE" w:rsidP="008978CE">
            <w:pPr>
              <w:jc w:val="center"/>
              <w:rPr>
                <w:color w:val="000000"/>
              </w:rPr>
            </w:pPr>
            <w:r w:rsidRPr="00504D7E">
              <w:rPr>
                <w:color w:val="000000"/>
                <w:sz w:val="22"/>
                <w:szCs w:val="22"/>
              </w:rPr>
              <w:t>12.44</w:t>
            </w:r>
          </w:p>
        </w:tc>
        <w:tc>
          <w:tcPr>
            <w:tcW w:w="760" w:type="dxa"/>
            <w:tcBorders>
              <w:top w:val="nil"/>
              <w:left w:val="nil"/>
              <w:bottom w:val="nil"/>
              <w:right w:val="nil"/>
            </w:tcBorders>
            <w:shd w:val="clear" w:color="000000" w:fill="FFFFFF"/>
            <w:noWrap/>
            <w:vAlign w:val="bottom"/>
            <w:hideMark/>
          </w:tcPr>
          <w:p w14:paraId="794655DC" w14:textId="77777777" w:rsidR="008978CE" w:rsidRPr="00504D7E" w:rsidRDefault="008978CE" w:rsidP="008978CE">
            <w:pPr>
              <w:jc w:val="center"/>
              <w:rPr>
                <w:color w:val="000000"/>
              </w:rPr>
            </w:pPr>
            <w:r w:rsidRPr="00504D7E">
              <w:rPr>
                <w:color w:val="000000"/>
                <w:sz w:val="22"/>
                <w:szCs w:val="22"/>
              </w:rPr>
              <w:t>3</w:t>
            </w:r>
          </w:p>
        </w:tc>
        <w:tc>
          <w:tcPr>
            <w:tcW w:w="780" w:type="dxa"/>
            <w:tcBorders>
              <w:top w:val="nil"/>
              <w:left w:val="nil"/>
              <w:bottom w:val="nil"/>
              <w:right w:val="nil"/>
            </w:tcBorders>
            <w:shd w:val="clear" w:color="000000" w:fill="FFFFFF"/>
            <w:noWrap/>
            <w:vAlign w:val="bottom"/>
            <w:hideMark/>
          </w:tcPr>
          <w:p w14:paraId="1A58CEF0" w14:textId="77777777" w:rsidR="008978CE" w:rsidRPr="00504D7E" w:rsidRDefault="008978CE" w:rsidP="008978CE">
            <w:pPr>
              <w:jc w:val="center"/>
              <w:rPr>
                <w:color w:val="000000"/>
              </w:rPr>
            </w:pPr>
            <w:r w:rsidRPr="00504D7E">
              <w:rPr>
                <w:color w:val="000000"/>
                <w:sz w:val="22"/>
                <w:szCs w:val="22"/>
              </w:rPr>
              <w:t>69</w:t>
            </w:r>
          </w:p>
        </w:tc>
      </w:tr>
      <w:tr w:rsidR="008978CE" w:rsidRPr="00504D7E" w14:paraId="2CF3E9F8" w14:textId="77777777" w:rsidTr="008978CE">
        <w:trPr>
          <w:trHeight w:val="320"/>
        </w:trPr>
        <w:tc>
          <w:tcPr>
            <w:tcW w:w="4860" w:type="dxa"/>
            <w:tcBorders>
              <w:top w:val="nil"/>
              <w:left w:val="nil"/>
              <w:bottom w:val="nil"/>
              <w:right w:val="nil"/>
            </w:tcBorders>
            <w:shd w:val="clear" w:color="000000" w:fill="FFFFFF"/>
            <w:noWrap/>
            <w:vAlign w:val="center"/>
            <w:hideMark/>
          </w:tcPr>
          <w:p w14:paraId="275E45BE" w14:textId="77777777" w:rsidR="008978CE" w:rsidRPr="00504D7E" w:rsidRDefault="008978CE" w:rsidP="008978CE">
            <w:pPr>
              <w:rPr>
                <w:color w:val="000000"/>
                <w:sz w:val="20"/>
                <w:szCs w:val="20"/>
              </w:rPr>
            </w:pPr>
            <w:r w:rsidRPr="00504D7E">
              <w:rPr>
                <w:color w:val="000000"/>
                <w:sz w:val="20"/>
                <w:szCs w:val="20"/>
              </w:rPr>
              <w:t xml:space="preserve">Basic </w:t>
            </w:r>
            <w:proofErr w:type="spellStart"/>
            <w:r w:rsidRPr="00504D7E">
              <w:rPr>
                <w:color w:val="000000"/>
                <w:sz w:val="20"/>
                <w:szCs w:val="20"/>
              </w:rPr>
              <w:t>metals</w:t>
            </w:r>
            <w:proofErr w:type="spellEnd"/>
          </w:p>
        </w:tc>
        <w:tc>
          <w:tcPr>
            <w:tcW w:w="980" w:type="dxa"/>
            <w:tcBorders>
              <w:top w:val="nil"/>
              <w:left w:val="nil"/>
              <w:bottom w:val="nil"/>
              <w:right w:val="nil"/>
            </w:tcBorders>
            <w:shd w:val="clear" w:color="000000" w:fill="FFFFFF"/>
            <w:noWrap/>
            <w:vAlign w:val="bottom"/>
            <w:hideMark/>
          </w:tcPr>
          <w:p w14:paraId="66A6478A"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141357D8" w14:textId="77777777" w:rsidR="008978CE" w:rsidRPr="00504D7E" w:rsidRDefault="008978CE" w:rsidP="008978CE">
            <w:pPr>
              <w:jc w:val="center"/>
              <w:rPr>
                <w:color w:val="000000"/>
              </w:rPr>
            </w:pPr>
            <w:r w:rsidRPr="00504D7E">
              <w:rPr>
                <w:color w:val="000000"/>
                <w:sz w:val="22"/>
                <w:szCs w:val="22"/>
              </w:rPr>
              <w:t>74</w:t>
            </w:r>
          </w:p>
        </w:tc>
        <w:tc>
          <w:tcPr>
            <w:tcW w:w="980" w:type="dxa"/>
            <w:tcBorders>
              <w:top w:val="nil"/>
              <w:left w:val="nil"/>
              <w:bottom w:val="nil"/>
              <w:right w:val="nil"/>
            </w:tcBorders>
            <w:shd w:val="clear" w:color="000000" w:fill="FFFFFF"/>
            <w:noWrap/>
            <w:vAlign w:val="bottom"/>
            <w:hideMark/>
          </w:tcPr>
          <w:p w14:paraId="451DC3B9" w14:textId="77777777" w:rsidR="008978CE" w:rsidRPr="00504D7E" w:rsidRDefault="008978CE" w:rsidP="008978CE">
            <w:pPr>
              <w:jc w:val="center"/>
              <w:rPr>
                <w:color w:val="000000"/>
              </w:rPr>
            </w:pPr>
            <w:r w:rsidRPr="00504D7E">
              <w:rPr>
                <w:color w:val="000000"/>
                <w:sz w:val="22"/>
                <w:szCs w:val="22"/>
              </w:rPr>
              <w:t>74.74</w:t>
            </w:r>
          </w:p>
        </w:tc>
        <w:tc>
          <w:tcPr>
            <w:tcW w:w="760" w:type="dxa"/>
            <w:tcBorders>
              <w:top w:val="nil"/>
              <w:left w:val="nil"/>
              <w:bottom w:val="nil"/>
              <w:right w:val="nil"/>
            </w:tcBorders>
            <w:shd w:val="clear" w:color="000000" w:fill="FFFFFF"/>
            <w:noWrap/>
            <w:vAlign w:val="bottom"/>
            <w:hideMark/>
          </w:tcPr>
          <w:p w14:paraId="21EA6A46" w14:textId="77777777" w:rsidR="008978CE" w:rsidRPr="00504D7E" w:rsidRDefault="008978CE" w:rsidP="008978CE">
            <w:pPr>
              <w:jc w:val="center"/>
              <w:rPr>
                <w:color w:val="000000"/>
              </w:rPr>
            </w:pPr>
            <w:r w:rsidRPr="00504D7E">
              <w:rPr>
                <w:color w:val="000000"/>
                <w:sz w:val="22"/>
                <w:szCs w:val="22"/>
              </w:rPr>
              <w:t>3</w:t>
            </w:r>
          </w:p>
        </w:tc>
        <w:tc>
          <w:tcPr>
            <w:tcW w:w="780" w:type="dxa"/>
            <w:tcBorders>
              <w:top w:val="nil"/>
              <w:left w:val="nil"/>
              <w:bottom w:val="nil"/>
              <w:right w:val="nil"/>
            </w:tcBorders>
            <w:shd w:val="clear" w:color="000000" w:fill="FFFFFF"/>
            <w:noWrap/>
            <w:vAlign w:val="bottom"/>
            <w:hideMark/>
          </w:tcPr>
          <w:p w14:paraId="38FBBFA5" w14:textId="77777777" w:rsidR="008978CE" w:rsidRPr="00504D7E" w:rsidRDefault="008978CE" w:rsidP="008978CE">
            <w:pPr>
              <w:jc w:val="center"/>
              <w:rPr>
                <w:color w:val="000000"/>
              </w:rPr>
            </w:pPr>
            <w:r w:rsidRPr="00504D7E">
              <w:rPr>
                <w:color w:val="000000"/>
                <w:sz w:val="22"/>
                <w:szCs w:val="22"/>
              </w:rPr>
              <w:t>410</w:t>
            </w:r>
          </w:p>
        </w:tc>
      </w:tr>
      <w:tr w:rsidR="008978CE" w:rsidRPr="00504D7E" w14:paraId="1BA2A1F7" w14:textId="77777777" w:rsidTr="008978CE">
        <w:trPr>
          <w:trHeight w:val="320"/>
        </w:trPr>
        <w:tc>
          <w:tcPr>
            <w:tcW w:w="4860" w:type="dxa"/>
            <w:tcBorders>
              <w:top w:val="nil"/>
              <w:left w:val="nil"/>
              <w:bottom w:val="nil"/>
              <w:right w:val="nil"/>
            </w:tcBorders>
            <w:shd w:val="clear" w:color="000000" w:fill="FFFFFF"/>
            <w:noWrap/>
            <w:vAlign w:val="center"/>
            <w:hideMark/>
          </w:tcPr>
          <w:p w14:paraId="24639E72" w14:textId="77777777" w:rsidR="008978CE" w:rsidRPr="00504D7E" w:rsidRDefault="008978CE" w:rsidP="008978CE">
            <w:pPr>
              <w:rPr>
                <w:color w:val="000000"/>
                <w:sz w:val="20"/>
                <w:szCs w:val="20"/>
              </w:rPr>
            </w:pPr>
            <w:proofErr w:type="spellStart"/>
            <w:r w:rsidRPr="00504D7E">
              <w:rPr>
                <w:color w:val="000000"/>
                <w:sz w:val="20"/>
                <w:szCs w:val="20"/>
              </w:rPr>
              <w:t>Fabricated</w:t>
            </w:r>
            <w:proofErr w:type="spellEnd"/>
            <w:r w:rsidRPr="00504D7E">
              <w:rPr>
                <w:color w:val="000000"/>
                <w:sz w:val="20"/>
                <w:szCs w:val="20"/>
              </w:rPr>
              <w:t xml:space="preserve"> metal </w:t>
            </w:r>
            <w:proofErr w:type="spellStart"/>
            <w:r w:rsidRPr="00504D7E">
              <w:rPr>
                <w:color w:val="000000"/>
                <w:sz w:val="20"/>
                <w:szCs w:val="20"/>
              </w:rPr>
              <w:t>products</w:t>
            </w:r>
            <w:proofErr w:type="spellEnd"/>
          </w:p>
        </w:tc>
        <w:tc>
          <w:tcPr>
            <w:tcW w:w="980" w:type="dxa"/>
            <w:tcBorders>
              <w:top w:val="nil"/>
              <w:left w:val="nil"/>
              <w:bottom w:val="nil"/>
              <w:right w:val="nil"/>
            </w:tcBorders>
            <w:shd w:val="clear" w:color="000000" w:fill="FFFFFF"/>
            <w:noWrap/>
            <w:vAlign w:val="bottom"/>
            <w:hideMark/>
          </w:tcPr>
          <w:p w14:paraId="1CC23C9B"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629BBAD5" w14:textId="77777777" w:rsidR="008978CE" w:rsidRPr="00504D7E" w:rsidRDefault="008978CE" w:rsidP="008978CE">
            <w:pPr>
              <w:jc w:val="center"/>
              <w:rPr>
                <w:color w:val="000000"/>
              </w:rPr>
            </w:pPr>
            <w:r w:rsidRPr="00504D7E">
              <w:rPr>
                <w:color w:val="000000"/>
                <w:sz w:val="22"/>
                <w:szCs w:val="22"/>
              </w:rPr>
              <w:t>16</w:t>
            </w:r>
          </w:p>
        </w:tc>
        <w:tc>
          <w:tcPr>
            <w:tcW w:w="980" w:type="dxa"/>
            <w:tcBorders>
              <w:top w:val="nil"/>
              <w:left w:val="nil"/>
              <w:bottom w:val="nil"/>
              <w:right w:val="nil"/>
            </w:tcBorders>
            <w:shd w:val="clear" w:color="000000" w:fill="FFFFFF"/>
            <w:noWrap/>
            <w:vAlign w:val="bottom"/>
            <w:hideMark/>
          </w:tcPr>
          <w:p w14:paraId="0B5B63E2" w14:textId="77777777" w:rsidR="008978CE" w:rsidRPr="00504D7E" w:rsidRDefault="008978CE" w:rsidP="008978CE">
            <w:pPr>
              <w:jc w:val="center"/>
              <w:rPr>
                <w:color w:val="000000"/>
              </w:rPr>
            </w:pPr>
            <w:r w:rsidRPr="00504D7E">
              <w:rPr>
                <w:color w:val="000000"/>
                <w:sz w:val="22"/>
                <w:szCs w:val="22"/>
              </w:rPr>
              <w:t>19.73</w:t>
            </w:r>
          </w:p>
        </w:tc>
        <w:tc>
          <w:tcPr>
            <w:tcW w:w="760" w:type="dxa"/>
            <w:tcBorders>
              <w:top w:val="nil"/>
              <w:left w:val="nil"/>
              <w:bottom w:val="nil"/>
              <w:right w:val="nil"/>
            </w:tcBorders>
            <w:shd w:val="clear" w:color="000000" w:fill="FFFFFF"/>
            <w:noWrap/>
            <w:vAlign w:val="bottom"/>
            <w:hideMark/>
          </w:tcPr>
          <w:p w14:paraId="4C139B29" w14:textId="77777777" w:rsidR="008978CE" w:rsidRPr="00504D7E" w:rsidRDefault="008978CE" w:rsidP="008978CE">
            <w:pPr>
              <w:jc w:val="center"/>
              <w:rPr>
                <w:color w:val="000000"/>
              </w:rPr>
            </w:pPr>
            <w:r w:rsidRPr="00504D7E">
              <w:rPr>
                <w:color w:val="000000"/>
                <w:sz w:val="22"/>
                <w:szCs w:val="22"/>
              </w:rPr>
              <w:t>3</w:t>
            </w:r>
          </w:p>
        </w:tc>
        <w:tc>
          <w:tcPr>
            <w:tcW w:w="780" w:type="dxa"/>
            <w:tcBorders>
              <w:top w:val="nil"/>
              <w:left w:val="nil"/>
              <w:bottom w:val="nil"/>
              <w:right w:val="nil"/>
            </w:tcBorders>
            <w:shd w:val="clear" w:color="000000" w:fill="FFFFFF"/>
            <w:noWrap/>
            <w:vAlign w:val="bottom"/>
            <w:hideMark/>
          </w:tcPr>
          <w:p w14:paraId="2734475E" w14:textId="77777777" w:rsidR="008978CE" w:rsidRPr="00504D7E" w:rsidRDefault="008978CE" w:rsidP="008978CE">
            <w:pPr>
              <w:jc w:val="center"/>
              <w:rPr>
                <w:color w:val="000000"/>
              </w:rPr>
            </w:pPr>
            <w:r w:rsidRPr="00504D7E">
              <w:rPr>
                <w:color w:val="000000"/>
                <w:sz w:val="22"/>
                <w:szCs w:val="22"/>
              </w:rPr>
              <w:t>97</w:t>
            </w:r>
          </w:p>
        </w:tc>
      </w:tr>
      <w:tr w:rsidR="008978CE" w:rsidRPr="00504D7E" w14:paraId="6B09FAD7" w14:textId="77777777" w:rsidTr="008978CE">
        <w:trPr>
          <w:trHeight w:val="320"/>
        </w:trPr>
        <w:tc>
          <w:tcPr>
            <w:tcW w:w="4860" w:type="dxa"/>
            <w:tcBorders>
              <w:top w:val="nil"/>
              <w:left w:val="nil"/>
              <w:bottom w:val="nil"/>
              <w:right w:val="nil"/>
            </w:tcBorders>
            <w:shd w:val="clear" w:color="000000" w:fill="FFFFFF"/>
            <w:noWrap/>
            <w:vAlign w:val="center"/>
            <w:hideMark/>
          </w:tcPr>
          <w:p w14:paraId="492C38C7" w14:textId="77777777" w:rsidR="008978CE" w:rsidRPr="00504D7E" w:rsidRDefault="008978CE" w:rsidP="008978CE">
            <w:pPr>
              <w:rPr>
                <w:color w:val="000000"/>
                <w:sz w:val="20"/>
                <w:szCs w:val="20"/>
              </w:rPr>
            </w:pPr>
            <w:proofErr w:type="spellStart"/>
            <w:r w:rsidRPr="00504D7E">
              <w:rPr>
                <w:color w:val="000000"/>
                <w:sz w:val="20"/>
                <w:szCs w:val="20"/>
              </w:rPr>
              <w:t>Machinery</w:t>
            </w:r>
            <w:proofErr w:type="spellEnd"/>
            <w:r w:rsidRPr="00504D7E">
              <w:rPr>
                <w:color w:val="000000"/>
                <w:sz w:val="20"/>
                <w:szCs w:val="20"/>
              </w:rPr>
              <w:t xml:space="preserve"> and </w:t>
            </w:r>
            <w:proofErr w:type="spellStart"/>
            <w:r w:rsidRPr="00504D7E">
              <w:rPr>
                <w:color w:val="000000"/>
                <w:sz w:val="20"/>
                <w:szCs w:val="20"/>
              </w:rPr>
              <w:t>equipment</w:t>
            </w:r>
            <w:proofErr w:type="spellEnd"/>
          </w:p>
        </w:tc>
        <w:tc>
          <w:tcPr>
            <w:tcW w:w="980" w:type="dxa"/>
            <w:tcBorders>
              <w:top w:val="nil"/>
              <w:left w:val="nil"/>
              <w:bottom w:val="nil"/>
              <w:right w:val="nil"/>
            </w:tcBorders>
            <w:shd w:val="clear" w:color="000000" w:fill="FFFFFF"/>
            <w:noWrap/>
            <w:vAlign w:val="bottom"/>
            <w:hideMark/>
          </w:tcPr>
          <w:p w14:paraId="408AFF0A"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2F66E6D2" w14:textId="77777777" w:rsidR="008978CE" w:rsidRPr="00504D7E" w:rsidRDefault="008978CE" w:rsidP="008978CE">
            <w:pPr>
              <w:jc w:val="center"/>
              <w:rPr>
                <w:color w:val="000000"/>
              </w:rPr>
            </w:pPr>
            <w:r w:rsidRPr="00504D7E">
              <w:rPr>
                <w:color w:val="000000"/>
                <w:sz w:val="22"/>
                <w:szCs w:val="22"/>
              </w:rPr>
              <w:t>28</w:t>
            </w:r>
          </w:p>
        </w:tc>
        <w:tc>
          <w:tcPr>
            <w:tcW w:w="980" w:type="dxa"/>
            <w:tcBorders>
              <w:top w:val="nil"/>
              <w:left w:val="nil"/>
              <w:bottom w:val="nil"/>
              <w:right w:val="nil"/>
            </w:tcBorders>
            <w:shd w:val="clear" w:color="000000" w:fill="FFFFFF"/>
            <w:noWrap/>
            <w:vAlign w:val="bottom"/>
            <w:hideMark/>
          </w:tcPr>
          <w:p w14:paraId="19B1C502" w14:textId="77777777" w:rsidR="008978CE" w:rsidRPr="00504D7E" w:rsidRDefault="008978CE" w:rsidP="008978CE">
            <w:pPr>
              <w:jc w:val="center"/>
              <w:rPr>
                <w:color w:val="000000"/>
              </w:rPr>
            </w:pPr>
            <w:r w:rsidRPr="00504D7E">
              <w:rPr>
                <w:color w:val="000000"/>
                <w:sz w:val="22"/>
                <w:szCs w:val="22"/>
              </w:rPr>
              <w:t>31.38</w:t>
            </w:r>
          </w:p>
        </w:tc>
        <w:tc>
          <w:tcPr>
            <w:tcW w:w="760" w:type="dxa"/>
            <w:tcBorders>
              <w:top w:val="nil"/>
              <w:left w:val="nil"/>
              <w:bottom w:val="nil"/>
              <w:right w:val="nil"/>
            </w:tcBorders>
            <w:shd w:val="clear" w:color="000000" w:fill="FFFFFF"/>
            <w:noWrap/>
            <w:vAlign w:val="bottom"/>
            <w:hideMark/>
          </w:tcPr>
          <w:p w14:paraId="53DF927A" w14:textId="77777777" w:rsidR="008978CE" w:rsidRPr="00504D7E" w:rsidRDefault="008978CE" w:rsidP="008978CE">
            <w:pPr>
              <w:jc w:val="center"/>
              <w:rPr>
                <w:color w:val="000000"/>
              </w:rPr>
            </w:pPr>
            <w:r w:rsidRPr="00504D7E">
              <w:rPr>
                <w:color w:val="000000"/>
                <w:sz w:val="22"/>
                <w:szCs w:val="22"/>
              </w:rPr>
              <w:t>5</w:t>
            </w:r>
          </w:p>
        </w:tc>
        <w:tc>
          <w:tcPr>
            <w:tcW w:w="780" w:type="dxa"/>
            <w:tcBorders>
              <w:top w:val="nil"/>
              <w:left w:val="nil"/>
              <w:bottom w:val="nil"/>
              <w:right w:val="nil"/>
            </w:tcBorders>
            <w:shd w:val="clear" w:color="000000" w:fill="FFFFFF"/>
            <w:noWrap/>
            <w:vAlign w:val="bottom"/>
            <w:hideMark/>
          </w:tcPr>
          <w:p w14:paraId="4303275D" w14:textId="77777777" w:rsidR="008978CE" w:rsidRPr="00504D7E" w:rsidRDefault="008978CE" w:rsidP="008978CE">
            <w:pPr>
              <w:jc w:val="center"/>
              <w:rPr>
                <w:color w:val="000000"/>
              </w:rPr>
            </w:pPr>
            <w:r w:rsidRPr="00504D7E">
              <w:rPr>
                <w:color w:val="000000"/>
                <w:sz w:val="22"/>
                <w:szCs w:val="22"/>
              </w:rPr>
              <w:t>169</w:t>
            </w:r>
          </w:p>
        </w:tc>
      </w:tr>
      <w:tr w:rsidR="008978CE" w:rsidRPr="00504D7E" w14:paraId="495DA94B" w14:textId="77777777" w:rsidTr="008978CE">
        <w:trPr>
          <w:trHeight w:val="320"/>
        </w:trPr>
        <w:tc>
          <w:tcPr>
            <w:tcW w:w="4860" w:type="dxa"/>
            <w:tcBorders>
              <w:top w:val="nil"/>
              <w:left w:val="nil"/>
              <w:bottom w:val="nil"/>
              <w:right w:val="nil"/>
            </w:tcBorders>
            <w:shd w:val="clear" w:color="000000" w:fill="FFFFFF"/>
            <w:noWrap/>
            <w:vAlign w:val="center"/>
            <w:hideMark/>
          </w:tcPr>
          <w:p w14:paraId="78E9050F" w14:textId="77777777" w:rsidR="008978CE" w:rsidRPr="00504D7E" w:rsidRDefault="008978CE" w:rsidP="008978CE">
            <w:pPr>
              <w:rPr>
                <w:color w:val="000000"/>
                <w:sz w:val="20"/>
                <w:szCs w:val="20"/>
              </w:rPr>
            </w:pPr>
            <w:r w:rsidRPr="00504D7E">
              <w:rPr>
                <w:color w:val="000000"/>
                <w:sz w:val="20"/>
                <w:szCs w:val="20"/>
              </w:rPr>
              <w:t xml:space="preserve">Office </w:t>
            </w:r>
            <w:proofErr w:type="spellStart"/>
            <w:r w:rsidRPr="00504D7E">
              <w:rPr>
                <w:color w:val="000000"/>
                <w:sz w:val="20"/>
                <w:szCs w:val="20"/>
              </w:rPr>
              <w:t>machinery</w:t>
            </w:r>
            <w:proofErr w:type="spellEnd"/>
            <w:r w:rsidRPr="00504D7E">
              <w:rPr>
                <w:color w:val="000000"/>
                <w:sz w:val="20"/>
                <w:szCs w:val="20"/>
              </w:rPr>
              <w:t xml:space="preserve"> and </w:t>
            </w:r>
            <w:proofErr w:type="spellStart"/>
            <w:r w:rsidRPr="00504D7E">
              <w:rPr>
                <w:color w:val="000000"/>
                <w:sz w:val="20"/>
                <w:szCs w:val="20"/>
              </w:rPr>
              <w:t>computers</w:t>
            </w:r>
            <w:proofErr w:type="spellEnd"/>
          </w:p>
        </w:tc>
        <w:tc>
          <w:tcPr>
            <w:tcW w:w="980" w:type="dxa"/>
            <w:tcBorders>
              <w:top w:val="nil"/>
              <w:left w:val="nil"/>
              <w:bottom w:val="nil"/>
              <w:right w:val="nil"/>
            </w:tcBorders>
            <w:shd w:val="clear" w:color="000000" w:fill="FFFFFF"/>
            <w:noWrap/>
            <w:vAlign w:val="bottom"/>
            <w:hideMark/>
          </w:tcPr>
          <w:p w14:paraId="1E741380"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661CE380" w14:textId="77777777" w:rsidR="008978CE" w:rsidRPr="00504D7E" w:rsidRDefault="008978CE" w:rsidP="008978CE">
            <w:pPr>
              <w:jc w:val="center"/>
              <w:rPr>
                <w:color w:val="000000"/>
              </w:rPr>
            </w:pPr>
            <w:r w:rsidRPr="00504D7E">
              <w:rPr>
                <w:color w:val="000000"/>
                <w:sz w:val="22"/>
                <w:szCs w:val="22"/>
              </w:rPr>
              <w:t>34</w:t>
            </w:r>
          </w:p>
        </w:tc>
        <w:tc>
          <w:tcPr>
            <w:tcW w:w="980" w:type="dxa"/>
            <w:tcBorders>
              <w:top w:val="nil"/>
              <w:left w:val="nil"/>
              <w:bottom w:val="nil"/>
              <w:right w:val="nil"/>
            </w:tcBorders>
            <w:shd w:val="clear" w:color="000000" w:fill="FFFFFF"/>
            <w:noWrap/>
            <w:vAlign w:val="bottom"/>
            <w:hideMark/>
          </w:tcPr>
          <w:p w14:paraId="7D5082B5" w14:textId="77777777" w:rsidR="008978CE" w:rsidRPr="00504D7E" w:rsidRDefault="008978CE" w:rsidP="008978CE">
            <w:pPr>
              <w:jc w:val="center"/>
              <w:rPr>
                <w:color w:val="000000"/>
              </w:rPr>
            </w:pPr>
            <w:r w:rsidRPr="00504D7E">
              <w:rPr>
                <w:color w:val="000000"/>
                <w:sz w:val="22"/>
                <w:szCs w:val="22"/>
              </w:rPr>
              <w:t>107.51</w:t>
            </w:r>
          </w:p>
        </w:tc>
        <w:tc>
          <w:tcPr>
            <w:tcW w:w="760" w:type="dxa"/>
            <w:tcBorders>
              <w:top w:val="nil"/>
              <w:left w:val="nil"/>
              <w:bottom w:val="nil"/>
              <w:right w:val="nil"/>
            </w:tcBorders>
            <w:shd w:val="clear" w:color="000000" w:fill="FFFFFF"/>
            <w:noWrap/>
            <w:vAlign w:val="bottom"/>
            <w:hideMark/>
          </w:tcPr>
          <w:p w14:paraId="14B35876" w14:textId="77777777" w:rsidR="008978CE" w:rsidRPr="00504D7E" w:rsidRDefault="008978CE" w:rsidP="008978CE">
            <w:pPr>
              <w:jc w:val="center"/>
              <w:rPr>
                <w:color w:val="000000"/>
              </w:rPr>
            </w:pPr>
            <w:r w:rsidRPr="00504D7E">
              <w:rPr>
                <w:color w:val="000000"/>
                <w:sz w:val="22"/>
                <w:szCs w:val="22"/>
              </w:rPr>
              <w:t>1</w:t>
            </w:r>
          </w:p>
        </w:tc>
        <w:tc>
          <w:tcPr>
            <w:tcW w:w="780" w:type="dxa"/>
            <w:tcBorders>
              <w:top w:val="nil"/>
              <w:left w:val="nil"/>
              <w:bottom w:val="nil"/>
              <w:right w:val="nil"/>
            </w:tcBorders>
            <w:shd w:val="clear" w:color="000000" w:fill="FFFFFF"/>
            <w:noWrap/>
            <w:vAlign w:val="bottom"/>
            <w:hideMark/>
          </w:tcPr>
          <w:p w14:paraId="3F556056" w14:textId="77777777" w:rsidR="008978CE" w:rsidRPr="00504D7E" w:rsidRDefault="008978CE" w:rsidP="008978CE">
            <w:pPr>
              <w:jc w:val="center"/>
              <w:rPr>
                <w:color w:val="000000"/>
              </w:rPr>
            </w:pPr>
            <w:r w:rsidRPr="00504D7E">
              <w:rPr>
                <w:color w:val="000000"/>
                <w:sz w:val="22"/>
                <w:szCs w:val="22"/>
              </w:rPr>
              <w:t>1142</w:t>
            </w:r>
          </w:p>
        </w:tc>
      </w:tr>
      <w:tr w:rsidR="008978CE" w:rsidRPr="00504D7E" w14:paraId="511F7960" w14:textId="77777777" w:rsidTr="008978CE">
        <w:trPr>
          <w:trHeight w:val="320"/>
        </w:trPr>
        <w:tc>
          <w:tcPr>
            <w:tcW w:w="4860" w:type="dxa"/>
            <w:tcBorders>
              <w:top w:val="nil"/>
              <w:left w:val="nil"/>
              <w:bottom w:val="nil"/>
              <w:right w:val="nil"/>
            </w:tcBorders>
            <w:shd w:val="clear" w:color="000000" w:fill="FFFFFF"/>
            <w:noWrap/>
            <w:vAlign w:val="center"/>
            <w:hideMark/>
          </w:tcPr>
          <w:p w14:paraId="29348B39" w14:textId="77777777" w:rsidR="008978CE" w:rsidRPr="00504D7E" w:rsidRDefault="008978CE" w:rsidP="008978CE">
            <w:pPr>
              <w:rPr>
                <w:color w:val="000000"/>
                <w:sz w:val="20"/>
                <w:szCs w:val="20"/>
                <w:lang w:val="en-US"/>
              </w:rPr>
            </w:pPr>
            <w:r w:rsidRPr="00504D7E">
              <w:rPr>
                <w:color w:val="000000"/>
                <w:sz w:val="20"/>
                <w:szCs w:val="20"/>
                <w:lang w:val="en-US"/>
              </w:rPr>
              <w:t xml:space="preserve">Electrical machinery and apparatus </w:t>
            </w:r>
            <w:proofErr w:type="spellStart"/>
            <w:r w:rsidRPr="00504D7E">
              <w:rPr>
                <w:color w:val="000000"/>
                <w:sz w:val="20"/>
                <w:szCs w:val="20"/>
                <w:lang w:val="en-US"/>
              </w:rPr>
              <w:t>n.e.c</w:t>
            </w:r>
            <w:proofErr w:type="spellEnd"/>
            <w:r w:rsidRPr="00504D7E">
              <w:rPr>
                <w:color w:val="000000"/>
                <w:sz w:val="20"/>
                <w:szCs w:val="20"/>
                <w:lang w:val="en-US"/>
              </w:rPr>
              <w:t>.</w:t>
            </w:r>
          </w:p>
        </w:tc>
        <w:tc>
          <w:tcPr>
            <w:tcW w:w="980" w:type="dxa"/>
            <w:tcBorders>
              <w:top w:val="nil"/>
              <w:left w:val="nil"/>
              <w:bottom w:val="nil"/>
              <w:right w:val="nil"/>
            </w:tcBorders>
            <w:shd w:val="clear" w:color="000000" w:fill="FFFFFF"/>
            <w:noWrap/>
            <w:vAlign w:val="bottom"/>
            <w:hideMark/>
          </w:tcPr>
          <w:p w14:paraId="5FCDCF8A"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759FC60F" w14:textId="77777777" w:rsidR="008978CE" w:rsidRPr="00504D7E" w:rsidRDefault="008978CE" w:rsidP="008978CE">
            <w:pPr>
              <w:jc w:val="center"/>
              <w:rPr>
                <w:color w:val="000000"/>
              </w:rPr>
            </w:pPr>
            <w:r w:rsidRPr="00504D7E">
              <w:rPr>
                <w:color w:val="000000"/>
                <w:sz w:val="22"/>
                <w:szCs w:val="22"/>
              </w:rPr>
              <w:t>40</w:t>
            </w:r>
          </w:p>
        </w:tc>
        <w:tc>
          <w:tcPr>
            <w:tcW w:w="980" w:type="dxa"/>
            <w:tcBorders>
              <w:top w:val="nil"/>
              <w:left w:val="nil"/>
              <w:bottom w:val="nil"/>
              <w:right w:val="nil"/>
            </w:tcBorders>
            <w:shd w:val="clear" w:color="000000" w:fill="FFFFFF"/>
            <w:noWrap/>
            <w:vAlign w:val="bottom"/>
            <w:hideMark/>
          </w:tcPr>
          <w:p w14:paraId="0D7E20FE" w14:textId="77777777" w:rsidR="008978CE" w:rsidRPr="00504D7E" w:rsidRDefault="008978CE" w:rsidP="008978CE">
            <w:pPr>
              <w:jc w:val="center"/>
              <w:rPr>
                <w:color w:val="000000"/>
              </w:rPr>
            </w:pPr>
            <w:r w:rsidRPr="00504D7E">
              <w:rPr>
                <w:color w:val="000000"/>
                <w:sz w:val="22"/>
                <w:szCs w:val="22"/>
              </w:rPr>
              <w:t>47.56</w:t>
            </w:r>
          </w:p>
        </w:tc>
        <w:tc>
          <w:tcPr>
            <w:tcW w:w="760" w:type="dxa"/>
            <w:tcBorders>
              <w:top w:val="nil"/>
              <w:left w:val="nil"/>
              <w:bottom w:val="nil"/>
              <w:right w:val="nil"/>
            </w:tcBorders>
            <w:shd w:val="clear" w:color="000000" w:fill="FFFFFF"/>
            <w:noWrap/>
            <w:vAlign w:val="bottom"/>
            <w:hideMark/>
          </w:tcPr>
          <w:p w14:paraId="3AC46759" w14:textId="77777777" w:rsidR="008978CE" w:rsidRPr="00504D7E" w:rsidRDefault="008978CE" w:rsidP="008978CE">
            <w:pPr>
              <w:jc w:val="center"/>
              <w:rPr>
                <w:color w:val="000000"/>
              </w:rPr>
            </w:pPr>
            <w:r w:rsidRPr="00504D7E">
              <w:rPr>
                <w:color w:val="000000"/>
                <w:sz w:val="22"/>
                <w:szCs w:val="22"/>
              </w:rPr>
              <w:t>2</w:t>
            </w:r>
          </w:p>
        </w:tc>
        <w:tc>
          <w:tcPr>
            <w:tcW w:w="780" w:type="dxa"/>
            <w:tcBorders>
              <w:top w:val="nil"/>
              <w:left w:val="nil"/>
              <w:bottom w:val="nil"/>
              <w:right w:val="nil"/>
            </w:tcBorders>
            <w:shd w:val="clear" w:color="000000" w:fill="FFFFFF"/>
            <w:noWrap/>
            <w:vAlign w:val="bottom"/>
            <w:hideMark/>
          </w:tcPr>
          <w:p w14:paraId="1BBD8837" w14:textId="77777777" w:rsidR="008978CE" w:rsidRPr="00504D7E" w:rsidRDefault="008978CE" w:rsidP="008978CE">
            <w:pPr>
              <w:jc w:val="center"/>
              <w:rPr>
                <w:color w:val="000000"/>
              </w:rPr>
            </w:pPr>
            <w:r w:rsidRPr="00504D7E">
              <w:rPr>
                <w:color w:val="000000"/>
                <w:sz w:val="22"/>
                <w:szCs w:val="22"/>
              </w:rPr>
              <w:t>265</w:t>
            </w:r>
          </w:p>
        </w:tc>
      </w:tr>
      <w:tr w:rsidR="008978CE" w:rsidRPr="00504D7E" w14:paraId="0DB36053" w14:textId="77777777" w:rsidTr="008978CE">
        <w:trPr>
          <w:trHeight w:val="300"/>
        </w:trPr>
        <w:tc>
          <w:tcPr>
            <w:tcW w:w="4860" w:type="dxa"/>
            <w:tcBorders>
              <w:top w:val="nil"/>
              <w:left w:val="nil"/>
              <w:bottom w:val="nil"/>
              <w:right w:val="nil"/>
            </w:tcBorders>
            <w:shd w:val="clear" w:color="000000" w:fill="FFFFFF"/>
            <w:vAlign w:val="center"/>
            <w:hideMark/>
          </w:tcPr>
          <w:p w14:paraId="3F803815" w14:textId="77777777" w:rsidR="008978CE" w:rsidRPr="00504D7E" w:rsidRDefault="008978CE" w:rsidP="008978CE">
            <w:pPr>
              <w:rPr>
                <w:color w:val="000000"/>
                <w:sz w:val="20"/>
                <w:szCs w:val="20"/>
                <w:lang w:val="en-US"/>
              </w:rPr>
            </w:pPr>
            <w:r w:rsidRPr="00504D7E">
              <w:rPr>
                <w:color w:val="000000"/>
                <w:sz w:val="20"/>
                <w:szCs w:val="20"/>
                <w:lang w:val="en-US"/>
              </w:rPr>
              <w:t>Radio, television and communication equipment</w:t>
            </w:r>
          </w:p>
        </w:tc>
        <w:tc>
          <w:tcPr>
            <w:tcW w:w="980" w:type="dxa"/>
            <w:tcBorders>
              <w:top w:val="nil"/>
              <w:left w:val="nil"/>
              <w:bottom w:val="nil"/>
              <w:right w:val="nil"/>
            </w:tcBorders>
            <w:shd w:val="clear" w:color="000000" w:fill="FFFFFF"/>
            <w:noWrap/>
            <w:vAlign w:val="bottom"/>
            <w:hideMark/>
          </w:tcPr>
          <w:p w14:paraId="34F46029"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1E19D944" w14:textId="77777777" w:rsidR="008978CE" w:rsidRPr="00504D7E" w:rsidRDefault="008978CE" w:rsidP="008978CE">
            <w:pPr>
              <w:jc w:val="center"/>
              <w:rPr>
                <w:color w:val="000000"/>
              </w:rPr>
            </w:pPr>
            <w:r w:rsidRPr="00504D7E">
              <w:rPr>
                <w:color w:val="000000"/>
                <w:sz w:val="22"/>
                <w:szCs w:val="22"/>
              </w:rPr>
              <w:t>39</w:t>
            </w:r>
          </w:p>
        </w:tc>
        <w:tc>
          <w:tcPr>
            <w:tcW w:w="980" w:type="dxa"/>
            <w:tcBorders>
              <w:top w:val="nil"/>
              <w:left w:val="nil"/>
              <w:bottom w:val="nil"/>
              <w:right w:val="nil"/>
            </w:tcBorders>
            <w:shd w:val="clear" w:color="000000" w:fill="FFFFFF"/>
            <w:noWrap/>
            <w:vAlign w:val="bottom"/>
            <w:hideMark/>
          </w:tcPr>
          <w:p w14:paraId="60B0CD68" w14:textId="77777777" w:rsidR="008978CE" w:rsidRPr="00504D7E" w:rsidRDefault="008978CE" w:rsidP="008978CE">
            <w:pPr>
              <w:jc w:val="center"/>
              <w:rPr>
                <w:color w:val="000000"/>
              </w:rPr>
            </w:pPr>
            <w:r w:rsidRPr="00504D7E">
              <w:rPr>
                <w:color w:val="000000"/>
                <w:sz w:val="22"/>
                <w:szCs w:val="22"/>
              </w:rPr>
              <w:t>60.10</w:t>
            </w:r>
          </w:p>
        </w:tc>
        <w:tc>
          <w:tcPr>
            <w:tcW w:w="760" w:type="dxa"/>
            <w:tcBorders>
              <w:top w:val="nil"/>
              <w:left w:val="nil"/>
              <w:bottom w:val="nil"/>
              <w:right w:val="nil"/>
            </w:tcBorders>
            <w:shd w:val="clear" w:color="000000" w:fill="FFFFFF"/>
            <w:noWrap/>
            <w:vAlign w:val="bottom"/>
            <w:hideMark/>
          </w:tcPr>
          <w:p w14:paraId="79C50876" w14:textId="77777777" w:rsidR="008978CE" w:rsidRPr="00504D7E" w:rsidRDefault="008978CE" w:rsidP="008978CE">
            <w:pPr>
              <w:jc w:val="center"/>
              <w:rPr>
                <w:color w:val="000000"/>
              </w:rPr>
            </w:pPr>
            <w:r w:rsidRPr="00504D7E">
              <w:rPr>
                <w:color w:val="000000"/>
                <w:sz w:val="22"/>
                <w:szCs w:val="22"/>
              </w:rPr>
              <w:t>1</w:t>
            </w:r>
          </w:p>
        </w:tc>
        <w:tc>
          <w:tcPr>
            <w:tcW w:w="780" w:type="dxa"/>
            <w:tcBorders>
              <w:top w:val="nil"/>
              <w:left w:val="nil"/>
              <w:bottom w:val="nil"/>
              <w:right w:val="nil"/>
            </w:tcBorders>
            <w:shd w:val="clear" w:color="000000" w:fill="FFFFFF"/>
            <w:noWrap/>
            <w:vAlign w:val="bottom"/>
            <w:hideMark/>
          </w:tcPr>
          <w:p w14:paraId="16E29679" w14:textId="77777777" w:rsidR="008978CE" w:rsidRPr="00504D7E" w:rsidRDefault="008978CE" w:rsidP="008978CE">
            <w:pPr>
              <w:jc w:val="center"/>
              <w:rPr>
                <w:color w:val="000000"/>
              </w:rPr>
            </w:pPr>
            <w:r w:rsidRPr="00504D7E">
              <w:rPr>
                <w:color w:val="000000"/>
                <w:sz w:val="22"/>
                <w:szCs w:val="22"/>
              </w:rPr>
              <w:t>544</w:t>
            </w:r>
          </w:p>
        </w:tc>
      </w:tr>
      <w:tr w:rsidR="008978CE" w:rsidRPr="00504D7E" w14:paraId="3D733507" w14:textId="77777777" w:rsidTr="008978CE">
        <w:trPr>
          <w:trHeight w:val="480"/>
        </w:trPr>
        <w:tc>
          <w:tcPr>
            <w:tcW w:w="4860" w:type="dxa"/>
            <w:tcBorders>
              <w:top w:val="nil"/>
              <w:left w:val="nil"/>
              <w:bottom w:val="nil"/>
              <w:right w:val="nil"/>
            </w:tcBorders>
            <w:shd w:val="clear" w:color="000000" w:fill="FFFFFF"/>
            <w:vAlign w:val="center"/>
            <w:hideMark/>
          </w:tcPr>
          <w:p w14:paraId="358304C1" w14:textId="77777777" w:rsidR="008978CE" w:rsidRPr="00504D7E" w:rsidRDefault="008978CE" w:rsidP="008978CE">
            <w:pPr>
              <w:rPr>
                <w:color w:val="000000"/>
                <w:sz w:val="20"/>
                <w:szCs w:val="20"/>
                <w:lang w:val="en-US"/>
              </w:rPr>
            </w:pPr>
            <w:r w:rsidRPr="00504D7E">
              <w:rPr>
                <w:color w:val="000000"/>
                <w:sz w:val="20"/>
                <w:szCs w:val="20"/>
                <w:lang w:val="en-US"/>
              </w:rPr>
              <w:t>Medical, precision and optical instruments, watches and clocks</w:t>
            </w:r>
          </w:p>
        </w:tc>
        <w:tc>
          <w:tcPr>
            <w:tcW w:w="980" w:type="dxa"/>
            <w:tcBorders>
              <w:top w:val="nil"/>
              <w:left w:val="nil"/>
              <w:bottom w:val="nil"/>
              <w:right w:val="nil"/>
            </w:tcBorders>
            <w:shd w:val="clear" w:color="000000" w:fill="FFFFFF"/>
            <w:noWrap/>
            <w:vAlign w:val="bottom"/>
            <w:hideMark/>
          </w:tcPr>
          <w:p w14:paraId="7E5A2737"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639F77A4" w14:textId="77777777" w:rsidR="008978CE" w:rsidRPr="00504D7E" w:rsidRDefault="008978CE" w:rsidP="008978CE">
            <w:pPr>
              <w:jc w:val="center"/>
              <w:rPr>
                <w:color w:val="000000"/>
              </w:rPr>
            </w:pPr>
            <w:r w:rsidRPr="00504D7E">
              <w:rPr>
                <w:color w:val="000000"/>
                <w:sz w:val="22"/>
                <w:szCs w:val="22"/>
              </w:rPr>
              <w:t>16</w:t>
            </w:r>
          </w:p>
        </w:tc>
        <w:tc>
          <w:tcPr>
            <w:tcW w:w="980" w:type="dxa"/>
            <w:tcBorders>
              <w:top w:val="nil"/>
              <w:left w:val="nil"/>
              <w:bottom w:val="nil"/>
              <w:right w:val="nil"/>
            </w:tcBorders>
            <w:shd w:val="clear" w:color="000000" w:fill="FFFFFF"/>
            <w:noWrap/>
            <w:vAlign w:val="bottom"/>
            <w:hideMark/>
          </w:tcPr>
          <w:p w14:paraId="77BDC8C8" w14:textId="77777777" w:rsidR="008978CE" w:rsidRPr="00504D7E" w:rsidRDefault="008978CE" w:rsidP="008978CE">
            <w:pPr>
              <w:jc w:val="center"/>
              <w:rPr>
                <w:color w:val="000000"/>
              </w:rPr>
            </w:pPr>
            <w:r w:rsidRPr="00504D7E">
              <w:rPr>
                <w:color w:val="000000"/>
                <w:sz w:val="22"/>
                <w:szCs w:val="22"/>
              </w:rPr>
              <w:t>23.01</w:t>
            </w:r>
          </w:p>
        </w:tc>
        <w:tc>
          <w:tcPr>
            <w:tcW w:w="760" w:type="dxa"/>
            <w:tcBorders>
              <w:top w:val="nil"/>
              <w:left w:val="nil"/>
              <w:bottom w:val="nil"/>
              <w:right w:val="nil"/>
            </w:tcBorders>
            <w:shd w:val="clear" w:color="000000" w:fill="FFFFFF"/>
            <w:noWrap/>
            <w:vAlign w:val="bottom"/>
            <w:hideMark/>
          </w:tcPr>
          <w:p w14:paraId="46CCAAAD" w14:textId="77777777" w:rsidR="008978CE" w:rsidRPr="00504D7E" w:rsidRDefault="008978CE" w:rsidP="008978CE">
            <w:pPr>
              <w:jc w:val="center"/>
              <w:rPr>
                <w:color w:val="000000"/>
              </w:rPr>
            </w:pPr>
            <w:r w:rsidRPr="00504D7E">
              <w:rPr>
                <w:color w:val="000000"/>
                <w:sz w:val="22"/>
                <w:szCs w:val="22"/>
              </w:rPr>
              <w:t>2</w:t>
            </w:r>
          </w:p>
        </w:tc>
        <w:tc>
          <w:tcPr>
            <w:tcW w:w="780" w:type="dxa"/>
            <w:tcBorders>
              <w:top w:val="nil"/>
              <w:left w:val="nil"/>
              <w:bottom w:val="nil"/>
              <w:right w:val="nil"/>
            </w:tcBorders>
            <w:shd w:val="clear" w:color="000000" w:fill="FFFFFF"/>
            <w:noWrap/>
            <w:vAlign w:val="bottom"/>
            <w:hideMark/>
          </w:tcPr>
          <w:p w14:paraId="34BC78CE" w14:textId="77777777" w:rsidR="008978CE" w:rsidRPr="00504D7E" w:rsidRDefault="008978CE" w:rsidP="008978CE">
            <w:pPr>
              <w:jc w:val="center"/>
              <w:rPr>
                <w:color w:val="000000"/>
              </w:rPr>
            </w:pPr>
            <w:r w:rsidRPr="00504D7E">
              <w:rPr>
                <w:color w:val="000000"/>
                <w:sz w:val="22"/>
                <w:szCs w:val="22"/>
              </w:rPr>
              <w:t>136</w:t>
            </w:r>
          </w:p>
        </w:tc>
      </w:tr>
      <w:tr w:rsidR="008978CE" w:rsidRPr="00504D7E" w14:paraId="30BFC1C1" w14:textId="77777777" w:rsidTr="008978CE">
        <w:trPr>
          <w:trHeight w:val="320"/>
        </w:trPr>
        <w:tc>
          <w:tcPr>
            <w:tcW w:w="4860" w:type="dxa"/>
            <w:tcBorders>
              <w:top w:val="nil"/>
              <w:left w:val="nil"/>
              <w:bottom w:val="nil"/>
              <w:right w:val="nil"/>
            </w:tcBorders>
            <w:shd w:val="clear" w:color="000000" w:fill="FFFFFF"/>
            <w:vAlign w:val="center"/>
            <w:hideMark/>
          </w:tcPr>
          <w:p w14:paraId="07C61E3F" w14:textId="77777777" w:rsidR="008978CE" w:rsidRPr="00504D7E" w:rsidRDefault="008978CE" w:rsidP="008978CE">
            <w:pPr>
              <w:rPr>
                <w:color w:val="000000"/>
                <w:sz w:val="20"/>
                <w:szCs w:val="20"/>
              </w:rPr>
            </w:pPr>
            <w:r w:rsidRPr="00504D7E">
              <w:rPr>
                <w:color w:val="000000"/>
                <w:sz w:val="20"/>
                <w:szCs w:val="20"/>
              </w:rPr>
              <w:t xml:space="preserve">Motor </w:t>
            </w:r>
            <w:proofErr w:type="spellStart"/>
            <w:r w:rsidRPr="00504D7E">
              <w:rPr>
                <w:color w:val="000000"/>
                <w:sz w:val="20"/>
                <w:szCs w:val="20"/>
              </w:rPr>
              <w:t>vehicles</w:t>
            </w:r>
            <w:proofErr w:type="spellEnd"/>
          </w:p>
        </w:tc>
        <w:tc>
          <w:tcPr>
            <w:tcW w:w="980" w:type="dxa"/>
            <w:tcBorders>
              <w:top w:val="nil"/>
              <w:left w:val="nil"/>
              <w:bottom w:val="nil"/>
              <w:right w:val="nil"/>
            </w:tcBorders>
            <w:shd w:val="clear" w:color="000000" w:fill="FFFFFF"/>
            <w:noWrap/>
            <w:vAlign w:val="bottom"/>
            <w:hideMark/>
          </w:tcPr>
          <w:p w14:paraId="5682FC0D"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7A0C5C28" w14:textId="77777777" w:rsidR="008978CE" w:rsidRPr="00504D7E" w:rsidRDefault="008978CE" w:rsidP="008978CE">
            <w:pPr>
              <w:jc w:val="center"/>
              <w:rPr>
                <w:color w:val="000000"/>
              </w:rPr>
            </w:pPr>
            <w:r w:rsidRPr="00504D7E">
              <w:rPr>
                <w:color w:val="000000"/>
                <w:sz w:val="22"/>
                <w:szCs w:val="22"/>
              </w:rPr>
              <w:t>114</w:t>
            </w:r>
          </w:p>
        </w:tc>
        <w:tc>
          <w:tcPr>
            <w:tcW w:w="980" w:type="dxa"/>
            <w:tcBorders>
              <w:top w:val="nil"/>
              <w:left w:val="nil"/>
              <w:bottom w:val="nil"/>
              <w:right w:val="nil"/>
            </w:tcBorders>
            <w:shd w:val="clear" w:color="000000" w:fill="FFFFFF"/>
            <w:noWrap/>
            <w:vAlign w:val="bottom"/>
            <w:hideMark/>
          </w:tcPr>
          <w:p w14:paraId="473857C7" w14:textId="77777777" w:rsidR="008978CE" w:rsidRPr="00504D7E" w:rsidRDefault="008978CE" w:rsidP="008978CE">
            <w:pPr>
              <w:jc w:val="center"/>
              <w:rPr>
                <w:color w:val="000000"/>
              </w:rPr>
            </w:pPr>
            <w:r w:rsidRPr="00504D7E">
              <w:rPr>
                <w:color w:val="000000"/>
                <w:sz w:val="22"/>
                <w:szCs w:val="22"/>
              </w:rPr>
              <w:t>180.53</w:t>
            </w:r>
          </w:p>
        </w:tc>
        <w:tc>
          <w:tcPr>
            <w:tcW w:w="760" w:type="dxa"/>
            <w:tcBorders>
              <w:top w:val="nil"/>
              <w:left w:val="nil"/>
              <w:bottom w:val="nil"/>
              <w:right w:val="nil"/>
            </w:tcBorders>
            <w:shd w:val="clear" w:color="000000" w:fill="FFFFFF"/>
            <w:noWrap/>
            <w:vAlign w:val="bottom"/>
            <w:hideMark/>
          </w:tcPr>
          <w:p w14:paraId="578C40D6" w14:textId="77777777" w:rsidR="008978CE" w:rsidRPr="00504D7E" w:rsidRDefault="008978CE" w:rsidP="008978CE">
            <w:pPr>
              <w:jc w:val="center"/>
              <w:rPr>
                <w:color w:val="000000"/>
              </w:rPr>
            </w:pPr>
            <w:r w:rsidRPr="00504D7E">
              <w:rPr>
                <w:color w:val="000000"/>
                <w:sz w:val="22"/>
                <w:szCs w:val="22"/>
              </w:rPr>
              <w:t>4</w:t>
            </w:r>
          </w:p>
        </w:tc>
        <w:tc>
          <w:tcPr>
            <w:tcW w:w="780" w:type="dxa"/>
            <w:tcBorders>
              <w:top w:val="nil"/>
              <w:left w:val="nil"/>
              <w:bottom w:val="nil"/>
              <w:right w:val="nil"/>
            </w:tcBorders>
            <w:shd w:val="clear" w:color="000000" w:fill="FFFFFF"/>
            <w:noWrap/>
            <w:vAlign w:val="bottom"/>
            <w:hideMark/>
          </w:tcPr>
          <w:p w14:paraId="3AA03FE3" w14:textId="77777777" w:rsidR="008978CE" w:rsidRPr="00504D7E" w:rsidRDefault="008978CE" w:rsidP="008978CE">
            <w:pPr>
              <w:jc w:val="center"/>
              <w:rPr>
                <w:color w:val="000000"/>
              </w:rPr>
            </w:pPr>
            <w:r w:rsidRPr="00504D7E">
              <w:rPr>
                <w:color w:val="000000"/>
                <w:sz w:val="22"/>
                <w:szCs w:val="22"/>
              </w:rPr>
              <w:t>1492</w:t>
            </w:r>
          </w:p>
        </w:tc>
      </w:tr>
      <w:tr w:rsidR="008978CE" w:rsidRPr="00504D7E" w14:paraId="2C2124C7" w14:textId="77777777" w:rsidTr="008978CE">
        <w:trPr>
          <w:trHeight w:val="320"/>
        </w:trPr>
        <w:tc>
          <w:tcPr>
            <w:tcW w:w="4860" w:type="dxa"/>
            <w:tcBorders>
              <w:top w:val="nil"/>
              <w:left w:val="nil"/>
              <w:bottom w:val="nil"/>
              <w:right w:val="nil"/>
            </w:tcBorders>
            <w:shd w:val="clear" w:color="000000" w:fill="FFFFFF"/>
            <w:noWrap/>
            <w:vAlign w:val="center"/>
            <w:hideMark/>
          </w:tcPr>
          <w:p w14:paraId="4778DE3B" w14:textId="77777777" w:rsidR="008978CE" w:rsidRPr="00504D7E" w:rsidRDefault="008978CE" w:rsidP="008978CE">
            <w:pPr>
              <w:rPr>
                <w:color w:val="000000"/>
                <w:sz w:val="20"/>
                <w:szCs w:val="20"/>
              </w:rPr>
            </w:pPr>
            <w:proofErr w:type="spellStart"/>
            <w:r w:rsidRPr="00504D7E">
              <w:rPr>
                <w:color w:val="000000"/>
                <w:sz w:val="20"/>
                <w:szCs w:val="20"/>
              </w:rPr>
              <w:t>Other</w:t>
            </w:r>
            <w:proofErr w:type="spellEnd"/>
            <w:r w:rsidRPr="00504D7E">
              <w:rPr>
                <w:color w:val="000000"/>
                <w:sz w:val="20"/>
                <w:szCs w:val="20"/>
              </w:rPr>
              <w:t xml:space="preserve"> </w:t>
            </w:r>
            <w:proofErr w:type="spellStart"/>
            <w:r w:rsidRPr="00504D7E">
              <w:rPr>
                <w:color w:val="000000"/>
                <w:sz w:val="20"/>
                <w:szCs w:val="20"/>
              </w:rPr>
              <w:t>transport</w:t>
            </w:r>
            <w:proofErr w:type="spellEnd"/>
            <w:r w:rsidRPr="00504D7E">
              <w:rPr>
                <w:color w:val="000000"/>
                <w:sz w:val="20"/>
                <w:szCs w:val="20"/>
              </w:rPr>
              <w:t xml:space="preserve"> </w:t>
            </w:r>
            <w:proofErr w:type="spellStart"/>
            <w:r w:rsidRPr="00504D7E">
              <w:rPr>
                <w:color w:val="000000"/>
                <w:sz w:val="20"/>
                <w:szCs w:val="20"/>
              </w:rPr>
              <w:t>equipment</w:t>
            </w:r>
            <w:proofErr w:type="spellEnd"/>
          </w:p>
        </w:tc>
        <w:tc>
          <w:tcPr>
            <w:tcW w:w="980" w:type="dxa"/>
            <w:tcBorders>
              <w:top w:val="nil"/>
              <w:left w:val="nil"/>
              <w:bottom w:val="nil"/>
              <w:right w:val="nil"/>
            </w:tcBorders>
            <w:shd w:val="clear" w:color="000000" w:fill="FFFFFF"/>
            <w:noWrap/>
            <w:vAlign w:val="bottom"/>
            <w:hideMark/>
          </w:tcPr>
          <w:p w14:paraId="02F26477"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2804D358" w14:textId="77777777" w:rsidR="008978CE" w:rsidRPr="00504D7E" w:rsidRDefault="008978CE" w:rsidP="008978CE">
            <w:pPr>
              <w:jc w:val="center"/>
              <w:rPr>
                <w:color w:val="000000"/>
              </w:rPr>
            </w:pPr>
            <w:r w:rsidRPr="00504D7E">
              <w:rPr>
                <w:color w:val="000000"/>
                <w:sz w:val="22"/>
                <w:szCs w:val="22"/>
              </w:rPr>
              <w:t>61</w:t>
            </w:r>
          </w:p>
        </w:tc>
        <w:tc>
          <w:tcPr>
            <w:tcW w:w="980" w:type="dxa"/>
            <w:tcBorders>
              <w:top w:val="nil"/>
              <w:left w:val="nil"/>
              <w:bottom w:val="nil"/>
              <w:right w:val="nil"/>
            </w:tcBorders>
            <w:shd w:val="clear" w:color="000000" w:fill="FFFFFF"/>
            <w:noWrap/>
            <w:vAlign w:val="bottom"/>
            <w:hideMark/>
          </w:tcPr>
          <w:p w14:paraId="5C2C8D98" w14:textId="77777777" w:rsidR="008978CE" w:rsidRPr="00504D7E" w:rsidRDefault="008978CE" w:rsidP="008978CE">
            <w:pPr>
              <w:jc w:val="center"/>
              <w:rPr>
                <w:color w:val="000000"/>
              </w:rPr>
            </w:pPr>
            <w:r w:rsidRPr="00504D7E">
              <w:rPr>
                <w:color w:val="000000"/>
                <w:sz w:val="22"/>
                <w:szCs w:val="22"/>
              </w:rPr>
              <w:t>84.88</w:t>
            </w:r>
          </w:p>
        </w:tc>
        <w:tc>
          <w:tcPr>
            <w:tcW w:w="760" w:type="dxa"/>
            <w:tcBorders>
              <w:top w:val="nil"/>
              <w:left w:val="nil"/>
              <w:bottom w:val="nil"/>
              <w:right w:val="nil"/>
            </w:tcBorders>
            <w:shd w:val="clear" w:color="000000" w:fill="FFFFFF"/>
            <w:noWrap/>
            <w:vAlign w:val="bottom"/>
            <w:hideMark/>
          </w:tcPr>
          <w:p w14:paraId="3440DAA9" w14:textId="77777777" w:rsidR="008978CE" w:rsidRPr="00504D7E" w:rsidRDefault="008978CE" w:rsidP="008978CE">
            <w:pPr>
              <w:jc w:val="center"/>
              <w:rPr>
                <w:color w:val="000000"/>
              </w:rPr>
            </w:pPr>
            <w:r w:rsidRPr="00504D7E">
              <w:rPr>
                <w:color w:val="000000"/>
                <w:sz w:val="22"/>
                <w:szCs w:val="22"/>
              </w:rPr>
              <w:t>1</w:t>
            </w:r>
          </w:p>
        </w:tc>
        <w:tc>
          <w:tcPr>
            <w:tcW w:w="780" w:type="dxa"/>
            <w:tcBorders>
              <w:top w:val="nil"/>
              <w:left w:val="nil"/>
              <w:bottom w:val="nil"/>
              <w:right w:val="nil"/>
            </w:tcBorders>
            <w:shd w:val="clear" w:color="000000" w:fill="FFFFFF"/>
            <w:noWrap/>
            <w:vAlign w:val="bottom"/>
            <w:hideMark/>
          </w:tcPr>
          <w:p w14:paraId="37114216" w14:textId="77777777" w:rsidR="008978CE" w:rsidRPr="00504D7E" w:rsidRDefault="008978CE" w:rsidP="008978CE">
            <w:pPr>
              <w:jc w:val="center"/>
              <w:rPr>
                <w:color w:val="000000"/>
              </w:rPr>
            </w:pPr>
            <w:r w:rsidRPr="00504D7E">
              <w:rPr>
                <w:color w:val="000000"/>
                <w:sz w:val="22"/>
                <w:szCs w:val="22"/>
              </w:rPr>
              <w:t>720</w:t>
            </w:r>
          </w:p>
        </w:tc>
      </w:tr>
      <w:tr w:rsidR="008978CE" w:rsidRPr="00504D7E" w14:paraId="130519E2" w14:textId="77777777" w:rsidTr="008978CE">
        <w:trPr>
          <w:trHeight w:val="320"/>
        </w:trPr>
        <w:tc>
          <w:tcPr>
            <w:tcW w:w="4860" w:type="dxa"/>
            <w:tcBorders>
              <w:top w:val="nil"/>
              <w:left w:val="nil"/>
              <w:bottom w:val="nil"/>
              <w:right w:val="nil"/>
            </w:tcBorders>
            <w:shd w:val="clear" w:color="000000" w:fill="FFFFFF"/>
            <w:noWrap/>
            <w:vAlign w:val="center"/>
            <w:hideMark/>
          </w:tcPr>
          <w:p w14:paraId="0E8CB785" w14:textId="77777777" w:rsidR="008978CE" w:rsidRPr="00504D7E" w:rsidRDefault="008978CE" w:rsidP="008978CE">
            <w:pPr>
              <w:rPr>
                <w:color w:val="000000"/>
                <w:sz w:val="20"/>
                <w:szCs w:val="20"/>
                <w:lang w:val="en-US"/>
              </w:rPr>
            </w:pPr>
            <w:r w:rsidRPr="00504D7E">
              <w:rPr>
                <w:color w:val="000000"/>
                <w:sz w:val="20"/>
                <w:szCs w:val="20"/>
                <w:lang w:val="en-US"/>
              </w:rPr>
              <w:t xml:space="preserve">Furniture; manufacturing </w:t>
            </w:r>
            <w:proofErr w:type="spellStart"/>
            <w:r w:rsidRPr="00504D7E">
              <w:rPr>
                <w:color w:val="000000"/>
                <w:sz w:val="20"/>
                <w:szCs w:val="20"/>
                <w:lang w:val="en-US"/>
              </w:rPr>
              <w:t>n.e.c</w:t>
            </w:r>
            <w:proofErr w:type="spellEnd"/>
            <w:r w:rsidRPr="00504D7E">
              <w:rPr>
                <w:color w:val="000000"/>
                <w:sz w:val="20"/>
                <w:szCs w:val="20"/>
                <w:lang w:val="en-US"/>
              </w:rPr>
              <w:t>.</w:t>
            </w:r>
          </w:p>
        </w:tc>
        <w:tc>
          <w:tcPr>
            <w:tcW w:w="980" w:type="dxa"/>
            <w:tcBorders>
              <w:top w:val="nil"/>
              <w:left w:val="nil"/>
              <w:bottom w:val="nil"/>
              <w:right w:val="nil"/>
            </w:tcBorders>
            <w:shd w:val="clear" w:color="000000" w:fill="FFFFFF"/>
            <w:noWrap/>
            <w:vAlign w:val="bottom"/>
            <w:hideMark/>
          </w:tcPr>
          <w:p w14:paraId="476918E5"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nil"/>
              <w:right w:val="nil"/>
            </w:tcBorders>
            <w:shd w:val="clear" w:color="000000" w:fill="FFFFFF"/>
            <w:noWrap/>
            <w:vAlign w:val="bottom"/>
            <w:hideMark/>
          </w:tcPr>
          <w:p w14:paraId="25ECF025" w14:textId="77777777" w:rsidR="008978CE" w:rsidRPr="00504D7E" w:rsidRDefault="008978CE" w:rsidP="008978CE">
            <w:pPr>
              <w:jc w:val="center"/>
              <w:rPr>
                <w:color w:val="000000"/>
              </w:rPr>
            </w:pPr>
            <w:r w:rsidRPr="00504D7E">
              <w:rPr>
                <w:color w:val="000000"/>
                <w:sz w:val="22"/>
                <w:szCs w:val="22"/>
              </w:rPr>
              <w:t>14</w:t>
            </w:r>
          </w:p>
        </w:tc>
        <w:tc>
          <w:tcPr>
            <w:tcW w:w="980" w:type="dxa"/>
            <w:tcBorders>
              <w:top w:val="nil"/>
              <w:left w:val="nil"/>
              <w:bottom w:val="nil"/>
              <w:right w:val="nil"/>
            </w:tcBorders>
            <w:shd w:val="clear" w:color="000000" w:fill="FFFFFF"/>
            <w:noWrap/>
            <w:vAlign w:val="bottom"/>
            <w:hideMark/>
          </w:tcPr>
          <w:p w14:paraId="0DC584F3" w14:textId="77777777" w:rsidR="008978CE" w:rsidRPr="00504D7E" w:rsidRDefault="008978CE" w:rsidP="008978CE">
            <w:pPr>
              <w:jc w:val="center"/>
              <w:rPr>
                <w:color w:val="000000"/>
              </w:rPr>
            </w:pPr>
            <w:r w:rsidRPr="00504D7E">
              <w:rPr>
                <w:color w:val="000000"/>
                <w:sz w:val="22"/>
                <w:szCs w:val="22"/>
              </w:rPr>
              <w:t>21.24</w:t>
            </w:r>
          </w:p>
        </w:tc>
        <w:tc>
          <w:tcPr>
            <w:tcW w:w="760" w:type="dxa"/>
            <w:tcBorders>
              <w:top w:val="nil"/>
              <w:left w:val="nil"/>
              <w:bottom w:val="nil"/>
              <w:right w:val="nil"/>
            </w:tcBorders>
            <w:shd w:val="clear" w:color="000000" w:fill="FFFFFF"/>
            <w:noWrap/>
            <w:vAlign w:val="bottom"/>
            <w:hideMark/>
          </w:tcPr>
          <w:p w14:paraId="6D8A1905" w14:textId="77777777" w:rsidR="008978CE" w:rsidRPr="00504D7E" w:rsidRDefault="008978CE" w:rsidP="008978CE">
            <w:pPr>
              <w:jc w:val="center"/>
              <w:rPr>
                <w:color w:val="000000"/>
              </w:rPr>
            </w:pPr>
            <w:r w:rsidRPr="00504D7E">
              <w:rPr>
                <w:color w:val="000000"/>
                <w:sz w:val="22"/>
                <w:szCs w:val="22"/>
              </w:rPr>
              <w:t>2</w:t>
            </w:r>
          </w:p>
        </w:tc>
        <w:tc>
          <w:tcPr>
            <w:tcW w:w="780" w:type="dxa"/>
            <w:tcBorders>
              <w:top w:val="nil"/>
              <w:left w:val="nil"/>
              <w:bottom w:val="nil"/>
              <w:right w:val="nil"/>
            </w:tcBorders>
            <w:shd w:val="clear" w:color="000000" w:fill="FFFFFF"/>
            <w:noWrap/>
            <w:vAlign w:val="bottom"/>
            <w:hideMark/>
          </w:tcPr>
          <w:p w14:paraId="65EEBE3D" w14:textId="77777777" w:rsidR="008978CE" w:rsidRPr="00504D7E" w:rsidRDefault="008978CE" w:rsidP="008978CE">
            <w:pPr>
              <w:jc w:val="center"/>
              <w:rPr>
                <w:color w:val="000000"/>
              </w:rPr>
            </w:pPr>
            <w:r w:rsidRPr="00504D7E">
              <w:rPr>
                <w:color w:val="000000"/>
                <w:sz w:val="22"/>
                <w:szCs w:val="22"/>
              </w:rPr>
              <w:t>117</w:t>
            </w:r>
          </w:p>
        </w:tc>
      </w:tr>
      <w:tr w:rsidR="008978CE" w:rsidRPr="00504D7E" w14:paraId="1376BF08" w14:textId="77777777" w:rsidTr="008978CE">
        <w:trPr>
          <w:trHeight w:val="320"/>
        </w:trPr>
        <w:tc>
          <w:tcPr>
            <w:tcW w:w="4860" w:type="dxa"/>
            <w:tcBorders>
              <w:top w:val="nil"/>
              <w:left w:val="nil"/>
              <w:bottom w:val="single" w:sz="4" w:space="0" w:color="auto"/>
              <w:right w:val="nil"/>
            </w:tcBorders>
            <w:shd w:val="clear" w:color="000000" w:fill="FFFFFF"/>
            <w:noWrap/>
            <w:vAlign w:val="center"/>
            <w:hideMark/>
          </w:tcPr>
          <w:p w14:paraId="45BE9FE9" w14:textId="77777777" w:rsidR="008978CE" w:rsidRPr="00504D7E" w:rsidRDefault="008978CE" w:rsidP="008978CE">
            <w:pPr>
              <w:rPr>
                <w:color w:val="000000"/>
                <w:sz w:val="20"/>
                <w:szCs w:val="20"/>
              </w:rPr>
            </w:pPr>
            <w:proofErr w:type="spellStart"/>
            <w:r w:rsidRPr="00504D7E">
              <w:rPr>
                <w:color w:val="000000"/>
                <w:sz w:val="20"/>
                <w:szCs w:val="20"/>
              </w:rPr>
              <w:t>Recycling</w:t>
            </w:r>
            <w:proofErr w:type="spellEnd"/>
          </w:p>
        </w:tc>
        <w:tc>
          <w:tcPr>
            <w:tcW w:w="980" w:type="dxa"/>
            <w:tcBorders>
              <w:top w:val="nil"/>
              <w:left w:val="nil"/>
              <w:bottom w:val="single" w:sz="4" w:space="0" w:color="auto"/>
              <w:right w:val="nil"/>
            </w:tcBorders>
            <w:shd w:val="clear" w:color="000000" w:fill="FFFFFF"/>
            <w:noWrap/>
            <w:vAlign w:val="bottom"/>
            <w:hideMark/>
          </w:tcPr>
          <w:p w14:paraId="3D0978F3"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single" w:sz="4" w:space="0" w:color="auto"/>
              <w:right w:val="nil"/>
            </w:tcBorders>
            <w:shd w:val="clear" w:color="000000" w:fill="FFFFFF"/>
            <w:noWrap/>
            <w:vAlign w:val="bottom"/>
            <w:hideMark/>
          </w:tcPr>
          <w:p w14:paraId="2F71CACF" w14:textId="77777777" w:rsidR="008978CE" w:rsidRPr="00504D7E" w:rsidRDefault="008978CE" w:rsidP="008978CE">
            <w:pPr>
              <w:jc w:val="center"/>
              <w:rPr>
                <w:color w:val="000000"/>
              </w:rPr>
            </w:pPr>
            <w:r w:rsidRPr="00504D7E">
              <w:rPr>
                <w:color w:val="000000"/>
                <w:sz w:val="22"/>
                <w:szCs w:val="22"/>
              </w:rPr>
              <w:t>11</w:t>
            </w:r>
          </w:p>
        </w:tc>
        <w:tc>
          <w:tcPr>
            <w:tcW w:w="980" w:type="dxa"/>
            <w:tcBorders>
              <w:top w:val="nil"/>
              <w:left w:val="nil"/>
              <w:bottom w:val="single" w:sz="4" w:space="0" w:color="auto"/>
              <w:right w:val="nil"/>
            </w:tcBorders>
            <w:shd w:val="clear" w:color="000000" w:fill="FFFFFF"/>
            <w:noWrap/>
            <w:vAlign w:val="bottom"/>
            <w:hideMark/>
          </w:tcPr>
          <w:p w14:paraId="3B7E3A72" w14:textId="77777777" w:rsidR="008978CE" w:rsidRPr="00504D7E" w:rsidRDefault="008978CE" w:rsidP="008978CE">
            <w:pPr>
              <w:jc w:val="center"/>
              <w:rPr>
                <w:color w:val="000000"/>
              </w:rPr>
            </w:pPr>
            <w:r w:rsidRPr="00504D7E">
              <w:rPr>
                <w:color w:val="000000"/>
                <w:sz w:val="22"/>
                <w:szCs w:val="22"/>
              </w:rPr>
              <w:t>11.24</w:t>
            </w:r>
          </w:p>
        </w:tc>
        <w:tc>
          <w:tcPr>
            <w:tcW w:w="760" w:type="dxa"/>
            <w:tcBorders>
              <w:top w:val="nil"/>
              <w:left w:val="nil"/>
              <w:bottom w:val="single" w:sz="4" w:space="0" w:color="auto"/>
              <w:right w:val="nil"/>
            </w:tcBorders>
            <w:shd w:val="clear" w:color="000000" w:fill="FFFFFF"/>
            <w:noWrap/>
            <w:vAlign w:val="bottom"/>
            <w:hideMark/>
          </w:tcPr>
          <w:p w14:paraId="7494F9AF" w14:textId="77777777" w:rsidR="008978CE" w:rsidRPr="00504D7E" w:rsidRDefault="008978CE" w:rsidP="008978CE">
            <w:pPr>
              <w:jc w:val="center"/>
              <w:rPr>
                <w:color w:val="000000"/>
              </w:rPr>
            </w:pPr>
            <w:r w:rsidRPr="00504D7E">
              <w:rPr>
                <w:color w:val="000000"/>
                <w:sz w:val="22"/>
                <w:szCs w:val="22"/>
              </w:rPr>
              <w:t>3</w:t>
            </w:r>
          </w:p>
        </w:tc>
        <w:tc>
          <w:tcPr>
            <w:tcW w:w="780" w:type="dxa"/>
            <w:tcBorders>
              <w:top w:val="nil"/>
              <w:left w:val="nil"/>
              <w:bottom w:val="single" w:sz="4" w:space="0" w:color="auto"/>
              <w:right w:val="nil"/>
            </w:tcBorders>
            <w:shd w:val="clear" w:color="000000" w:fill="FFFFFF"/>
            <w:noWrap/>
            <w:vAlign w:val="bottom"/>
            <w:hideMark/>
          </w:tcPr>
          <w:p w14:paraId="123B995A" w14:textId="77777777" w:rsidR="008978CE" w:rsidRPr="00504D7E" w:rsidRDefault="008978CE" w:rsidP="008978CE">
            <w:pPr>
              <w:jc w:val="center"/>
              <w:rPr>
                <w:color w:val="000000"/>
              </w:rPr>
            </w:pPr>
            <w:r w:rsidRPr="00504D7E">
              <w:rPr>
                <w:color w:val="000000"/>
                <w:sz w:val="22"/>
                <w:szCs w:val="22"/>
              </w:rPr>
              <w:t>74</w:t>
            </w:r>
          </w:p>
        </w:tc>
      </w:tr>
      <w:tr w:rsidR="008978CE" w:rsidRPr="00504D7E" w14:paraId="371A2ABA" w14:textId="77777777" w:rsidTr="008978CE">
        <w:trPr>
          <w:trHeight w:val="320"/>
        </w:trPr>
        <w:tc>
          <w:tcPr>
            <w:tcW w:w="4860" w:type="dxa"/>
            <w:tcBorders>
              <w:top w:val="nil"/>
              <w:left w:val="nil"/>
              <w:bottom w:val="single" w:sz="4" w:space="0" w:color="auto"/>
              <w:right w:val="nil"/>
            </w:tcBorders>
            <w:shd w:val="clear" w:color="000000" w:fill="FFFFFF"/>
            <w:noWrap/>
            <w:vAlign w:val="bottom"/>
            <w:hideMark/>
          </w:tcPr>
          <w:p w14:paraId="4D8B4543" w14:textId="77777777" w:rsidR="008978CE" w:rsidRPr="00504D7E" w:rsidRDefault="008978CE" w:rsidP="008978CE">
            <w:pPr>
              <w:rPr>
                <w:color w:val="000000"/>
              </w:rPr>
            </w:pPr>
            <w:r w:rsidRPr="00504D7E">
              <w:rPr>
                <w:color w:val="000000"/>
                <w:sz w:val="22"/>
                <w:szCs w:val="22"/>
              </w:rPr>
              <w:t>Total manufacturing</w:t>
            </w:r>
          </w:p>
        </w:tc>
        <w:tc>
          <w:tcPr>
            <w:tcW w:w="980" w:type="dxa"/>
            <w:tcBorders>
              <w:top w:val="nil"/>
              <w:left w:val="nil"/>
              <w:bottom w:val="single" w:sz="4" w:space="0" w:color="auto"/>
              <w:right w:val="nil"/>
            </w:tcBorders>
            <w:shd w:val="clear" w:color="000000" w:fill="FFFFFF"/>
            <w:noWrap/>
            <w:vAlign w:val="bottom"/>
            <w:hideMark/>
          </w:tcPr>
          <w:p w14:paraId="72ECED62" w14:textId="77777777" w:rsidR="008978CE" w:rsidRPr="00504D7E" w:rsidRDefault="008978CE" w:rsidP="008978CE">
            <w:pPr>
              <w:jc w:val="center"/>
              <w:rPr>
                <w:color w:val="000000"/>
              </w:rPr>
            </w:pPr>
            <w:r w:rsidRPr="00504D7E">
              <w:rPr>
                <w:color w:val="000000"/>
                <w:sz w:val="22"/>
                <w:szCs w:val="22"/>
              </w:rPr>
              <w:t>13</w:t>
            </w:r>
            <w:r w:rsidR="00370D28" w:rsidRPr="00504D7E">
              <w:rPr>
                <w:color w:val="000000"/>
                <w:sz w:val="22"/>
                <w:szCs w:val="22"/>
              </w:rPr>
              <w:t>3</w:t>
            </w:r>
          </w:p>
        </w:tc>
        <w:tc>
          <w:tcPr>
            <w:tcW w:w="800" w:type="dxa"/>
            <w:tcBorders>
              <w:top w:val="nil"/>
              <w:left w:val="nil"/>
              <w:bottom w:val="single" w:sz="4" w:space="0" w:color="auto"/>
              <w:right w:val="nil"/>
            </w:tcBorders>
            <w:shd w:val="clear" w:color="000000" w:fill="FFFFFF"/>
            <w:noWrap/>
            <w:vAlign w:val="bottom"/>
            <w:hideMark/>
          </w:tcPr>
          <w:p w14:paraId="065BC4D6" w14:textId="77777777" w:rsidR="008978CE" w:rsidRPr="00504D7E" w:rsidRDefault="008978CE" w:rsidP="008978CE">
            <w:pPr>
              <w:jc w:val="center"/>
              <w:rPr>
                <w:color w:val="000000"/>
              </w:rPr>
            </w:pPr>
            <w:r w:rsidRPr="00504D7E">
              <w:rPr>
                <w:color w:val="000000"/>
                <w:sz w:val="22"/>
                <w:szCs w:val="22"/>
              </w:rPr>
              <w:t>23</w:t>
            </w:r>
          </w:p>
        </w:tc>
        <w:tc>
          <w:tcPr>
            <w:tcW w:w="980" w:type="dxa"/>
            <w:tcBorders>
              <w:top w:val="nil"/>
              <w:left w:val="nil"/>
              <w:bottom w:val="single" w:sz="4" w:space="0" w:color="auto"/>
              <w:right w:val="nil"/>
            </w:tcBorders>
            <w:shd w:val="clear" w:color="000000" w:fill="FFFFFF"/>
            <w:noWrap/>
            <w:vAlign w:val="bottom"/>
            <w:hideMark/>
          </w:tcPr>
          <w:p w14:paraId="099AFF84" w14:textId="77777777" w:rsidR="008978CE" w:rsidRPr="00504D7E" w:rsidRDefault="008978CE" w:rsidP="008978CE">
            <w:pPr>
              <w:jc w:val="center"/>
              <w:rPr>
                <w:color w:val="000000"/>
              </w:rPr>
            </w:pPr>
            <w:r w:rsidRPr="00504D7E">
              <w:rPr>
                <w:color w:val="000000"/>
                <w:sz w:val="22"/>
                <w:szCs w:val="22"/>
              </w:rPr>
              <w:t>31.50</w:t>
            </w:r>
          </w:p>
        </w:tc>
        <w:tc>
          <w:tcPr>
            <w:tcW w:w="760" w:type="dxa"/>
            <w:tcBorders>
              <w:top w:val="nil"/>
              <w:left w:val="nil"/>
              <w:bottom w:val="single" w:sz="4" w:space="0" w:color="auto"/>
              <w:right w:val="nil"/>
            </w:tcBorders>
            <w:shd w:val="clear" w:color="000000" w:fill="FFFFFF"/>
            <w:noWrap/>
            <w:vAlign w:val="bottom"/>
            <w:hideMark/>
          </w:tcPr>
          <w:p w14:paraId="1A492028" w14:textId="77777777" w:rsidR="008978CE" w:rsidRPr="00504D7E" w:rsidRDefault="008978CE" w:rsidP="008978CE">
            <w:pPr>
              <w:jc w:val="center"/>
              <w:rPr>
                <w:color w:val="000000"/>
              </w:rPr>
            </w:pPr>
            <w:r w:rsidRPr="00504D7E">
              <w:rPr>
                <w:color w:val="000000"/>
                <w:sz w:val="22"/>
                <w:szCs w:val="22"/>
              </w:rPr>
              <w:t>4</w:t>
            </w:r>
          </w:p>
        </w:tc>
        <w:tc>
          <w:tcPr>
            <w:tcW w:w="780" w:type="dxa"/>
            <w:tcBorders>
              <w:top w:val="nil"/>
              <w:left w:val="nil"/>
              <w:bottom w:val="single" w:sz="4" w:space="0" w:color="auto"/>
              <w:right w:val="nil"/>
            </w:tcBorders>
            <w:shd w:val="clear" w:color="000000" w:fill="FFFFFF"/>
            <w:noWrap/>
            <w:vAlign w:val="bottom"/>
            <w:hideMark/>
          </w:tcPr>
          <w:p w14:paraId="026350AA" w14:textId="77777777" w:rsidR="008978CE" w:rsidRPr="00504D7E" w:rsidRDefault="008978CE" w:rsidP="008978CE">
            <w:pPr>
              <w:jc w:val="center"/>
              <w:rPr>
                <w:color w:val="000000"/>
              </w:rPr>
            </w:pPr>
            <w:r w:rsidRPr="00504D7E">
              <w:rPr>
                <w:color w:val="000000"/>
                <w:sz w:val="22"/>
                <w:szCs w:val="22"/>
              </w:rPr>
              <w:t>192</w:t>
            </w:r>
          </w:p>
        </w:tc>
      </w:tr>
    </w:tbl>
    <w:p w14:paraId="01E5F86B" w14:textId="77777777" w:rsidR="00EC433D" w:rsidRPr="00504D7E" w:rsidRDefault="00EC433D" w:rsidP="00135213">
      <w:pPr>
        <w:spacing w:line="480" w:lineRule="auto"/>
        <w:jc w:val="center"/>
        <w:rPr>
          <w:rFonts w:ascii="Times New Roman" w:hAnsi="Times New Roman"/>
          <w:lang w:val="en-US"/>
        </w:rPr>
      </w:pPr>
    </w:p>
    <w:p w14:paraId="6E77D8FD" w14:textId="77777777" w:rsidR="00EC433D" w:rsidRPr="00504D7E" w:rsidRDefault="00EC433D" w:rsidP="006849EA">
      <w:pPr>
        <w:spacing w:line="480" w:lineRule="auto"/>
        <w:jc w:val="both"/>
        <w:rPr>
          <w:rFonts w:ascii="Times New Roman" w:hAnsi="Times New Roman"/>
          <w:lang w:val="en-US"/>
        </w:rPr>
      </w:pPr>
    </w:p>
    <w:p w14:paraId="06CC63FE" w14:textId="2E8ED557" w:rsidR="005C0E7F" w:rsidRPr="00504D7E" w:rsidRDefault="005C0E7F" w:rsidP="005C0E7F">
      <w:pPr>
        <w:spacing w:line="480" w:lineRule="auto"/>
        <w:jc w:val="both"/>
        <w:rPr>
          <w:rFonts w:ascii="Times New Roman" w:hAnsi="Times New Roman"/>
          <w:lang w:val="en-US"/>
        </w:rPr>
      </w:pPr>
      <w:r w:rsidRPr="00504D7E">
        <w:rPr>
          <w:rFonts w:ascii="Times New Roman" w:hAnsi="Times New Roman"/>
          <w:lang w:val="en-US"/>
        </w:rPr>
        <w:t>Instead, higher average firm sizes are found in</w:t>
      </w:r>
      <w:r w:rsidR="00453BD6">
        <w:rPr>
          <w:rFonts w:ascii="Times New Roman" w:hAnsi="Times New Roman"/>
          <w:lang w:val="en-US"/>
        </w:rPr>
        <w:t xml:space="preserve"> sectors characterized by </w:t>
      </w:r>
      <w:r w:rsidR="00453BD6" w:rsidRPr="00504D7E">
        <w:rPr>
          <w:rFonts w:ascii="Times New Roman" w:hAnsi="Times New Roman"/>
          <w:lang w:val="en-US"/>
        </w:rPr>
        <w:t>increasing returns to scale</w:t>
      </w:r>
      <w:r w:rsidR="00453BD6">
        <w:rPr>
          <w:rFonts w:ascii="Times New Roman" w:hAnsi="Times New Roman"/>
          <w:lang w:val="en-US"/>
        </w:rPr>
        <w:t xml:space="preserve"> at the plant le</w:t>
      </w:r>
      <w:r w:rsidR="00F61CC2">
        <w:rPr>
          <w:rFonts w:ascii="Times New Roman" w:hAnsi="Times New Roman"/>
          <w:lang w:val="en-US"/>
        </w:rPr>
        <w:t>v</w:t>
      </w:r>
      <w:r w:rsidR="00453BD6">
        <w:rPr>
          <w:rFonts w:ascii="Times New Roman" w:hAnsi="Times New Roman"/>
          <w:lang w:val="en-US"/>
        </w:rPr>
        <w:t>el such as</w:t>
      </w:r>
      <w:r w:rsidRPr="00504D7E">
        <w:rPr>
          <w:rFonts w:ascii="Times New Roman" w:hAnsi="Times New Roman"/>
          <w:lang w:val="en-US"/>
        </w:rPr>
        <w:t xml:space="preserve"> </w:t>
      </w:r>
      <w:r w:rsidRPr="00504D7E">
        <w:rPr>
          <w:rFonts w:ascii="Times New Roman" w:hAnsi="Times New Roman"/>
          <w:i/>
          <w:lang w:val="en-US"/>
        </w:rPr>
        <w:t>Motor vehicles</w:t>
      </w:r>
      <w:r w:rsidRPr="00504D7E">
        <w:rPr>
          <w:rFonts w:ascii="Times New Roman" w:hAnsi="Times New Roman"/>
          <w:lang w:val="en-US"/>
        </w:rPr>
        <w:t xml:space="preserve"> (113 employees in each establishment, on average), </w:t>
      </w:r>
      <w:r w:rsidRPr="00504D7E">
        <w:rPr>
          <w:rFonts w:ascii="Times New Roman" w:hAnsi="Times New Roman"/>
          <w:i/>
          <w:lang w:val="en-US"/>
        </w:rPr>
        <w:t>Basic metals</w:t>
      </w:r>
      <w:r w:rsidRPr="00504D7E">
        <w:rPr>
          <w:rFonts w:ascii="Times New Roman" w:hAnsi="Times New Roman"/>
          <w:lang w:val="en-US"/>
        </w:rPr>
        <w:t xml:space="preserve"> (73), </w:t>
      </w:r>
      <w:r w:rsidRPr="00504D7E">
        <w:rPr>
          <w:rFonts w:ascii="Times New Roman" w:hAnsi="Times New Roman"/>
          <w:i/>
          <w:lang w:val="en-US"/>
        </w:rPr>
        <w:t>Chemicals</w:t>
      </w:r>
      <w:r w:rsidRPr="00504D7E">
        <w:rPr>
          <w:rFonts w:ascii="Times New Roman" w:hAnsi="Times New Roman"/>
          <w:lang w:val="en-US"/>
        </w:rPr>
        <w:t xml:space="preserve"> (52), </w:t>
      </w:r>
      <w:r w:rsidRPr="00504D7E">
        <w:rPr>
          <w:rFonts w:ascii="Times New Roman" w:hAnsi="Times New Roman"/>
          <w:i/>
          <w:lang w:val="en-US"/>
        </w:rPr>
        <w:t>Other transport equipment</w:t>
      </w:r>
      <w:r w:rsidRPr="00504D7E">
        <w:rPr>
          <w:rFonts w:ascii="Times New Roman" w:hAnsi="Times New Roman"/>
          <w:lang w:val="en-US"/>
        </w:rPr>
        <w:t xml:space="preserve"> (61). </w:t>
      </w:r>
    </w:p>
    <w:p w14:paraId="3802E278" w14:textId="3C94C68D" w:rsidR="000D0456" w:rsidRPr="00504D7E" w:rsidRDefault="000D0456" w:rsidP="000D0456">
      <w:pPr>
        <w:spacing w:line="480" w:lineRule="auto"/>
        <w:jc w:val="both"/>
        <w:rPr>
          <w:rFonts w:ascii="Times New Roman" w:hAnsi="Times New Roman"/>
          <w:lang w:val="en-US"/>
        </w:rPr>
      </w:pPr>
      <w:r w:rsidRPr="00504D7E">
        <w:rPr>
          <w:rFonts w:ascii="Times New Roman" w:hAnsi="Times New Roman"/>
          <w:lang w:val="en-US"/>
        </w:rPr>
        <w:t>Figure 1 plots the data on average regional firm size with the respective data on the total number of establishments for each manufacturing industry. The graph shows the inverse relationship between internal scale economies and the number of firms. The spatial concentration of an industry can be the outcome of increasing returns (the intensive margin)</w:t>
      </w:r>
      <w:r w:rsidR="00C37201">
        <w:rPr>
          <w:rFonts w:ascii="Times New Roman" w:hAnsi="Times New Roman"/>
          <w:lang w:val="en-US"/>
        </w:rPr>
        <w:t>,</w:t>
      </w:r>
      <w:r w:rsidRPr="00504D7E">
        <w:rPr>
          <w:rFonts w:ascii="Times New Roman" w:hAnsi="Times New Roman"/>
          <w:lang w:val="en-US"/>
        </w:rPr>
        <w:t xml:space="preserve"> the result of a wide number of small firms localized in space (the extensive margin)</w:t>
      </w:r>
      <w:r w:rsidR="00C37201">
        <w:rPr>
          <w:rFonts w:ascii="Times New Roman" w:hAnsi="Times New Roman"/>
          <w:lang w:val="en-US"/>
        </w:rPr>
        <w:t>, or a combination of the two driving forces</w:t>
      </w:r>
      <w:r w:rsidRPr="00504D7E">
        <w:rPr>
          <w:rFonts w:ascii="Times New Roman" w:hAnsi="Times New Roman"/>
          <w:lang w:val="en-US"/>
        </w:rPr>
        <w:t xml:space="preserve">. </w:t>
      </w:r>
    </w:p>
    <w:p w14:paraId="61B6DC8D" w14:textId="77777777" w:rsidR="000D0456" w:rsidRPr="00504D7E" w:rsidRDefault="000D0456" w:rsidP="000D0456">
      <w:pPr>
        <w:spacing w:line="480" w:lineRule="auto"/>
        <w:jc w:val="both"/>
        <w:rPr>
          <w:rFonts w:ascii="Times New Roman" w:hAnsi="Times New Roman"/>
          <w:lang w:val="en-US"/>
        </w:rPr>
      </w:pPr>
    </w:p>
    <w:p w14:paraId="2F5D8A63" w14:textId="77777777" w:rsidR="002D2588" w:rsidRDefault="002D2588" w:rsidP="000D0456">
      <w:pPr>
        <w:spacing w:line="480" w:lineRule="auto"/>
        <w:jc w:val="both"/>
        <w:rPr>
          <w:rFonts w:ascii="Times New Roman" w:hAnsi="Times New Roman"/>
          <w:b/>
          <w:i/>
          <w:lang w:val="en-US"/>
        </w:rPr>
      </w:pPr>
    </w:p>
    <w:p w14:paraId="3F37E796" w14:textId="197EC523" w:rsidR="000D0456" w:rsidRPr="00504D7E" w:rsidRDefault="000D0456" w:rsidP="000D0456">
      <w:pPr>
        <w:spacing w:line="480" w:lineRule="auto"/>
        <w:jc w:val="both"/>
        <w:rPr>
          <w:rFonts w:ascii="Times New Roman" w:hAnsi="Times New Roman"/>
          <w:b/>
          <w:i/>
          <w:lang w:val="en-US"/>
        </w:rPr>
      </w:pPr>
      <w:r w:rsidRPr="00504D7E">
        <w:rPr>
          <w:rFonts w:ascii="Times New Roman" w:hAnsi="Times New Roman"/>
          <w:b/>
          <w:i/>
          <w:lang w:val="en-US"/>
        </w:rPr>
        <w:t>Figure 1 Average regional firm size (intensive margin) and N. of establishments (</w:t>
      </w:r>
      <w:proofErr w:type="spellStart"/>
      <w:r w:rsidRPr="00504D7E">
        <w:rPr>
          <w:rFonts w:ascii="Times New Roman" w:hAnsi="Times New Roman"/>
          <w:b/>
          <w:i/>
          <w:lang w:val="en-US"/>
        </w:rPr>
        <w:t>estensive</w:t>
      </w:r>
      <w:proofErr w:type="spellEnd"/>
      <w:r w:rsidRPr="00504D7E">
        <w:rPr>
          <w:rFonts w:ascii="Times New Roman" w:hAnsi="Times New Roman"/>
          <w:b/>
          <w:i/>
          <w:lang w:val="en-US"/>
        </w:rPr>
        <w:t xml:space="preserve"> margin), by sector</w:t>
      </w:r>
    </w:p>
    <w:p w14:paraId="5EBC4194" w14:textId="10C486BD" w:rsidR="000D0456" w:rsidRPr="00120F0D" w:rsidRDefault="000D0456" w:rsidP="00107E38">
      <w:pPr>
        <w:spacing w:line="480" w:lineRule="auto"/>
        <w:jc w:val="center"/>
        <w:rPr>
          <w:rFonts w:ascii="Times New Roman" w:hAnsi="Times New Roman"/>
          <w:lang w:val="en-US"/>
        </w:rPr>
      </w:pPr>
      <w:r w:rsidRPr="00120F0D">
        <w:rPr>
          <w:rFonts w:ascii="Times New Roman" w:hAnsi="Times New Roman"/>
          <w:noProof/>
        </w:rPr>
        <w:drawing>
          <wp:inline distT="0" distB="0" distL="0" distR="0" wp14:anchorId="1AF3164B" wp14:editId="6FE374B1">
            <wp:extent cx="3667942" cy="3142695"/>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4626" cy="3156990"/>
                    </a:xfrm>
                    <a:prstGeom prst="rect">
                      <a:avLst/>
                    </a:prstGeom>
                  </pic:spPr>
                </pic:pic>
              </a:graphicData>
            </a:graphic>
          </wp:inline>
        </w:drawing>
      </w:r>
    </w:p>
    <w:p w14:paraId="44F7F418" w14:textId="25ED7C77" w:rsidR="000B0347" w:rsidRDefault="000B0347" w:rsidP="00BD77AF">
      <w:pPr>
        <w:spacing w:line="480" w:lineRule="auto"/>
        <w:jc w:val="center"/>
        <w:rPr>
          <w:rFonts w:ascii="Times New Roman" w:hAnsi="Times New Roman"/>
          <w:lang w:val="en-US"/>
        </w:rPr>
      </w:pPr>
    </w:p>
    <w:p w14:paraId="22CC96CE" w14:textId="77777777" w:rsidR="002D2588" w:rsidRPr="00504D7E" w:rsidRDefault="002D2588" w:rsidP="00BD77AF">
      <w:pPr>
        <w:spacing w:line="480" w:lineRule="auto"/>
        <w:jc w:val="center"/>
        <w:rPr>
          <w:rFonts w:ascii="Times New Roman" w:hAnsi="Times New Roman"/>
          <w:lang w:val="en-US"/>
        </w:rPr>
      </w:pPr>
    </w:p>
    <w:p w14:paraId="56029EBB" w14:textId="5541C1A0" w:rsidR="00D139BF" w:rsidRPr="00504D7E" w:rsidRDefault="000B0347" w:rsidP="00D139BF">
      <w:pPr>
        <w:spacing w:line="480" w:lineRule="auto"/>
        <w:jc w:val="both"/>
        <w:rPr>
          <w:rFonts w:ascii="Times New Roman" w:hAnsi="Times New Roman"/>
          <w:lang w:val="en-US"/>
        </w:rPr>
      </w:pPr>
      <w:r w:rsidRPr="00504D7E">
        <w:rPr>
          <w:rFonts w:ascii="Times New Roman" w:hAnsi="Times New Roman"/>
          <w:lang w:val="en-US"/>
        </w:rPr>
        <w:t xml:space="preserve">Table </w:t>
      </w:r>
      <w:r w:rsidR="00791E3F">
        <w:rPr>
          <w:rFonts w:ascii="Times New Roman" w:hAnsi="Times New Roman"/>
          <w:lang w:val="en-US"/>
        </w:rPr>
        <w:t>4</w:t>
      </w:r>
      <w:r w:rsidRPr="00504D7E">
        <w:rPr>
          <w:rFonts w:ascii="Times New Roman" w:hAnsi="Times New Roman"/>
          <w:lang w:val="en-US"/>
        </w:rPr>
        <w:t xml:space="preserve"> summarize</w:t>
      </w:r>
      <w:r w:rsidR="000617FF" w:rsidRPr="00504D7E">
        <w:rPr>
          <w:rFonts w:ascii="Times New Roman" w:hAnsi="Times New Roman"/>
          <w:lang w:val="en-US"/>
        </w:rPr>
        <w:t>s</w:t>
      </w:r>
      <w:r w:rsidRPr="00504D7E">
        <w:rPr>
          <w:rFonts w:ascii="Times New Roman" w:hAnsi="Times New Roman"/>
          <w:lang w:val="en-US"/>
        </w:rPr>
        <w:t xml:space="preserve"> the results of the test </w:t>
      </w:r>
      <w:r w:rsidR="00FF3622">
        <w:rPr>
          <w:rFonts w:ascii="Times New Roman" w:hAnsi="Times New Roman"/>
          <w:lang w:val="en-US"/>
        </w:rPr>
        <w:t xml:space="preserve">performed </w:t>
      </w:r>
      <w:r w:rsidRPr="00504D7E">
        <w:rPr>
          <w:rFonts w:ascii="Times New Roman" w:hAnsi="Times New Roman"/>
          <w:lang w:val="en-US"/>
        </w:rPr>
        <w:t>in the first stage</w:t>
      </w:r>
      <w:r w:rsidR="000617FF" w:rsidRPr="00504D7E">
        <w:rPr>
          <w:rFonts w:ascii="Times New Roman" w:hAnsi="Times New Roman"/>
          <w:lang w:val="en-US"/>
        </w:rPr>
        <w:t>, when we compare the spatial distribution of firms with the counterfactual uniform distribution, as explained in Section 3</w:t>
      </w:r>
      <w:r w:rsidRPr="00504D7E">
        <w:rPr>
          <w:rFonts w:ascii="Times New Roman" w:hAnsi="Times New Roman"/>
          <w:lang w:val="en-US"/>
        </w:rPr>
        <w:t xml:space="preserve">. </w:t>
      </w:r>
      <w:r w:rsidR="00D139BF" w:rsidRPr="00504D7E">
        <w:rPr>
          <w:rFonts w:ascii="Times New Roman" w:hAnsi="Times New Roman"/>
          <w:lang w:val="en-US"/>
        </w:rPr>
        <w:t>We report the values of the normalized Shannon index</w:t>
      </w:r>
      <w:r w:rsidR="00C37201">
        <w:rPr>
          <w:rFonts w:ascii="Times New Roman" w:hAnsi="Times New Roman"/>
          <w:lang w:val="en-US"/>
        </w:rPr>
        <w:t xml:space="preserve"> </w:t>
      </w:r>
      <m:oMath>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 xml:space="preserve">s </m:t>
            </m:r>
          </m:sub>
          <m:sup/>
        </m:sSubSup>
      </m:oMath>
      <w:r w:rsidR="00D139BF" w:rsidRPr="00504D7E">
        <w:rPr>
          <w:rFonts w:ascii="Times New Roman" w:hAnsi="Times New Roman"/>
          <w:lang w:val="en-US"/>
        </w:rPr>
        <w:t xml:space="preserve"> </w:t>
      </w:r>
      <w:r w:rsidR="00F06883">
        <w:rPr>
          <w:rFonts w:ascii="Times New Roman" w:hAnsi="Times New Roman"/>
          <w:lang w:val="en-US"/>
        </w:rPr>
        <w:t xml:space="preserve"> </w:t>
      </w:r>
      <w:r w:rsidR="00D139BF" w:rsidRPr="00504D7E">
        <w:rPr>
          <w:rFonts w:ascii="Times New Roman" w:hAnsi="Times New Roman"/>
          <w:lang w:val="en-US"/>
        </w:rPr>
        <w:t>for each industry</w:t>
      </w:r>
      <w:r w:rsidR="00F06883">
        <w:rPr>
          <w:rFonts w:ascii="Times New Roman" w:hAnsi="Times New Roman"/>
          <w:lang w:val="en-US"/>
        </w:rPr>
        <w:t xml:space="preserve"> </w:t>
      </w:r>
      <m:oMath>
        <m:r>
          <w:rPr>
            <w:rFonts w:ascii="Cambria Math" w:hAnsi="Cambria Math"/>
            <w:lang w:val="en-GB"/>
          </w:rPr>
          <m:t>s</m:t>
        </m:r>
      </m:oMath>
      <w:r w:rsidR="00D139BF" w:rsidRPr="00504D7E">
        <w:rPr>
          <w:rFonts w:ascii="Times New Roman" w:hAnsi="Times New Roman"/>
          <w:lang w:val="en-US"/>
        </w:rPr>
        <w:t>, as defined in equation (1).</w:t>
      </w:r>
    </w:p>
    <w:p w14:paraId="411270DA" w14:textId="3DFD84ED" w:rsidR="002D2588" w:rsidRDefault="002D2588" w:rsidP="007A6AAF">
      <w:pPr>
        <w:spacing w:line="480" w:lineRule="auto"/>
        <w:jc w:val="both"/>
        <w:rPr>
          <w:rFonts w:ascii="Times New Roman" w:hAnsi="Times New Roman"/>
          <w:lang w:val="en-US"/>
        </w:rPr>
      </w:pPr>
      <w:r w:rsidRPr="00504D7E">
        <w:rPr>
          <w:rFonts w:ascii="Times New Roman" w:hAnsi="Times New Roman"/>
          <w:lang w:val="en-US"/>
        </w:rPr>
        <w:t>We reject the null hypothesis (H</w:t>
      </w:r>
      <w:r w:rsidRPr="00504D7E">
        <w:rPr>
          <w:rFonts w:ascii="Times New Roman" w:hAnsi="Times New Roman"/>
          <w:vertAlign w:val="subscript"/>
          <w:lang w:val="en-US"/>
        </w:rPr>
        <w:t>0</w:t>
      </w:r>
      <w:r w:rsidRPr="00504D7E">
        <w:rPr>
          <w:rFonts w:ascii="Times New Roman" w:hAnsi="Times New Roman"/>
          <w:lang w:val="en-US"/>
        </w:rPr>
        <w:t>) of a random location scenario in all the manufacturing industries considered in our analysis in favor of the alternative hypothesis of significant spatial concentration of establishments. In a nutshell, agglomeration is significant both for small-scale industries typically considered as localized because of industry-specific Marshallian external economies, for those industries characterized by considerable internal scale economies, and for industries that usually gain cost advantages from proximity to natural resources</w:t>
      </w:r>
      <w:r>
        <w:rPr>
          <w:rFonts w:ascii="Times New Roman" w:hAnsi="Times New Roman"/>
          <w:lang w:val="en-US"/>
        </w:rPr>
        <w:t xml:space="preserve"> or to the demand</w:t>
      </w:r>
      <w:r w:rsidRPr="00504D7E">
        <w:rPr>
          <w:rFonts w:ascii="Times New Roman" w:hAnsi="Times New Roman"/>
          <w:lang w:val="en-US"/>
        </w:rPr>
        <w:t>.</w:t>
      </w:r>
    </w:p>
    <w:p w14:paraId="41E150D0" w14:textId="77777777" w:rsidR="002D2588" w:rsidRDefault="002D2588" w:rsidP="007A6AAF">
      <w:pPr>
        <w:spacing w:line="480" w:lineRule="auto"/>
        <w:jc w:val="both"/>
        <w:rPr>
          <w:rFonts w:ascii="Times New Roman" w:hAnsi="Times New Roman"/>
          <w:lang w:val="en-US"/>
        </w:rPr>
      </w:pPr>
    </w:p>
    <w:p w14:paraId="7E65E41F" w14:textId="77777777" w:rsidR="002D2588" w:rsidRPr="00504D7E" w:rsidRDefault="002D2588" w:rsidP="007A6AAF">
      <w:pPr>
        <w:spacing w:line="480" w:lineRule="auto"/>
        <w:jc w:val="both"/>
        <w:rPr>
          <w:rFonts w:ascii="Times New Roman" w:hAnsi="Times New Roman"/>
          <w:lang w:val="en-US"/>
        </w:rPr>
      </w:pPr>
    </w:p>
    <w:p w14:paraId="3D4B114F" w14:textId="5DAD4B86" w:rsidR="000617FF" w:rsidRPr="00504D7E" w:rsidRDefault="000617FF" w:rsidP="00E53358">
      <w:pPr>
        <w:spacing w:line="360" w:lineRule="auto"/>
        <w:jc w:val="both"/>
        <w:rPr>
          <w:rFonts w:ascii="Times New Roman" w:hAnsi="Times New Roman"/>
          <w:b/>
          <w:i/>
          <w:lang w:val="en-US"/>
        </w:rPr>
      </w:pPr>
      <w:r w:rsidRPr="00504D7E">
        <w:rPr>
          <w:rFonts w:ascii="Times New Roman" w:hAnsi="Times New Roman"/>
          <w:b/>
          <w:i/>
          <w:lang w:val="en-US"/>
        </w:rPr>
        <w:t xml:space="preserve">Table </w:t>
      </w:r>
      <w:proofErr w:type="gramStart"/>
      <w:r w:rsidR="00791E3F">
        <w:rPr>
          <w:rFonts w:ascii="Times New Roman" w:hAnsi="Times New Roman"/>
          <w:b/>
          <w:i/>
          <w:lang w:val="en-US"/>
        </w:rPr>
        <w:t>4</w:t>
      </w:r>
      <w:proofErr w:type="gramEnd"/>
      <w:r w:rsidRPr="00504D7E">
        <w:rPr>
          <w:rFonts w:ascii="Times New Roman" w:hAnsi="Times New Roman"/>
          <w:b/>
          <w:i/>
          <w:lang w:val="en-US"/>
        </w:rPr>
        <w:t xml:space="preserve"> Indices of absolute spatial concentration of establishments and confidence intervals</w:t>
      </w:r>
    </w:p>
    <w:p w14:paraId="03E3E3C3" w14:textId="77777777" w:rsidR="000617FF" w:rsidRPr="00F378A9" w:rsidRDefault="000617FF" w:rsidP="000617FF">
      <w:pPr>
        <w:rPr>
          <w:lang w:val="en-US"/>
        </w:rPr>
      </w:pPr>
    </w:p>
    <w:tbl>
      <w:tblPr>
        <w:tblW w:w="9552" w:type="dxa"/>
        <w:tblInd w:w="70" w:type="dxa"/>
        <w:tblCellMar>
          <w:left w:w="70" w:type="dxa"/>
          <w:right w:w="70" w:type="dxa"/>
        </w:tblCellMar>
        <w:tblLook w:val="04A0" w:firstRow="1" w:lastRow="0" w:firstColumn="1" w:lastColumn="0" w:noHBand="0" w:noVBand="1"/>
      </w:tblPr>
      <w:tblGrid>
        <w:gridCol w:w="5049"/>
        <w:gridCol w:w="651"/>
        <w:gridCol w:w="716"/>
        <w:gridCol w:w="728"/>
        <w:gridCol w:w="727"/>
        <w:gridCol w:w="1681"/>
      </w:tblGrid>
      <w:tr w:rsidR="000617FF" w:rsidRPr="00504D7E" w14:paraId="64F516FF" w14:textId="77777777" w:rsidTr="00B638CE">
        <w:trPr>
          <w:trHeight w:val="300"/>
        </w:trPr>
        <w:tc>
          <w:tcPr>
            <w:tcW w:w="5049" w:type="dxa"/>
            <w:tcBorders>
              <w:top w:val="single" w:sz="4" w:space="0" w:color="auto"/>
              <w:left w:val="nil"/>
              <w:bottom w:val="nil"/>
              <w:right w:val="nil"/>
            </w:tcBorders>
            <w:shd w:val="clear" w:color="000000" w:fill="FFFFFF"/>
            <w:noWrap/>
            <w:vAlign w:val="bottom"/>
            <w:hideMark/>
          </w:tcPr>
          <w:p w14:paraId="58A55E12" w14:textId="77777777" w:rsidR="000617FF" w:rsidRPr="00F378A9" w:rsidRDefault="000617FF" w:rsidP="00B638CE">
            <w:pPr>
              <w:rPr>
                <w:rFonts w:ascii="Times New Roman" w:hAnsi="Times New Roman"/>
                <w:color w:val="000000"/>
                <w:sz w:val="20"/>
                <w:szCs w:val="20"/>
                <w:lang w:val="en-US"/>
              </w:rPr>
            </w:pPr>
            <w:r w:rsidRPr="00F378A9">
              <w:rPr>
                <w:rFonts w:ascii="Times New Roman" w:hAnsi="Times New Roman"/>
                <w:color w:val="000000"/>
                <w:sz w:val="20"/>
                <w:szCs w:val="20"/>
                <w:lang w:val="en-US"/>
              </w:rPr>
              <w:t> </w:t>
            </w:r>
          </w:p>
        </w:tc>
        <w:tc>
          <w:tcPr>
            <w:tcW w:w="651" w:type="dxa"/>
            <w:vMerge w:val="restart"/>
            <w:tcBorders>
              <w:top w:val="single" w:sz="4" w:space="0" w:color="auto"/>
              <w:left w:val="nil"/>
              <w:bottom w:val="single" w:sz="4" w:space="0" w:color="000000"/>
              <w:right w:val="nil"/>
            </w:tcBorders>
            <w:shd w:val="clear" w:color="000000" w:fill="FFFFFF"/>
            <w:hideMark/>
          </w:tcPr>
          <w:p w14:paraId="0B3D290D" w14:textId="129F69A1" w:rsidR="000617FF" w:rsidRPr="00504D7E" w:rsidRDefault="0015271C" w:rsidP="00B638CE">
            <w:pPr>
              <w:jc w:val="center"/>
              <w:rPr>
                <w:rFonts w:ascii="Times New Roman" w:hAnsi="Times New Roman"/>
                <w:color w:val="000000"/>
                <w:sz w:val="20"/>
                <w:szCs w:val="20"/>
              </w:rPr>
            </w:pPr>
            <w:r w:rsidRPr="00504D7E">
              <w:rPr>
                <w:rFonts w:ascii="Times New Roman" w:hAnsi="Times New Roman"/>
                <w:color w:val="000000"/>
                <w:sz w:val="20"/>
                <w:szCs w:val="20"/>
              </w:rPr>
              <w:t>R</w:t>
            </w:r>
            <w:r w:rsidR="000617FF" w:rsidRPr="00504D7E">
              <w:rPr>
                <w:rFonts w:ascii="Times New Roman" w:hAnsi="Times New Roman"/>
                <w:color w:val="000000"/>
                <w:sz w:val="20"/>
                <w:szCs w:val="20"/>
              </w:rPr>
              <w:t xml:space="preserve">eal </w:t>
            </w:r>
            <w:proofErr w:type="spellStart"/>
            <w:r w:rsidR="000617FF" w:rsidRPr="00504D7E">
              <w:rPr>
                <w:rFonts w:ascii="Times New Roman" w:hAnsi="Times New Roman"/>
                <w:color w:val="000000"/>
                <w:sz w:val="20"/>
                <w:szCs w:val="20"/>
              </w:rPr>
              <w:t>values</w:t>
            </w:r>
            <w:proofErr w:type="spellEnd"/>
          </w:p>
          <w:p w14:paraId="5B16B526" w14:textId="45D6137E" w:rsidR="0015271C" w:rsidRPr="00120F0D" w:rsidRDefault="008A4429" w:rsidP="00B638CE">
            <w:pPr>
              <w:jc w:val="center"/>
              <w:rPr>
                <w:rFonts w:ascii="Times New Roman" w:hAnsi="Times New Roman"/>
                <w:color w:val="000000"/>
                <w:sz w:val="20"/>
                <w:szCs w:val="20"/>
              </w:rPr>
            </w:pPr>
            <m:oMathPara>
              <m:oMath>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 xml:space="preserve">s </m:t>
                    </m:r>
                  </m:sub>
                  <m:sup/>
                </m:sSubSup>
              </m:oMath>
            </m:oMathPara>
          </w:p>
        </w:tc>
        <w:tc>
          <w:tcPr>
            <w:tcW w:w="716" w:type="dxa"/>
            <w:vMerge w:val="restart"/>
            <w:tcBorders>
              <w:top w:val="single" w:sz="4" w:space="0" w:color="auto"/>
              <w:left w:val="nil"/>
              <w:bottom w:val="single" w:sz="4" w:space="0" w:color="000000"/>
              <w:right w:val="nil"/>
            </w:tcBorders>
            <w:shd w:val="clear" w:color="000000" w:fill="FFFFFF"/>
            <w:noWrap/>
            <w:hideMark/>
          </w:tcPr>
          <w:p w14:paraId="11306021" w14:textId="77777777" w:rsidR="000617FF" w:rsidRPr="00504D7E" w:rsidRDefault="000617FF" w:rsidP="00B638CE">
            <w:pPr>
              <w:jc w:val="center"/>
              <w:rPr>
                <w:rFonts w:ascii="Times New Roman" w:hAnsi="Times New Roman"/>
                <w:color w:val="000000"/>
                <w:sz w:val="20"/>
                <w:szCs w:val="20"/>
              </w:rPr>
            </w:pPr>
            <w:proofErr w:type="spellStart"/>
            <w:r w:rsidRPr="00504D7E">
              <w:rPr>
                <w:rFonts w:ascii="Times New Roman" w:hAnsi="Times New Roman"/>
                <w:color w:val="000000"/>
                <w:sz w:val="20"/>
                <w:szCs w:val="20"/>
              </w:rPr>
              <w:t>Sign</w:t>
            </w:r>
            <w:proofErr w:type="spellEnd"/>
          </w:p>
        </w:tc>
        <w:tc>
          <w:tcPr>
            <w:tcW w:w="3136" w:type="dxa"/>
            <w:gridSpan w:val="3"/>
            <w:tcBorders>
              <w:top w:val="single" w:sz="4" w:space="0" w:color="auto"/>
              <w:left w:val="nil"/>
              <w:bottom w:val="single" w:sz="4" w:space="0" w:color="auto"/>
              <w:right w:val="nil"/>
            </w:tcBorders>
            <w:shd w:val="clear" w:color="000000" w:fill="FFFFFF"/>
            <w:noWrap/>
            <w:vAlign w:val="bottom"/>
            <w:hideMark/>
          </w:tcPr>
          <w:p w14:paraId="07E485F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 xml:space="preserve">Critical </w:t>
            </w:r>
            <w:proofErr w:type="spellStart"/>
            <w:r w:rsidRPr="00504D7E">
              <w:rPr>
                <w:rFonts w:ascii="Times New Roman" w:hAnsi="Times New Roman"/>
                <w:color w:val="000000"/>
                <w:sz w:val="20"/>
                <w:szCs w:val="20"/>
              </w:rPr>
              <w:t>values</w:t>
            </w:r>
            <w:proofErr w:type="spellEnd"/>
          </w:p>
        </w:tc>
      </w:tr>
      <w:tr w:rsidR="000617FF" w:rsidRPr="00504D7E" w14:paraId="11DF7BC6" w14:textId="77777777" w:rsidTr="00B638CE">
        <w:trPr>
          <w:trHeight w:val="300"/>
        </w:trPr>
        <w:tc>
          <w:tcPr>
            <w:tcW w:w="5049" w:type="dxa"/>
            <w:tcBorders>
              <w:top w:val="nil"/>
              <w:left w:val="nil"/>
              <w:bottom w:val="single" w:sz="4" w:space="0" w:color="auto"/>
              <w:right w:val="nil"/>
            </w:tcBorders>
            <w:shd w:val="clear" w:color="000000" w:fill="FFFFFF"/>
            <w:noWrap/>
            <w:vAlign w:val="bottom"/>
            <w:hideMark/>
          </w:tcPr>
          <w:p w14:paraId="2980178B" w14:textId="4AE314A3" w:rsidR="000617FF" w:rsidRPr="00504D7E" w:rsidRDefault="00F06883" w:rsidP="00B638CE">
            <w:pPr>
              <w:jc w:val="center"/>
              <w:rPr>
                <w:rFonts w:ascii="Times New Roman" w:hAnsi="Times New Roman"/>
                <w:b/>
                <w:bCs/>
                <w:color w:val="000000"/>
                <w:sz w:val="20"/>
                <w:szCs w:val="20"/>
              </w:rPr>
            </w:pPr>
            <w:r w:rsidRPr="00877111">
              <w:rPr>
                <w:rFonts w:ascii="Cambria Math" w:hAnsi="Cambria Math"/>
                <w:i/>
                <w:lang w:val="en-GB"/>
              </w:rPr>
              <w:t>s</w:t>
            </w:r>
            <w:r w:rsidR="000617FF" w:rsidRPr="00877111">
              <w:rPr>
                <w:rFonts w:ascii="Cambria Math" w:hAnsi="Cambria Math"/>
                <w:i/>
                <w:lang w:val="en-GB"/>
              </w:rPr>
              <w:t> </w:t>
            </w:r>
          </w:p>
        </w:tc>
        <w:tc>
          <w:tcPr>
            <w:tcW w:w="651" w:type="dxa"/>
            <w:vMerge/>
            <w:tcBorders>
              <w:top w:val="nil"/>
              <w:left w:val="nil"/>
              <w:bottom w:val="single" w:sz="4" w:space="0" w:color="000000"/>
              <w:right w:val="nil"/>
            </w:tcBorders>
            <w:vAlign w:val="center"/>
            <w:hideMark/>
          </w:tcPr>
          <w:p w14:paraId="32140058" w14:textId="77777777" w:rsidR="000617FF" w:rsidRPr="00504D7E" w:rsidRDefault="000617FF" w:rsidP="00B638CE">
            <w:pPr>
              <w:rPr>
                <w:rFonts w:ascii="Times New Roman" w:hAnsi="Times New Roman"/>
                <w:color w:val="000000"/>
                <w:sz w:val="20"/>
                <w:szCs w:val="20"/>
              </w:rPr>
            </w:pPr>
          </w:p>
        </w:tc>
        <w:tc>
          <w:tcPr>
            <w:tcW w:w="716" w:type="dxa"/>
            <w:vMerge/>
            <w:tcBorders>
              <w:top w:val="nil"/>
              <w:left w:val="nil"/>
              <w:bottom w:val="single" w:sz="4" w:space="0" w:color="000000"/>
              <w:right w:val="nil"/>
            </w:tcBorders>
            <w:vAlign w:val="center"/>
            <w:hideMark/>
          </w:tcPr>
          <w:p w14:paraId="445E096F" w14:textId="77777777" w:rsidR="000617FF" w:rsidRPr="00504D7E" w:rsidRDefault="000617FF" w:rsidP="00B638CE">
            <w:pPr>
              <w:rPr>
                <w:rFonts w:ascii="Times New Roman" w:hAnsi="Times New Roman"/>
                <w:color w:val="000000"/>
                <w:sz w:val="20"/>
                <w:szCs w:val="20"/>
              </w:rPr>
            </w:pPr>
          </w:p>
        </w:tc>
        <w:tc>
          <w:tcPr>
            <w:tcW w:w="728" w:type="dxa"/>
            <w:tcBorders>
              <w:top w:val="nil"/>
              <w:left w:val="nil"/>
              <w:bottom w:val="single" w:sz="4" w:space="0" w:color="auto"/>
              <w:right w:val="nil"/>
            </w:tcBorders>
            <w:shd w:val="clear" w:color="000000" w:fill="FFFFFF"/>
            <w:noWrap/>
            <w:vAlign w:val="bottom"/>
            <w:hideMark/>
          </w:tcPr>
          <w:p w14:paraId="669CBC8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p90</w:t>
            </w:r>
          </w:p>
        </w:tc>
        <w:tc>
          <w:tcPr>
            <w:tcW w:w="727" w:type="dxa"/>
            <w:tcBorders>
              <w:top w:val="nil"/>
              <w:left w:val="nil"/>
              <w:bottom w:val="single" w:sz="4" w:space="0" w:color="auto"/>
              <w:right w:val="nil"/>
            </w:tcBorders>
            <w:shd w:val="clear" w:color="000000" w:fill="FFFFFF"/>
            <w:noWrap/>
            <w:vAlign w:val="bottom"/>
            <w:hideMark/>
          </w:tcPr>
          <w:p w14:paraId="25F901F3"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p95</w:t>
            </w:r>
          </w:p>
        </w:tc>
        <w:tc>
          <w:tcPr>
            <w:tcW w:w="1681" w:type="dxa"/>
            <w:tcBorders>
              <w:top w:val="nil"/>
              <w:left w:val="nil"/>
              <w:bottom w:val="nil"/>
              <w:right w:val="nil"/>
            </w:tcBorders>
            <w:shd w:val="clear" w:color="auto" w:fill="auto"/>
            <w:noWrap/>
            <w:vAlign w:val="bottom"/>
            <w:hideMark/>
          </w:tcPr>
          <w:p w14:paraId="5CCC93A1" w14:textId="77777777" w:rsidR="000617FF" w:rsidRPr="00120F0D" w:rsidRDefault="000617FF" w:rsidP="00B638CE">
            <w:pPr>
              <w:rPr>
                <w:color w:val="000000"/>
              </w:rPr>
            </w:pPr>
            <w:r w:rsidRPr="00120F0D">
              <w:rPr>
                <w:noProof/>
                <w:color w:val="000000"/>
              </w:rPr>
              <w:drawing>
                <wp:inline distT="0" distB="0" distL="0" distR="0" wp14:anchorId="7BA3EE20" wp14:editId="5AF32DF8">
                  <wp:extent cx="139065" cy="22860"/>
                  <wp:effectExtent l="0" t="0" r="0" b="0"/>
                  <wp:docPr id="3" name="Immagine 1" descr="Macintosh HD:private:var:folders:lj:xxc8ffq97xz83mgfptyhphwc0000gn: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j:xxc8ffq97xz83mgfptyhphwc0000gn:T:TemporaryItems:msoclip:0:clip_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40"/>
            </w:tblGrid>
            <w:tr w:rsidR="000617FF" w:rsidRPr="00504D7E" w14:paraId="0751BF1D" w14:textId="77777777" w:rsidTr="00B638CE">
              <w:trPr>
                <w:trHeight w:val="300"/>
                <w:tblCellSpacing w:w="0" w:type="dxa"/>
              </w:trPr>
              <w:tc>
                <w:tcPr>
                  <w:tcW w:w="1040" w:type="dxa"/>
                  <w:tcBorders>
                    <w:top w:val="nil"/>
                    <w:left w:val="nil"/>
                    <w:bottom w:val="single" w:sz="4" w:space="0" w:color="auto"/>
                    <w:right w:val="nil"/>
                  </w:tcBorders>
                  <w:shd w:val="clear" w:color="000000" w:fill="FFFFFF"/>
                  <w:noWrap/>
                  <w:vAlign w:val="bottom"/>
                  <w:hideMark/>
                </w:tcPr>
                <w:p w14:paraId="2F4864DA"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p99</w:t>
                  </w:r>
                </w:p>
              </w:tc>
            </w:tr>
          </w:tbl>
          <w:p w14:paraId="661D6CB0" w14:textId="77777777" w:rsidR="000617FF" w:rsidRPr="00504D7E" w:rsidRDefault="000617FF" w:rsidP="00B638CE">
            <w:pPr>
              <w:rPr>
                <w:color w:val="000000"/>
              </w:rPr>
            </w:pPr>
          </w:p>
        </w:tc>
      </w:tr>
      <w:tr w:rsidR="000617FF" w:rsidRPr="00504D7E" w14:paraId="7E090951" w14:textId="77777777" w:rsidTr="00B638CE">
        <w:trPr>
          <w:trHeight w:val="300"/>
        </w:trPr>
        <w:tc>
          <w:tcPr>
            <w:tcW w:w="5049" w:type="dxa"/>
            <w:tcBorders>
              <w:top w:val="nil"/>
              <w:left w:val="nil"/>
              <w:bottom w:val="nil"/>
              <w:right w:val="nil"/>
            </w:tcBorders>
            <w:shd w:val="clear" w:color="000000" w:fill="FFFFFF"/>
            <w:noWrap/>
            <w:vAlign w:val="bottom"/>
            <w:hideMark/>
          </w:tcPr>
          <w:p w14:paraId="459C1A9E"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Textiles</w:t>
            </w:r>
            <w:proofErr w:type="spellEnd"/>
          </w:p>
        </w:tc>
        <w:tc>
          <w:tcPr>
            <w:tcW w:w="651" w:type="dxa"/>
            <w:tcBorders>
              <w:top w:val="nil"/>
              <w:left w:val="nil"/>
              <w:bottom w:val="nil"/>
              <w:right w:val="nil"/>
            </w:tcBorders>
            <w:shd w:val="clear" w:color="000000" w:fill="FFFFFF"/>
            <w:noWrap/>
            <w:vAlign w:val="bottom"/>
            <w:hideMark/>
          </w:tcPr>
          <w:p w14:paraId="10B6086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0.862</w:t>
            </w:r>
          </w:p>
        </w:tc>
        <w:tc>
          <w:tcPr>
            <w:tcW w:w="716" w:type="dxa"/>
            <w:tcBorders>
              <w:top w:val="nil"/>
              <w:left w:val="nil"/>
              <w:bottom w:val="nil"/>
              <w:right w:val="nil"/>
            </w:tcBorders>
            <w:shd w:val="clear" w:color="000000" w:fill="FFFFFF"/>
            <w:noWrap/>
            <w:vAlign w:val="bottom"/>
            <w:hideMark/>
          </w:tcPr>
          <w:p w14:paraId="326C10B6"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76C9D4A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0.222</w:t>
            </w:r>
          </w:p>
        </w:tc>
        <w:tc>
          <w:tcPr>
            <w:tcW w:w="727" w:type="dxa"/>
            <w:tcBorders>
              <w:top w:val="nil"/>
              <w:left w:val="nil"/>
              <w:bottom w:val="nil"/>
              <w:right w:val="nil"/>
            </w:tcBorders>
            <w:shd w:val="clear" w:color="000000" w:fill="FFFFFF"/>
            <w:noWrap/>
            <w:vAlign w:val="bottom"/>
            <w:hideMark/>
          </w:tcPr>
          <w:p w14:paraId="37F10AC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0.232</w:t>
            </w:r>
          </w:p>
        </w:tc>
        <w:tc>
          <w:tcPr>
            <w:tcW w:w="1681" w:type="dxa"/>
            <w:tcBorders>
              <w:top w:val="nil"/>
              <w:left w:val="nil"/>
              <w:bottom w:val="nil"/>
              <w:right w:val="nil"/>
            </w:tcBorders>
            <w:shd w:val="clear" w:color="000000" w:fill="FFFFFF"/>
            <w:noWrap/>
            <w:vAlign w:val="bottom"/>
            <w:hideMark/>
          </w:tcPr>
          <w:p w14:paraId="3536453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0.249</w:t>
            </w:r>
          </w:p>
        </w:tc>
      </w:tr>
      <w:tr w:rsidR="000617FF" w:rsidRPr="00504D7E" w14:paraId="1CD1C5AB" w14:textId="77777777" w:rsidTr="00B638CE">
        <w:trPr>
          <w:trHeight w:val="300"/>
        </w:trPr>
        <w:tc>
          <w:tcPr>
            <w:tcW w:w="5049" w:type="dxa"/>
            <w:tcBorders>
              <w:top w:val="nil"/>
              <w:left w:val="nil"/>
              <w:bottom w:val="nil"/>
              <w:right w:val="nil"/>
            </w:tcBorders>
            <w:shd w:val="clear" w:color="000000" w:fill="FFFFFF"/>
            <w:noWrap/>
            <w:vAlign w:val="bottom"/>
            <w:hideMark/>
          </w:tcPr>
          <w:p w14:paraId="3BB7622F"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Wearing</w:t>
            </w:r>
            <w:proofErr w:type="spellEnd"/>
            <w:r w:rsidRPr="00504D7E">
              <w:rPr>
                <w:rFonts w:ascii="Times New Roman" w:hAnsi="Times New Roman"/>
                <w:color w:val="000000"/>
                <w:sz w:val="20"/>
                <w:szCs w:val="20"/>
              </w:rPr>
              <w:t xml:space="preserve"> </w:t>
            </w:r>
            <w:proofErr w:type="spellStart"/>
            <w:r w:rsidRPr="00504D7E">
              <w:rPr>
                <w:rFonts w:ascii="Times New Roman" w:hAnsi="Times New Roman"/>
                <w:color w:val="000000"/>
                <w:sz w:val="20"/>
                <w:szCs w:val="20"/>
              </w:rPr>
              <w:t>apparel</w:t>
            </w:r>
            <w:proofErr w:type="spellEnd"/>
          </w:p>
        </w:tc>
        <w:tc>
          <w:tcPr>
            <w:tcW w:w="651" w:type="dxa"/>
            <w:tcBorders>
              <w:top w:val="nil"/>
              <w:left w:val="nil"/>
              <w:bottom w:val="nil"/>
              <w:right w:val="nil"/>
            </w:tcBorders>
            <w:shd w:val="clear" w:color="000000" w:fill="FFFFFF"/>
            <w:noWrap/>
            <w:vAlign w:val="bottom"/>
            <w:hideMark/>
          </w:tcPr>
          <w:p w14:paraId="053E855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0.937</w:t>
            </w:r>
          </w:p>
        </w:tc>
        <w:tc>
          <w:tcPr>
            <w:tcW w:w="716" w:type="dxa"/>
            <w:tcBorders>
              <w:top w:val="nil"/>
              <w:left w:val="nil"/>
              <w:bottom w:val="nil"/>
              <w:right w:val="nil"/>
            </w:tcBorders>
            <w:shd w:val="clear" w:color="000000" w:fill="FFFFFF"/>
            <w:noWrap/>
            <w:vAlign w:val="bottom"/>
            <w:hideMark/>
          </w:tcPr>
          <w:p w14:paraId="4A8EDD8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65D68732"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0.223</w:t>
            </w:r>
          </w:p>
        </w:tc>
        <w:tc>
          <w:tcPr>
            <w:tcW w:w="727" w:type="dxa"/>
            <w:tcBorders>
              <w:top w:val="nil"/>
              <w:left w:val="nil"/>
              <w:bottom w:val="nil"/>
              <w:right w:val="nil"/>
            </w:tcBorders>
            <w:shd w:val="clear" w:color="000000" w:fill="FFFFFF"/>
            <w:noWrap/>
            <w:vAlign w:val="bottom"/>
            <w:hideMark/>
          </w:tcPr>
          <w:p w14:paraId="720D779B"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0.232</w:t>
            </w:r>
          </w:p>
        </w:tc>
        <w:tc>
          <w:tcPr>
            <w:tcW w:w="1681" w:type="dxa"/>
            <w:tcBorders>
              <w:top w:val="nil"/>
              <w:left w:val="nil"/>
              <w:bottom w:val="nil"/>
              <w:right w:val="nil"/>
            </w:tcBorders>
            <w:shd w:val="clear" w:color="000000" w:fill="FFFFFF"/>
            <w:noWrap/>
            <w:vAlign w:val="bottom"/>
            <w:hideMark/>
          </w:tcPr>
          <w:p w14:paraId="09B26B79"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0.251</w:t>
            </w:r>
          </w:p>
        </w:tc>
      </w:tr>
      <w:tr w:rsidR="000617FF" w:rsidRPr="00504D7E" w14:paraId="5C6797D3" w14:textId="77777777" w:rsidTr="00B638CE">
        <w:trPr>
          <w:trHeight w:val="300"/>
        </w:trPr>
        <w:tc>
          <w:tcPr>
            <w:tcW w:w="5049" w:type="dxa"/>
            <w:tcBorders>
              <w:top w:val="nil"/>
              <w:left w:val="nil"/>
              <w:bottom w:val="nil"/>
              <w:right w:val="nil"/>
            </w:tcBorders>
            <w:shd w:val="clear" w:color="000000" w:fill="FFFFFF"/>
            <w:noWrap/>
            <w:vAlign w:val="bottom"/>
            <w:hideMark/>
          </w:tcPr>
          <w:p w14:paraId="3698FA41" w14:textId="77777777" w:rsidR="000617FF" w:rsidRPr="00504D7E" w:rsidRDefault="000617FF" w:rsidP="00B638CE">
            <w:pPr>
              <w:rPr>
                <w:rFonts w:ascii="Times New Roman" w:hAnsi="Times New Roman"/>
                <w:color w:val="000000"/>
                <w:sz w:val="20"/>
                <w:szCs w:val="20"/>
              </w:rPr>
            </w:pPr>
            <w:r w:rsidRPr="00504D7E">
              <w:rPr>
                <w:rFonts w:ascii="Times New Roman" w:hAnsi="Times New Roman"/>
                <w:color w:val="000000"/>
                <w:sz w:val="20"/>
                <w:szCs w:val="20"/>
              </w:rPr>
              <w:t>Wood</w:t>
            </w:r>
          </w:p>
        </w:tc>
        <w:tc>
          <w:tcPr>
            <w:tcW w:w="651" w:type="dxa"/>
            <w:tcBorders>
              <w:top w:val="nil"/>
              <w:left w:val="nil"/>
              <w:bottom w:val="nil"/>
              <w:right w:val="nil"/>
            </w:tcBorders>
            <w:shd w:val="clear" w:color="000000" w:fill="FFFFFF"/>
            <w:noWrap/>
            <w:vAlign w:val="bottom"/>
            <w:hideMark/>
          </w:tcPr>
          <w:p w14:paraId="25C54DE1"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0.305</w:t>
            </w:r>
          </w:p>
        </w:tc>
        <w:tc>
          <w:tcPr>
            <w:tcW w:w="716" w:type="dxa"/>
            <w:tcBorders>
              <w:top w:val="nil"/>
              <w:left w:val="nil"/>
              <w:bottom w:val="nil"/>
              <w:right w:val="nil"/>
            </w:tcBorders>
            <w:shd w:val="clear" w:color="000000" w:fill="FFFFFF"/>
            <w:noWrap/>
            <w:vAlign w:val="bottom"/>
            <w:hideMark/>
          </w:tcPr>
          <w:p w14:paraId="1D498868"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2902C531"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0.222</w:t>
            </w:r>
          </w:p>
        </w:tc>
        <w:tc>
          <w:tcPr>
            <w:tcW w:w="727" w:type="dxa"/>
            <w:tcBorders>
              <w:top w:val="nil"/>
              <w:left w:val="nil"/>
              <w:bottom w:val="nil"/>
              <w:right w:val="nil"/>
            </w:tcBorders>
            <w:shd w:val="clear" w:color="000000" w:fill="FFFFFF"/>
            <w:noWrap/>
            <w:vAlign w:val="bottom"/>
            <w:hideMark/>
          </w:tcPr>
          <w:p w14:paraId="6A53A03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0.230</w:t>
            </w:r>
          </w:p>
        </w:tc>
        <w:tc>
          <w:tcPr>
            <w:tcW w:w="1681" w:type="dxa"/>
            <w:tcBorders>
              <w:top w:val="nil"/>
              <w:left w:val="nil"/>
              <w:bottom w:val="nil"/>
              <w:right w:val="nil"/>
            </w:tcBorders>
            <w:shd w:val="clear" w:color="000000" w:fill="FFFFFF"/>
            <w:noWrap/>
            <w:vAlign w:val="bottom"/>
            <w:hideMark/>
          </w:tcPr>
          <w:p w14:paraId="25377A9D"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0.249</w:t>
            </w:r>
          </w:p>
        </w:tc>
      </w:tr>
      <w:tr w:rsidR="000617FF" w:rsidRPr="00504D7E" w14:paraId="4216F479" w14:textId="77777777" w:rsidTr="00B638CE">
        <w:trPr>
          <w:trHeight w:val="300"/>
        </w:trPr>
        <w:tc>
          <w:tcPr>
            <w:tcW w:w="5049" w:type="dxa"/>
            <w:tcBorders>
              <w:top w:val="nil"/>
              <w:left w:val="nil"/>
              <w:bottom w:val="nil"/>
              <w:right w:val="nil"/>
            </w:tcBorders>
            <w:shd w:val="clear" w:color="000000" w:fill="FFFFFF"/>
            <w:noWrap/>
            <w:vAlign w:val="bottom"/>
            <w:hideMark/>
          </w:tcPr>
          <w:p w14:paraId="0D385BBD"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Paper</w:t>
            </w:r>
            <w:proofErr w:type="spellEnd"/>
          </w:p>
        </w:tc>
        <w:tc>
          <w:tcPr>
            <w:tcW w:w="651" w:type="dxa"/>
            <w:tcBorders>
              <w:top w:val="nil"/>
              <w:left w:val="nil"/>
              <w:bottom w:val="nil"/>
              <w:right w:val="nil"/>
            </w:tcBorders>
            <w:shd w:val="clear" w:color="000000" w:fill="FFFFFF"/>
            <w:noWrap/>
            <w:vAlign w:val="bottom"/>
            <w:hideMark/>
          </w:tcPr>
          <w:p w14:paraId="46240C38"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0.363</w:t>
            </w:r>
          </w:p>
        </w:tc>
        <w:tc>
          <w:tcPr>
            <w:tcW w:w="716" w:type="dxa"/>
            <w:tcBorders>
              <w:top w:val="nil"/>
              <w:left w:val="nil"/>
              <w:bottom w:val="nil"/>
              <w:right w:val="nil"/>
            </w:tcBorders>
            <w:shd w:val="clear" w:color="000000" w:fill="FFFFFF"/>
            <w:noWrap/>
            <w:vAlign w:val="bottom"/>
            <w:hideMark/>
          </w:tcPr>
          <w:p w14:paraId="6FF5A0C6"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3D25C35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0.222</w:t>
            </w:r>
          </w:p>
        </w:tc>
        <w:tc>
          <w:tcPr>
            <w:tcW w:w="727" w:type="dxa"/>
            <w:tcBorders>
              <w:top w:val="nil"/>
              <w:left w:val="nil"/>
              <w:bottom w:val="nil"/>
              <w:right w:val="nil"/>
            </w:tcBorders>
            <w:shd w:val="clear" w:color="000000" w:fill="FFFFFF"/>
            <w:noWrap/>
            <w:vAlign w:val="bottom"/>
            <w:hideMark/>
          </w:tcPr>
          <w:p w14:paraId="6CC4B54D"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0.232</w:t>
            </w:r>
          </w:p>
        </w:tc>
        <w:tc>
          <w:tcPr>
            <w:tcW w:w="1681" w:type="dxa"/>
            <w:tcBorders>
              <w:top w:val="nil"/>
              <w:left w:val="nil"/>
              <w:bottom w:val="nil"/>
              <w:right w:val="nil"/>
            </w:tcBorders>
            <w:shd w:val="clear" w:color="000000" w:fill="FFFFFF"/>
            <w:noWrap/>
            <w:vAlign w:val="bottom"/>
            <w:hideMark/>
          </w:tcPr>
          <w:p w14:paraId="516C481A"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0.250</w:t>
            </w:r>
          </w:p>
        </w:tc>
      </w:tr>
      <w:tr w:rsidR="000617FF" w:rsidRPr="00504D7E" w14:paraId="47778FDC" w14:textId="77777777" w:rsidTr="00B638CE">
        <w:trPr>
          <w:trHeight w:val="300"/>
        </w:trPr>
        <w:tc>
          <w:tcPr>
            <w:tcW w:w="5049" w:type="dxa"/>
            <w:tcBorders>
              <w:top w:val="nil"/>
              <w:left w:val="nil"/>
              <w:bottom w:val="nil"/>
              <w:right w:val="nil"/>
            </w:tcBorders>
            <w:shd w:val="clear" w:color="000000" w:fill="FFFFFF"/>
            <w:noWrap/>
            <w:vAlign w:val="bottom"/>
            <w:hideMark/>
          </w:tcPr>
          <w:p w14:paraId="05AD966F" w14:textId="77777777" w:rsidR="000617FF" w:rsidRPr="00504D7E" w:rsidRDefault="000617FF" w:rsidP="00B638CE">
            <w:pPr>
              <w:rPr>
                <w:rFonts w:ascii="Times New Roman" w:hAnsi="Times New Roman"/>
                <w:color w:val="000000"/>
                <w:sz w:val="20"/>
                <w:szCs w:val="20"/>
              </w:rPr>
            </w:pPr>
            <w:r w:rsidRPr="00504D7E">
              <w:rPr>
                <w:rFonts w:ascii="Times New Roman" w:hAnsi="Times New Roman"/>
                <w:color w:val="000000"/>
                <w:sz w:val="20"/>
                <w:szCs w:val="20"/>
              </w:rPr>
              <w:t xml:space="preserve">Publishing, </w:t>
            </w:r>
            <w:proofErr w:type="spellStart"/>
            <w:r w:rsidRPr="00504D7E">
              <w:rPr>
                <w:rFonts w:ascii="Times New Roman" w:hAnsi="Times New Roman"/>
                <w:color w:val="000000"/>
                <w:sz w:val="20"/>
                <w:szCs w:val="20"/>
              </w:rPr>
              <w:t>printing</w:t>
            </w:r>
            <w:proofErr w:type="spellEnd"/>
          </w:p>
        </w:tc>
        <w:tc>
          <w:tcPr>
            <w:tcW w:w="651" w:type="dxa"/>
            <w:tcBorders>
              <w:top w:val="nil"/>
              <w:left w:val="nil"/>
              <w:bottom w:val="nil"/>
              <w:right w:val="nil"/>
            </w:tcBorders>
            <w:shd w:val="clear" w:color="000000" w:fill="FFFFFF"/>
            <w:noWrap/>
            <w:vAlign w:val="bottom"/>
            <w:hideMark/>
          </w:tcPr>
          <w:p w14:paraId="6F70D6F2"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0.502</w:t>
            </w:r>
          </w:p>
        </w:tc>
        <w:tc>
          <w:tcPr>
            <w:tcW w:w="716" w:type="dxa"/>
            <w:tcBorders>
              <w:top w:val="nil"/>
              <w:left w:val="nil"/>
              <w:bottom w:val="nil"/>
              <w:right w:val="nil"/>
            </w:tcBorders>
            <w:shd w:val="clear" w:color="000000" w:fill="FFFFFF"/>
            <w:noWrap/>
            <w:vAlign w:val="bottom"/>
            <w:hideMark/>
          </w:tcPr>
          <w:p w14:paraId="56F2EBB6"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4049913D"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0.223</w:t>
            </w:r>
          </w:p>
        </w:tc>
        <w:tc>
          <w:tcPr>
            <w:tcW w:w="727" w:type="dxa"/>
            <w:tcBorders>
              <w:top w:val="nil"/>
              <w:left w:val="nil"/>
              <w:bottom w:val="nil"/>
              <w:right w:val="nil"/>
            </w:tcBorders>
            <w:shd w:val="clear" w:color="000000" w:fill="FFFFFF"/>
            <w:noWrap/>
            <w:vAlign w:val="bottom"/>
            <w:hideMark/>
          </w:tcPr>
          <w:p w14:paraId="6155AF1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0.233</w:t>
            </w:r>
          </w:p>
        </w:tc>
        <w:tc>
          <w:tcPr>
            <w:tcW w:w="1681" w:type="dxa"/>
            <w:tcBorders>
              <w:top w:val="nil"/>
              <w:left w:val="nil"/>
              <w:bottom w:val="nil"/>
              <w:right w:val="nil"/>
            </w:tcBorders>
            <w:shd w:val="clear" w:color="000000" w:fill="FFFFFF"/>
            <w:noWrap/>
            <w:vAlign w:val="bottom"/>
            <w:hideMark/>
          </w:tcPr>
          <w:p w14:paraId="2F2C098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0.252</w:t>
            </w:r>
          </w:p>
        </w:tc>
      </w:tr>
      <w:tr w:rsidR="000617FF" w:rsidRPr="00504D7E" w14:paraId="5FB3C1D2" w14:textId="77777777" w:rsidTr="00B638CE">
        <w:trPr>
          <w:trHeight w:val="300"/>
        </w:trPr>
        <w:tc>
          <w:tcPr>
            <w:tcW w:w="5049" w:type="dxa"/>
            <w:tcBorders>
              <w:top w:val="nil"/>
              <w:left w:val="nil"/>
              <w:bottom w:val="nil"/>
              <w:right w:val="nil"/>
            </w:tcBorders>
            <w:shd w:val="clear" w:color="000000" w:fill="FFFFFF"/>
            <w:noWrap/>
            <w:vAlign w:val="bottom"/>
            <w:hideMark/>
          </w:tcPr>
          <w:p w14:paraId="50D6CDC0"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Chemicals</w:t>
            </w:r>
            <w:proofErr w:type="spellEnd"/>
          </w:p>
        </w:tc>
        <w:tc>
          <w:tcPr>
            <w:tcW w:w="651" w:type="dxa"/>
            <w:tcBorders>
              <w:top w:val="nil"/>
              <w:left w:val="nil"/>
              <w:bottom w:val="nil"/>
              <w:right w:val="nil"/>
            </w:tcBorders>
            <w:shd w:val="clear" w:color="000000" w:fill="FFFFFF"/>
            <w:noWrap/>
            <w:vAlign w:val="bottom"/>
            <w:hideMark/>
          </w:tcPr>
          <w:p w14:paraId="5BA02EF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0.548</w:t>
            </w:r>
          </w:p>
        </w:tc>
        <w:tc>
          <w:tcPr>
            <w:tcW w:w="716" w:type="dxa"/>
            <w:tcBorders>
              <w:top w:val="nil"/>
              <w:left w:val="nil"/>
              <w:bottom w:val="nil"/>
              <w:right w:val="nil"/>
            </w:tcBorders>
            <w:shd w:val="clear" w:color="000000" w:fill="FFFFFF"/>
            <w:noWrap/>
            <w:vAlign w:val="bottom"/>
            <w:hideMark/>
          </w:tcPr>
          <w:p w14:paraId="2B37A3D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109603B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0.224</w:t>
            </w:r>
          </w:p>
        </w:tc>
        <w:tc>
          <w:tcPr>
            <w:tcW w:w="727" w:type="dxa"/>
            <w:tcBorders>
              <w:top w:val="nil"/>
              <w:left w:val="nil"/>
              <w:bottom w:val="nil"/>
              <w:right w:val="nil"/>
            </w:tcBorders>
            <w:shd w:val="clear" w:color="000000" w:fill="FFFFFF"/>
            <w:noWrap/>
            <w:vAlign w:val="bottom"/>
            <w:hideMark/>
          </w:tcPr>
          <w:p w14:paraId="661A5B2D"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0.233</w:t>
            </w:r>
          </w:p>
        </w:tc>
        <w:tc>
          <w:tcPr>
            <w:tcW w:w="1681" w:type="dxa"/>
            <w:tcBorders>
              <w:top w:val="nil"/>
              <w:left w:val="nil"/>
              <w:bottom w:val="nil"/>
              <w:right w:val="nil"/>
            </w:tcBorders>
            <w:shd w:val="clear" w:color="000000" w:fill="FFFFFF"/>
            <w:noWrap/>
            <w:vAlign w:val="bottom"/>
            <w:hideMark/>
          </w:tcPr>
          <w:p w14:paraId="1C28AE4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0.250</w:t>
            </w:r>
          </w:p>
        </w:tc>
      </w:tr>
      <w:tr w:rsidR="000617FF" w:rsidRPr="00504D7E" w14:paraId="5FB79A92" w14:textId="77777777" w:rsidTr="00B638CE">
        <w:trPr>
          <w:trHeight w:val="300"/>
        </w:trPr>
        <w:tc>
          <w:tcPr>
            <w:tcW w:w="5049" w:type="dxa"/>
            <w:tcBorders>
              <w:top w:val="nil"/>
              <w:left w:val="nil"/>
              <w:bottom w:val="nil"/>
              <w:right w:val="nil"/>
            </w:tcBorders>
            <w:shd w:val="clear" w:color="000000" w:fill="FFFFFF"/>
            <w:noWrap/>
            <w:vAlign w:val="bottom"/>
            <w:hideMark/>
          </w:tcPr>
          <w:p w14:paraId="0E1F8D2D"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Rubber</w:t>
            </w:r>
            <w:proofErr w:type="spellEnd"/>
            <w:r w:rsidRPr="00504D7E">
              <w:rPr>
                <w:rFonts w:ascii="Times New Roman" w:hAnsi="Times New Roman"/>
                <w:color w:val="000000"/>
                <w:sz w:val="20"/>
                <w:szCs w:val="20"/>
              </w:rPr>
              <w:t xml:space="preserve"> and </w:t>
            </w:r>
            <w:proofErr w:type="spellStart"/>
            <w:r w:rsidRPr="00504D7E">
              <w:rPr>
                <w:rFonts w:ascii="Times New Roman" w:hAnsi="Times New Roman"/>
                <w:color w:val="000000"/>
                <w:sz w:val="20"/>
                <w:szCs w:val="20"/>
              </w:rPr>
              <w:t>plastics</w:t>
            </w:r>
            <w:proofErr w:type="spellEnd"/>
          </w:p>
        </w:tc>
        <w:tc>
          <w:tcPr>
            <w:tcW w:w="651" w:type="dxa"/>
            <w:tcBorders>
              <w:top w:val="nil"/>
              <w:left w:val="nil"/>
              <w:bottom w:val="nil"/>
              <w:right w:val="nil"/>
            </w:tcBorders>
            <w:shd w:val="clear" w:color="000000" w:fill="FFFFFF"/>
            <w:noWrap/>
            <w:vAlign w:val="bottom"/>
            <w:hideMark/>
          </w:tcPr>
          <w:p w14:paraId="6B77C2C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0.343</w:t>
            </w:r>
          </w:p>
        </w:tc>
        <w:tc>
          <w:tcPr>
            <w:tcW w:w="716" w:type="dxa"/>
            <w:tcBorders>
              <w:top w:val="nil"/>
              <w:left w:val="nil"/>
              <w:bottom w:val="nil"/>
              <w:right w:val="nil"/>
            </w:tcBorders>
            <w:shd w:val="clear" w:color="000000" w:fill="FFFFFF"/>
            <w:noWrap/>
            <w:vAlign w:val="bottom"/>
            <w:hideMark/>
          </w:tcPr>
          <w:p w14:paraId="6C7908F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7A58D0B3"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0.218</w:t>
            </w:r>
          </w:p>
        </w:tc>
        <w:tc>
          <w:tcPr>
            <w:tcW w:w="727" w:type="dxa"/>
            <w:tcBorders>
              <w:top w:val="nil"/>
              <w:left w:val="nil"/>
              <w:bottom w:val="nil"/>
              <w:right w:val="nil"/>
            </w:tcBorders>
            <w:shd w:val="clear" w:color="000000" w:fill="FFFFFF"/>
            <w:noWrap/>
            <w:vAlign w:val="bottom"/>
            <w:hideMark/>
          </w:tcPr>
          <w:p w14:paraId="3C4B6A6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0.227</w:t>
            </w:r>
          </w:p>
        </w:tc>
        <w:tc>
          <w:tcPr>
            <w:tcW w:w="1681" w:type="dxa"/>
            <w:tcBorders>
              <w:top w:val="nil"/>
              <w:left w:val="nil"/>
              <w:bottom w:val="nil"/>
              <w:right w:val="nil"/>
            </w:tcBorders>
            <w:shd w:val="clear" w:color="000000" w:fill="FFFFFF"/>
            <w:noWrap/>
            <w:vAlign w:val="bottom"/>
            <w:hideMark/>
          </w:tcPr>
          <w:p w14:paraId="343E93C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0.246</w:t>
            </w:r>
          </w:p>
        </w:tc>
      </w:tr>
      <w:tr w:rsidR="000617FF" w:rsidRPr="00504D7E" w14:paraId="3F6B63EC" w14:textId="77777777" w:rsidTr="00B638CE">
        <w:trPr>
          <w:trHeight w:val="300"/>
        </w:trPr>
        <w:tc>
          <w:tcPr>
            <w:tcW w:w="5049" w:type="dxa"/>
            <w:tcBorders>
              <w:top w:val="nil"/>
              <w:left w:val="nil"/>
              <w:bottom w:val="nil"/>
              <w:right w:val="nil"/>
            </w:tcBorders>
            <w:shd w:val="clear" w:color="000000" w:fill="FFFFFF"/>
            <w:noWrap/>
            <w:vAlign w:val="bottom"/>
            <w:hideMark/>
          </w:tcPr>
          <w:p w14:paraId="21B1C11C" w14:textId="77777777" w:rsidR="000617FF" w:rsidRPr="00F378A9" w:rsidRDefault="000617FF" w:rsidP="00B638CE">
            <w:pPr>
              <w:rPr>
                <w:rFonts w:ascii="Times New Roman" w:hAnsi="Times New Roman"/>
                <w:color w:val="000000"/>
                <w:sz w:val="20"/>
                <w:szCs w:val="20"/>
                <w:lang w:val="en-US"/>
              </w:rPr>
            </w:pPr>
            <w:r w:rsidRPr="00F378A9">
              <w:rPr>
                <w:rFonts w:ascii="Times New Roman" w:hAnsi="Times New Roman"/>
                <w:color w:val="000000"/>
                <w:sz w:val="20"/>
                <w:szCs w:val="20"/>
                <w:lang w:val="en-US"/>
              </w:rPr>
              <w:t>Other non-metallic mineral products</w:t>
            </w:r>
          </w:p>
        </w:tc>
        <w:tc>
          <w:tcPr>
            <w:tcW w:w="651" w:type="dxa"/>
            <w:tcBorders>
              <w:top w:val="nil"/>
              <w:left w:val="nil"/>
              <w:bottom w:val="nil"/>
              <w:right w:val="nil"/>
            </w:tcBorders>
            <w:shd w:val="clear" w:color="000000" w:fill="FFFFFF"/>
            <w:noWrap/>
            <w:vAlign w:val="bottom"/>
            <w:hideMark/>
          </w:tcPr>
          <w:p w14:paraId="3B4A227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0.343</w:t>
            </w:r>
          </w:p>
        </w:tc>
        <w:tc>
          <w:tcPr>
            <w:tcW w:w="716" w:type="dxa"/>
            <w:tcBorders>
              <w:top w:val="nil"/>
              <w:left w:val="nil"/>
              <w:bottom w:val="nil"/>
              <w:right w:val="nil"/>
            </w:tcBorders>
            <w:shd w:val="clear" w:color="000000" w:fill="FFFFFF"/>
            <w:noWrap/>
            <w:vAlign w:val="bottom"/>
            <w:hideMark/>
          </w:tcPr>
          <w:p w14:paraId="261A150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51A4FAB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0.215</w:t>
            </w:r>
          </w:p>
        </w:tc>
        <w:tc>
          <w:tcPr>
            <w:tcW w:w="727" w:type="dxa"/>
            <w:tcBorders>
              <w:top w:val="nil"/>
              <w:left w:val="nil"/>
              <w:bottom w:val="nil"/>
              <w:right w:val="nil"/>
            </w:tcBorders>
            <w:shd w:val="clear" w:color="000000" w:fill="FFFFFF"/>
            <w:noWrap/>
            <w:vAlign w:val="bottom"/>
            <w:hideMark/>
          </w:tcPr>
          <w:p w14:paraId="41341F05"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0.224</w:t>
            </w:r>
          </w:p>
        </w:tc>
        <w:tc>
          <w:tcPr>
            <w:tcW w:w="1681" w:type="dxa"/>
            <w:tcBorders>
              <w:top w:val="nil"/>
              <w:left w:val="nil"/>
              <w:bottom w:val="nil"/>
              <w:right w:val="nil"/>
            </w:tcBorders>
            <w:shd w:val="clear" w:color="000000" w:fill="FFFFFF"/>
            <w:noWrap/>
            <w:vAlign w:val="bottom"/>
            <w:hideMark/>
          </w:tcPr>
          <w:p w14:paraId="0796CE0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0.241</w:t>
            </w:r>
          </w:p>
        </w:tc>
      </w:tr>
      <w:tr w:rsidR="000617FF" w:rsidRPr="00504D7E" w14:paraId="7DBE3F80" w14:textId="77777777" w:rsidTr="00B638CE">
        <w:trPr>
          <w:trHeight w:val="300"/>
        </w:trPr>
        <w:tc>
          <w:tcPr>
            <w:tcW w:w="5049" w:type="dxa"/>
            <w:tcBorders>
              <w:top w:val="nil"/>
              <w:left w:val="nil"/>
              <w:bottom w:val="nil"/>
              <w:right w:val="nil"/>
            </w:tcBorders>
            <w:shd w:val="clear" w:color="000000" w:fill="FFFFFF"/>
            <w:noWrap/>
            <w:vAlign w:val="bottom"/>
            <w:hideMark/>
          </w:tcPr>
          <w:p w14:paraId="15E52C1B" w14:textId="77777777" w:rsidR="000617FF" w:rsidRPr="00504D7E" w:rsidRDefault="000617FF" w:rsidP="00B638CE">
            <w:pPr>
              <w:rPr>
                <w:rFonts w:ascii="Times New Roman" w:hAnsi="Times New Roman"/>
                <w:color w:val="000000"/>
                <w:sz w:val="20"/>
                <w:szCs w:val="20"/>
              </w:rPr>
            </w:pPr>
            <w:r w:rsidRPr="00504D7E">
              <w:rPr>
                <w:rFonts w:ascii="Times New Roman" w:hAnsi="Times New Roman"/>
                <w:color w:val="000000"/>
                <w:sz w:val="20"/>
                <w:szCs w:val="20"/>
              </w:rPr>
              <w:t xml:space="preserve">Basic </w:t>
            </w:r>
            <w:proofErr w:type="spellStart"/>
            <w:r w:rsidRPr="00504D7E">
              <w:rPr>
                <w:rFonts w:ascii="Times New Roman" w:hAnsi="Times New Roman"/>
                <w:color w:val="000000"/>
                <w:sz w:val="20"/>
                <w:szCs w:val="20"/>
              </w:rPr>
              <w:t>metals</w:t>
            </w:r>
            <w:proofErr w:type="spellEnd"/>
          </w:p>
        </w:tc>
        <w:tc>
          <w:tcPr>
            <w:tcW w:w="651" w:type="dxa"/>
            <w:tcBorders>
              <w:top w:val="nil"/>
              <w:left w:val="nil"/>
              <w:bottom w:val="nil"/>
              <w:right w:val="nil"/>
            </w:tcBorders>
            <w:shd w:val="clear" w:color="000000" w:fill="FFFFFF"/>
            <w:noWrap/>
            <w:vAlign w:val="bottom"/>
            <w:hideMark/>
          </w:tcPr>
          <w:p w14:paraId="13D9B358"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0.668</w:t>
            </w:r>
          </w:p>
        </w:tc>
        <w:tc>
          <w:tcPr>
            <w:tcW w:w="716" w:type="dxa"/>
            <w:tcBorders>
              <w:top w:val="nil"/>
              <w:left w:val="nil"/>
              <w:bottom w:val="nil"/>
              <w:right w:val="nil"/>
            </w:tcBorders>
            <w:shd w:val="clear" w:color="000000" w:fill="FFFFFF"/>
            <w:noWrap/>
            <w:vAlign w:val="bottom"/>
            <w:hideMark/>
          </w:tcPr>
          <w:p w14:paraId="21C1FEE7"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2A5CA5C8"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0.220</w:t>
            </w:r>
          </w:p>
        </w:tc>
        <w:tc>
          <w:tcPr>
            <w:tcW w:w="727" w:type="dxa"/>
            <w:tcBorders>
              <w:top w:val="nil"/>
              <w:left w:val="nil"/>
              <w:bottom w:val="nil"/>
              <w:right w:val="nil"/>
            </w:tcBorders>
            <w:shd w:val="clear" w:color="000000" w:fill="FFFFFF"/>
            <w:noWrap/>
            <w:vAlign w:val="bottom"/>
            <w:hideMark/>
          </w:tcPr>
          <w:p w14:paraId="3F50B688"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0.229</w:t>
            </w:r>
          </w:p>
        </w:tc>
        <w:tc>
          <w:tcPr>
            <w:tcW w:w="1681" w:type="dxa"/>
            <w:tcBorders>
              <w:top w:val="nil"/>
              <w:left w:val="nil"/>
              <w:bottom w:val="nil"/>
              <w:right w:val="nil"/>
            </w:tcBorders>
            <w:shd w:val="clear" w:color="000000" w:fill="FFFFFF"/>
            <w:noWrap/>
            <w:vAlign w:val="bottom"/>
            <w:hideMark/>
          </w:tcPr>
          <w:p w14:paraId="1677672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0.247</w:t>
            </w:r>
          </w:p>
        </w:tc>
      </w:tr>
      <w:tr w:rsidR="000617FF" w:rsidRPr="00504D7E" w14:paraId="5B153083" w14:textId="77777777" w:rsidTr="00B638CE">
        <w:trPr>
          <w:trHeight w:val="300"/>
        </w:trPr>
        <w:tc>
          <w:tcPr>
            <w:tcW w:w="5049" w:type="dxa"/>
            <w:tcBorders>
              <w:top w:val="nil"/>
              <w:left w:val="nil"/>
              <w:bottom w:val="nil"/>
              <w:right w:val="nil"/>
            </w:tcBorders>
            <w:shd w:val="clear" w:color="000000" w:fill="FFFFFF"/>
            <w:noWrap/>
            <w:vAlign w:val="bottom"/>
            <w:hideMark/>
          </w:tcPr>
          <w:p w14:paraId="06971201"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Fabricated</w:t>
            </w:r>
            <w:proofErr w:type="spellEnd"/>
            <w:r w:rsidRPr="00504D7E">
              <w:rPr>
                <w:rFonts w:ascii="Times New Roman" w:hAnsi="Times New Roman"/>
                <w:color w:val="000000"/>
                <w:sz w:val="20"/>
                <w:szCs w:val="20"/>
              </w:rPr>
              <w:t xml:space="preserve"> metal </w:t>
            </w:r>
            <w:proofErr w:type="spellStart"/>
            <w:r w:rsidRPr="00504D7E">
              <w:rPr>
                <w:rFonts w:ascii="Times New Roman" w:hAnsi="Times New Roman"/>
                <w:color w:val="000000"/>
                <w:sz w:val="20"/>
                <w:szCs w:val="20"/>
              </w:rPr>
              <w:t>products</w:t>
            </w:r>
            <w:proofErr w:type="spellEnd"/>
          </w:p>
        </w:tc>
        <w:tc>
          <w:tcPr>
            <w:tcW w:w="651" w:type="dxa"/>
            <w:tcBorders>
              <w:top w:val="nil"/>
              <w:left w:val="nil"/>
              <w:bottom w:val="nil"/>
              <w:right w:val="nil"/>
            </w:tcBorders>
            <w:shd w:val="clear" w:color="000000" w:fill="FFFFFF"/>
            <w:noWrap/>
            <w:vAlign w:val="bottom"/>
            <w:hideMark/>
          </w:tcPr>
          <w:p w14:paraId="6C9A779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0.410</w:t>
            </w:r>
          </w:p>
        </w:tc>
        <w:tc>
          <w:tcPr>
            <w:tcW w:w="716" w:type="dxa"/>
            <w:tcBorders>
              <w:top w:val="nil"/>
              <w:left w:val="nil"/>
              <w:bottom w:val="nil"/>
              <w:right w:val="nil"/>
            </w:tcBorders>
            <w:shd w:val="clear" w:color="000000" w:fill="FFFFFF"/>
            <w:noWrap/>
            <w:vAlign w:val="bottom"/>
            <w:hideMark/>
          </w:tcPr>
          <w:p w14:paraId="7CEBDEA2"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7FC8DEF7"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0.219</w:t>
            </w:r>
          </w:p>
        </w:tc>
        <w:tc>
          <w:tcPr>
            <w:tcW w:w="727" w:type="dxa"/>
            <w:tcBorders>
              <w:top w:val="nil"/>
              <w:left w:val="nil"/>
              <w:bottom w:val="nil"/>
              <w:right w:val="nil"/>
            </w:tcBorders>
            <w:shd w:val="clear" w:color="000000" w:fill="FFFFFF"/>
            <w:noWrap/>
            <w:vAlign w:val="bottom"/>
            <w:hideMark/>
          </w:tcPr>
          <w:p w14:paraId="581E9C25"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0.228</w:t>
            </w:r>
          </w:p>
        </w:tc>
        <w:tc>
          <w:tcPr>
            <w:tcW w:w="1681" w:type="dxa"/>
            <w:tcBorders>
              <w:top w:val="nil"/>
              <w:left w:val="nil"/>
              <w:bottom w:val="nil"/>
              <w:right w:val="nil"/>
            </w:tcBorders>
            <w:shd w:val="clear" w:color="000000" w:fill="FFFFFF"/>
            <w:noWrap/>
            <w:vAlign w:val="bottom"/>
            <w:hideMark/>
          </w:tcPr>
          <w:p w14:paraId="29591F5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0.247</w:t>
            </w:r>
          </w:p>
        </w:tc>
      </w:tr>
      <w:tr w:rsidR="000617FF" w:rsidRPr="00504D7E" w14:paraId="33E424B3" w14:textId="77777777" w:rsidTr="00B638CE">
        <w:trPr>
          <w:trHeight w:val="300"/>
        </w:trPr>
        <w:tc>
          <w:tcPr>
            <w:tcW w:w="5049" w:type="dxa"/>
            <w:tcBorders>
              <w:top w:val="nil"/>
              <w:left w:val="nil"/>
              <w:bottom w:val="nil"/>
              <w:right w:val="nil"/>
            </w:tcBorders>
            <w:shd w:val="clear" w:color="000000" w:fill="FFFFFF"/>
            <w:noWrap/>
            <w:vAlign w:val="bottom"/>
            <w:hideMark/>
          </w:tcPr>
          <w:p w14:paraId="56F309D9"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Machinery</w:t>
            </w:r>
            <w:proofErr w:type="spellEnd"/>
            <w:r w:rsidRPr="00504D7E">
              <w:rPr>
                <w:rFonts w:ascii="Times New Roman" w:hAnsi="Times New Roman"/>
                <w:color w:val="000000"/>
                <w:sz w:val="20"/>
                <w:szCs w:val="20"/>
              </w:rPr>
              <w:t xml:space="preserve"> and </w:t>
            </w:r>
            <w:proofErr w:type="spellStart"/>
            <w:r w:rsidRPr="00504D7E">
              <w:rPr>
                <w:rFonts w:ascii="Times New Roman" w:hAnsi="Times New Roman"/>
                <w:color w:val="000000"/>
                <w:sz w:val="20"/>
                <w:szCs w:val="20"/>
              </w:rPr>
              <w:t>equipment</w:t>
            </w:r>
            <w:proofErr w:type="spellEnd"/>
          </w:p>
        </w:tc>
        <w:tc>
          <w:tcPr>
            <w:tcW w:w="651" w:type="dxa"/>
            <w:tcBorders>
              <w:top w:val="nil"/>
              <w:left w:val="nil"/>
              <w:bottom w:val="nil"/>
              <w:right w:val="nil"/>
            </w:tcBorders>
            <w:shd w:val="clear" w:color="000000" w:fill="FFFFFF"/>
            <w:noWrap/>
            <w:vAlign w:val="bottom"/>
            <w:hideMark/>
          </w:tcPr>
          <w:p w14:paraId="44CDB82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0.521</w:t>
            </w:r>
          </w:p>
        </w:tc>
        <w:tc>
          <w:tcPr>
            <w:tcW w:w="716" w:type="dxa"/>
            <w:tcBorders>
              <w:top w:val="nil"/>
              <w:left w:val="nil"/>
              <w:bottom w:val="nil"/>
              <w:right w:val="nil"/>
            </w:tcBorders>
            <w:shd w:val="clear" w:color="000000" w:fill="FFFFFF"/>
            <w:noWrap/>
            <w:vAlign w:val="bottom"/>
            <w:hideMark/>
          </w:tcPr>
          <w:p w14:paraId="231D8BDA"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3F8AF712"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0.216</w:t>
            </w:r>
          </w:p>
        </w:tc>
        <w:tc>
          <w:tcPr>
            <w:tcW w:w="727" w:type="dxa"/>
            <w:tcBorders>
              <w:top w:val="nil"/>
              <w:left w:val="nil"/>
              <w:bottom w:val="nil"/>
              <w:right w:val="nil"/>
            </w:tcBorders>
            <w:shd w:val="clear" w:color="000000" w:fill="FFFFFF"/>
            <w:noWrap/>
            <w:vAlign w:val="bottom"/>
            <w:hideMark/>
          </w:tcPr>
          <w:p w14:paraId="5135555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0.224</w:t>
            </w:r>
          </w:p>
        </w:tc>
        <w:tc>
          <w:tcPr>
            <w:tcW w:w="1681" w:type="dxa"/>
            <w:tcBorders>
              <w:top w:val="nil"/>
              <w:left w:val="nil"/>
              <w:bottom w:val="nil"/>
              <w:right w:val="nil"/>
            </w:tcBorders>
            <w:shd w:val="clear" w:color="000000" w:fill="FFFFFF"/>
            <w:noWrap/>
            <w:vAlign w:val="bottom"/>
            <w:hideMark/>
          </w:tcPr>
          <w:p w14:paraId="0616CDD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0.243</w:t>
            </w:r>
          </w:p>
        </w:tc>
      </w:tr>
      <w:tr w:rsidR="000617FF" w:rsidRPr="00504D7E" w14:paraId="2667C15C" w14:textId="77777777" w:rsidTr="00B638CE">
        <w:trPr>
          <w:trHeight w:val="300"/>
        </w:trPr>
        <w:tc>
          <w:tcPr>
            <w:tcW w:w="5049" w:type="dxa"/>
            <w:tcBorders>
              <w:top w:val="nil"/>
              <w:left w:val="nil"/>
              <w:bottom w:val="nil"/>
              <w:right w:val="nil"/>
            </w:tcBorders>
            <w:shd w:val="clear" w:color="000000" w:fill="FFFFFF"/>
            <w:noWrap/>
            <w:vAlign w:val="bottom"/>
            <w:hideMark/>
          </w:tcPr>
          <w:p w14:paraId="5260AE35" w14:textId="77777777" w:rsidR="000617FF" w:rsidRPr="00504D7E" w:rsidRDefault="000617FF" w:rsidP="00B638CE">
            <w:pPr>
              <w:rPr>
                <w:rFonts w:ascii="Times New Roman" w:hAnsi="Times New Roman"/>
                <w:color w:val="000000"/>
                <w:sz w:val="20"/>
                <w:szCs w:val="20"/>
              </w:rPr>
            </w:pPr>
            <w:r w:rsidRPr="00504D7E">
              <w:rPr>
                <w:rFonts w:ascii="Times New Roman" w:hAnsi="Times New Roman"/>
                <w:color w:val="000000"/>
                <w:sz w:val="20"/>
                <w:szCs w:val="20"/>
              </w:rPr>
              <w:t xml:space="preserve">Office </w:t>
            </w:r>
            <w:proofErr w:type="spellStart"/>
            <w:r w:rsidRPr="00504D7E">
              <w:rPr>
                <w:rFonts w:ascii="Times New Roman" w:hAnsi="Times New Roman"/>
                <w:color w:val="000000"/>
                <w:sz w:val="20"/>
                <w:szCs w:val="20"/>
              </w:rPr>
              <w:t>machinery</w:t>
            </w:r>
            <w:proofErr w:type="spellEnd"/>
            <w:r w:rsidRPr="00504D7E">
              <w:rPr>
                <w:rFonts w:ascii="Times New Roman" w:hAnsi="Times New Roman"/>
                <w:color w:val="000000"/>
                <w:sz w:val="20"/>
                <w:szCs w:val="20"/>
              </w:rPr>
              <w:t xml:space="preserve"> and </w:t>
            </w:r>
            <w:proofErr w:type="spellStart"/>
            <w:r w:rsidRPr="00504D7E">
              <w:rPr>
                <w:rFonts w:ascii="Times New Roman" w:hAnsi="Times New Roman"/>
                <w:color w:val="000000"/>
                <w:sz w:val="20"/>
                <w:szCs w:val="20"/>
              </w:rPr>
              <w:t>computers</w:t>
            </w:r>
            <w:proofErr w:type="spellEnd"/>
          </w:p>
        </w:tc>
        <w:tc>
          <w:tcPr>
            <w:tcW w:w="651" w:type="dxa"/>
            <w:tcBorders>
              <w:top w:val="nil"/>
              <w:left w:val="nil"/>
              <w:bottom w:val="nil"/>
              <w:right w:val="nil"/>
            </w:tcBorders>
            <w:shd w:val="clear" w:color="000000" w:fill="FFFFFF"/>
            <w:noWrap/>
            <w:vAlign w:val="bottom"/>
            <w:hideMark/>
          </w:tcPr>
          <w:p w14:paraId="62081685"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0.691</w:t>
            </w:r>
          </w:p>
        </w:tc>
        <w:tc>
          <w:tcPr>
            <w:tcW w:w="716" w:type="dxa"/>
            <w:tcBorders>
              <w:top w:val="nil"/>
              <w:left w:val="nil"/>
              <w:bottom w:val="nil"/>
              <w:right w:val="nil"/>
            </w:tcBorders>
            <w:shd w:val="clear" w:color="000000" w:fill="FFFFFF"/>
            <w:noWrap/>
            <w:vAlign w:val="bottom"/>
            <w:hideMark/>
          </w:tcPr>
          <w:p w14:paraId="6B54E267"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327E6D73"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0.222</w:t>
            </w:r>
          </w:p>
        </w:tc>
        <w:tc>
          <w:tcPr>
            <w:tcW w:w="727" w:type="dxa"/>
            <w:tcBorders>
              <w:top w:val="nil"/>
              <w:left w:val="nil"/>
              <w:bottom w:val="nil"/>
              <w:right w:val="nil"/>
            </w:tcBorders>
            <w:shd w:val="clear" w:color="000000" w:fill="FFFFFF"/>
            <w:noWrap/>
            <w:vAlign w:val="bottom"/>
            <w:hideMark/>
          </w:tcPr>
          <w:p w14:paraId="37399B23"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0.232</w:t>
            </w:r>
          </w:p>
        </w:tc>
        <w:tc>
          <w:tcPr>
            <w:tcW w:w="1681" w:type="dxa"/>
            <w:tcBorders>
              <w:top w:val="nil"/>
              <w:left w:val="nil"/>
              <w:bottom w:val="nil"/>
              <w:right w:val="nil"/>
            </w:tcBorders>
            <w:shd w:val="clear" w:color="000000" w:fill="FFFFFF"/>
            <w:noWrap/>
            <w:vAlign w:val="bottom"/>
            <w:hideMark/>
          </w:tcPr>
          <w:p w14:paraId="380156B2"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0.250</w:t>
            </w:r>
          </w:p>
        </w:tc>
      </w:tr>
      <w:tr w:rsidR="000617FF" w:rsidRPr="00504D7E" w14:paraId="25A59397" w14:textId="77777777" w:rsidTr="00B638CE">
        <w:trPr>
          <w:trHeight w:val="300"/>
        </w:trPr>
        <w:tc>
          <w:tcPr>
            <w:tcW w:w="5049" w:type="dxa"/>
            <w:tcBorders>
              <w:top w:val="nil"/>
              <w:left w:val="nil"/>
              <w:bottom w:val="nil"/>
              <w:right w:val="nil"/>
            </w:tcBorders>
            <w:shd w:val="clear" w:color="000000" w:fill="FFFFFF"/>
            <w:noWrap/>
            <w:vAlign w:val="bottom"/>
            <w:hideMark/>
          </w:tcPr>
          <w:p w14:paraId="75719FF7" w14:textId="77777777" w:rsidR="000617FF" w:rsidRPr="00F378A9" w:rsidRDefault="000617FF" w:rsidP="00B638CE">
            <w:pPr>
              <w:rPr>
                <w:rFonts w:ascii="Times New Roman" w:hAnsi="Times New Roman"/>
                <w:color w:val="000000"/>
                <w:sz w:val="20"/>
                <w:szCs w:val="20"/>
                <w:lang w:val="en-US"/>
              </w:rPr>
            </w:pPr>
            <w:r w:rsidRPr="00F378A9">
              <w:rPr>
                <w:rFonts w:ascii="Times New Roman" w:hAnsi="Times New Roman"/>
                <w:color w:val="000000"/>
                <w:sz w:val="20"/>
                <w:szCs w:val="20"/>
                <w:lang w:val="en-US"/>
              </w:rPr>
              <w:t xml:space="preserve">Electrical machinery and apparatus </w:t>
            </w:r>
            <w:proofErr w:type="spellStart"/>
            <w:r w:rsidRPr="00F378A9">
              <w:rPr>
                <w:rFonts w:ascii="Times New Roman" w:hAnsi="Times New Roman"/>
                <w:color w:val="000000"/>
                <w:sz w:val="20"/>
                <w:szCs w:val="20"/>
                <w:lang w:val="en-US"/>
              </w:rPr>
              <w:t>n.e.c</w:t>
            </w:r>
            <w:proofErr w:type="spellEnd"/>
            <w:r w:rsidRPr="00F378A9">
              <w:rPr>
                <w:rFonts w:ascii="Times New Roman" w:hAnsi="Times New Roman"/>
                <w:color w:val="000000"/>
                <w:sz w:val="20"/>
                <w:szCs w:val="20"/>
                <w:lang w:val="en-US"/>
              </w:rPr>
              <w:t>.</w:t>
            </w:r>
          </w:p>
        </w:tc>
        <w:tc>
          <w:tcPr>
            <w:tcW w:w="651" w:type="dxa"/>
            <w:tcBorders>
              <w:top w:val="nil"/>
              <w:left w:val="nil"/>
              <w:bottom w:val="nil"/>
              <w:right w:val="nil"/>
            </w:tcBorders>
            <w:shd w:val="clear" w:color="000000" w:fill="FFFFFF"/>
            <w:noWrap/>
            <w:vAlign w:val="bottom"/>
            <w:hideMark/>
          </w:tcPr>
          <w:p w14:paraId="2312B3C1"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0.429</w:t>
            </w:r>
          </w:p>
        </w:tc>
        <w:tc>
          <w:tcPr>
            <w:tcW w:w="716" w:type="dxa"/>
            <w:tcBorders>
              <w:top w:val="nil"/>
              <w:left w:val="nil"/>
              <w:bottom w:val="nil"/>
              <w:right w:val="nil"/>
            </w:tcBorders>
            <w:shd w:val="clear" w:color="000000" w:fill="FFFFFF"/>
            <w:noWrap/>
            <w:vAlign w:val="bottom"/>
            <w:hideMark/>
          </w:tcPr>
          <w:p w14:paraId="1F86B1A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0D5B2D6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0.223</w:t>
            </w:r>
          </w:p>
        </w:tc>
        <w:tc>
          <w:tcPr>
            <w:tcW w:w="727" w:type="dxa"/>
            <w:tcBorders>
              <w:top w:val="nil"/>
              <w:left w:val="nil"/>
              <w:bottom w:val="nil"/>
              <w:right w:val="nil"/>
            </w:tcBorders>
            <w:shd w:val="clear" w:color="000000" w:fill="FFFFFF"/>
            <w:noWrap/>
            <w:vAlign w:val="bottom"/>
            <w:hideMark/>
          </w:tcPr>
          <w:p w14:paraId="7DE90C3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0.233</w:t>
            </w:r>
          </w:p>
        </w:tc>
        <w:tc>
          <w:tcPr>
            <w:tcW w:w="1681" w:type="dxa"/>
            <w:tcBorders>
              <w:top w:val="nil"/>
              <w:left w:val="nil"/>
              <w:bottom w:val="nil"/>
              <w:right w:val="nil"/>
            </w:tcBorders>
            <w:shd w:val="clear" w:color="000000" w:fill="FFFFFF"/>
            <w:noWrap/>
            <w:vAlign w:val="bottom"/>
            <w:hideMark/>
          </w:tcPr>
          <w:p w14:paraId="7087D28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0.253</w:t>
            </w:r>
          </w:p>
        </w:tc>
      </w:tr>
      <w:tr w:rsidR="000617FF" w:rsidRPr="00504D7E" w14:paraId="4C0F6F49" w14:textId="77777777" w:rsidTr="00B638CE">
        <w:trPr>
          <w:trHeight w:val="300"/>
        </w:trPr>
        <w:tc>
          <w:tcPr>
            <w:tcW w:w="5049" w:type="dxa"/>
            <w:tcBorders>
              <w:top w:val="nil"/>
              <w:left w:val="nil"/>
              <w:bottom w:val="nil"/>
              <w:right w:val="nil"/>
            </w:tcBorders>
            <w:shd w:val="clear" w:color="000000" w:fill="FFFFFF"/>
            <w:noWrap/>
            <w:vAlign w:val="bottom"/>
            <w:hideMark/>
          </w:tcPr>
          <w:p w14:paraId="5C1BC106" w14:textId="77777777" w:rsidR="000617FF" w:rsidRPr="00F378A9" w:rsidRDefault="000617FF" w:rsidP="00B638CE">
            <w:pPr>
              <w:rPr>
                <w:rFonts w:ascii="Times New Roman" w:hAnsi="Times New Roman"/>
                <w:color w:val="000000"/>
                <w:sz w:val="20"/>
                <w:szCs w:val="20"/>
                <w:lang w:val="en-US"/>
              </w:rPr>
            </w:pPr>
            <w:r w:rsidRPr="00F378A9">
              <w:rPr>
                <w:rFonts w:ascii="Times New Roman" w:hAnsi="Times New Roman"/>
                <w:color w:val="000000"/>
                <w:sz w:val="20"/>
                <w:szCs w:val="20"/>
                <w:lang w:val="en-US"/>
              </w:rPr>
              <w:t>Radio, television and communication equipment</w:t>
            </w:r>
          </w:p>
        </w:tc>
        <w:tc>
          <w:tcPr>
            <w:tcW w:w="651" w:type="dxa"/>
            <w:tcBorders>
              <w:top w:val="nil"/>
              <w:left w:val="nil"/>
              <w:bottom w:val="nil"/>
              <w:right w:val="nil"/>
            </w:tcBorders>
            <w:shd w:val="clear" w:color="000000" w:fill="FFFFFF"/>
            <w:noWrap/>
            <w:vAlign w:val="bottom"/>
            <w:hideMark/>
          </w:tcPr>
          <w:p w14:paraId="2FC8F3B9"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0.626</w:t>
            </w:r>
          </w:p>
        </w:tc>
        <w:tc>
          <w:tcPr>
            <w:tcW w:w="716" w:type="dxa"/>
            <w:tcBorders>
              <w:top w:val="nil"/>
              <w:left w:val="nil"/>
              <w:bottom w:val="nil"/>
              <w:right w:val="nil"/>
            </w:tcBorders>
            <w:shd w:val="clear" w:color="000000" w:fill="FFFFFF"/>
            <w:noWrap/>
            <w:vAlign w:val="bottom"/>
            <w:hideMark/>
          </w:tcPr>
          <w:p w14:paraId="4B3AD34D"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2AC91BA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0.224</w:t>
            </w:r>
          </w:p>
        </w:tc>
        <w:tc>
          <w:tcPr>
            <w:tcW w:w="727" w:type="dxa"/>
            <w:tcBorders>
              <w:top w:val="nil"/>
              <w:left w:val="nil"/>
              <w:bottom w:val="nil"/>
              <w:right w:val="nil"/>
            </w:tcBorders>
            <w:shd w:val="clear" w:color="000000" w:fill="FFFFFF"/>
            <w:noWrap/>
            <w:vAlign w:val="bottom"/>
            <w:hideMark/>
          </w:tcPr>
          <w:p w14:paraId="0037622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0.234</w:t>
            </w:r>
          </w:p>
        </w:tc>
        <w:tc>
          <w:tcPr>
            <w:tcW w:w="1681" w:type="dxa"/>
            <w:tcBorders>
              <w:top w:val="nil"/>
              <w:left w:val="nil"/>
              <w:bottom w:val="nil"/>
              <w:right w:val="nil"/>
            </w:tcBorders>
            <w:shd w:val="clear" w:color="000000" w:fill="FFFFFF"/>
            <w:noWrap/>
            <w:vAlign w:val="bottom"/>
            <w:hideMark/>
          </w:tcPr>
          <w:p w14:paraId="67BCAB95"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0.252</w:t>
            </w:r>
          </w:p>
        </w:tc>
      </w:tr>
      <w:tr w:rsidR="000617FF" w:rsidRPr="00504D7E" w14:paraId="126C8C7C" w14:textId="77777777" w:rsidTr="00B638CE">
        <w:trPr>
          <w:trHeight w:val="300"/>
        </w:trPr>
        <w:tc>
          <w:tcPr>
            <w:tcW w:w="5049" w:type="dxa"/>
            <w:tcBorders>
              <w:top w:val="nil"/>
              <w:left w:val="nil"/>
              <w:bottom w:val="nil"/>
              <w:right w:val="nil"/>
            </w:tcBorders>
            <w:shd w:val="clear" w:color="000000" w:fill="FFFFFF"/>
            <w:noWrap/>
            <w:vAlign w:val="bottom"/>
            <w:hideMark/>
          </w:tcPr>
          <w:p w14:paraId="072D2AED" w14:textId="77777777" w:rsidR="000617FF" w:rsidRPr="00F378A9" w:rsidRDefault="000617FF" w:rsidP="00B638CE">
            <w:pPr>
              <w:rPr>
                <w:rFonts w:ascii="Times New Roman" w:hAnsi="Times New Roman"/>
                <w:color w:val="000000"/>
                <w:sz w:val="20"/>
                <w:szCs w:val="20"/>
                <w:lang w:val="en-US"/>
              </w:rPr>
            </w:pPr>
            <w:r w:rsidRPr="00F378A9">
              <w:rPr>
                <w:rFonts w:ascii="Times New Roman" w:hAnsi="Times New Roman"/>
                <w:color w:val="000000"/>
                <w:sz w:val="20"/>
                <w:szCs w:val="20"/>
                <w:lang w:val="en-US"/>
              </w:rPr>
              <w:t>Medical, precision and optical instruments, watches and clocks</w:t>
            </w:r>
          </w:p>
        </w:tc>
        <w:tc>
          <w:tcPr>
            <w:tcW w:w="651" w:type="dxa"/>
            <w:tcBorders>
              <w:top w:val="nil"/>
              <w:left w:val="nil"/>
              <w:bottom w:val="nil"/>
              <w:right w:val="nil"/>
            </w:tcBorders>
            <w:shd w:val="clear" w:color="000000" w:fill="FFFFFF"/>
            <w:noWrap/>
            <w:vAlign w:val="bottom"/>
            <w:hideMark/>
          </w:tcPr>
          <w:p w14:paraId="6AD46CA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0.494</w:t>
            </w:r>
          </w:p>
        </w:tc>
        <w:tc>
          <w:tcPr>
            <w:tcW w:w="716" w:type="dxa"/>
            <w:tcBorders>
              <w:top w:val="nil"/>
              <w:left w:val="nil"/>
              <w:bottom w:val="nil"/>
              <w:right w:val="nil"/>
            </w:tcBorders>
            <w:shd w:val="clear" w:color="000000" w:fill="FFFFFF"/>
            <w:noWrap/>
            <w:vAlign w:val="bottom"/>
            <w:hideMark/>
          </w:tcPr>
          <w:p w14:paraId="725A6451"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10C7634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0.215</w:t>
            </w:r>
          </w:p>
        </w:tc>
        <w:tc>
          <w:tcPr>
            <w:tcW w:w="727" w:type="dxa"/>
            <w:tcBorders>
              <w:top w:val="nil"/>
              <w:left w:val="nil"/>
              <w:bottom w:val="nil"/>
              <w:right w:val="nil"/>
            </w:tcBorders>
            <w:shd w:val="clear" w:color="000000" w:fill="FFFFFF"/>
            <w:noWrap/>
            <w:vAlign w:val="bottom"/>
            <w:hideMark/>
          </w:tcPr>
          <w:p w14:paraId="4C375069"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0.225</w:t>
            </w:r>
          </w:p>
        </w:tc>
        <w:tc>
          <w:tcPr>
            <w:tcW w:w="1681" w:type="dxa"/>
            <w:tcBorders>
              <w:top w:val="nil"/>
              <w:left w:val="nil"/>
              <w:bottom w:val="nil"/>
              <w:right w:val="nil"/>
            </w:tcBorders>
            <w:shd w:val="clear" w:color="000000" w:fill="FFFFFF"/>
            <w:noWrap/>
            <w:vAlign w:val="bottom"/>
            <w:hideMark/>
          </w:tcPr>
          <w:p w14:paraId="0114B4E6"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0.241</w:t>
            </w:r>
          </w:p>
        </w:tc>
      </w:tr>
      <w:tr w:rsidR="000617FF" w:rsidRPr="00504D7E" w14:paraId="1D87F381" w14:textId="77777777" w:rsidTr="00B638CE">
        <w:trPr>
          <w:trHeight w:val="300"/>
        </w:trPr>
        <w:tc>
          <w:tcPr>
            <w:tcW w:w="5049" w:type="dxa"/>
            <w:tcBorders>
              <w:top w:val="nil"/>
              <w:left w:val="nil"/>
              <w:bottom w:val="nil"/>
              <w:right w:val="nil"/>
            </w:tcBorders>
            <w:shd w:val="clear" w:color="000000" w:fill="FFFFFF"/>
            <w:noWrap/>
            <w:vAlign w:val="bottom"/>
            <w:hideMark/>
          </w:tcPr>
          <w:p w14:paraId="69563BF9" w14:textId="77777777" w:rsidR="000617FF" w:rsidRPr="00504D7E" w:rsidRDefault="000617FF" w:rsidP="00B638CE">
            <w:pPr>
              <w:rPr>
                <w:rFonts w:ascii="Times New Roman" w:hAnsi="Times New Roman"/>
                <w:color w:val="000000"/>
                <w:sz w:val="20"/>
                <w:szCs w:val="20"/>
              </w:rPr>
            </w:pPr>
            <w:r w:rsidRPr="00504D7E">
              <w:rPr>
                <w:rFonts w:ascii="Times New Roman" w:hAnsi="Times New Roman"/>
                <w:color w:val="000000"/>
                <w:sz w:val="20"/>
                <w:szCs w:val="20"/>
              </w:rPr>
              <w:t xml:space="preserve">Motor </w:t>
            </w:r>
            <w:proofErr w:type="spellStart"/>
            <w:r w:rsidRPr="00504D7E">
              <w:rPr>
                <w:rFonts w:ascii="Times New Roman" w:hAnsi="Times New Roman"/>
                <w:color w:val="000000"/>
                <w:sz w:val="20"/>
                <w:szCs w:val="20"/>
              </w:rPr>
              <w:t>vehicles</w:t>
            </w:r>
            <w:proofErr w:type="spellEnd"/>
          </w:p>
        </w:tc>
        <w:tc>
          <w:tcPr>
            <w:tcW w:w="651" w:type="dxa"/>
            <w:tcBorders>
              <w:top w:val="nil"/>
              <w:left w:val="nil"/>
              <w:bottom w:val="nil"/>
              <w:right w:val="nil"/>
            </w:tcBorders>
            <w:shd w:val="clear" w:color="000000" w:fill="FFFFFF"/>
            <w:noWrap/>
            <w:vAlign w:val="bottom"/>
            <w:hideMark/>
          </w:tcPr>
          <w:p w14:paraId="2C47BD60"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0.733</w:t>
            </w:r>
          </w:p>
        </w:tc>
        <w:tc>
          <w:tcPr>
            <w:tcW w:w="716" w:type="dxa"/>
            <w:tcBorders>
              <w:top w:val="nil"/>
              <w:left w:val="nil"/>
              <w:bottom w:val="nil"/>
              <w:right w:val="nil"/>
            </w:tcBorders>
            <w:shd w:val="clear" w:color="000000" w:fill="FFFFFF"/>
            <w:noWrap/>
            <w:vAlign w:val="bottom"/>
            <w:hideMark/>
          </w:tcPr>
          <w:p w14:paraId="5738DC0C"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3B5E9FD6"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0.222</w:t>
            </w:r>
          </w:p>
        </w:tc>
        <w:tc>
          <w:tcPr>
            <w:tcW w:w="727" w:type="dxa"/>
            <w:tcBorders>
              <w:top w:val="nil"/>
              <w:left w:val="nil"/>
              <w:bottom w:val="nil"/>
              <w:right w:val="nil"/>
            </w:tcBorders>
            <w:shd w:val="clear" w:color="000000" w:fill="FFFFFF"/>
            <w:noWrap/>
            <w:vAlign w:val="bottom"/>
            <w:hideMark/>
          </w:tcPr>
          <w:p w14:paraId="3826A8AA"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0.231</w:t>
            </w:r>
          </w:p>
        </w:tc>
        <w:tc>
          <w:tcPr>
            <w:tcW w:w="1681" w:type="dxa"/>
            <w:tcBorders>
              <w:top w:val="nil"/>
              <w:left w:val="nil"/>
              <w:bottom w:val="nil"/>
              <w:right w:val="nil"/>
            </w:tcBorders>
            <w:shd w:val="clear" w:color="000000" w:fill="FFFFFF"/>
            <w:noWrap/>
            <w:vAlign w:val="bottom"/>
            <w:hideMark/>
          </w:tcPr>
          <w:p w14:paraId="3E214605"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0.250</w:t>
            </w:r>
          </w:p>
        </w:tc>
      </w:tr>
      <w:tr w:rsidR="000617FF" w:rsidRPr="00504D7E" w14:paraId="1CFCF1E0" w14:textId="77777777" w:rsidTr="00B638CE">
        <w:trPr>
          <w:trHeight w:val="300"/>
        </w:trPr>
        <w:tc>
          <w:tcPr>
            <w:tcW w:w="5049" w:type="dxa"/>
            <w:tcBorders>
              <w:top w:val="nil"/>
              <w:left w:val="nil"/>
              <w:bottom w:val="nil"/>
              <w:right w:val="nil"/>
            </w:tcBorders>
            <w:shd w:val="clear" w:color="000000" w:fill="FFFFFF"/>
            <w:noWrap/>
            <w:vAlign w:val="bottom"/>
            <w:hideMark/>
          </w:tcPr>
          <w:p w14:paraId="03954C7F"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Other</w:t>
            </w:r>
            <w:proofErr w:type="spellEnd"/>
            <w:r w:rsidRPr="00504D7E">
              <w:rPr>
                <w:rFonts w:ascii="Times New Roman" w:hAnsi="Times New Roman"/>
                <w:color w:val="000000"/>
                <w:sz w:val="20"/>
                <w:szCs w:val="20"/>
              </w:rPr>
              <w:t xml:space="preserve"> </w:t>
            </w:r>
            <w:proofErr w:type="spellStart"/>
            <w:r w:rsidRPr="00504D7E">
              <w:rPr>
                <w:rFonts w:ascii="Times New Roman" w:hAnsi="Times New Roman"/>
                <w:color w:val="000000"/>
                <w:sz w:val="20"/>
                <w:szCs w:val="20"/>
              </w:rPr>
              <w:t>transport</w:t>
            </w:r>
            <w:proofErr w:type="spellEnd"/>
            <w:r w:rsidRPr="00504D7E">
              <w:rPr>
                <w:rFonts w:ascii="Times New Roman" w:hAnsi="Times New Roman"/>
                <w:color w:val="000000"/>
                <w:sz w:val="20"/>
                <w:szCs w:val="20"/>
              </w:rPr>
              <w:t xml:space="preserve"> </w:t>
            </w:r>
            <w:proofErr w:type="spellStart"/>
            <w:r w:rsidRPr="00504D7E">
              <w:rPr>
                <w:rFonts w:ascii="Times New Roman" w:hAnsi="Times New Roman"/>
                <w:color w:val="000000"/>
                <w:sz w:val="20"/>
                <w:szCs w:val="20"/>
              </w:rPr>
              <w:t>equipment</w:t>
            </w:r>
            <w:proofErr w:type="spellEnd"/>
          </w:p>
        </w:tc>
        <w:tc>
          <w:tcPr>
            <w:tcW w:w="651" w:type="dxa"/>
            <w:tcBorders>
              <w:top w:val="nil"/>
              <w:left w:val="nil"/>
              <w:bottom w:val="nil"/>
              <w:right w:val="nil"/>
            </w:tcBorders>
            <w:shd w:val="clear" w:color="000000" w:fill="FFFFFF"/>
            <w:noWrap/>
            <w:vAlign w:val="bottom"/>
            <w:hideMark/>
          </w:tcPr>
          <w:p w14:paraId="11A45332"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0.492</w:t>
            </w:r>
          </w:p>
        </w:tc>
        <w:tc>
          <w:tcPr>
            <w:tcW w:w="716" w:type="dxa"/>
            <w:tcBorders>
              <w:top w:val="nil"/>
              <w:left w:val="nil"/>
              <w:bottom w:val="nil"/>
              <w:right w:val="nil"/>
            </w:tcBorders>
            <w:shd w:val="clear" w:color="000000" w:fill="FFFFFF"/>
            <w:noWrap/>
            <w:vAlign w:val="bottom"/>
            <w:hideMark/>
          </w:tcPr>
          <w:p w14:paraId="68185B56"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0974D899"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0.223</w:t>
            </w:r>
          </w:p>
        </w:tc>
        <w:tc>
          <w:tcPr>
            <w:tcW w:w="727" w:type="dxa"/>
            <w:tcBorders>
              <w:top w:val="nil"/>
              <w:left w:val="nil"/>
              <w:bottom w:val="nil"/>
              <w:right w:val="nil"/>
            </w:tcBorders>
            <w:shd w:val="clear" w:color="000000" w:fill="FFFFFF"/>
            <w:noWrap/>
            <w:vAlign w:val="bottom"/>
            <w:hideMark/>
          </w:tcPr>
          <w:p w14:paraId="62A61DB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0.232</w:t>
            </w:r>
          </w:p>
        </w:tc>
        <w:tc>
          <w:tcPr>
            <w:tcW w:w="1681" w:type="dxa"/>
            <w:tcBorders>
              <w:top w:val="nil"/>
              <w:left w:val="nil"/>
              <w:bottom w:val="nil"/>
              <w:right w:val="nil"/>
            </w:tcBorders>
            <w:shd w:val="clear" w:color="000000" w:fill="FFFFFF"/>
            <w:noWrap/>
            <w:vAlign w:val="bottom"/>
            <w:hideMark/>
          </w:tcPr>
          <w:p w14:paraId="19CE5E1B"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0.251</w:t>
            </w:r>
          </w:p>
        </w:tc>
      </w:tr>
      <w:tr w:rsidR="000617FF" w:rsidRPr="00504D7E" w14:paraId="5D39FE79" w14:textId="77777777" w:rsidTr="00B638CE">
        <w:trPr>
          <w:trHeight w:val="300"/>
        </w:trPr>
        <w:tc>
          <w:tcPr>
            <w:tcW w:w="5049" w:type="dxa"/>
            <w:tcBorders>
              <w:top w:val="nil"/>
              <w:left w:val="nil"/>
              <w:bottom w:val="nil"/>
              <w:right w:val="nil"/>
            </w:tcBorders>
            <w:shd w:val="clear" w:color="000000" w:fill="FFFFFF"/>
            <w:noWrap/>
            <w:vAlign w:val="bottom"/>
            <w:hideMark/>
          </w:tcPr>
          <w:p w14:paraId="2ED7DD77" w14:textId="77777777" w:rsidR="000617FF" w:rsidRPr="00F378A9" w:rsidRDefault="000617FF" w:rsidP="00B638CE">
            <w:pPr>
              <w:rPr>
                <w:rFonts w:ascii="Times New Roman" w:hAnsi="Times New Roman"/>
                <w:color w:val="000000"/>
                <w:sz w:val="20"/>
                <w:szCs w:val="20"/>
                <w:lang w:val="en-US"/>
              </w:rPr>
            </w:pPr>
            <w:r w:rsidRPr="00F378A9">
              <w:rPr>
                <w:rFonts w:ascii="Times New Roman" w:hAnsi="Times New Roman"/>
                <w:color w:val="000000"/>
                <w:sz w:val="20"/>
                <w:szCs w:val="20"/>
                <w:lang w:val="en-US"/>
              </w:rPr>
              <w:t xml:space="preserve">Furniture; manufacturing </w:t>
            </w:r>
            <w:proofErr w:type="spellStart"/>
            <w:r w:rsidRPr="00F378A9">
              <w:rPr>
                <w:rFonts w:ascii="Times New Roman" w:hAnsi="Times New Roman"/>
                <w:color w:val="000000"/>
                <w:sz w:val="20"/>
                <w:szCs w:val="20"/>
                <w:lang w:val="en-US"/>
              </w:rPr>
              <w:t>n.e.c</w:t>
            </w:r>
            <w:proofErr w:type="spellEnd"/>
            <w:r w:rsidRPr="00F378A9">
              <w:rPr>
                <w:rFonts w:ascii="Times New Roman" w:hAnsi="Times New Roman"/>
                <w:color w:val="000000"/>
                <w:sz w:val="20"/>
                <w:szCs w:val="20"/>
                <w:lang w:val="en-US"/>
              </w:rPr>
              <w:t>.</w:t>
            </w:r>
          </w:p>
        </w:tc>
        <w:tc>
          <w:tcPr>
            <w:tcW w:w="651" w:type="dxa"/>
            <w:tcBorders>
              <w:top w:val="nil"/>
              <w:left w:val="nil"/>
              <w:bottom w:val="nil"/>
              <w:right w:val="nil"/>
            </w:tcBorders>
            <w:shd w:val="clear" w:color="000000" w:fill="FFFFFF"/>
            <w:noWrap/>
            <w:vAlign w:val="bottom"/>
            <w:hideMark/>
          </w:tcPr>
          <w:p w14:paraId="2A57F5D3"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0.405</w:t>
            </w:r>
          </w:p>
        </w:tc>
        <w:tc>
          <w:tcPr>
            <w:tcW w:w="716" w:type="dxa"/>
            <w:tcBorders>
              <w:top w:val="nil"/>
              <w:left w:val="nil"/>
              <w:bottom w:val="nil"/>
              <w:right w:val="nil"/>
            </w:tcBorders>
            <w:shd w:val="clear" w:color="000000" w:fill="FFFFFF"/>
            <w:noWrap/>
            <w:vAlign w:val="bottom"/>
            <w:hideMark/>
          </w:tcPr>
          <w:p w14:paraId="0B7E6018"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nil"/>
              <w:right w:val="nil"/>
            </w:tcBorders>
            <w:shd w:val="clear" w:color="000000" w:fill="FFFFFF"/>
            <w:noWrap/>
            <w:vAlign w:val="bottom"/>
            <w:hideMark/>
          </w:tcPr>
          <w:p w14:paraId="0A39344A"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0.222</w:t>
            </w:r>
          </w:p>
        </w:tc>
        <w:tc>
          <w:tcPr>
            <w:tcW w:w="727" w:type="dxa"/>
            <w:tcBorders>
              <w:top w:val="nil"/>
              <w:left w:val="nil"/>
              <w:bottom w:val="nil"/>
              <w:right w:val="nil"/>
            </w:tcBorders>
            <w:shd w:val="clear" w:color="000000" w:fill="FFFFFF"/>
            <w:noWrap/>
            <w:vAlign w:val="bottom"/>
            <w:hideMark/>
          </w:tcPr>
          <w:p w14:paraId="4F97BDDE"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0.231</w:t>
            </w:r>
          </w:p>
        </w:tc>
        <w:tc>
          <w:tcPr>
            <w:tcW w:w="1681" w:type="dxa"/>
            <w:tcBorders>
              <w:top w:val="nil"/>
              <w:left w:val="nil"/>
              <w:bottom w:val="nil"/>
              <w:right w:val="nil"/>
            </w:tcBorders>
            <w:shd w:val="clear" w:color="000000" w:fill="FFFFFF"/>
            <w:noWrap/>
            <w:vAlign w:val="bottom"/>
            <w:hideMark/>
          </w:tcPr>
          <w:p w14:paraId="0B5BD654"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0.248</w:t>
            </w:r>
          </w:p>
        </w:tc>
      </w:tr>
      <w:tr w:rsidR="000617FF" w:rsidRPr="00504D7E" w14:paraId="58636E02" w14:textId="77777777" w:rsidTr="00B638CE">
        <w:trPr>
          <w:trHeight w:val="300"/>
        </w:trPr>
        <w:tc>
          <w:tcPr>
            <w:tcW w:w="5049" w:type="dxa"/>
            <w:tcBorders>
              <w:top w:val="nil"/>
              <w:left w:val="nil"/>
              <w:bottom w:val="single" w:sz="4" w:space="0" w:color="auto"/>
              <w:right w:val="nil"/>
            </w:tcBorders>
            <w:shd w:val="clear" w:color="000000" w:fill="FFFFFF"/>
            <w:noWrap/>
            <w:vAlign w:val="bottom"/>
            <w:hideMark/>
          </w:tcPr>
          <w:p w14:paraId="14E45D5F" w14:textId="77777777" w:rsidR="000617FF" w:rsidRPr="00504D7E" w:rsidRDefault="000617FF" w:rsidP="00B638CE">
            <w:pPr>
              <w:rPr>
                <w:rFonts w:ascii="Times New Roman" w:hAnsi="Times New Roman"/>
                <w:color w:val="000000"/>
                <w:sz w:val="20"/>
                <w:szCs w:val="20"/>
              </w:rPr>
            </w:pPr>
            <w:proofErr w:type="spellStart"/>
            <w:r w:rsidRPr="00504D7E">
              <w:rPr>
                <w:rFonts w:ascii="Times New Roman" w:hAnsi="Times New Roman"/>
                <w:color w:val="000000"/>
                <w:sz w:val="20"/>
                <w:szCs w:val="20"/>
              </w:rPr>
              <w:t>Recycling</w:t>
            </w:r>
            <w:proofErr w:type="spellEnd"/>
          </w:p>
        </w:tc>
        <w:tc>
          <w:tcPr>
            <w:tcW w:w="651" w:type="dxa"/>
            <w:tcBorders>
              <w:top w:val="nil"/>
              <w:left w:val="nil"/>
              <w:bottom w:val="single" w:sz="4" w:space="0" w:color="auto"/>
              <w:right w:val="nil"/>
            </w:tcBorders>
            <w:shd w:val="clear" w:color="000000" w:fill="FFFFFF"/>
            <w:noWrap/>
            <w:vAlign w:val="bottom"/>
            <w:hideMark/>
          </w:tcPr>
          <w:p w14:paraId="17DED131"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0.336</w:t>
            </w:r>
          </w:p>
        </w:tc>
        <w:tc>
          <w:tcPr>
            <w:tcW w:w="716" w:type="dxa"/>
            <w:tcBorders>
              <w:top w:val="nil"/>
              <w:left w:val="nil"/>
              <w:bottom w:val="single" w:sz="4" w:space="0" w:color="auto"/>
              <w:right w:val="nil"/>
            </w:tcBorders>
            <w:shd w:val="clear" w:color="000000" w:fill="FFFFFF"/>
            <w:noWrap/>
            <w:vAlign w:val="bottom"/>
            <w:hideMark/>
          </w:tcPr>
          <w:p w14:paraId="5A0C09C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28" w:type="dxa"/>
            <w:tcBorders>
              <w:top w:val="nil"/>
              <w:left w:val="nil"/>
              <w:bottom w:val="single" w:sz="4" w:space="0" w:color="auto"/>
              <w:right w:val="nil"/>
            </w:tcBorders>
            <w:shd w:val="clear" w:color="000000" w:fill="FFFFFF"/>
            <w:noWrap/>
            <w:vAlign w:val="bottom"/>
            <w:hideMark/>
          </w:tcPr>
          <w:p w14:paraId="1AE12F35"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0.217</w:t>
            </w:r>
          </w:p>
        </w:tc>
        <w:tc>
          <w:tcPr>
            <w:tcW w:w="727" w:type="dxa"/>
            <w:tcBorders>
              <w:top w:val="nil"/>
              <w:left w:val="nil"/>
              <w:bottom w:val="single" w:sz="4" w:space="0" w:color="auto"/>
              <w:right w:val="nil"/>
            </w:tcBorders>
            <w:shd w:val="clear" w:color="000000" w:fill="FFFFFF"/>
            <w:noWrap/>
            <w:vAlign w:val="bottom"/>
            <w:hideMark/>
          </w:tcPr>
          <w:p w14:paraId="4BDCB209"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0.225</w:t>
            </w:r>
          </w:p>
        </w:tc>
        <w:tc>
          <w:tcPr>
            <w:tcW w:w="1681" w:type="dxa"/>
            <w:tcBorders>
              <w:top w:val="nil"/>
              <w:left w:val="nil"/>
              <w:bottom w:val="single" w:sz="4" w:space="0" w:color="auto"/>
              <w:right w:val="nil"/>
            </w:tcBorders>
            <w:shd w:val="clear" w:color="000000" w:fill="FFFFFF"/>
            <w:noWrap/>
            <w:vAlign w:val="bottom"/>
            <w:hideMark/>
          </w:tcPr>
          <w:p w14:paraId="6CA6DC6F" w14:textId="77777777" w:rsidR="000617FF" w:rsidRPr="00504D7E" w:rsidRDefault="000617FF" w:rsidP="00B638CE">
            <w:pPr>
              <w:jc w:val="center"/>
              <w:rPr>
                <w:rFonts w:ascii="Times New Roman" w:hAnsi="Times New Roman"/>
                <w:color w:val="000000"/>
                <w:sz w:val="20"/>
                <w:szCs w:val="20"/>
              </w:rPr>
            </w:pPr>
            <w:r w:rsidRPr="00504D7E">
              <w:rPr>
                <w:rFonts w:ascii="Times New Roman" w:hAnsi="Times New Roman"/>
                <w:color w:val="000000"/>
                <w:sz w:val="20"/>
                <w:szCs w:val="20"/>
              </w:rPr>
              <w:t>0.243</w:t>
            </w:r>
          </w:p>
        </w:tc>
      </w:tr>
    </w:tbl>
    <w:p w14:paraId="79801AEA" w14:textId="06D03914" w:rsidR="000617FF" w:rsidRPr="00FF3622" w:rsidRDefault="008A4429" w:rsidP="000617FF">
      <w:pPr>
        <w:spacing w:line="240" w:lineRule="atLeast"/>
        <w:jc w:val="both"/>
        <w:rPr>
          <w:rFonts w:ascii="Times New Roman" w:hAnsi="Times New Roman"/>
          <w:i/>
          <w:iCs/>
          <w:sz w:val="20"/>
          <w:szCs w:val="20"/>
          <w:lang w:val="en-US"/>
        </w:rPr>
      </w:pPr>
      <w:r>
        <w:rPr>
          <w:rFonts w:ascii="Times New Roman" w:hAnsi="Times New Roman"/>
          <w:i/>
          <w:iCs/>
          <w:sz w:val="20"/>
          <w:szCs w:val="20"/>
          <w:lang w:val="en-US"/>
        </w:rPr>
        <w:t>The table</w:t>
      </w:r>
      <w:r w:rsidR="000617FF" w:rsidRPr="00504D7E">
        <w:rPr>
          <w:rFonts w:ascii="Times New Roman" w:hAnsi="Times New Roman"/>
          <w:i/>
          <w:iCs/>
          <w:sz w:val="20"/>
          <w:szCs w:val="20"/>
          <w:lang w:val="en-US"/>
        </w:rPr>
        <w:t xml:space="preserve"> reports the real values of absolute entropies defined in equation (</w:t>
      </w:r>
      <w:r w:rsidR="00D139BF" w:rsidRPr="00504D7E">
        <w:rPr>
          <w:rFonts w:ascii="Times New Roman" w:hAnsi="Times New Roman"/>
          <w:i/>
          <w:iCs/>
          <w:sz w:val="20"/>
          <w:szCs w:val="20"/>
          <w:lang w:val="en-US"/>
        </w:rPr>
        <w:t>1</w:t>
      </w:r>
      <w:r w:rsidR="000617FF" w:rsidRPr="00504D7E">
        <w:rPr>
          <w:rFonts w:ascii="Times New Roman" w:hAnsi="Times New Roman"/>
          <w:i/>
          <w:iCs/>
          <w:sz w:val="20"/>
          <w:szCs w:val="20"/>
          <w:lang w:val="en-US"/>
        </w:rPr>
        <w:t xml:space="preserve">). </w:t>
      </w:r>
      <w:r w:rsidR="000617FF" w:rsidRPr="00FF3622">
        <w:rPr>
          <w:rFonts w:ascii="Times New Roman" w:hAnsi="Times New Roman"/>
          <w:i/>
          <w:iCs/>
          <w:sz w:val="20"/>
          <w:szCs w:val="20"/>
          <w:lang w:val="en-US"/>
        </w:rPr>
        <w:t>The sign</w:t>
      </w:r>
      <w:r w:rsidR="000617FF" w:rsidRPr="00C20AC3" w:rsidDel="009B62A2">
        <w:rPr>
          <w:rFonts w:ascii="Times New Roman" w:hAnsi="Times New Roman"/>
          <w:i/>
          <w:iCs/>
          <w:sz w:val="20"/>
          <w:szCs w:val="20"/>
          <w:lang w:val="en-US"/>
        </w:rPr>
        <w:t xml:space="preserve"> </w:t>
      </w:r>
      <w:r w:rsidR="000617FF" w:rsidRPr="00107E38">
        <w:rPr>
          <w:rFonts w:ascii="Times New Roman" w:hAnsi="Times New Roman"/>
          <w:i/>
          <w:sz w:val="20"/>
          <w:szCs w:val="20"/>
          <w:lang w:val="en-US"/>
        </w:rPr>
        <w:t xml:space="preserve">“+” indicates statistically significant spatial concentration </w:t>
      </w:r>
      <w:r w:rsidR="0015271C" w:rsidRPr="00107E38">
        <w:rPr>
          <w:rFonts w:ascii="Times New Roman" w:hAnsi="Times New Roman"/>
          <w:i/>
          <w:sz w:val="20"/>
          <w:szCs w:val="20"/>
          <w:lang w:val="en-US"/>
        </w:rPr>
        <w:t xml:space="preserve">of establishments </w:t>
      </w:r>
      <w:r w:rsidR="000617FF" w:rsidRPr="00107E38">
        <w:rPr>
          <w:rFonts w:ascii="Times New Roman" w:hAnsi="Times New Roman"/>
          <w:i/>
          <w:sz w:val="20"/>
          <w:szCs w:val="20"/>
          <w:lang w:val="en-US"/>
        </w:rPr>
        <w:t xml:space="preserve">at the 95% confidence level.  Columns 4, 5 and 6 report the upper bounds of the counterfactual 90%, 95% and 99% confidence intervals. </w:t>
      </w:r>
    </w:p>
    <w:p w14:paraId="65519373" w14:textId="77777777" w:rsidR="000B0347" w:rsidRPr="00504D7E" w:rsidRDefault="000B0347" w:rsidP="007A6AAF">
      <w:pPr>
        <w:spacing w:line="480" w:lineRule="auto"/>
        <w:jc w:val="both"/>
        <w:rPr>
          <w:rFonts w:ascii="Times New Roman" w:hAnsi="Times New Roman"/>
          <w:lang w:val="en-US"/>
        </w:rPr>
      </w:pPr>
    </w:p>
    <w:p w14:paraId="5BBAA8E8" w14:textId="4BA3CD3A" w:rsidR="00BC723F" w:rsidRPr="00504D7E" w:rsidRDefault="00C7107F" w:rsidP="007A6AAF">
      <w:pPr>
        <w:spacing w:line="480" w:lineRule="auto"/>
        <w:jc w:val="both"/>
        <w:rPr>
          <w:rFonts w:ascii="Times New Roman" w:hAnsi="Times New Roman"/>
          <w:lang w:val="en-US"/>
        </w:rPr>
      </w:pPr>
      <w:r w:rsidRPr="00504D7E">
        <w:rPr>
          <w:rFonts w:ascii="Times New Roman" w:hAnsi="Times New Roman"/>
          <w:lang w:val="en-US"/>
        </w:rPr>
        <w:t>E</w:t>
      </w:r>
      <w:r w:rsidR="000D0456" w:rsidRPr="00504D7E">
        <w:rPr>
          <w:rFonts w:ascii="Times New Roman" w:hAnsi="Times New Roman"/>
          <w:lang w:val="en-US"/>
        </w:rPr>
        <w:t>stablishments</w:t>
      </w:r>
      <w:r w:rsidR="00BC723F" w:rsidRPr="00504D7E">
        <w:rPr>
          <w:rFonts w:ascii="Times New Roman" w:hAnsi="Times New Roman"/>
          <w:lang w:val="en-US"/>
        </w:rPr>
        <w:t xml:space="preserve"> are purposefully clustered (+)</w:t>
      </w:r>
      <w:r w:rsidRPr="00504D7E">
        <w:rPr>
          <w:rFonts w:ascii="Times New Roman" w:hAnsi="Times New Roman"/>
          <w:lang w:val="en-US"/>
        </w:rPr>
        <w:t xml:space="preserve"> in </w:t>
      </w:r>
      <w:r w:rsidR="00BC723F" w:rsidRPr="00504D7E">
        <w:rPr>
          <w:rFonts w:ascii="Times New Roman" w:hAnsi="Times New Roman"/>
          <w:lang w:val="en-US"/>
        </w:rPr>
        <w:t>all industries</w:t>
      </w:r>
      <w:r w:rsidRPr="00504D7E">
        <w:rPr>
          <w:rFonts w:ascii="Times New Roman" w:hAnsi="Times New Roman"/>
          <w:lang w:val="en-US"/>
        </w:rPr>
        <w:t>,</w:t>
      </w:r>
      <w:r w:rsidR="00BC723F" w:rsidRPr="00504D7E">
        <w:rPr>
          <w:rFonts w:ascii="Times New Roman" w:hAnsi="Times New Roman"/>
          <w:lang w:val="en-US"/>
        </w:rPr>
        <w:t xml:space="preserve"> </w:t>
      </w:r>
      <w:r w:rsidR="003A7D56">
        <w:rPr>
          <w:rFonts w:ascii="Times New Roman" w:hAnsi="Times New Roman"/>
          <w:lang w:val="en-US"/>
        </w:rPr>
        <w:t>they</w:t>
      </w:r>
      <w:r w:rsidR="003A7D56" w:rsidRPr="00504D7E">
        <w:rPr>
          <w:rFonts w:ascii="Times New Roman" w:hAnsi="Times New Roman"/>
          <w:lang w:val="en-US"/>
        </w:rPr>
        <w:t xml:space="preserve"> </w:t>
      </w:r>
      <w:r w:rsidR="00BC723F" w:rsidRPr="00504D7E">
        <w:rPr>
          <w:rFonts w:ascii="Times New Roman" w:hAnsi="Times New Roman"/>
          <w:lang w:val="en-US"/>
        </w:rPr>
        <w:t>are highly heterogeneous in terms of technology and scale intensity. Some industries showing significant concentration are characterized by intermediate technology level and substantial internal scale economies (i.e. motor vehicles, basic metals, chemicals, other transport equipment), other industries are low-tech industries usually considered as localized because of Marshallian external economies (i.e. wearing apparel, textiles, publishing, printing) or small-scale knowledge intensive industries (</w:t>
      </w:r>
      <w:proofErr w:type="spellStart"/>
      <w:r w:rsidR="00BC723F" w:rsidRPr="00504D7E">
        <w:rPr>
          <w:rFonts w:ascii="Times New Roman" w:hAnsi="Times New Roman"/>
          <w:lang w:val="en-US"/>
        </w:rPr>
        <w:t>e.g</w:t>
      </w:r>
      <w:proofErr w:type="spellEnd"/>
      <w:r w:rsidR="00BC723F" w:rsidRPr="00504D7E">
        <w:rPr>
          <w:rFonts w:ascii="Times New Roman" w:hAnsi="Times New Roman"/>
          <w:lang w:val="en-US"/>
        </w:rPr>
        <w:t xml:space="preserve"> office machinery and computers, radio, television and communication equipment</w:t>
      </w:r>
      <w:r w:rsidR="00D91A00" w:rsidRPr="00504D7E">
        <w:rPr>
          <w:rFonts w:ascii="Times New Roman" w:hAnsi="Times New Roman"/>
          <w:lang w:val="en-US"/>
        </w:rPr>
        <w:t xml:space="preserve">). </w:t>
      </w:r>
      <w:r w:rsidRPr="00504D7E">
        <w:rPr>
          <w:rFonts w:ascii="Times New Roman" w:hAnsi="Times New Roman"/>
          <w:lang w:val="en-US"/>
        </w:rPr>
        <w:t>We</w:t>
      </w:r>
      <w:r w:rsidR="00D91A00" w:rsidRPr="00504D7E">
        <w:rPr>
          <w:rFonts w:ascii="Times New Roman" w:hAnsi="Times New Roman"/>
          <w:lang w:val="en-US"/>
        </w:rPr>
        <w:t xml:space="preserve"> </w:t>
      </w:r>
      <w:r w:rsidR="0056376D" w:rsidRPr="00504D7E">
        <w:rPr>
          <w:rFonts w:ascii="Times New Roman" w:hAnsi="Times New Roman"/>
          <w:lang w:val="en-US"/>
        </w:rPr>
        <w:t xml:space="preserve">may </w:t>
      </w:r>
      <w:r w:rsidR="00D91A00" w:rsidRPr="00504D7E">
        <w:rPr>
          <w:rFonts w:ascii="Times New Roman" w:hAnsi="Times New Roman"/>
          <w:lang w:val="en-US"/>
        </w:rPr>
        <w:t xml:space="preserve">posit that </w:t>
      </w:r>
      <w:r w:rsidR="0056376D" w:rsidRPr="00504D7E">
        <w:rPr>
          <w:rFonts w:ascii="Times New Roman" w:hAnsi="Times New Roman"/>
          <w:lang w:val="en-US"/>
        </w:rPr>
        <w:t xml:space="preserve">in this second group of industries </w:t>
      </w:r>
      <w:r w:rsidR="00BC723F" w:rsidRPr="00504D7E">
        <w:rPr>
          <w:rFonts w:ascii="Times New Roman" w:hAnsi="Times New Roman"/>
          <w:lang w:val="en-US"/>
        </w:rPr>
        <w:t xml:space="preserve">the systematic difference between the actual spatial distribution relative to the counterfactual </w:t>
      </w:r>
      <w:r w:rsidR="00D91A00" w:rsidRPr="00504D7E">
        <w:rPr>
          <w:rFonts w:ascii="Times New Roman" w:hAnsi="Times New Roman"/>
          <w:lang w:val="en-US"/>
        </w:rPr>
        <w:t xml:space="preserve">uniform </w:t>
      </w:r>
      <w:r w:rsidR="00BC723F" w:rsidRPr="00504D7E">
        <w:rPr>
          <w:rFonts w:ascii="Times New Roman" w:hAnsi="Times New Roman"/>
          <w:lang w:val="en-US"/>
        </w:rPr>
        <w:t xml:space="preserve">is </w:t>
      </w:r>
      <w:r w:rsidR="0056376D" w:rsidRPr="00504D7E">
        <w:rPr>
          <w:rFonts w:ascii="Times New Roman" w:hAnsi="Times New Roman"/>
          <w:lang w:val="en-US"/>
        </w:rPr>
        <w:t xml:space="preserve">mainly </w:t>
      </w:r>
      <w:r w:rsidR="00BC723F" w:rsidRPr="00504D7E">
        <w:rPr>
          <w:rFonts w:ascii="Times New Roman" w:hAnsi="Times New Roman"/>
          <w:lang w:val="en-US"/>
        </w:rPr>
        <w:t xml:space="preserve">the result of the strength of localization economies that is a mixture </w:t>
      </w:r>
      <w:r w:rsidR="00BC723F" w:rsidRPr="00504D7E">
        <w:rPr>
          <w:rFonts w:ascii="Times New Roman" w:hAnsi="Times New Roman"/>
          <w:lang w:val="en-US"/>
        </w:rPr>
        <w:lastRenderedPageBreak/>
        <w:t xml:space="preserve">of advantages accruing to firms from being located close to other establishments in the same industry (industry-specific knowledge spillovers, </w:t>
      </w:r>
      <w:proofErr w:type="spellStart"/>
      <w:r w:rsidR="00BC723F" w:rsidRPr="00504D7E">
        <w:rPr>
          <w:rFonts w:ascii="Times New Roman" w:hAnsi="Times New Roman"/>
          <w:lang w:val="en-US"/>
        </w:rPr>
        <w:t>labour</w:t>
      </w:r>
      <w:proofErr w:type="spellEnd"/>
      <w:r w:rsidR="00BC723F" w:rsidRPr="00504D7E">
        <w:rPr>
          <w:rFonts w:ascii="Times New Roman" w:hAnsi="Times New Roman"/>
          <w:lang w:val="en-US"/>
        </w:rPr>
        <w:t xml:space="preserve"> market pooling, sharing of specialized suppliers).</w:t>
      </w:r>
    </w:p>
    <w:p w14:paraId="1D1A291D" w14:textId="52FDAA7C" w:rsidR="00592CBA" w:rsidRPr="00504D7E" w:rsidRDefault="00592CBA" w:rsidP="007A6AAF">
      <w:pPr>
        <w:spacing w:line="480" w:lineRule="auto"/>
        <w:jc w:val="both"/>
        <w:rPr>
          <w:rFonts w:ascii="Times New Roman" w:hAnsi="Times New Roman"/>
          <w:lang w:val="en-US"/>
        </w:rPr>
      </w:pPr>
      <w:r w:rsidRPr="00504D7E">
        <w:rPr>
          <w:rFonts w:ascii="Times New Roman" w:hAnsi="Times New Roman"/>
          <w:lang w:val="en-US"/>
        </w:rPr>
        <w:t xml:space="preserve">Finally, other industries purposely </w:t>
      </w:r>
      <w:r w:rsidR="00A20086" w:rsidRPr="00504D7E">
        <w:rPr>
          <w:rFonts w:ascii="Times New Roman" w:hAnsi="Times New Roman"/>
          <w:lang w:val="en-US"/>
        </w:rPr>
        <w:t>clustered</w:t>
      </w:r>
      <w:r w:rsidRPr="00504D7E">
        <w:rPr>
          <w:rFonts w:ascii="Times New Roman" w:hAnsi="Times New Roman"/>
          <w:lang w:val="en-US"/>
        </w:rPr>
        <w:t xml:space="preserve"> –</w:t>
      </w:r>
      <w:r w:rsidR="00F06883">
        <w:rPr>
          <w:rFonts w:ascii="Times New Roman" w:hAnsi="Times New Roman"/>
          <w:lang w:val="en-US"/>
        </w:rPr>
        <w:t xml:space="preserve"> </w:t>
      </w:r>
      <w:r w:rsidRPr="00504D7E">
        <w:rPr>
          <w:rFonts w:ascii="Times New Roman" w:hAnsi="Times New Roman"/>
          <w:lang w:val="en-US"/>
        </w:rPr>
        <w:t xml:space="preserve">i.e. rubber and plastic products, machinery, and non-metallic minerals, paper and furniture </w:t>
      </w:r>
      <w:r w:rsidR="00EA13AB" w:rsidRPr="00504D7E">
        <w:rPr>
          <w:rFonts w:ascii="Times New Roman" w:hAnsi="Times New Roman"/>
          <w:lang w:val="en-US"/>
        </w:rPr>
        <w:t>–</w:t>
      </w:r>
      <w:r w:rsidRPr="00504D7E">
        <w:rPr>
          <w:rFonts w:ascii="Times New Roman" w:hAnsi="Times New Roman"/>
          <w:lang w:val="en-US"/>
        </w:rPr>
        <w:t xml:space="preserve"> are populated by specialized suppliers, producing intermediate products for other manufacturing sectors.</w:t>
      </w:r>
      <w:r w:rsidR="002B25F9" w:rsidRPr="00504D7E">
        <w:rPr>
          <w:rFonts w:ascii="Times New Roman" w:hAnsi="Times New Roman"/>
          <w:lang w:val="en-US"/>
        </w:rPr>
        <w:t xml:space="preserve"> Their location patterns should not be considered purely as a product of chance</w:t>
      </w:r>
      <w:r w:rsidR="00EA13AB" w:rsidRPr="00504D7E">
        <w:rPr>
          <w:rFonts w:ascii="Times New Roman" w:hAnsi="Times New Roman"/>
          <w:lang w:val="en-US"/>
        </w:rPr>
        <w:t xml:space="preserve"> not only because of an asymmetrical distribution of natural resources</w:t>
      </w:r>
      <w:r w:rsidR="002B25F9" w:rsidRPr="00504D7E">
        <w:rPr>
          <w:rFonts w:ascii="Times New Roman" w:hAnsi="Times New Roman"/>
          <w:lang w:val="en-US"/>
        </w:rPr>
        <w:t>,</w:t>
      </w:r>
      <w:r w:rsidR="00EA13AB" w:rsidRPr="00504D7E">
        <w:rPr>
          <w:rFonts w:ascii="Times New Roman" w:hAnsi="Times New Roman"/>
          <w:lang w:val="en-US"/>
        </w:rPr>
        <w:t xml:space="preserve"> w</w:t>
      </w:r>
      <w:r w:rsidR="002B25F9" w:rsidRPr="00504D7E">
        <w:rPr>
          <w:rFonts w:ascii="Times New Roman" w:hAnsi="Times New Roman"/>
          <w:lang w:val="en-US"/>
        </w:rPr>
        <w:t>e suggest that their spatial distribution is</w:t>
      </w:r>
      <w:r w:rsidR="00EA13AB" w:rsidRPr="00504D7E">
        <w:rPr>
          <w:rFonts w:ascii="Times New Roman" w:hAnsi="Times New Roman"/>
          <w:lang w:val="en-US"/>
        </w:rPr>
        <w:t xml:space="preserve"> related</w:t>
      </w:r>
      <w:r w:rsidR="002B25F9" w:rsidRPr="00504D7E">
        <w:rPr>
          <w:rFonts w:ascii="Times New Roman" w:hAnsi="Times New Roman"/>
          <w:lang w:val="en-US"/>
        </w:rPr>
        <w:t xml:space="preserve"> to the clustering of downstream industries that use their products as input.</w:t>
      </w:r>
      <w:r w:rsidRPr="00504D7E">
        <w:rPr>
          <w:rFonts w:ascii="Times New Roman" w:hAnsi="Times New Roman"/>
          <w:lang w:val="en-US"/>
        </w:rPr>
        <w:t xml:space="preserve"> </w:t>
      </w:r>
    </w:p>
    <w:p w14:paraId="5F9DDE26" w14:textId="2560EDA7" w:rsidR="00C75DAF" w:rsidRPr="00504D7E" w:rsidRDefault="00C75DAF" w:rsidP="00C75DAF">
      <w:pPr>
        <w:spacing w:line="480" w:lineRule="auto"/>
        <w:jc w:val="both"/>
        <w:rPr>
          <w:rFonts w:ascii="Times New Roman" w:hAnsi="Times New Roman"/>
          <w:lang w:val="en-US"/>
        </w:rPr>
      </w:pPr>
      <w:r w:rsidRPr="00504D7E">
        <w:rPr>
          <w:rFonts w:ascii="Times New Roman" w:hAnsi="Times New Roman"/>
          <w:lang w:val="en-US"/>
        </w:rPr>
        <w:t xml:space="preserve">Figure </w:t>
      </w:r>
      <w:r w:rsidR="009A7750">
        <w:rPr>
          <w:rFonts w:ascii="Times New Roman" w:hAnsi="Times New Roman"/>
          <w:lang w:val="en-US"/>
        </w:rPr>
        <w:t>1</w:t>
      </w:r>
      <w:r w:rsidRPr="00504D7E">
        <w:rPr>
          <w:rFonts w:ascii="Times New Roman" w:hAnsi="Times New Roman"/>
          <w:lang w:val="en-US"/>
        </w:rPr>
        <w:t xml:space="preserve"> provides additional evidence that significant spatial concentration can be the outcome of different source of intra-industry scale economies, depending </w:t>
      </w:r>
      <w:r w:rsidR="00F61CC2" w:rsidRPr="00504D7E">
        <w:rPr>
          <w:rFonts w:ascii="Times New Roman" w:hAnsi="Times New Roman"/>
          <w:lang w:val="en-US"/>
        </w:rPr>
        <w:t>on</w:t>
      </w:r>
      <w:r w:rsidRPr="00504D7E">
        <w:rPr>
          <w:rFonts w:ascii="Times New Roman" w:hAnsi="Times New Roman"/>
          <w:lang w:val="en-US"/>
        </w:rPr>
        <w:t xml:space="preserve"> the characteristics of the sector. For example, in the case of wearing apparel </w:t>
      </w:r>
      <w:r w:rsidR="009A7750">
        <w:rPr>
          <w:rFonts w:ascii="Times New Roman" w:hAnsi="Times New Roman"/>
          <w:lang w:val="en-US"/>
        </w:rPr>
        <w:t xml:space="preserve">a look at Figure 1 suggest that </w:t>
      </w:r>
      <w:r w:rsidRPr="00504D7E">
        <w:rPr>
          <w:rFonts w:ascii="Times New Roman" w:hAnsi="Times New Roman"/>
          <w:lang w:val="en-US"/>
        </w:rPr>
        <w:t xml:space="preserve">the significant spatial location of firms </w:t>
      </w:r>
      <w:r w:rsidR="009A7750">
        <w:rPr>
          <w:rFonts w:ascii="Times New Roman" w:hAnsi="Times New Roman"/>
          <w:lang w:val="en-US"/>
        </w:rPr>
        <w:t>should be the outcome of</w:t>
      </w:r>
      <w:r w:rsidRPr="00504D7E">
        <w:rPr>
          <w:rFonts w:ascii="Times New Roman" w:hAnsi="Times New Roman"/>
          <w:lang w:val="en-US"/>
        </w:rPr>
        <w:t xml:space="preserve"> Marshallian externalities, since the sector is dominated by a relatively high number of establishments with a small average size. On the contrary, in sectors like motor vehicles, other transport equipment and basic metals, the higher average size combined with the smaller number of establishments confirm that the significant localization that we find is more the result of internal scale economies than of external economies.</w:t>
      </w:r>
    </w:p>
    <w:p w14:paraId="6A24B80D" w14:textId="1137A822" w:rsidR="004B7568" w:rsidRDefault="004B5037" w:rsidP="007A6AAF">
      <w:pPr>
        <w:spacing w:line="480" w:lineRule="auto"/>
        <w:jc w:val="both"/>
        <w:rPr>
          <w:rFonts w:ascii="Times New Roman" w:hAnsi="Times New Roman"/>
          <w:iCs/>
          <w:lang w:val="en-US"/>
        </w:rPr>
      </w:pPr>
      <w:r>
        <w:rPr>
          <w:rFonts w:ascii="Times New Roman" w:hAnsi="Times New Roman"/>
          <w:lang w:val="en-US"/>
        </w:rPr>
        <w:t xml:space="preserve">In the second step of the testing procedure, cross-regional firm size distribution is considered. </w:t>
      </w:r>
      <w:r w:rsidR="006849EA" w:rsidRPr="00504D7E">
        <w:rPr>
          <w:rFonts w:ascii="Times New Roman" w:hAnsi="Times New Roman"/>
          <w:lang w:val="en-US"/>
        </w:rPr>
        <w:t xml:space="preserve">Table </w:t>
      </w:r>
      <w:r w:rsidR="00791E3F">
        <w:rPr>
          <w:rFonts w:ascii="Times New Roman" w:hAnsi="Times New Roman"/>
          <w:lang w:val="en-US"/>
        </w:rPr>
        <w:t>5</w:t>
      </w:r>
      <w:r w:rsidR="006849EA" w:rsidRPr="00504D7E">
        <w:rPr>
          <w:rFonts w:ascii="Times New Roman" w:hAnsi="Times New Roman"/>
          <w:lang w:val="en-US"/>
        </w:rPr>
        <w:t xml:space="preserve"> summarizes our results on </w:t>
      </w:r>
      <w:r w:rsidR="00F54E03" w:rsidRPr="00504D7E">
        <w:rPr>
          <w:rFonts w:ascii="Times New Roman" w:hAnsi="Times New Roman"/>
          <w:lang w:val="en-US"/>
        </w:rPr>
        <w:t xml:space="preserve">relative </w:t>
      </w:r>
      <w:r w:rsidR="006849EA" w:rsidRPr="00504D7E">
        <w:rPr>
          <w:rFonts w:ascii="Times New Roman" w:hAnsi="Times New Roman"/>
          <w:lang w:val="en-US"/>
        </w:rPr>
        <w:t>concentration</w:t>
      </w:r>
      <w:r w:rsidR="002D2588">
        <w:rPr>
          <w:rFonts w:ascii="Times New Roman" w:hAnsi="Times New Roman"/>
          <w:lang w:val="en-US"/>
        </w:rPr>
        <w:t xml:space="preserve"> -that is the divergence between the spatial distribution of firms and employees - </w:t>
      </w:r>
      <w:r w:rsidR="006849EA" w:rsidRPr="00504D7E">
        <w:rPr>
          <w:rFonts w:ascii="Times New Roman" w:hAnsi="Times New Roman"/>
          <w:lang w:val="en-US"/>
        </w:rPr>
        <w:t>and its statistical significance for 2007</w:t>
      </w:r>
      <w:r w:rsidR="008B3DAD" w:rsidRPr="00504D7E">
        <w:rPr>
          <w:rFonts w:ascii="Times New Roman" w:hAnsi="Times New Roman"/>
          <w:lang w:val="en-US"/>
        </w:rPr>
        <w:t>: w</w:t>
      </w:r>
      <w:r w:rsidR="006849EA" w:rsidRPr="00504D7E">
        <w:rPr>
          <w:rFonts w:ascii="Times New Roman" w:hAnsi="Times New Roman"/>
          <w:lang w:val="en-US"/>
        </w:rPr>
        <w:t xml:space="preserve">e report the relative concentration values </w:t>
      </w:r>
      <m:oMath>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 xml:space="preserve">s </m:t>
            </m:r>
          </m:sub>
          <m:sup/>
        </m:sSubSup>
      </m:oMath>
      <w:r w:rsidR="006849EA" w:rsidRPr="00504D7E">
        <w:rPr>
          <w:rFonts w:ascii="Times New Roman" w:hAnsi="Times New Roman"/>
          <w:lang w:val="en-US"/>
        </w:rPr>
        <w:t xml:space="preserve"> for each </w:t>
      </w:r>
      <w:proofErr w:type="gramStart"/>
      <w:r w:rsidR="006849EA" w:rsidRPr="00504D7E">
        <w:rPr>
          <w:rFonts w:ascii="Times New Roman" w:hAnsi="Times New Roman"/>
          <w:lang w:val="en-US"/>
        </w:rPr>
        <w:t>industry</w:t>
      </w:r>
      <w:r w:rsidR="006A7C36">
        <w:rPr>
          <w:rFonts w:ascii="Times New Roman" w:hAnsi="Times New Roman"/>
          <w:lang w:val="en-US"/>
        </w:rPr>
        <w:t xml:space="preserve"> </w:t>
      </w:r>
      <w:proofErr w:type="gramEnd"/>
      <m:oMath>
        <m:r>
          <w:rPr>
            <w:rFonts w:ascii="Cambria Math" w:hAnsi="Cambria Math"/>
            <w:lang w:val="en-GB"/>
          </w:rPr>
          <m:t>s</m:t>
        </m:r>
      </m:oMath>
      <w:r w:rsidR="00D139BF" w:rsidRPr="00504D7E">
        <w:rPr>
          <w:rFonts w:ascii="Times New Roman" w:hAnsi="Times New Roman"/>
          <w:lang w:val="en-US"/>
        </w:rPr>
        <w:t>, as defined in equation (2), and the thresholds of the testing procedure where the counterfactuals are based on the real distributions of establishments</w:t>
      </w:r>
      <w:r w:rsidR="00716BEE" w:rsidRPr="00504D7E">
        <w:rPr>
          <w:rFonts w:ascii="Times New Roman" w:hAnsi="Times New Roman"/>
          <w:iCs/>
          <w:lang w:val="en-US"/>
        </w:rPr>
        <w:t>.</w:t>
      </w:r>
    </w:p>
    <w:p w14:paraId="556945E8" w14:textId="04DD66C1" w:rsidR="002931D4" w:rsidRPr="004B5037" w:rsidRDefault="00D139BF" w:rsidP="00FC70A9">
      <w:pPr>
        <w:spacing w:line="480" w:lineRule="auto"/>
        <w:jc w:val="both"/>
        <w:rPr>
          <w:rFonts w:ascii="Times New Roman" w:hAnsi="Times New Roman"/>
          <w:iCs/>
          <w:lang w:val="en-US"/>
        </w:rPr>
      </w:pPr>
      <w:r w:rsidRPr="00504D7E">
        <w:rPr>
          <w:rFonts w:ascii="Times New Roman" w:hAnsi="Times New Roman"/>
          <w:lang w:val="en-US"/>
        </w:rPr>
        <w:t>In</w:t>
      </w:r>
      <w:r w:rsidR="00F61D85" w:rsidRPr="00504D7E">
        <w:rPr>
          <w:rFonts w:ascii="Times New Roman" w:hAnsi="Times New Roman"/>
          <w:lang w:val="en-US"/>
        </w:rPr>
        <w:t>terestingly, also in</w:t>
      </w:r>
      <w:r w:rsidRPr="00504D7E">
        <w:rPr>
          <w:rFonts w:ascii="Times New Roman" w:hAnsi="Times New Roman"/>
          <w:lang w:val="en-US"/>
        </w:rPr>
        <w:t xml:space="preserve"> this </w:t>
      </w:r>
      <w:r w:rsidR="00C7107F" w:rsidRPr="00504D7E">
        <w:rPr>
          <w:rFonts w:ascii="Times New Roman" w:hAnsi="Times New Roman"/>
          <w:lang w:val="en-US"/>
        </w:rPr>
        <w:t>second step</w:t>
      </w:r>
      <w:r w:rsidRPr="00504D7E">
        <w:rPr>
          <w:rFonts w:ascii="Times New Roman" w:hAnsi="Times New Roman"/>
          <w:lang w:val="en-US"/>
        </w:rPr>
        <w:t xml:space="preserve">, we </w:t>
      </w:r>
      <w:r w:rsidR="002C71FB" w:rsidRPr="00504D7E">
        <w:rPr>
          <w:rFonts w:ascii="Times New Roman" w:hAnsi="Times New Roman"/>
          <w:lang w:val="en-US"/>
        </w:rPr>
        <w:t xml:space="preserve">reject the null </w:t>
      </w:r>
      <w:r w:rsidR="00A64D6A" w:rsidRPr="00504D7E">
        <w:rPr>
          <w:rFonts w:ascii="Times New Roman" w:hAnsi="Times New Roman"/>
          <w:lang w:val="en-US"/>
        </w:rPr>
        <w:t>hypothesis</w:t>
      </w:r>
      <w:r w:rsidR="00A64D6A" w:rsidRPr="00504D7E">
        <w:rPr>
          <w:rFonts w:ascii="Times New Roman" w:hAnsi="Times New Roman"/>
          <w:color w:val="FF0000"/>
          <w:lang w:val="en-US"/>
        </w:rPr>
        <w:t xml:space="preserve"> </w:t>
      </w:r>
      <w:r w:rsidR="00A64D6A" w:rsidRPr="00504D7E">
        <w:rPr>
          <w:rFonts w:ascii="Times New Roman" w:hAnsi="Times New Roman"/>
          <w:lang w:val="en-US"/>
        </w:rPr>
        <w:t>in</w:t>
      </w:r>
      <w:r w:rsidR="002C71FB" w:rsidRPr="00504D7E">
        <w:rPr>
          <w:rFonts w:ascii="Times New Roman" w:hAnsi="Times New Roman"/>
          <w:lang w:val="en-US"/>
        </w:rPr>
        <w:t xml:space="preserve"> 1</w:t>
      </w:r>
      <w:r w:rsidRPr="00504D7E">
        <w:rPr>
          <w:rFonts w:ascii="Times New Roman" w:hAnsi="Times New Roman"/>
          <w:lang w:val="en-US"/>
        </w:rPr>
        <w:t>5</w:t>
      </w:r>
      <w:r w:rsidR="002C71FB" w:rsidRPr="00504D7E">
        <w:rPr>
          <w:rFonts w:ascii="Times New Roman" w:hAnsi="Times New Roman"/>
          <w:lang w:val="en-US"/>
        </w:rPr>
        <w:t xml:space="preserve"> out of the 19 manufacturing industries considered in our analysis</w:t>
      </w:r>
      <w:r w:rsidR="003C25DF" w:rsidRPr="00504D7E">
        <w:rPr>
          <w:rFonts w:ascii="Times New Roman" w:hAnsi="Times New Roman"/>
          <w:lang w:val="en-US"/>
        </w:rPr>
        <w:t xml:space="preserve"> in favor of the alternative hypothesis </w:t>
      </w:r>
      <w:r w:rsidRPr="00504D7E">
        <w:rPr>
          <w:rFonts w:ascii="Times New Roman" w:hAnsi="Times New Roman"/>
          <w:lang w:val="en-US"/>
        </w:rPr>
        <w:t>of significant dissimilarity between the two distributions as explained</w:t>
      </w:r>
      <w:r w:rsidR="003C25DF" w:rsidRPr="00504D7E">
        <w:rPr>
          <w:rFonts w:ascii="Times New Roman" w:hAnsi="Times New Roman"/>
          <w:lang w:val="en-US"/>
        </w:rPr>
        <w:t xml:space="preserve"> in Section 3</w:t>
      </w:r>
      <w:r w:rsidR="002C71FB" w:rsidRPr="00504D7E">
        <w:rPr>
          <w:rFonts w:ascii="Times New Roman" w:hAnsi="Times New Roman"/>
          <w:lang w:val="en-US"/>
        </w:rPr>
        <w:t xml:space="preserve">. </w:t>
      </w:r>
      <w:r w:rsidR="00D070F9" w:rsidRPr="00504D7E">
        <w:rPr>
          <w:rFonts w:ascii="Times New Roman" w:hAnsi="Times New Roman"/>
          <w:lang w:val="en-US"/>
        </w:rPr>
        <w:t>W</w:t>
      </w:r>
      <w:r w:rsidR="003C25DF" w:rsidRPr="00504D7E">
        <w:rPr>
          <w:rFonts w:ascii="Times New Roman" w:hAnsi="Times New Roman"/>
          <w:lang w:val="en-US"/>
        </w:rPr>
        <w:t xml:space="preserve">e </w:t>
      </w:r>
      <w:r w:rsidR="00D070F9" w:rsidRPr="00504D7E">
        <w:rPr>
          <w:rFonts w:ascii="Times New Roman" w:hAnsi="Times New Roman"/>
          <w:lang w:val="en-US"/>
        </w:rPr>
        <w:t xml:space="preserve">conclude </w:t>
      </w:r>
      <w:r w:rsidR="007A6AAF" w:rsidRPr="00504D7E">
        <w:rPr>
          <w:rFonts w:ascii="Times New Roman" w:hAnsi="Times New Roman"/>
          <w:lang w:val="en-US"/>
        </w:rPr>
        <w:t>that</w:t>
      </w:r>
      <w:r w:rsidR="002C71FB" w:rsidRPr="00504D7E">
        <w:rPr>
          <w:rFonts w:ascii="Times New Roman" w:hAnsi="Times New Roman"/>
          <w:lang w:val="en-US"/>
        </w:rPr>
        <w:t xml:space="preserve"> </w:t>
      </w:r>
      <w:r w:rsidR="002D2588">
        <w:rPr>
          <w:rFonts w:ascii="Times New Roman" w:hAnsi="Times New Roman"/>
          <w:lang w:val="en-US"/>
        </w:rPr>
        <w:t xml:space="preserve">the spatial distribution of </w:t>
      </w:r>
      <w:r w:rsidR="006A7C36" w:rsidRPr="00504D7E">
        <w:rPr>
          <w:rFonts w:ascii="Times New Roman" w:hAnsi="Times New Roman"/>
          <w:lang w:val="en-US"/>
        </w:rPr>
        <w:t>employ</w:t>
      </w:r>
      <w:r w:rsidR="006A7C36">
        <w:rPr>
          <w:rFonts w:ascii="Times New Roman" w:hAnsi="Times New Roman"/>
          <w:lang w:val="en-US"/>
        </w:rPr>
        <w:t>ees</w:t>
      </w:r>
      <w:r w:rsidR="006A7C36" w:rsidRPr="00504D7E">
        <w:rPr>
          <w:rFonts w:ascii="Times New Roman" w:hAnsi="Times New Roman"/>
          <w:lang w:val="en-US"/>
        </w:rPr>
        <w:t xml:space="preserve"> </w:t>
      </w:r>
      <w:r w:rsidR="000D0456" w:rsidRPr="00504D7E">
        <w:rPr>
          <w:rFonts w:ascii="Times New Roman" w:hAnsi="Times New Roman"/>
          <w:lang w:val="en-US"/>
        </w:rPr>
        <w:t xml:space="preserve">is significantly different from </w:t>
      </w:r>
      <w:r w:rsidR="00C7107F" w:rsidRPr="00504D7E">
        <w:rPr>
          <w:rFonts w:ascii="Times New Roman" w:hAnsi="Times New Roman"/>
          <w:lang w:val="en-US"/>
        </w:rPr>
        <w:t>the</w:t>
      </w:r>
      <w:r w:rsidR="000D0456" w:rsidRPr="00504D7E">
        <w:rPr>
          <w:rFonts w:ascii="Times New Roman" w:hAnsi="Times New Roman"/>
          <w:lang w:val="en-US"/>
        </w:rPr>
        <w:t xml:space="preserve"> theoretical distribution one </w:t>
      </w:r>
      <w:r w:rsidR="002931D4" w:rsidRPr="00504D7E">
        <w:rPr>
          <w:rFonts w:ascii="Times New Roman" w:hAnsi="Times New Roman"/>
          <w:lang w:val="en-US"/>
        </w:rPr>
        <w:t>would have expected by looking at the distribution of firms</w:t>
      </w:r>
      <w:r w:rsidR="006A7C36">
        <w:rPr>
          <w:rFonts w:ascii="Times New Roman" w:hAnsi="Times New Roman"/>
          <w:lang w:val="en-US"/>
        </w:rPr>
        <w:t xml:space="preserve">, and </w:t>
      </w:r>
      <w:proofErr w:type="gramStart"/>
      <w:r w:rsidR="006A7C36">
        <w:rPr>
          <w:rFonts w:ascii="Times New Roman" w:hAnsi="Times New Roman"/>
          <w:lang w:val="en-US"/>
        </w:rPr>
        <w:t xml:space="preserve">this </w:t>
      </w:r>
      <w:r w:rsidR="00893508">
        <w:rPr>
          <w:rFonts w:ascii="Times New Roman" w:hAnsi="Times New Roman"/>
          <w:lang w:val="en-US"/>
        </w:rPr>
        <w:t>also</w:t>
      </w:r>
      <w:proofErr w:type="gramEnd"/>
      <w:r w:rsidR="00893508">
        <w:rPr>
          <w:rFonts w:ascii="Times New Roman" w:hAnsi="Times New Roman"/>
          <w:lang w:val="en-US"/>
        </w:rPr>
        <w:t xml:space="preserve"> confirms</w:t>
      </w:r>
      <w:r w:rsidR="006A7C36">
        <w:rPr>
          <w:rFonts w:ascii="Times New Roman" w:hAnsi="Times New Roman"/>
          <w:lang w:val="en-US"/>
        </w:rPr>
        <w:t xml:space="preserve"> the evidence that firms are not </w:t>
      </w:r>
      <w:r w:rsidR="00EC1A7B">
        <w:rPr>
          <w:rFonts w:ascii="Times New Roman" w:hAnsi="Times New Roman"/>
          <w:lang w:val="en-US"/>
        </w:rPr>
        <w:t xml:space="preserve">equally </w:t>
      </w:r>
      <w:r w:rsidR="00EC1A7B">
        <w:rPr>
          <w:rFonts w:ascii="Times New Roman" w:hAnsi="Times New Roman"/>
          <w:lang w:val="en-US"/>
        </w:rPr>
        <w:lastRenderedPageBreak/>
        <w:t>sized</w:t>
      </w:r>
      <w:r w:rsidR="006A7C36">
        <w:rPr>
          <w:rFonts w:ascii="Times New Roman" w:hAnsi="Times New Roman"/>
          <w:lang w:val="en-US"/>
        </w:rPr>
        <w:t>.</w:t>
      </w:r>
      <w:r w:rsidR="004B5037">
        <w:rPr>
          <w:rFonts w:ascii="Times New Roman" w:hAnsi="Times New Roman"/>
          <w:lang w:val="en-US"/>
        </w:rPr>
        <w:t xml:space="preserve"> In particular, the variety of establishments’ size across regions is mainly responsible of the dissimilarity between the spatial distribution of employees and the spatial distribution of firms.</w:t>
      </w:r>
    </w:p>
    <w:p w14:paraId="6197DF37" w14:textId="1DB54CF6" w:rsidR="0059513E" w:rsidRPr="00504D7E" w:rsidRDefault="0059513E" w:rsidP="00FC70A9">
      <w:pPr>
        <w:spacing w:line="480" w:lineRule="auto"/>
        <w:jc w:val="both"/>
        <w:rPr>
          <w:rFonts w:ascii="Times New Roman" w:hAnsi="Times New Roman"/>
          <w:lang w:val="en-US"/>
        </w:rPr>
      </w:pPr>
      <w:r>
        <w:rPr>
          <w:rFonts w:ascii="Times New Roman" w:hAnsi="Times New Roman"/>
          <w:lang w:val="en-US"/>
        </w:rPr>
        <w:t xml:space="preserve">We suggest that a significant divergence can be a sign of competitiveness, in line with the view that heterogeneity in firm size within a sector may signal greater experimentation of new entrants and successful dynamics of </w:t>
      </w:r>
      <w:r w:rsidRPr="00107E38">
        <w:rPr>
          <w:rFonts w:ascii="Times New Roman" w:hAnsi="Times New Roman"/>
          <w:lang w:val="en-US"/>
        </w:rPr>
        <w:t>most innovative and productive companies</w:t>
      </w:r>
      <w:r>
        <w:rPr>
          <w:rFonts w:ascii="Times New Roman" w:hAnsi="Times New Roman"/>
          <w:lang w:val="en-US"/>
        </w:rPr>
        <w:t xml:space="preserve"> (</w:t>
      </w:r>
      <w:proofErr w:type="spellStart"/>
      <w:r w:rsidRPr="00107E38">
        <w:rPr>
          <w:rFonts w:ascii="Times New Roman" w:hAnsi="Times New Roman"/>
          <w:lang w:val="en-US"/>
        </w:rPr>
        <w:t>Bartelsman</w:t>
      </w:r>
      <w:proofErr w:type="spellEnd"/>
      <w:r w:rsidRPr="00107E38">
        <w:rPr>
          <w:rFonts w:ascii="Times New Roman" w:hAnsi="Times New Roman"/>
          <w:lang w:val="en-US"/>
        </w:rPr>
        <w:t xml:space="preserve"> </w:t>
      </w:r>
      <w:r w:rsidRPr="00107E38">
        <w:rPr>
          <w:rFonts w:ascii="Times New Roman" w:hAnsi="Times New Roman"/>
          <w:i/>
          <w:iCs/>
          <w:lang w:val="en-US"/>
        </w:rPr>
        <w:t>et al.</w:t>
      </w:r>
      <w:r>
        <w:rPr>
          <w:rFonts w:ascii="Times New Roman" w:hAnsi="Times New Roman"/>
          <w:lang w:val="en-US"/>
        </w:rPr>
        <w:t xml:space="preserve">, </w:t>
      </w:r>
      <w:r w:rsidRPr="00107E38">
        <w:rPr>
          <w:rFonts w:ascii="Times New Roman" w:hAnsi="Times New Roman"/>
          <w:lang w:val="en-US"/>
        </w:rPr>
        <w:t>2009)</w:t>
      </w:r>
      <w:r>
        <w:rPr>
          <w:rFonts w:ascii="Times New Roman" w:hAnsi="Times New Roman"/>
          <w:lang w:val="en-US"/>
        </w:rPr>
        <w:t xml:space="preserve">. </w:t>
      </w:r>
    </w:p>
    <w:p w14:paraId="104F9A0E" w14:textId="77777777" w:rsidR="00CB7B12" w:rsidRPr="00504D7E" w:rsidRDefault="00CB7B12" w:rsidP="00CB7B12">
      <w:pPr>
        <w:spacing w:line="360" w:lineRule="auto"/>
        <w:jc w:val="both"/>
        <w:rPr>
          <w:rFonts w:ascii="Times New Roman" w:hAnsi="Times New Roman"/>
          <w:i/>
          <w:lang w:val="en-US"/>
        </w:rPr>
      </w:pPr>
    </w:p>
    <w:p w14:paraId="58D5BC2A" w14:textId="7A678B17" w:rsidR="00CB7B12" w:rsidRPr="00504D7E" w:rsidRDefault="00CB7B12" w:rsidP="00CB7B12">
      <w:pPr>
        <w:spacing w:line="360" w:lineRule="auto"/>
        <w:jc w:val="both"/>
        <w:rPr>
          <w:rFonts w:ascii="Times New Roman" w:hAnsi="Times New Roman"/>
          <w:b/>
          <w:i/>
          <w:lang w:val="en-US"/>
        </w:rPr>
      </w:pPr>
      <w:r w:rsidRPr="00504D7E">
        <w:rPr>
          <w:rFonts w:ascii="Times New Roman" w:hAnsi="Times New Roman"/>
          <w:b/>
          <w:i/>
          <w:lang w:val="en-US"/>
        </w:rPr>
        <w:t xml:space="preserve">Table </w:t>
      </w:r>
      <w:proofErr w:type="gramStart"/>
      <w:r w:rsidR="00791E3F">
        <w:rPr>
          <w:rFonts w:ascii="Times New Roman" w:hAnsi="Times New Roman"/>
          <w:b/>
          <w:i/>
          <w:lang w:val="en-US"/>
        </w:rPr>
        <w:t>5</w:t>
      </w:r>
      <w:proofErr w:type="gramEnd"/>
      <w:r w:rsidRPr="00504D7E">
        <w:rPr>
          <w:rFonts w:ascii="Times New Roman" w:hAnsi="Times New Roman"/>
          <w:b/>
          <w:i/>
          <w:lang w:val="en-US"/>
        </w:rPr>
        <w:t xml:space="preserve"> </w:t>
      </w:r>
      <w:r w:rsidR="00B85B0C" w:rsidRPr="00504D7E">
        <w:rPr>
          <w:rFonts w:ascii="Times New Roman" w:hAnsi="Times New Roman"/>
          <w:b/>
          <w:i/>
          <w:lang w:val="en-US"/>
        </w:rPr>
        <w:t>Relative entropy measures</w:t>
      </w:r>
    </w:p>
    <w:tbl>
      <w:tblPr>
        <w:tblW w:w="9480" w:type="dxa"/>
        <w:tblInd w:w="70" w:type="dxa"/>
        <w:tblCellMar>
          <w:left w:w="70" w:type="dxa"/>
          <w:right w:w="70" w:type="dxa"/>
        </w:tblCellMar>
        <w:tblLook w:val="04A0" w:firstRow="1" w:lastRow="0" w:firstColumn="1" w:lastColumn="0" w:noHBand="0" w:noVBand="1"/>
      </w:tblPr>
      <w:tblGrid>
        <w:gridCol w:w="5276"/>
        <w:gridCol w:w="972"/>
        <w:gridCol w:w="616"/>
        <w:gridCol w:w="718"/>
        <w:gridCol w:w="718"/>
        <w:gridCol w:w="1180"/>
      </w:tblGrid>
      <w:tr w:rsidR="009B62A2" w:rsidRPr="00504D7E" w14:paraId="7C4C7DFA" w14:textId="77777777" w:rsidTr="006377AB">
        <w:trPr>
          <w:trHeight w:val="300"/>
        </w:trPr>
        <w:tc>
          <w:tcPr>
            <w:tcW w:w="5276" w:type="dxa"/>
            <w:tcBorders>
              <w:top w:val="single" w:sz="4" w:space="0" w:color="auto"/>
              <w:left w:val="nil"/>
              <w:bottom w:val="nil"/>
              <w:right w:val="nil"/>
            </w:tcBorders>
            <w:shd w:val="clear" w:color="000000" w:fill="FFFFFF"/>
            <w:noWrap/>
            <w:vAlign w:val="bottom"/>
            <w:hideMark/>
          </w:tcPr>
          <w:p w14:paraId="24EE74E4" w14:textId="77777777" w:rsidR="009B62A2" w:rsidRPr="00504D7E" w:rsidRDefault="009B62A2" w:rsidP="009B62A2">
            <w:pPr>
              <w:rPr>
                <w:rFonts w:ascii="Times New Roman" w:hAnsi="Times New Roman"/>
                <w:color w:val="000000"/>
                <w:sz w:val="20"/>
                <w:szCs w:val="20"/>
              </w:rPr>
            </w:pPr>
            <w:r w:rsidRPr="00504D7E">
              <w:rPr>
                <w:rFonts w:ascii="Times New Roman" w:hAnsi="Times New Roman"/>
                <w:color w:val="000000"/>
                <w:sz w:val="20"/>
                <w:szCs w:val="20"/>
              </w:rPr>
              <w:t> </w:t>
            </w:r>
          </w:p>
        </w:tc>
        <w:tc>
          <w:tcPr>
            <w:tcW w:w="972" w:type="dxa"/>
            <w:vMerge w:val="restart"/>
            <w:tcBorders>
              <w:top w:val="single" w:sz="4" w:space="0" w:color="auto"/>
              <w:left w:val="nil"/>
              <w:bottom w:val="single" w:sz="4" w:space="0" w:color="000000"/>
              <w:right w:val="nil"/>
            </w:tcBorders>
            <w:shd w:val="clear" w:color="000000" w:fill="FFFFFF"/>
            <w:hideMark/>
          </w:tcPr>
          <w:p w14:paraId="62BF0E7D" w14:textId="77777777" w:rsidR="009B62A2" w:rsidRPr="00504D7E" w:rsidRDefault="006377AB" w:rsidP="009B62A2">
            <w:pPr>
              <w:jc w:val="center"/>
              <w:rPr>
                <w:rFonts w:ascii="Times New Roman" w:hAnsi="Times New Roman"/>
                <w:color w:val="000000"/>
                <w:sz w:val="20"/>
                <w:szCs w:val="20"/>
              </w:rPr>
            </w:pPr>
            <w:r w:rsidRPr="00504D7E">
              <w:rPr>
                <w:rFonts w:ascii="Times New Roman" w:hAnsi="Times New Roman"/>
                <w:color w:val="000000"/>
                <w:sz w:val="20"/>
                <w:szCs w:val="20"/>
              </w:rPr>
              <w:t>R</w:t>
            </w:r>
            <w:r w:rsidR="009B62A2" w:rsidRPr="00504D7E">
              <w:rPr>
                <w:rFonts w:ascii="Times New Roman" w:hAnsi="Times New Roman"/>
                <w:color w:val="000000"/>
                <w:sz w:val="20"/>
                <w:szCs w:val="20"/>
              </w:rPr>
              <w:t xml:space="preserve">eal </w:t>
            </w:r>
            <w:proofErr w:type="spellStart"/>
            <w:r w:rsidR="009B62A2" w:rsidRPr="00504D7E">
              <w:rPr>
                <w:rFonts w:ascii="Times New Roman" w:hAnsi="Times New Roman"/>
                <w:color w:val="000000"/>
                <w:sz w:val="20"/>
                <w:szCs w:val="20"/>
              </w:rPr>
              <w:t>values</w:t>
            </w:r>
            <w:proofErr w:type="spellEnd"/>
          </w:p>
          <w:p w14:paraId="6B072272" w14:textId="0D0C87C9" w:rsidR="0015271C" w:rsidRPr="00120F0D" w:rsidRDefault="008A4429" w:rsidP="009B62A2">
            <w:pPr>
              <w:jc w:val="center"/>
              <w:rPr>
                <w:rFonts w:ascii="Times New Roman" w:hAnsi="Times New Roman"/>
                <w:color w:val="000000"/>
                <w:sz w:val="20"/>
                <w:szCs w:val="20"/>
              </w:rPr>
            </w:pPr>
            <m:oMathPara>
              <m:oMath>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 xml:space="preserve">s </m:t>
                    </m:r>
                  </m:sub>
                  <m:sup/>
                </m:sSubSup>
              </m:oMath>
            </m:oMathPara>
          </w:p>
        </w:tc>
        <w:tc>
          <w:tcPr>
            <w:tcW w:w="616" w:type="dxa"/>
            <w:vMerge w:val="restart"/>
            <w:tcBorders>
              <w:top w:val="single" w:sz="4" w:space="0" w:color="auto"/>
              <w:left w:val="nil"/>
              <w:bottom w:val="single" w:sz="4" w:space="0" w:color="000000"/>
              <w:right w:val="nil"/>
            </w:tcBorders>
            <w:shd w:val="clear" w:color="000000" w:fill="FFFFFF"/>
            <w:noWrap/>
            <w:hideMark/>
          </w:tcPr>
          <w:p w14:paraId="0BC16488" w14:textId="77777777" w:rsidR="009B62A2" w:rsidRPr="00504D7E" w:rsidRDefault="009B62A2" w:rsidP="009B62A2">
            <w:pPr>
              <w:jc w:val="center"/>
              <w:rPr>
                <w:rFonts w:ascii="Times New Roman" w:hAnsi="Times New Roman"/>
                <w:color w:val="000000"/>
                <w:sz w:val="20"/>
                <w:szCs w:val="20"/>
              </w:rPr>
            </w:pPr>
            <w:proofErr w:type="spellStart"/>
            <w:r w:rsidRPr="00504D7E">
              <w:rPr>
                <w:rFonts w:ascii="Times New Roman" w:hAnsi="Times New Roman"/>
                <w:color w:val="000000"/>
                <w:sz w:val="20"/>
                <w:szCs w:val="20"/>
              </w:rPr>
              <w:t>Sign</w:t>
            </w:r>
            <w:proofErr w:type="spellEnd"/>
          </w:p>
        </w:tc>
        <w:tc>
          <w:tcPr>
            <w:tcW w:w="2616" w:type="dxa"/>
            <w:gridSpan w:val="3"/>
            <w:tcBorders>
              <w:top w:val="single" w:sz="4" w:space="0" w:color="auto"/>
              <w:left w:val="nil"/>
              <w:bottom w:val="single" w:sz="4" w:space="0" w:color="auto"/>
              <w:right w:val="nil"/>
            </w:tcBorders>
            <w:shd w:val="clear" w:color="000000" w:fill="FFFFFF"/>
            <w:noWrap/>
            <w:vAlign w:val="bottom"/>
            <w:hideMark/>
          </w:tcPr>
          <w:p w14:paraId="153A654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 xml:space="preserve">Critical </w:t>
            </w:r>
            <w:proofErr w:type="spellStart"/>
            <w:r w:rsidRPr="00504D7E">
              <w:rPr>
                <w:rFonts w:ascii="Times New Roman" w:hAnsi="Times New Roman"/>
                <w:color w:val="000000"/>
                <w:sz w:val="20"/>
                <w:szCs w:val="20"/>
              </w:rPr>
              <w:t>values</w:t>
            </w:r>
            <w:proofErr w:type="spellEnd"/>
          </w:p>
        </w:tc>
      </w:tr>
      <w:tr w:rsidR="009B62A2" w:rsidRPr="00504D7E" w14:paraId="372362DC" w14:textId="77777777" w:rsidTr="009B62A2">
        <w:trPr>
          <w:trHeight w:val="300"/>
        </w:trPr>
        <w:tc>
          <w:tcPr>
            <w:tcW w:w="5276" w:type="dxa"/>
            <w:tcBorders>
              <w:top w:val="nil"/>
              <w:left w:val="nil"/>
              <w:bottom w:val="single" w:sz="4" w:space="0" w:color="auto"/>
              <w:right w:val="nil"/>
            </w:tcBorders>
            <w:shd w:val="clear" w:color="000000" w:fill="FFFFFF"/>
            <w:noWrap/>
            <w:vAlign w:val="bottom"/>
            <w:hideMark/>
          </w:tcPr>
          <w:p w14:paraId="1D89E592" w14:textId="77777777" w:rsidR="009B62A2" w:rsidRPr="00504D7E" w:rsidRDefault="009B62A2" w:rsidP="009B62A2">
            <w:pPr>
              <w:jc w:val="center"/>
              <w:rPr>
                <w:rFonts w:ascii="Times New Roman" w:hAnsi="Times New Roman"/>
                <w:b/>
                <w:bCs/>
                <w:color w:val="000000"/>
                <w:sz w:val="20"/>
                <w:szCs w:val="20"/>
              </w:rPr>
            </w:pPr>
            <w:r w:rsidRPr="00504D7E">
              <w:rPr>
                <w:rFonts w:ascii="Times New Roman" w:hAnsi="Times New Roman"/>
                <w:b/>
                <w:bCs/>
                <w:color w:val="000000"/>
                <w:sz w:val="20"/>
                <w:szCs w:val="20"/>
              </w:rPr>
              <w:t> </w:t>
            </w:r>
          </w:p>
        </w:tc>
        <w:tc>
          <w:tcPr>
            <w:tcW w:w="972" w:type="dxa"/>
            <w:vMerge/>
            <w:tcBorders>
              <w:top w:val="nil"/>
              <w:left w:val="nil"/>
              <w:bottom w:val="single" w:sz="4" w:space="0" w:color="000000"/>
              <w:right w:val="nil"/>
            </w:tcBorders>
            <w:vAlign w:val="center"/>
            <w:hideMark/>
          </w:tcPr>
          <w:p w14:paraId="4E38CE5B" w14:textId="77777777" w:rsidR="009B62A2" w:rsidRPr="00504D7E" w:rsidRDefault="009B62A2" w:rsidP="009B62A2">
            <w:pPr>
              <w:rPr>
                <w:rFonts w:ascii="Times New Roman" w:hAnsi="Times New Roman"/>
                <w:color w:val="000000"/>
                <w:sz w:val="20"/>
                <w:szCs w:val="20"/>
              </w:rPr>
            </w:pPr>
          </w:p>
        </w:tc>
        <w:tc>
          <w:tcPr>
            <w:tcW w:w="616" w:type="dxa"/>
            <w:vMerge/>
            <w:tcBorders>
              <w:top w:val="nil"/>
              <w:left w:val="nil"/>
              <w:bottom w:val="single" w:sz="4" w:space="0" w:color="000000"/>
              <w:right w:val="nil"/>
            </w:tcBorders>
            <w:vAlign w:val="center"/>
            <w:hideMark/>
          </w:tcPr>
          <w:p w14:paraId="74515B5D" w14:textId="77777777" w:rsidR="009B62A2" w:rsidRPr="00504D7E" w:rsidRDefault="009B62A2" w:rsidP="009B62A2">
            <w:pPr>
              <w:rPr>
                <w:rFonts w:ascii="Times New Roman" w:hAnsi="Times New Roman"/>
                <w:color w:val="000000"/>
                <w:sz w:val="20"/>
                <w:szCs w:val="20"/>
              </w:rPr>
            </w:pPr>
          </w:p>
        </w:tc>
        <w:tc>
          <w:tcPr>
            <w:tcW w:w="718" w:type="dxa"/>
            <w:tcBorders>
              <w:top w:val="nil"/>
              <w:left w:val="nil"/>
              <w:bottom w:val="single" w:sz="4" w:space="0" w:color="auto"/>
              <w:right w:val="nil"/>
            </w:tcBorders>
            <w:shd w:val="clear" w:color="000000" w:fill="FFFFFF"/>
            <w:noWrap/>
            <w:vAlign w:val="bottom"/>
            <w:hideMark/>
          </w:tcPr>
          <w:p w14:paraId="702AE49C"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p90</w:t>
            </w:r>
          </w:p>
        </w:tc>
        <w:tc>
          <w:tcPr>
            <w:tcW w:w="718" w:type="dxa"/>
            <w:tcBorders>
              <w:top w:val="nil"/>
              <w:left w:val="nil"/>
              <w:bottom w:val="single" w:sz="4" w:space="0" w:color="auto"/>
              <w:right w:val="nil"/>
            </w:tcBorders>
            <w:shd w:val="clear" w:color="000000" w:fill="FFFFFF"/>
            <w:noWrap/>
            <w:vAlign w:val="bottom"/>
            <w:hideMark/>
          </w:tcPr>
          <w:p w14:paraId="38912F2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p95</w:t>
            </w:r>
          </w:p>
        </w:tc>
        <w:tc>
          <w:tcPr>
            <w:tcW w:w="1180" w:type="dxa"/>
            <w:tcBorders>
              <w:top w:val="nil"/>
              <w:left w:val="nil"/>
              <w:bottom w:val="nil"/>
              <w:right w:val="nil"/>
            </w:tcBorders>
            <w:shd w:val="clear" w:color="auto" w:fill="auto"/>
            <w:noWrap/>
            <w:vAlign w:val="bottom"/>
            <w:hideMark/>
          </w:tcPr>
          <w:p w14:paraId="34CBD0F4" w14:textId="308124F2" w:rsidR="009B62A2" w:rsidRPr="00120F0D" w:rsidRDefault="009B62A2" w:rsidP="009B62A2">
            <w:pPr>
              <w:rPr>
                <w:color w:val="000000"/>
              </w:rPr>
            </w:pPr>
            <w:r w:rsidRPr="00120F0D">
              <w:rPr>
                <w:noProof/>
                <w:color w:val="000000"/>
              </w:rPr>
              <w:drawing>
                <wp:inline distT="0" distB="0" distL="0" distR="0" wp14:anchorId="477314B6" wp14:editId="66784F25">
                  <wp:extent cx="135890" cy="27305"/>
                  <wp:effectExtent l="0" t="0" r="0" b="0"/>
                  <wp:docPr id="6" name="Immagine 6" descr="Macintosh HD:private:var:folders:lj:xxc8ffq97xz83mgfptyhphwc0000gn: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lj:xxc8ffq97xz83mgfptyhphwc0000gn:T:TemporaryItems:msoclip:0:clip_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 cy="2730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40"/>
            </w:tblGrid>
            <w:tr w:rsidR="009B62A2" w:rsidRPr="00504D7E" w14:paraId="6A90DE74" w14:textId="77777777">
              <w:trPr>
                <w:trHeight w:val="300"/>
                <w:tblCellSpacing w:w="0" w:type="dxa"/>
              </w:trPr>
              <w:tc>
                <w:tcPr>
                  <w:tcW w:w="740" w:type="dxa"/>
                  <w:tcBorders>
                    <w:top w:val="nil"/>
                    <w:left w:val="nil"/>
                    <w:bottom w:val="single" w:sz="4" w:space="0" w:color="auto"/>
                    <w:right w:val="nil"/>
                  </w:tcBorders>
                  <w:shd w:val="clear" w:color="000000" w:fill="FFFFFF"/>
                  <w:noWrap/>
                  <w:vAlign w:val="bottom"/>
                  <w:hideMark/>
                </w:tcPr>
                <w:p w14:paraId="0A1BE0E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p99</w:t>
                  </w:r>
                </w:p>
              </w:tc>
            </w:tr>
          </w:tbl>
          <w:p w14:paraId="52B2F9BB" w14:textId="77777777" w:rsidR="009B62A2" w:rsidRPr="00504D7E" w:rsidRDefault="009B62A2" w:rsidP="009B62A2">
            <w:pPr>
              <w:rPr>
                <w:color w:val="000000"/>
              </w:rPr>
            </w:pPr>
          </w:p>
        </w:tc>
      </w:tr>
      <w:tr w:rsidR="009B62A2" w:rsidRPr="00504D7E" w14:paraId="7F823943" w14:textId="77777777" w:rsidTr="009B62A2">
        <w:trPr>
          <w:trHeight w:val="300"/>
        </w:trPr>
        <w:tc>
          <w:tcPr>
            <w:tcW w:w="5276" w:type="dxa"/>
            <w:tcBorders>
              <w:top w:val="nil"/>
              <w:left w:val="nil"/>
              <w:bottom w:val="nil"/>
              <w:right w:val="nil"/>
            </w:tcBorders>
            <w:shd w:val="clear" w:color="000000" w:fill="FFFFFF"/>
            <w:noWrap/>
            <w:vAlign w:val="bottom"/>
            <w:hideMark/>
          </w:tcPr>
          <w:p w14:paraId="63946949"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Textiles</w:t>
            </w:r>
            <w:proofErr w:type="spellEnd"/>
          </w:p>
        </w:tc>
        <w:tc>
          <w:tcPr>
            <w:tcW w:w="972" w:type="dxa"/>
            <w:tcBorders>
              <w:top w:val="nil"/>
              <w:left w:val="nil"/>
              <w:bottom w:val="nil"/>
              <w:right w:val="nil"/>
            </w:tcBorders>
            <w:shd w:val="clear" w:color="000000" w:fill="FFFFFF"/>
            <w:noWrap/>
            <w:vAlign w:val="bottom"/>
            <w:hideMark/>
          </w:tcPr>
          <w:p w14:paraId="4F980DC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0.223</w:t>
            </w:r>
          </w:p>
        </w:tc>
        <w:tc>
          <w:tcPr>
            <w:tcW w:w="616" w:type="dxa"/>
            <w:tcBorders>
              <w:top w:val="nil"/>
              <w:left w:val="nil"/>
              <w:bottom w:val="nil"/>
              <w:right w:val="nil"/>
            </w:tcBorders>
            <w:shd w:val="clear" w:color="000000" w:fill="FFFFFF"/>
            <w:noWrap/>
            <w:vAlign w:val="bottom"/>
            <w:hideMark/>
          </w:tcPr>
          <w:p w14:paraId="1755799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452657B8"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0.209</w:t>
            </w:r>
          </w:p>
        </w:tc>
        <w:tc>
          <w:tcPr>
            <w:tcW w:w="718" w:type="dxa"/>
            <w:tcBorders>
              <w:top w:val="nil"/>
              <w:left w:val="nil"/>
              <w:bottom w:val="nil"/>
              <w:right w:val="nil"/>
            </w:tcBorders>
            <w:shd w:val="clear" w:color="000000" w:fill="FFFFFF"/>
            <w:noWrap/>
            <w:vAlign w:val="bottom"/>
            <w:hideMark/>
          </w:tcPr>
          <w:p w14:paraId="6AFFFAB8"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0.209</w:t>
            </w:r>
          </w:p>
        </w:tc>
        <w:tc>
          <w:tcPr>
            <w:tcW w:w="1180" w:type="dxa"/>
            <w:tcBorders>
              <w:top w:val="nil"/>
              <w:left w:val="nil"/>
              <w:bottom w:val="nil"/>
              <w:right w:val="nil"/>
            </w:tcBorders>
            <w:shd w:val="clear" w:color="000000" w:fill="FFFFFF"/>
            <w:noWrap/>
            <w:vAlign w:val="bottom"/>
            <w:hideMark/>
          </w:tcPr>
          <w:p w14:paraId="79424C9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0.210</w:t>
            </w:r>
          </w:p>
        </w:tc>
      </w:tr>
      <w:tr w:rsidR="009B62A2" w:rsidRPr="00504D7E" w14:paraId="53787EDD" w14:textId="77777777" w:rsidTr="009B62A2">
        <w:trPr>
          <w:trHeight w:val="300"/>
        </w:trPr>
        <w:tc>
          <w:tcPr>
            <w:tcW w:w="5276" w:type="dxa"/>
            <w:tcBorders>
              <w:top w:val="nil"/>
              <w:left w:val="nil"/>
              <w:bottom w:val="nil"/>
              <w:right w:val="nil"/>
            </w:tcBorders>
            <w:shd w:val="clear" w:color="000000" w:fill="FFFFFF"/>
            <w:noWrap/>
            <w:vAlign w:val="bottom"/>
            <w:hideMark/>
          </w:tcPr>
          <w:p w14:paraId="41DBC6E3"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Wearing</w:t>
            </w:r>
            <w:proofErr w:type="spellEnd"/>
            <w:r w:rsidRPr="00504D7E">
              <w:rPr>
                <w:rFonts w:ascii="Times New Roman" w:hAnsi="Times New Roman"/>
                <w:color w:val="000000"/>
                <w:sz w:val="20"/>
                <w:szCs w:val="20"/>
              </w:rPr>
              <w:t xml:space="preserve"> </w:t>
            </w:r>
            <w:proofErr w:type="spellStart"/>
            <w:r w:rsidRPr="00504D7E">
              <w:rPr>
                <w:rFonts w:ascii="Times New Roman" w:hAnsi="Times New Roman"/>
                <w:color w:val="000000"/>
                <w:sz w:val="20"/>
                <w:szCs w:val="20"/>
              </w:rPr>
              <w:t>apparel</w:t>
            </w:r>
            <w:proofErr w:type="spellEnd"/>
          </w:p>
        </w:tc>
        <w:tc>
          <w:tcPr>
            <w:tcW w:w="972" w:type="dxa"/>
            <w:tcBorders>
              <w:top w:val="nil"/>
              <w:left w:val="nil"/>
              <w:bottom w:val="nil"/>
              <w:right w:val="nil"/>
            </w:tcBorders>
            <w:shd w:val="clear" w:color="000000" w:fill="FFFFFF"/>
            <w:noWrap/>
            <w:vAlign w:val="bottom"/>
            <w:hideMark/>
          </w:tcPr>
          <w:p w14:paraId="2769BC9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0.335</w:t>
            </w:r>
          </w:p>
        </w:tc>
        <w:tc>
          <w:tcPr>
            <w:tcW w:w="616" w:type="dxa"/>
            <w:tcBorders>
              <w:top w:val="nil"/>
              <w:left w:val="nil"/>
              <w:bottom w:val="nil"/>
              <w:right w:val="nil"/>
            </w:tcBorders>
            <w:shd w:val="clear" w:color="000000" w:fill="FFFFFF"/>
            <w:noWrap/>
            <w:vAlign w:val="bottom"/>
            <w:hideMark/>
          </w:tcPr>
          <w:p w14:paraId="1E73F92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622AAF13"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0.251</w:t>
            </w:r>
          </w:p>
        </w:tc>
        <w:tc>
          <w:tcPr>
            <w:tcW w:w="718" w:type="dxa"/>
            <w:tcBorders>
              <w:top w:val="nil"/>
              <w:left w:val="nil"/>
              <w:bottom w:val="nil"/>
              <w:right w:val="nil"/>
            </w:tcBorders>
            <w:shd w:val="clear" w:color="000000" w:fill="FFFFFF"/>
            <w:noWrap/>
            <w:vAlign w:val="bottom"/>
            <w:hideMark/>
          </w:tcPr>
          <w:p w14:paraId="1A8B5E8C"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0.251</w:t>
            </w:r>
          </w:p>
        </w:tc>
        <w:tc>
          <w:tcPr>
            <w:tcW w:w="1180" w:type="dxa"/>
            <w:tcBorders>
              <w:top w:val="nil"/>
              <w:left w:val="nil"/>
              <w:bottom w:val="nil"/>
              <w:right w:val="nil"/>
            </w:tcBorders>
            <w:shd w:val="clear" w:color="000000" w:fill="FFFFFF"/>
            <w:noWrap/>
            <w:vAlign w:val="bottom"/>
            <w:hideMark/>
          </w:tcPr>
          <w:p w14:paraId="6FB6D0E3"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0.251</w:t>
            </w:r>
          </w:p>
        </w:tc>
      </w:tr>
      <w:tr w:rsidR="009B62A2" w:rsidRPr="00504D7E" w14:paraId="4E6393CF" w14:textId="77777777" w:rsidTr="009B62A2">
        <w:trPr>
          <w:trHeight w:val="300"/>
        </w:trPr>
        <w:tc>
          <w:tcPr>
            <w:tcW w:w="5276" w:type="dxa"/>
            <w:tcBorders>
              <w:top w:val="nil"/>
              <w:left w:val="nil"/>
              <w:bottom w:val="nil"/>
              <w:right w:val="nil"/>
            </w:tcBorders>
            <w:shd w:val="clear" w:color="000000" w:fill="FFFFFF"/>
            <w:noWrap/>
            <w:vAlign w:val="bottom"/>
            <w:hideMark/>
          </w:tcPr>
          <w:p w14:paraId="50A7BB6D" w14:textId="77777777" w:rsidR="009B62A2" w:rsidRPr="00504D7E" w:rsidRDefault="009B62A2" w:rsidP="009B62A2">
            <w:pPr>
              <w:rPr>
                <w:rFonts w:ascii="Times New Roman" w:hAnsi="Times New Roman"/>
                <w:color w:val="000000"/>
                <w:sz w:val="20"/>
                <w:szCs w:val="20"/>
              </w:rPr>
            </w:pPr>
            <w:r w:rsidRPr="00504D7E">
              <w:rPr>
                <w:rFonts w:ascii="Times New Roman" w:hAnsi="Times New Roman"/>
                <w:color w:val="000000"/>
                <w:sz w:val="20"/>
                <w:szCs w:val="20"/>
              </w:rPr>
              <w:t>Wood</w:t>
            </w:r>
          </w:p>
        </w:tc>
        <w:tc>
          <w:tcPr>
            <w:tcW w:w="972" w:type="dxa"/>
            <w:tcBorders>
              <w:top w:val="nil"/>
              <w:left w:val="nil"/>
              <w:bottom w:val="nil"/>
              <w:right w:val="nil"/>
            </w:tcBorders>
            <w:shd w:val="clear" w:color="000000" w:fill="FFFFFF"/>
            <w:noWrap/>
            <w:vAlign w:val="bottom"/>
            <w:hideMark/>
          </w:tcPr>
          <w:p w14:paraId="4DCE27F4"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0.195</w:t>
            </w:r>
          </w:p>
        </w:tc>
        <w:tc>
          <w:tcPr>
            <w:tcW w:w="616" w:type="dxa"/>
            <w:tcBorders>
              <w:top w:val="nil"/>
              <w:left w:val="nil"/>
              <w:bottom w:val="nil"/>
              <w:right w:val="nil"/>
            </w:tcBorders>
            <w:shd w:val="clear" w:color="000000" w:fill="FFFFFF"/>
            <w:noWrap/>
            <w:vAlign w:val="bottom"/>
            <w:hideMark/>
          </w:tcPr>
          <w:p w14:paraId="78DF8FE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 </w:t>
            </w:r>
          </w:p>
        </w:tc>
        <w:tc>
          <w:tcPr>
            <w:tcW w:w="718" w:type="dxa"/>
            <w:tcBorders>
              <w:top w:val="nil"/>
              <w:left w:val="nil"/>
              <w:bottom w:val="nil"/>
              <w:right w:val="nil"/>
            </w:tcBorders>
            <w:shd w:val="clear" w:color="000000" w:fill="FFFFFF"/>
            <w:noWrap/>
            <w:vAlign w:val="bottom"/>
            <w:hideMark/>
          </w:tcPr>
          <w:p w14:paraId="33A1AAE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0.202</w:t>
            </w:r>
          </w:p>
        </w:tc>
        <w:tc>
          <w:tcPr>
            <w:tcW w:w="718" w:type="dxa"/>
            <w:tcBorders>
              <w:top w:val="nil"/>
              <w:left w:val="nil"/>
              <w:bottom w:val="nil"/>
              <w:right w:val="nil"/>
            </w:tcBorders>
            <w:shd w:val="clear" w:color="000000" w:fill="FFFFFF"/>
            <w:noWrap/>
            <w:vAlign w:val="bottom"/>
            <w:hideMark/>
          </w:tcPr>
          <w:p w14:paraId="5C271D8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0.202</w:t>
            </w:r>
          </w:p>
        </w:tc>
        <w:tc>
          <w:tcPr>
            <w:tcW w:w="1180" w:type="dxa"/>
            <w:tcBorders>
              <w:top w:val="nil"/>
              <w:left w:val="nil"/>
              <w:bottom w:val="nil"/>
              <w:right w:val="nil"/>
            </w:tcBorders>
            <w:shd w:val="clear" w:color="000000" w:fill="FFFFFF"/>
            <w:noWrap/>
            <w:vAlign w:val="bottom"/>
            <w:hideMark/>
          </w:tcPr>
          <w:p w14:paraId="63A50FF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0.203</w:t>
            </w:r>
          </w:p>
        </w:tc>
      </w:tr>
      <w:tr w:rsidR="009B62A2" w:rsidRPr="00504D7E" w14:paraId="31BDA9DE" w14:textId="77777777" w:rsidTr="009B62A2">
        <w:trPr>
          <w:trHeight w:val="300"/>
        </w:trPr>
        <w:tc>
          <w:tcPr>
            <w:tcW w:w="5276" w:type="dxa"/>
            <w:tcBorders>
              <w:top w:val="nil"/>
              <w:left w:val="nil"/>
              <w:bottom w:val="nil"/>
              <w:right w:val="nil"/>
            </w:tcBorders>
            <w:shd w:val="clear" w:color="000000" w:fill="FFFFFF"/>
            <w:noWrap/>
            <w:vAlign w:val="bottom"/>
            <w:hideMark/>
          </w:tcPr>
          <w:p w14:paraId="5D2A54CC"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Paper</w:t>
            </w:r>
            <w:proofErr w:type="spellEnd"/>
          </w:p>
        </w:tc>
        <w:tc>
          <w:tcPr>
            <w:tcW w:w="972" w:type="dxa"/>
            <w:tcBorders>
              <w:top w:val="nil"/>
              <w:left w:val="nil"/>
              <w:bottom w:val="nil"/>
              <w:right w:val="nil"/>
            </w:tcBorders>
            <w:shd w:val="clear" w:color="000000" w:fill="FFFFFF"/>
            <w:noWrap/>
            <w:vAlign w:val="bottom"/>
            <w:hideMark/>
          </w:tcPr>
          <w:p w14:paraId="3C0405D4"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0.295</w:t>
            </w:r>
          </w:p>
        </w:tc>
        <w:tc>
          <w:tcPr>
            <w:tcW w:w="616" w:type="dxa"/>
            <w:tcBorders>
              <w:top w:val="nil"/>
              <w:left w:val="nil"/>
              <w:bottom w:val="nil"/>
              <w:right w:val="nil"/>
            </w:tcBorders>
            <w:shd w:val="clear" w:color="000000" w:fill="FFFFFF"/>
            <w:noWrap/>
            <w:vAlign w:val="bottom"/>
            <w:hideMark/>
          </w:tcPr>
          <w:p w14:paraId="0160693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6AB021B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0.070</w:t>
            </w:r>
          </w:p>
        </w:tc>
        <w:tc>
          <w:tcPr>
            <w:tcW w:w="718" w:type="dxa"/>
            <w:tcBorders>
              <w:top w:val="nil"/>
              <w:left w:val="nil"/>
              <w:bottom w:val="nil"/>
              <w:right w:val="nil"/>
            </w:tcBorders>
            <w:shd w:val="clear" w:color="000000" w:fill="FFFFFF"/>
            <w:noWrap/>
            <w:vAlign w:val="bottom"/>
            <w:hideMark/>
          </w:tcPr>
          <w:p w14:paraId="020B3E8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0.070</w:t>
            </w:r>
          </w:p>
        </w:tc>
        <w:tc>
          <w:tcPr>
            <w:tcW w:w="1180" w:type="dxa"/>
            <w:tcBorders>
              <w:top w:val="nil"/>
              <w:left w:val="nil"/>
              <w:bottom w:val="nil"/>
              <w:right w:val="nil"/>
            </w:tcBorders>
            <w:shd w:val="clear" w:color="000000" w:fill="FFFFFF"/>
            <w:noWrap/>
            <w:vAlign w:val="bottom"/>
            <w:hideMark/>
          </w:tcPr>
          <w:p w14:paraId="046BAC4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0.070</w:t>
            </w:r>
          </w:p>
        </w:tc>
      </w:tr>
      <w:tr w:rsidR="009B62A2" w:rsidRPr="00504D7E" w14:paraId="1FF40CB0" w14:textId="77777777" w:rsidTr="009B62A2">
        <w:trPr>
          <w:trHeight w:val="300"/>
        </w:trPr>
        <w:tc>
          <w:tcPr>
            <w:tcW w:w="5276" w:type="dxa"/>
            <w:tcBorders>
              <w:top w:val="nil"/>
              <w:left w:val="nil"/>
              <w:bottom w:val="nil"/>
              <w:right w:val="nil"/>
            </w:tcBorders>
            <w:shd w:val="clear" w:color="000000" w:fill="FFFFFF"/>
            <w:noWrap/>
            <w:vAlign w:val="bottom"/>
            <w:hideMark/>
          </w:tcPr>
          <w:p w14:paraId="542A7457" w14:textId="77777777" w:rsidR="009B62A2" w:rsidRPr="00504D7E" w:rsidRDefault="009B62A2" w:rsidP="009B62A2">
            <w:pPr>
              <w:rPr>
                <w:rFonts w:ascii="Times New Roman" w:hAnsi="Times New Roman"/>
                <w:color w:val="000000"/>
                <w:sz w:val="20"/>
                <w:szCs w:val="20"/>
              </w:rPr>
            </w:pPr>
            <w:r w:rsidRPr="00504D7E">
              <w:rPr>
                <w:rFonts w:ascii="Times New Roman" w:hAnsi="Times New Roman"/>
                <w:color w:val="000000"/>
                <w:sz w:val="20"/>
                <w:szCs w:val="20"/>
              </w:rPr>
              <w:t xml:space="preserve">Publishing, </w:t>
            </w:r>
            <w:proofErr w:type="spellStart"/>
            <w:r w:rsidRPr="00504D7E">
              <w:rPr>
                <w:rFonts w:ascii="Times New Roman" w:hAnsi="Times New Roman"/>
                <w:color w:val="000000"/>
                <w:sz w:val="20"/>
                <w:szCs w:val="20"/>
              </w:rPr>
              <w:t>printing</w:t>
            </w:r>
            <w:proofErr w:type="spellEnd"/>
          </w:p>
        </w:tc>
        <w:tc>
          <w:tcPr>
            <w:tcW w:w="972" w:type="dxa"/>
            <w:tcBorders>
              <w:top w:val="nil"/>
              <w:left w:val="nil"/>
              <w:bottom w:val="nil"/>
              <w:right w:val="nil"/>
            </w:tcBorders>
            <w:shd w:val="clear" w:color="000000" w:fill="FFFFFF"/>
            <w:noWrap/>
            <w:vAlign w:val="bottom"/>
            <w:hideMark/>
          </w:tcPr>
          <w:p w14:paraId="7BBE223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0.226</w:t>
            </w:r>
          </w:p>
        </w:tc>
        <w:tc>
          <w:tcPr>
            <w:tcW w:w="616" w:type="dxa"/>
            <w:tcBorders>
              <w:top w:val="nil"/>
              <w:left w:val="nil"/>
              <w:bottom w:val="nil"/>
              <w:right w:val="nil"/>
            </w:tcBorders>
            <w:shd w:val="clear" w:color="000000" w:fill="FFFFFF"/>
            <w:noWrap/>
            <w:vAlign w:val="bottom"/>
            <w:hideMark/>
          </w:tcPr>
          <w:p w14:paraId="483413E4"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 </w:t>
            </w:r>
          </w:p>
        </w:tc>
        <w:tc>
          <w:tcPr>
            <w:tcW w:w="718" w:type="dxa"/>
            <w:tcBorders>
              <w:top w:val="nil"/>
              <w:left w:val="nil"/>
              <w:bottom w:val="nil"/>
              <w:right w:val="nil"/>
            </w:tcBorders>
            <w:shd w:val="clear" w:color="000000" w:fill="FFFFFF"/>
            <w:noWrap/>
            <w:vAlign w:val="bottom"/>
            <w:hideMark/>
          </w:tcPr>
          <w:p w14:paraId="10EBDF6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0.228</w:t>
            </w:r>
          </w:p>
        </w:tc>
        <w:tc>
          <w:tcPr>
            <w:tcW w:w="718" w:type="dxa"/>
            <w:tcBorders>
              <w:top w:val="nil"/>
              <w:left w:val="nil"/>
              <w:bottom w:val="nil"/>
              <w:right w:val="nil"/>
            </w:tcBorders>
            <w:shd w:val="clear" w:color="000000" w:fill="FFFFFF"/>
            <w:noWrap/>
            <w:vAlign w:val="bottom"/>
            <w:hideMark/>
          </w:tcPr>
          <w:p w14:paraId="43E5660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0.229</w:t>
            </w:r>
          </w:p>
        </w:tc>
        <w:tc>
          <w:tcPr>
            <w:tcW w:w="1180" w:type="dxa"/>
            <w:tcBorders>
              <w:top w:val="nil"/>
              <w:left w:val="nil"/>
              <w:bottom w:val="nil"/>
              <w:right w:val="nil"/>
            </w:tcBorders>
            <w:shd w:val="clear" w:color="000000" w:fill="FFFFFF"/>
            <w:noWrap/>
            <w:vAlign w:val="bottom"/>
            <w:hideMark/>
          </w:tcPr>
          <w:p w14:paraId="5286FF1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0.229</w:t>
            </w:r>
          </w:p>
        </w:tc>
      </w:tr>
      <w:tr w:rsidR="009B62A2" w:rsidRPr="00504D7E" w14:paraId="411437FA" w14:textId="77777777" w:rsidTr="009B62A2">
        <w:trPr>
          <w:trHeight w:val="300"/>
        </w:trPr>
        <w:tc>
          <w:tcPr>
            <w:tcW w:w="5276" w:type="dxa"/>
            <w:tcBorders>
              <w:top w:val="nil"/>
              <w:left w:val="nil"/>
              <w:bottom w:val="nil"/>
              <w:right w:val="nil"/>
            </w:tcBorders>
            <w:shd w:val="clear" w:color="000000" w:fill="FFFFFF"/>
            <w:noWrap/>
            <w:vAlign w:val="bottom"/>
            <w:hideMark/>
          </w:tcPr>
          <w:p w14:paraId="709789C9"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Chemicals</w:t>
            </w:r>
            <w:proofErr w:type="spellEnd"/>
          </w:p>
        </w:tc>
        <w:tc>
          <w:tcPr>
            <w:tcW w:w="972" w:type="dxa"/>
            <w:tcBorders>
              <w:top w:val="nil"/>
              <w:left w:val="nil"/>
              <w:bottom w:val="nil"/>
              <w:right w:val="nil"/>
            </w:tcBorders>
            <w:shd w:val="clear" w:color="000000" w:fill="FFFFFF"/>
            <w:noWrap/>
            <w:vAlign w:val="bottom"/>
            <w:hideMark/>
          </w:tcPr>
          <w:p w14:paraId="008DD9A9"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0.260</w:t>
            </w:r>
          </w:p>
        </w:tc>
        <w:tc>
          <w:tcPr>
            <w:tcW w:w="616" w:type="dxa"/>
            <w:tcBorders>
              <w:top w:val="nil"/>
              <w:left w:val="nil"/>
              <w:bottom w:val="nil"/>
              <w:right w:val="nil"/>
            </w:tcBorders>
            <w:shd w:val="clear" w:color="000000" w:fill="FFFFFF"/>
            <w:noWrap/>
            <w:vAlign w:val="bottom"/>
            <w:hideMark/>
          </w:tcPr>
          <w:p w14:paraId="5CE3E2C3"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2D7F3FC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0.071</w:t>
            </w:r>
          </w:p>
        </w:tc>
        <w:tc>
          <w:tcPr>
            <w:tcW w:w="718" w:type="dxa"/>
            <w:tcBorders>
              <w:top w:val="nil"/>
              <w:left w:val="nil"/>
              <w:bottom w:val="nil"/>
              <w:right w:val="nil"/>
            </w:tcBorders>
            <w:shd w:val="clear" w:color="000000" w:fill="FFFFFF"/>
            <w:noWrap/>
            <w:vAlign w:val="bottom"/>
            <w:hideMark/>
          </w:tcPr>
          <w:p w14:paraId="05BEEB5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0.071</w:t>
            </w:r>
          </w:p>
        </w:tc>
        <w:tc>
          <w:tcPr>
            <w:tcW w:w="1180" w:type="dxa"/>
            <w:tcBorders>
              <w:top w:val="nil"/>
              <w:left w:val="nil"/>
              <w:bottom w:val="nil"/>
              <w:right w:val="nil"/>
            </w:tcBorders>
            <w:shd w:val="clear" w:color="000000" w:fill="FFFFFF"/>
            <w:noWrap/>
            <w:vAlign w:val="bottom"/>
            <w:hideMark/>
          </w:tcPr>
          <w:p w14:paraId="08585DD4"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0.071</w:t>
            </w:r>
          </w:p>
        </w:tc>
      </w:tr>
      <w:tr w:rsidR="009B62A2" w:rsidRPr="00504D7E" w14:paraId="404293A9" w14:textId="77777777" w:rsidTr="009B62A2">
        <w:trPr>
          <w:trHeight w:val="300"/>
        </w:trPr>
        <w:tc>
          <w:tcPr>
            <w:tcW w:w="5276" w:type="dxa"/>
            <w:tcBorders>
              <w:top w:val="nil"/>
              <w:left w:val="nil"/>
              <w:bottom w:val="nil"/>
              <w:right w:val="nil"/>
            </w:tcBorders>
            <w:shd w:val="clear" w:color="000000" w:fill="FFFFFF"/>
            <w:noWrap/>
            <w:vAlign w:val="bottom"/>
            <w:hideMark/>
          </w:tcPr>
          <w:p w14:paraId="3FB440DF"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Rubber</w:t>
            </w:r>
            <w:proofErr w:type="spellEnd"/>
            <w:r w:rsidRPr="00504D7E">
              <w:rPr>
                <w:rFonts w:ascii="Times New Roman" w:hAnsi="Times New Roman"/>
                <w:color w:val="000000"/>
                <w:sz w:val="20"/>
                <w:szCs w:val="20"/>
              </w:rPr>
              <w:t xml:space="preserve"> and </w:t>
            </w:r>
            <w:proofErr w:type="spellStart"/>
            <w:r w:rsidRPr="00504D7E">
              <w:rPr>
                <w:rFonts w:ascii="Times New Roman" w:hAnsi="Times New Roman"/>
                <w:color w:val="000000"/>
                <w:sz w:val="20"/>
                <w:szCs w:val="20"/>
              </w:rPr>
              <w:t>plastics</w:t>
            </w:r>
            <w:proofErr w:type="spellEnd"/>
          </w:p>
        </w:tc>
        <w:tc>
          <w:tcPr>
            <w:tcW w:w="972" w:type="dxa"/>
            <w:tcBorders>
              <w:top w:val="nil"/>
              <w:left w:val="nil"/>
              <w:bottom w:val="nil"/>
              <w:right w:val="nil"/>
            </w:tcBorders>
            <w:shd w:val="clear" w:color="000000" w:fill="FFFFFF"/>
            <w:noWrap/>
            <w:vAlign w:val="bottom"/>
            <w:hideMark/>
          </w:tcPr>
          <w:p w14:paraId="012976B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0.177</w:t>
            </w:r>
          </w:p>
        </w:tc>
        <w:tc>
          <w:tcPr>
            <w:tcW w:w="616" w:type="dxa"/>
            <w:tcBorders>
              <w:top w:val="nil"/>
              <w:left w:val="nil"/>
              <w:bottom w:val="nil"/>
              <w:right w:val="nil"/>
            </w:tcBorders>
            <w:shd w:val="clear" w:color="000000" w:fill="FFFFFF"/>
            <w:noWrap/>
            <w:vAlign w:val="bottom"/>
            <w:hideMark/>
          </w:tcPr>
          <w:p w14:paraId="2EBB295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5D2CA0B4"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0.077</w:t>
            </w:r>
          </w:p>
        </w:tc>
        <w:tc>
          <w:tcPr>
            <w:tcW w:w="718" w:type="dxa"/>
            <w:tcBorders>
              <w:top w:val="nil"/>
              <w:left w:val="nil"/>
              <w:bottom w:val="nil"/>
              <w:right w:val="nil"/>
            </w:tcBorders>
            <w:shd w:val="clear" w:color="000000" w:fill="FFFFFF"/>
            <w:noWrap/>
            <w:vAlign w:val="bottom"/>
            <w:hideMark/>
          </w:tcPr>
          <w:p w14:paraId="141DF90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0.078</w:t>
            </w:r>
          </w:p>
        </w:tc>
        <w:tc>
          <w:tcPr>
            <w:tcW w:w="1180" w:type="dxa"/>
            <w:tcBorders>
              <w:top w:val="nil"/>
              <w:left w:val="nil"/>
              <w:bottom w:val="nil"/>
              <w:right w:val="nil"/>
            </w:tcBorders>
            <w:shd w:val="clear" w:color="000000" w:fill="FFFFFF"/>
            <w:noWrap/>
            <w:vAlign w:val="bottom"/>
            <w:hideMark/>
          </w:tcPr>
          <w:p w14:paraId="5CE7B61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0.078</w:t>
            </w:r>
          </w:p>
        </w:tc>
      </w:tr>
      <w:tr w:rsidR="009B62A2" w:rsidRPr="00504D7E" w14:paraId="732AFA3A" w14:textId="77777777" w:rsidTr="009B62A2">
        <w:trPr>
          <w:trHeight w:val="300"/>
        </w:trPr>
        <w:tc>
          <w:tcPr>
            <w:tcW w:w="5276" w:type="dxa"/>
            <w:tcBorders>
              <w:top w:val="nil"/>
              <w:left w:val="nil"/>
              <w:bottom w:val="nil"/>
              <w:right w:val="nil"/>
            </w:tcBorders>
            <w:shd w:val="clear" w:color="000000" w:fill="FFFFFF"/>
            <w:noWrap/>
            <w:vAlign w:val="bottom"/>
            <w:hideMark/>
          </w:tcPr>
          <w:p w14:paraId="55279069" w14:textId="77777777" w:rsidR="009B62A2" w:rsidRPr="00F378A9" w:rsidRDefault="009B62A2" w:rsidP="009B62A2">
            <w:pPr>
              <w:rPr>
                <w:rFonts w:ascii="Times New Roman" w:hAnsi="Times New Roman"/>
                <w:color w:val="000000"/>
                <w:sz w:val="20"/>
                <w:szCs w:val="20"/>
                <w:lang w:val="en-US"/>
              </w:rPr>
            </w:pPr>
            <w:r w:rsidRPr="00F378A9">
              <w:rPr>
                <w:rFonts w:ascii="Times New Roman" w:hAnsi="Times New Roman"/>
                <w:color w:val="000000"/>
                <w:sz w:val="20"/>
                <w:szCs w:val="20"/>
                <w:lang w:val="en-US"/>
              </w:rPr>
              <w:t>Other non-metallic mineral products</w:t>
            </w:r>
          </w:p>
        </w:tc>
        <w:tc>
          <w:tcPr>
            <w:tcW w:w="972" w:type="dxa"/>
            <w:tcBorders>
              <w:top w:val="nil"/>
              <w:left w:val="nil"/>
              <w:bottom w:val="nil"/>
              <w:right w:val="nil"/>
            </w:tcBorders>
            <w:shd w:val="clear" w:color="000000" w:fill="FFFFFF"/>
            <w:noWrap/>
            <w:vAlign w:val="bottom"/>
            <w:hideMark/>
          </w:tcPr>
          <w:p w14:paraId="69DBFA1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0.147</w:t>
            </w:r>
          </w:p>
        </w:tc>
        <w:tc>
          <w:tcPr>
            <w:tcW w:w="616" w:type="dxa"/>
            <w:tcBorders>
              <w:top w:val="nil"/>
              <w:left w:val="nil"/>
              <w:bottom w:val="nil"/>
              <w:right w:val="nil"/>
            </w:tcBorders>
            <w:shd w:val="clear" w:color="000000" w:fill="FFFFFF"/>
            <w:noWrap/>
            <w:vAlign w:val="bottom"/>
            <w:hideMark/>
          </w:tcPr>
          <w:p w14:paraId="3715238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4102066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0.102</w:t>
            </w:r>
          </w:p>
        </w:tc>
        <w:tc>
          <w:tcPr>
            <w:tcW w:w="718" w:type="dxa"/>
            <w:tcBorders>
              <w:top w:val="nil"/>
              <w:left w:val="nil"/>
              <w:bottom w:val="nil"/>
              <w:right w:val="nil"/>
            </w:tcBorders>
            <w:shd w:val="clear" w:color="000000" w:fill="FFFFFF"/>
            <w:noWrap/>
            <w:vAlign w:val="bottom"/>
            <w:hideMark/>
          </w:tcPr>
          <w:p w14:paraId="05BD8FD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0.102</w:t>
            </w:r>
          </w:p>
        </w:tc>
        <w:tc>
          <w:tcPr>
            <w:tcW w:w="1180" w:type="dxa"/>
            <w:tcBorders>
              <w:top w:val="nil"/>
              <w:left w:val="nil"/>
              <w:bottom w:val="nil"/>
              <w:right w:val="nil"/>
            </w:tcBorders>
            <w:shd w:val="clear" w:color="000000" w:fill="FFFFFF"/>
            <w:noWrap/>
            <w:vAlign w:val="bottom"/>
            <w:hideMark/>
          </w:tcPr>
          <w:p w14:paraId="5444EC5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0.102</w:t>
            </w:r>
          </w:p>
        </w:tc>
      </w:tr>
      <w:tr w:rsidR="009B62A2" w:rsidRPr="00504D7E" w14:paraId="001A433A" w14:textId="77777777" w:rsidTr="009B62A2">
        <w:trPr>
          <w:trHeight w:val="300"/>
        </w:trPr>
        <w:tc>
          <w:tcPr>
            <w:tcW w:w="5276" w:type="dxa"/>
            <w:tcBorders>
              <w:top w:val="nil"/>
              <w:left w:val="nil"/>
              <w:bottom w:val="nil"/>
              <w:right w:val="nil"/>
            </w:tcBorders>
            <w:shd w:val="clear" w:color="000000" w:fill="FFFFFF"/>
            <w:noWrap/>
            <w:vAlign w:val="bottom"/>
            <w:hideMark/>
          </w:tcPr>
          <w:p w14:paraId="52CE6740" w14:textId="77777777" w:rsidR="009B62A2" w:rsidRPr="00504D7E" w:rsidRDefault="009B62A2" w:rsidP="009B62A2">
            <w:pPr>
              <w:rPr>
                <w:rFonts w:ascii="Times New Roman" w:hAnsi="Times New Roman"/>
                <w:color w:val="000000"/>
                <w:sz w:val="20"/>
                <w:szCs w:val="20"/>
              </w:rPr>
            </w:pPr>
            <w:r w:rsidRPr="00504D7E">
              <w:rPr>
                <w:rFonts w:ascii="Times New Roman" w:hAnsi="Times New Roman"/>
                <w:color w:val="000000"/>
                <w:sz w:val="20"/>
                <w:szCs w:val="20"/>
              </w:rPr>
              <w:t xml:space="preserve">Basic </w:t>
            </w:r>
            <w:proofErr w:type="spellStart"/>
            <w:r w:rsidRPr="00504D7E">
              <w:rPr>
                <w:rFonts w:ascii="Times New Roman" w:hAnsi="Times New Roman"/>
                <w:color w:val="000000"/>
                <w:sz w:val="20"/>
                <w:szCs w:val="20"/>
              </w:rPr>
              <w:t>metals</w:t>
            </w:r>
            <w:proofErr w:type="spellEnd"/>
          </w:p>
        </w:tc>
        <w:tc>
          <w:tcPr>
            <w:tcW w:w="972" w:type="dxa"/>
            <w:tcBorders>
              <w:top w:val="nil"/>
              <w:left w:val="nil"/>
              <w:bottom w:val="nil"/>
              <w:right w:val="nil"/>
            </w:tcBorders>
            <w:shd w:val="clear" w:color="000000" w:fill="FFFFFF"/>
            <w:noWrap/>
            <w:vAlign w:val="bottom"/>
            <w:hideMark/>
          </w:tcPr>
          <w:p w14:paraId="535BD68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0.417</w:t>
            </w:r>
          </w:p>
        </w:tc>
        <w:tc>
          <w:tcPr>
            <w:tcW w:w="616" w:type="dxa"/>
            <w:tcBorders>
              <w:top w:val="nil"/>
              <w:left w:val="nil"/>
              <w:bottom w:val="nil"/>
              <w:right w:val="nil"/>
            </w:tcBorders>
            <w:shd w:val="clear" w:color="000000" w:fill="FFFFFF"/>
            <w:noWrap/>
            <w:vAlign w:val="bottom"/>
            <w:hideMark/>
          </w:tcPr>
          <w:p w14:paraId="0542799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623FBA06"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0.127</w:t>
            </w:r>
          </w:p>
        </w:tc>
        <w:tc>
          <w:tcPr>
            <w:tcW w:w="718" w:type="dxa"/>
            <w:tcBorders>
              <w:top w:val="nil"/>
              <w:left w:val="nil"/>
              <w:bottom w:val="nil"/>
              <w:right w:val="nil"/>
            </w:tcBorders>
            <w:shd w:val="clear" w:color="000000" w:fill="FFFFFF"/>
            <w:noWrap/>
            <w:vAlign w:val="bottom"/>
            <w:hideMark/>
          </w:tcPr>
          <w:p w14:paraId="41D0510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0.127</w:t>
            </w:r>
          </w:p>
        </w:tc>
        <w:tc>
          <w:tcPr>
            <w:tcW w:w="1180" w:type="dxa"/>
            <w:tcBorders>
              <w:top w:val="nil"/>
              <w:left w:val="nil"/>
              <w:bottom w:val="nil"/>
              <w:right w:val="nil"/>
            </w:tcBorders>
            <w:shd w:val="clear" w:color="000000" w:fill="FFFFFF"/>
            <w:noWrap/>
            <w:vAlign w:val="bottom"/>
            <w:hideMark/>
          </w:tcPr>
          <w:p w14:paraId="6FC1FD2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0.128</w:t>
            </w:r>
          </w:p>
        </w:tc>
      </w:tr>
      <w:tr w:rsidR="009B62A2" w:rsidRPr="00504D7E" w14:paraId="3E8C7CF4" w14:textId="77777777" w:rsidTr="009B62A2">
        <w:trPr>
          <w:trHeight w:val="300"/>
        </w:trPr>
        <w:tc>
          <w:tcPr>
            <w:tcW w:w="5276" w:type="dxa"/>
            <w:tcBorders>
              <w:top w:val="nil"/>
              <w:left w:val="nil"/>
              <w:bottom w:val="nil"/>
              <w:right w:val="nil"/>
            </w:tcBorders>
            <w:shd w:val="clear" w:color="000000" w:fill="FFFFFF"/>
            <w:noWrap/>
            <w:vAlign w:val="bottom"/>
            <w:hideMark/>
          </w:tcPr>
          <w:p w14:paraId="0A91AB11"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Fabricated</w:t>
            </w:r>
            <w:proofErr w:type="spellEnd"/>
            <w:r w:rsidRPr="00504D7E">
              <w:rPr>
                <w:rFonts w:ascii="Times New Roman" w:hAnsi="Times New Roman"/>
                <w:color w:val="000000"/>
                <w:sz w:val="20"/>
                <w:szCs w:val="20"/>
              </w:rPr>
              <w:t xml:space="preserve"> metal </w:t>
            </w:r>
            <w:proofErr w:type="spellStart"/>
            <w:r w:rsidRPr="00504D7E">
              <w:rPr>
                <w:rFonts w:ascii="Times New Roman" w:hAnsi="Times New Roman"/>
                <w:color w:val="000000"/>
                <w:sz w:val="20"/>
                <w:szCs w:val="20"/>
              </w:rPr>
              <w:t>products</w:t>
            </w:r>
            <w:proofErr w:type="spellEnd"/>
          </w:p>
        </w:tc>
        <w:tc>
          <w:tcPr>
            <w:tcW w:w="972" w:type="dxa"/>
            <w:tcBorders>
              <w:top w:val="nil"/>
              <w:left w:val="nil"/>
              <w:bottom w:val="nil"/>
              <w:right w:val="nil"/>
            </w:tcBorders>
            <w:shd w:val="clear" w:color="000000" w:fill="FFFFFF"/>
            <w:noWrap/>
            <w:vAlign w:val="bottom"/>
            <w:hideMark/>
          </w:tcPr>
          <w:p w14:paraId="115C57F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0.225</w:t>
            </w:r>
          </w:p>
        </w:tc>
        <w:tc>
          <w:tcPr>
            <w:tcW w:w="616" w:type="dxa"/>
            <w:tcBorders>
              <w:top w:val="nil"/>
              <w:left w:val="nil"/>
              <w:bottom w:val="nil"/>
              <w:right w:val="nil"/>
            </w:tcBorders>
            <w:shd w:val="clear" w:color="000000" w:fill="FFFFFF"/>
            <w:noWrap/>
            <w:vAlign w:val="bottom"/>
            <w:hideMark/>
          </w:tcPr>
          <w:p w14:paraId="1EA8383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3681E3EC"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0.039</w:t>
            </w:r>
          </w:p>
        </w:tc>
        <w:tc>
          <w:tcPr>
            <w:tcW w:w="718" w:type="dxa"/>
            <w:tcBorders>
              <w:top w:val="nil"/>
              <w:left w:val="nil"/>
              <w:bottom w:val="nil"/>
              <w:right w:val="nil"/>
            </w:tcBorders>
            <w:shd w:val="clear" w:color="000000" w:fill="FFFFFF"/>
            <w:noWrap/>
            <w:vAlign w:val="bottom"/>
            <w:hideMark/>
          </w:tcPr>
          <w:p w14:paraId="3011A49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0.039</w:t>
            </w:r>
          </w:p>
        </w:tc>
        <w:tc>
          <w:tcPr>
            <w:tcW w:w="1180" w:type="dxa"/>
            <w:tcBorders>
              <w:top w:val="nil"/>
              <w:left w:val="nil"/>
              <w:bottom w:val="nil"/>
              <w:right w:val="nil"/>
            </w:tcBorders>
            <w:shd w:val="clear" w:color="000000" w:fill="FFFFFF"/>
            <w:noWrap/>
            <w:vAlign w:val="bottom"/>
            <w:hideMark/>
          </w:tcPr>
          <w:p w14:paraId="2FE3504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0.040</w:t>
            </w:r>
          </w:p>
        </w:tc>
      </w:tr>
      <w:tr w:rsidR="009B62A2" w:rsidRPr="00504D7E" w14:paraId="50AB4629" w14:textId="77777777" w:rsidTr="009B62A2">
        <w:trPr>
          <w:trHeight w:val="300"/>
        </w:trPr>
        <w:tc>
          <w:tcPr>
            <w:tcW w:w="5276" w:type="dxa"/>
            <w:tcBorders>
              <w:top w:val="nil"/>
              <w:left w:val="nil"/>
              <w:bottom w:val="nil"/>
              <w:right w:val="nil"/>
            </w:tcBorders>
            <w:shd w:val="clear" w:color="000000" w:fill="FFFFFF"/>
            <w:noWrap/>
            <w:vAlign w:val="bottom"/>
            <w:hideMark/>
          </w:tcPr>
          <w:p w14:paraId="2EA27475"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Machinery</w:t>
            </w:r>
            <w:proofErr w:type="spellEnd"/>
            <w:r w:rsidRPr="00504D7E">
              <w:rPr>
                <w:rFonts w:ascii="Times New Roman" w:hAnsi="Times New Roman"/>
                <w:color w:val="000000"/>
                <w:sz w:val="20"/>
                <w:szCs w:val="20"/>
              </w:rPr>
              <w:t xml:space="preserve"> and </w:t>
            </w:r>
            <w:proofErr w:type="spellStart"/>
            <w:r w:rsidRPr="00504D7E">
              <w:rPr>
                <w:rFonts w:ascii="Times New Roman" w:hAnsi="Times New Roman"/>
                <w:color w:val="000000"/>
                <w:sz w:val="20"/>
                <w:szCs w:val="20"/>
              </w:rPr>
              <w:t>equipment</w:t>
            </w:r>
            <w:proofErr w:type="spellEnd"/>
          </w:p>
        </w:tc>
        <w:tc>
          <w:tcPr>
            <w:tcW w:w="972" w:type="dxa"/>
            <w:tcBorders>
              <w:top w:val="nil"/>
              <w:left w:val="nil"/>
              <w:bottom w:val="nil"/>
              <w:right w:val="nil"/>
            </w:tcBorders>
            <w:shd w:val="clear" w:color="000000" w:fill="FFFFFF"/>
            <w:noWrap/>
            <w:vAlign w:val="bottom"/>
            <w:hideMark/>
          </w:tcPr>
          <w:p w14:paraId="295A81D9"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0.308</w:t>
            </w:r>
          </w:p>
        </w:tc>
        <w:tc>
          <w:tcPr>
            <w:tcW w:w="616" w:type="dxa"/>
            <w:tcBorders>
              <w:top w:val="nil"/>
              <w:left w:val="nil"/>
              <w:bottom w:val="nil"/>
              <w:right w:val="nil"/>
            </w:tcBorders>
            <w:shd w:val="clear" w:color="000000" w:fill="FFFFFF"/>
            <w:noWrap/>
            <w:vAlign w:val="bottom"/>
            <w:hideMark/>
          </w:tcPr>
          <w:p w14:paraId="1034376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3E3E2E8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0.047</w:t>
            </w:r>
          </w:p>
        </w:tc>
        <w:tc>
          <w:tcPr>
            <w:tcW w:w="718" w:type="dxa"/>
            <w:tcBorders>
              <w:top w:val="nil"/>
              <w:left w:val="nil"/>
              <w:bottom w:val="nil"/>
              <w:right w:val="nil"/>
            </w:tcBorders>
            <w:shd w:val="clear" w:color="000000" w:fill="FFFFFF"/>
            <w:noWrap/>
            <w:vAlign w:val="bottom"/>
            <w:hideMark/>
          </w:tcPr>
          <w:p w14:paraId="728BCF26"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0.047</w:t>
            </w:r>
          </w:p>
        </w:tc>
        <w:tc>
          <w:tcPr>
            <w:tcW w:w="1180" w:type="dxa"/>
            <w:tcBorders>
              <w:top w:val="nil"/>
              <w:left w:val="nil"/>
              <w:bottom w:val="nil"/>
              <w:right w:val="nil"/>
            </w:tcBorders>
            <w:shd w:val="clear" w:color="000000" w:fill="FFFFFF"/>
            <w:noWrap/>
            <w:vAlign w:val="bottom"/>
            <w:hideMark/>
          </w:tcPr>
          <w:p w14:paraId="7896EA66"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0.048</w:t>
            </w:r>
          </w:p>
        </w:tc>
      </w:tr>
      <w:tr w:rsidR="009B62A2" w:rsidRPr="00504D7E" w14:paraId="12218935" w14:textId="77777777" w:rsidTr="009B62A2">
        <w:trPr>
          <w:trHeight w:val="300"/>
        </w:trPr>
        <w:tc>
          <w:tcPr>
            <w:tcW w:w="5276" w:type="dxa"/>
            <w:tcBorders>
              <w:top w:val="nil"/>
              <w:left w:val="nil"/>
              <w:bottom w:val="nil"/>
              <w:right w:val="nil"/>
            </w:tcBorders>
            <w:shd w:val="clear" w:color="000000" w:fill="FFFFFF"/>
            <w:noWrap/>
            <w:vAlign w:val="bottom"/>
            <w:hideMark/>
          </w:tcPr>
          <w:p w14:paraId="55AF7D84" w14:textId="77777777" w:rsidR="009B62A2" w:rsidRPr="00504D7E" w:rsidRDefault="009B62A2" w:rsidP="009B62A2">
            <w:pPr>
              <w:rPr>
                <w:rFonts w:ascii="Times New Roman" w:hAnsi="Times New Roman"/>
                <w:color w:val="000000"/>
                <w:sz w:val="20"/>
                <w:szCs w:val="20"/>
              </w:rPr>
            </w:pPr>
            <w:r w:rsidRPr="00504D7E">
              <w:rPr>
                <w:rFonts w:ascii="Times New Roman" w:hAnsi="Times New Roman"/>
                <w:color w:val="000000"/>
                <w:sz w:val="20"/>
                <w:szCs w:val="20"/>
              </w:rPr>
              <w:t xml:space="preserve">Office </w:t>
            </w:r>
            <w:proofErr w:type="spellStart"/>
            <w:r w:rsidRPr="00504D7E">
              <w:rPr>
                <w:rFonts w:ascii="Times New Roman" w:hAnsi="Times New Roman"/>
                <w:color w:val="000000"/>
                <w:sz w:val="20"/>
                <w:szCs w:val="20"/>
              </w:rPr>
              <w:t>machinery</w:t>
            </w:r>
            <w:proofErr w:type="spellEnd"/>
            <w:r w:rsidRPr="00504D7E">
              <w:rPr>
                <w:rFonts w:ascii="Times New Roman" w:hAnsi="Times New Roman"/>
                <w:color w:val="000000"/>
                <w:sz w:val="20"/>
                <w:szCs w:val="20"/>
              </w:rPr>
              <w:t xml:space="preserve"> and </w:t>
            </w:r>
            <w:proofErr w:type="spellStart"/>
            <w:r w:rsidRPr="00504D7E">
              <w:rPr>
                <w:rFonts w:ascii="Times New Roman" w:hAnsi="Times New Roman"/>
                <w:color w:val="000000"/>
                <w:sz w:val="20"/>
                <w:szCs w:val="20"/>
              </w:rPr>
              <w:t>computers</w:t>
            </w:r>
            <w:proofErr w:type="spellEnd"/>
          </w:p>
        </w:tc>
        <w:tc>
          <w:tcPr>
            <w:tcW w:w="972" w:type="dxa"/>
            <w:tcBorders>
              <w:top w:val="nil"/>
              <w:left w:val="nil"/>
              <w:bottom w:val="nil"/>
              <w:right w:val="nil"/>
            </w:tcBorders>
            <w:shd w:val="clear" w:color="000000" w:fill="FFFFFF"/>
            <w:noWrap/>
            <w:vAlign w:val="bottom"/>
            <w:hideMark/>
          </w:tcPr>
          <w:p w14:paraId="486F1D0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0.623</w:t>
            </w:r>
          </w:p>
        </w:tc>
        <w:tc>
          <w:tcPr>
            <w:tcW w:w="616" w:type="dxa"/>
            <w:tcBorders>
              <w:top w:val="nil"/>
              <w:left w:val="nil"/>
              <w:bottom w:val="nil"/>
              <w:right w:val="nil"/>
            </w:tcBorders>
            <w:shd w:val="clear" w:color="000000" w:fill="FFFFFF"/>
            <w:noWrap/>
            <w:vAlign w:val="bottom"/>
            <w:hideMark/>
          </w:tcPr>
          <w:p w14:paraId="69B85FF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614768B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0.228</w:t>
            </w:r>
          </w:p>
        </w:tc>
        <w:tc>
          <w:tcPr>
            <w:tcW w:w="718" w:type="dxa"/>
            <w:tcBorders>
              <w:top w:val="nil"/>
              <w:left w:val="nil"/>
              <w:bottom w:val="nil"/>
              <w:right w:val="nil"/>
            </w:tcBorders>
            <w:shd w:val="clear" w:color="000000" w:fill="FFFFFF"/>
            <w:noWrap/>
            <w:vAlign w:val="bottom"/>
            <w:hideMark/>
          </w:tcPr>
          <w:p w14:paraId="0B882AD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0.228</w:t>
            </w:r>
          </w:p>
        </w:tc>
        <w:tc>
          <w:tcPr>
            <w:tcW w:w="1180" w:type="dxa"/>
            <w:tcBorders>
              <w:top w:val="nil"/>
              <w:left w:val="nil"/>
              <w:bottom w:val="nil"/>
              <w:right w:val="nil"/>
            </w:tcBorders>
            <w:shd w:val="clear" w:color="000000" w:fill="FFFFFF"/>
            <w:noWrap/>
            <w:vAlign w:val="bottom"/>
            <w:hideMark/>
          </w:tcPr>
          <w:p w14:paraId="01E03A19"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0.230</w:t>
            </w:r>
          </w:p>
        </w:tc>
      </w:tr>
      <w:tr w:rsidR="009B62A2" w:rsidRPr="00504D7E" w14:paraId="5D864BA5" w14:textId="77777777" w:rsidTr="009B62A2">
        <w:trPr>
          <w:trHeight w:val="300"/>
        </w:trPr>
        <w:tc>
          <w:tcPr>
            <w:tcW w:w="5276" w:type="dxa"/>
            <w:tcBorders>
              <w:top w:val="nil"/>
              <w:left w:val="nil"/>
              <w:bottom w:val="nil"/>
              <w:right w:val="nil"/>
            </w:tcBorders>
            <w:shd w:val="clear" w:color="000000" w:fill="FFFFFF"/>
            <w:noWrap/>
            <w:vAlign w:val="bottom"/>
            <w:hideMark/>
          </w:tcPr>
          <w:p w14:paraId="2B996B9B" w14:textId="77777777" w:rsidR="009B62A2" w:rsidRPr="00F378A9" w:rsidRDefault="009B62A2" w:rsidP="009B62A2">
            <w:pPr>
              <w:rPr>
                <w:rFonts w:ascii="Times New Roman" w:hAnsi="Times New Roman"/>
                <w:color w:val="000000"/>
                <w:sz w:val="20"/>
                <w:szCs w:val="20"/>
                <w:lang w:val="en-US"/>
              </w:rPr>
            </w:pPr>
            <w:r w:rsidRPr="00F378A9">
              <w:rPr>
                <w:rFonts w:ascii="Times New Roman" w:hAnsi="Times New Roman"/>
                <w:color w:val="000000"/>
                <w:sz w:val="20"/>
                <w:szCs w:val="20"/>
                <w:lang w:val="en-US"/>
              </w:rPr>
              <w:t xml:space="preserve">Electrical machinery and apparatus </w:t>
            </w:r>
            <w:proofErr w:type="spellStart"/>
            <w:r w:rsidRPr="00F378A9">
              <w:rPr>
                <w:rFonts w:ascii="Times New Roman" w:hAnsi="Times New Roman"/>
                <w:color w:val="000000"/>
                <w:sz w:val="20"/>
                <w:szCs w:val="20"/>
                <w:lang w:val="en-US"/>
              </w:rPr>
              <w:t>n.e.c</w:t>
            </w:r>
            <w:proofErr w:type="spellEnd"/>
            <w:r w:rsidRPr="00F378A9">
              <w:rPr>
                <w:rFonts w:ascii="Times New Roman" w:hAnsi="Times New Roman"/>
                <w:color w:val="000000"/>
                <w:sz w:val="20"/>
                <w:szCs w:val="20"/>
                <w:lang w:val="en-US"/>
              </w:rPr>
              <w:t>.</w:t>
            </w:r>
          </w:p>
        </w:tc>
        <w:tc>
          <w:tcPr>
            <w:tcW w:w="972" w:type="dxa"/>
            <w:tcBorders>
              <w:top w:val="nil"/>
              <w:left w:val="nil"/>
              <w:bottom w:val="nil"/>
              <w:right w:val="nil"/>
            </w:tcBorders>
            <w:shd w:val="clear" w:color="000000" w:fill="FFFFFF"/>
            <w:noWrap/>
            <w:vAlign w:val="bottom"/>
            <w:hideMark/>
          </w:tcPr>
          <w:p w14:paraId="37C1F06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0.532</w:t>
            </w:r>
          </w:p>
        </w:tc>
        <w:tc>
          <w:tcPr>
            <w:tcW w:w="616" w:type="dxa"/>
            <w:tcBorders>
              <w:top w:val="nil"/>
              <w:left w:val="nil"/>
              <w:bottom w:val="nil"/>
              <w:right w:val="nil"/>
            </w:tcBorders>
            <w:shd w:val="clear" w:color="000000" w:fill="FFFFFF"/>
            <w:noWrap/>
            <w:vAlign w:val="bottom"/>
            <w:hideMark/>
          </w:tcPr>
          <w:p w14:paraId="262F6F43"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04CC35C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0.166</w:t>
            </w:r>
          </w:p>
        </w:tc>
        <w:tc>
          <w:tcPr>
            <w:tcW w:w="718" w:type="dxa"/>
            <w:tcBorders>
              <w:top w:val="nil"/>
              <w:left w:val="nil"/>
              <w:bottom w:val="nil"/>
              <w:right w:val="nil"/>
            </w:tcBorders>
            <w:shd w:val="clear" w:color="000000" w:fill="FFFFFF"/>
            <w:noWrap/>
            <w:vAlign w:val="bottom"/>
            <w:hideMark/>
          </w:tcPr>
          <w:p w14:paraId="293713D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0.166</w:t>
            </w:r>
          </w:p>
        </w:tc>
        <w:tc>
          <w:tcPr>
            <w:tcW w:w="1180" w:type="dxa"/>
            <w:tcBorders>
              <w:top w:val="nil"/>
              <w:left w:val="nil"/>
              <w:bottom w:val="nil"/>
              <w:right w:val="nil"/>
            </w:tcBorders>
            <w:shd w:val="clear" w:color="000000" w:fill="FFFFFF"/>
            <w:noWrap/>
            <w:vAlign w:val="bottom"/>
            <w:hideMark/>
          </w:tcPr>
          <w:p w14:paraId="4100FA1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0.167</w:t>
            </w:r>
          </w:p>
        </w:tc>
      </w:tr>
      <w:tr w:rsidR="009B62A2" w:rsidRPr="00504D7E" w14:paraId="6946FB96" w14:textId="77777777" w:rsidTr="009B62A2">
        <w:trPr>
          <w:trHeight w:val="300"/>
        </w:trPr>
        <w:tc>
          <w:tcPr>
            <w:tcW w:w="5276" w:type="dxa"/>
            <w:tcBorders>
              <w:top w:val="nil"/>
              <w:left w:val="nil"/>
              <w:bottom w:val="nil"/>
              <w:right w:val="nil"/>
            </w:tcBorders>
            <w:shd w:val="clear" w:color="000000" w:fill="FFFFFF"/>
            <w:noWrap/>
            <w:vAlign w:val="bottom"/>
            <w:hideMark/>
          </w:tcPr>
          <w:p w14:paraId="0410E13F" w14:textId="77777777" w:rsidR="009B62A2" w:rsidRPr="00F378A9" w:rsidRDefault="009B62A2" w:rsidP="009B62A2">
            <w:pPr>
              <w:rPr>
                <w:rFonts w:ascii="Times New Roman" w:hAnsi="Times New Roman"/>
                <w:color w:val="000000"/>
                <w:sz w:val="20"/>
                <w:szCs w:val="20"/>
                <w:lang w:val="en-US"/>
              </w:rPr>
            </w:pPr>
            <w:r w:rsidRPr="00F378A9">
              <w:rPr>
                <w:rFonts w:ascii="Times New Roman" w:hAnsi="Times New Roman"/>
                <w:color w:val="000000"/>
                <w:sz w:val="20"/>
                <w:szCs w:val="20"/>
                <w:lang w:val="en-US"/>
              </w:rPr>
              <w:t>Radio, television and communication equipment</w:t>
            </w:r>
          </w:p>
        </w:tc>
        <w:tc>
          <w:tcPr>
            <w:tcW w:w="972" w:type="dxa"/>
            <w:tcBorders>
              <w:top w:val="nil"/>
              <w:left w:val="nil"/>
              <w:bottom w:val="nil"/>
              <w:right w:val="nil"/>
            </w:tcBorders>
            <w:shd w:val="clear" w:color="000000" w:fill="FFFFFF"/>
            <w:noWrap/>
            <w:vAlign w:val="bottom"/>
            <w:hideMark/>
          </w:tcPr>
          <w:p w14:paraId="169DDB5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0.572</w:t>
            </w:r>
          </w:p>
        </w:tc>
        <w:tc>
          <w:tcPr>
            <w:tcW w:w="616" w:type="dxa"/>
            <w:tcBorders>
              <w:top w:val="nil"/>
              <w:left w:val="nil"/>
              <w:bottom w:val="nil"/>
              <w:right w:val="nil"/>
            </w:tcBorders>
            <w:shd w:val="clear" w:color="000000" w:fill="FFFFFF"/>
            <w:noWrap/>
            <w:vAlign w:val="bottom"/>
            <w:hideMark/>
          </w:tcPr>
          <w:p w14:paraId="40F588C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268E10A4"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0.182</w:t>
            </w:r>
          </w:p>
        </w:tc>
        <w:tc>
          <w:tcPr>
            <w:tcW w:w="718" w:type="dxa"/>
            <w:tcBorders>
              <w:top w:val="nil"/>
              <w:left w:val="nil"/>
              <w:bottom w:val="nil"/>
              <w:right w:val="nil"/>
            </w:tcBorders>
            <w:shd w:val="clear" w:color="000000" w:fill="FFFFFF"/>
            <w:noWrap/>
            <w:vAlign w:val="bottom"/>
            <w:hideMark/>
          </w:tcPr>
          <w:p w14:paraId="33213A32"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0.182</w:t>
            </w:r>
          </w:p>
        </w:tc>
        <w:tc>
          <w:tcPr>
            <w:tcW w:w="1180" w:type="dxa"/>
            <w:tcBorders>
              <w:top w:val="nil"/>
              <w:left w:val="nil"/>
              <w:bottom w:val="nil"/>
              <w:right w:val="nil"/>
            </w:tcBorders>
            <w:shd w:val="clear" w:color="000000" w:fill="FFFFFF"/>
            <w:noWrap/>
            <w:vAlign w:val="bottom"/>
            <w:hideMark/>
          </w:tcPr>
          <w:p w14:paraId="1CC2691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0.183</w:t>
            </w:r>
          </w:p>
        </w:tc>
      </w:tr>
      <w:tr w:rsidR="009B62A2" w:rsidRPr="00504D7E" w14:paraId="62BE817A" w14:textId="77777777" w:rsidTr="009B62A2">
        <w:trPr>
          <w:trHeight w:val="300"/>
        </w:trPr>
        <w:tc>
          <w:tcPr>
            <w:tcW w:w="5276" w:type="dxa"/>
            <w:tcBorders>
              <w:top w:val="nil"/>
              <w:left w:val="nil"/>
              <w:bottom w:val="nil"/>
              <w:right w:val="nil"/>
            </w:tcBorders>
            <w:shd w:val="clear" w:color="000000" w:fill="FFFFFF"/>
            <w:noWrap/>
            <w:vAlign w:val="bottom"/>
            <w:hideMark/>
          </w:tcPr>
          <w:p w14:paraId="632E8DF8" w14:textId="77777777" w:rsidR="009B62A2" w:rsidRPr="00F378A9" w:rsidRDefault="009B62A2" w:rsidP="009B62A2">
            <w:pPr>
              <w:rPr>
                <w:rFonts w:ascii="Times New Roman" w:hAnsi="Times New Roman"/>
                <w:color w:val="000000"/>
                <w:sz w:val="20"/>
                <w:szCs w:val="20"/>
                <w:lang w:val="en-US"/>
              </w:rPr>
            </w:pPr>
            <w:r w:rsidRPr="00F378A9">
              <w:rPr>
                <w:rFonts w:ascii="Times New Roman" w:hAnsi="Times New Roman"/>
                <w:color w:val="000000"/>
                <w:sz w:val="20"/>
                <w:szCs w:val="20"/>
                <w:lang w:val="en-US"/>
              </w:rPr>
              <w:t>Medical, precision and optical instruments, watches and clocks</w:t>
            </w:r>
          </w:p>
        </w:tc>
        <w:tc>
          <w:tcPr>
            <w:tcW w:w="972" w:type="dxa"/>
            <w:tcBorders>
              <w:top w:val="nil"/>
              <w:left w:val="nil"/>
              <w:bottom w:val="nil"/>
              <w:right w:val="nil"/>
            </w:tcBorders>
            <w:shd w:val="clear" w:color="000000" w:fill="FFFFFF"/>
            <w:noWrap/>
            <w:vAlign w:val="bottom"/>
            <w:hideMark/>
          </w:tcPr>
          <w:p w14:paraId="0C09533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0.380</w:t>
            </w:r>
          </w:p>
        </w:tc>
        <w:tc>
          <w:tcPr>
            <w:tcW w:w="616" w:type="dxa"/>
            <w:tcBorders>
              <w:top w:val="nil"/>
              <w:left w:val="nil"/>
              <w:bottom w:val="nil"/>
              <w:right w:val="nil"/>
            </w:tcBorders>
            <w:shd w:val="clear" w:color="000000" w:fill="FFFFFF"/>
            <w:noWrap/>
            <w:vAlign w:val="bottom"/>
            <w:hideMark/>
          </w:tcPr>
          <w:p w14:paraId="5CC92816"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2C13B10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0.069</w:t>
            </w:r>
          </w:p>
        </w:tc>
        <w:tc>
          <w:tcPr>
            <w:tcW w:w="718" w:type="dxa"/>
            <w:tcBorders>
              <w:top w:val="nil"/>
              <w:left w:val="nil"/>
              <w:bottom w:val="nil"/>
              <w:right w:val="nil"/>
            </w:tcBorders>
            <w:shd w:val="clear" w:color="000000" w:fill="FFFFFF"/>
            <w:noWrap/>
            <w:vAlign w:val="bottom"/>
            <w:hideMark/>
          </w:tcPr>
          <w:p w14:paraId="0A7C307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0.070</w:t>
            </w:r>
          </w:p>
        </w:tc>
        <w:tc>
          <w:tcPr>
            <w:tcW w:w="1180" w:type="dxa"/>
            <w:tcBorders>
              <w:top w:val="nil"/>
              <w:left w:val="nil"/>
              <w:bottom w:val="nil"/>
              <w:right w:val="nil"/>
            </w:tcBorders>
            <w:shd w:val="clear" w:color="000000" w:fill="FFFFFF"/>
            <w:noWrap/>
            <w:vAlign w:val="bottom"/>
            <w:hideMark/>
          </w:tcPr>
          <w:p w14:paraId="595D1369"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0.070</w:t>
            </w:r>
          </w:p>
        </w:tc>
      </w:tr>
      <w:tr w:rsidR="009B62A2" w:rsidRPr="00504D7E" w14:paraId="2DCEB977" w14:textId="77777777" w:rsidTr="009B62A2">
        <w:trPr>
          <w:trHeight w:val="300"/>
        </w:trPr>
        <w:tc>
          <w:tcPr>
            <w:tcW w:w="5276" w:type="dxa"/>
            <w:tcBorders>
              <w:top w:val="nil"/>
              <w:left w:val="nil"/>
              <w:bottom w:val="nil"/>
              <w:right w:val="nil"/>
            </w:tcBorders>
            <w:shd w:val="clear" w:color="000000" w:fill="FFFFFF"/>
            <w:noWrap/>
            <w:vAlign w:val="bottom"/>
            <w:hideMark/>
          </w:tcPr>
          <w:p w14:paraId="417A1976" w14:textId="77777777" w:rsidR="009B62A2" w:rsidRPr="00504D7E" w:rsidRDefault="009B62A2" w:rsidP="009B62A2">
            <w:pPr>
              <w:rPr>
                <w:rFonts w:ascii="Times New Roman" w:hAnsi="Times New Roman"/>
                <w:color w:val="000000"/>
                <w:sz w:val="20"/>
                <w:szCs w:val="20"/>
              </w:rPr>
            </w:pPr>
            <w:r w:rsidRPr="00504D7E">
              <w:rPr>
                <w:rFonts w:ascii="Times New Roman" w:hAnsi="Times New Roman"/>
                <w:color w:val="000000"/>
                <w:sz w:val="20"/>
                <w:szCs w:val="20"/>
              </w:rPr>
              <w:t xml:space="preserve">Motor </w:t>
            </w:r>
            <w:proofErr w:type="spellStart"/>
            <w:r w:rsidRPr="00504D7E">
              <w:rPr>
                <w:rFonts w:ascii="Times New Roman" w:hAnsi="Times New Roman"/>
                <w:color w:val="000000"/>
                <w:sz w:val="20"/>
                <w:szCs w:val="20"/>
              </w:rPr>
              <w:t>vehicles</w:t>
            </w:r>
            <w:proofErr w:type="spellEnd"/>
          </w:p>
        </w:tc>
        <w:tc>
          <w:tcPr>
            <w:tcW w:w="972" w:type="dxa"/>
            <w:tcBorders>
              <w:top w:val="nil"/>
              <w:left w:val="nil"/>
              <w:bottom w:val="nil"/>
              <w:right w:val="nil"/>
            </w:tcBorders>
            <w:shd w:val="clear" w:color="000000" w:fill="FFFFFF"/>
            <w:noWrap/>
            <w:vAlign w:val="bottom"/>
            <w:hideMark/>
          </w:tcPr>
          <w:p w14:paraId="042F8C2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0.570</w:t>
            </w:r>
          </w:p>
        </w:tc>
        <w:tc>
          <w:tcPr>
            <w:tcW w:w="616" w:type="dxa"/>
            <w:tcBorders>
              <w:top w:val="nil"/>
              <w:left w:val="nil"/>
              <w:bottom w:val="nil"/>
              <w:right w:val="nil"/>
            </w:tcBorders>
            <w:shd w:val="clear" w:color="000000" w:fill="FFFFFF"/>
            <w:noWrap/>
            <w:vAlign w:val="bottom"/>
            <w:hideMark/>
          </w:tcPr>
          <w:p w14:paraId="2F2158B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2D543693"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0.191</w:t>
            </w:r>
          </w:p>
        </w:tc>
        <w:tc>
          <w:tcPr>
            <w:tcW w:w="718" w:type="dxa"/>
            <w:tcBorders>
              <w:top w:val="nil"/>
              <w:left w:val="nil"/>
              <w:bottom w:val="nil"/>
              <w:right w:val="nil"/>
            </w:tcBorders>
            <w:shd w:val="clear" w:color="000000" w:fill="FFFFFF"/>
            <w:noWrap/>
            <w:vAlign w:val="bottom"/>
            <w:hideMark/>
          </w:tcPr>
          <w:p w14:paraId="12BE68B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0.191</w:t>
            </w:r>
          </w:p>
        </w:tc>
        <w:tc>
          <w:tcPr>
            <w:tcW w:w="1180" w:type="dxa"/>
            <w:tcBorders>
              <w:top w:val="nil"/>
              <w:left w:val="nil"/>
              <w:bottom w:val="nil"/>
              <w:right w:val="nil"/>
            </w:tcBorders>
            <w:shd w:val="clear" w:color="000000" w:fill="FFFFFF"/>
            <w:noWrap/>
            <w:vAlign w:val="bottom"/>
            <w:hideMark/>
          </w:tcPr>
          <w:p w14:paraId="2DC3062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0.191</w:t>
            </w:r>
          </w:p>
        </w:tc>
      </w:tr>
      <w:tr w:rsidR="009B62A2" w:rsidRPr="00504D7E" w14:paraId="08AB8998" w14:textId="77777777" w:rsidTr="009B62A2">
        <w:trPr>
          <w:trHeight w:val="300"/>
        </w:trPr>
        <w:tc>
          <w:tcPr>
            <w:tcW w:w="5276" w:type="dxa"/>
            <w:tcBorders>
              <w:top w:val="nil"/>
              <w:left w:val="nil"/>
              <w:bottom w:val="nil"/>
              <w:right w:val="nil"/>
            </w:tcBorders>
            <w:shd w:val="clear" w:color="000000" w:fill="FFFFFF"/>
            <w:noWrap/>
            <w:vAlign w:val="bottom"/>
            <w:hideMark/>
          </w:tcPr>
          <w:p w14:paraId="6EADDAC7"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Other</w:t>
            </w:r>
            <w:proofErr w:type="spellEnd"/>
            <w:r w:rsidRPr="00504D7E">
              <w:rPr>
                <w:rFonts w:ascii="Times New Roman" w:hAnsi="Times New Roman"/>
                <w:color w:val="000000"/>
                <w:sz w:val="20"/>
                <w:szCs w:val="20"/>
              </w:rPr>
              <w:t xml:space="preserve"> </w:t>
            </w:r>
            <w:proofErr w:type="spellStart"/>
            <w:r w:rsidRPr="00504D7E">
              <w:rPr>
                <w:rFonts w:ascii="Times New Roman" w:hAnsi="Times New Roman"/>
                <w:color w:val="000000"/>
                <w:sz w:val="20"/>
                <w:szCs w:val="20"/>
              </w:rPr>
              <w:t>transport</w:t>
            </w:r>
            <w:proofErr w:type="spellEnd"/>
            <w:r w:rsidRPr="00504D7E">
              <w:rPr>
                <w:rFonts w:ascii="Times New Roman" w:hAnsi="Times New Roman"/>
                <w:color w:val="000000"/>
                <w:sz w:val="20"/>
                <w:szCs w:val="20"/>
              </w:rPr>
              <w:t xml:space="preserve"> </w:t>
            </w:r>
            <w:proofErr w:type="spellStart"/>
            <w:r w:rsidRPr="00504D7E">
              <w:rPr>
                <w:rFonts w:ascii="Times New Roman" w:hAnsi="Times New Roman"/>
                <w:color w:val="000000"/>
                <w:sz w:val="20"/>
                <w:szCs w:val="20"/>
              </w:rPr>
              <w:t>equipment</w:t>
            </w:r>
            <w:proofErr w:type="spellEnd"/>
          </w:p>
        </w:tc>
        <w:tc>
          <w:tcPr>
            <w:tcW w:w="972" w:type="dxa"/>
            <w:tcBorders>
              <w:top w:val="nil"/>
              <w:left w:val="nil"/>
              <w:bottom w:val="nil"/>
              <w:right w:val="nil"/>
            </w:tcBorders>
            <w:shd w:val="clear" w:color="000000" w:fill="FFFFFF"/>
            <w:noWrap/>
            <w:vAlign w:val="bottom"/>
            <w:hideMark/>
          </w:tcPr>
          <w:p w14:paraId="1EAEE840"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0.404</w:t>
            </w:r>
          </w:p>
        </w:tc>
        <w:tc>
          <w:tcPr>
            <w:tcW w:w="616" w:type="dxa"/>
            <w:tcBorders>
              <w:top w:val="nil"/>
              <w:left w:val="nil"/>
              <w:bottom w:val="nil"/>
              <w:right w:val="nil"/>
            </w:tcBorders>
            <w:shd w:val="clear" w:color="000000" w:fill="FFFFFF"/>
            <w:noWrap/>
            <w:vAlign w:val="bottom"/>
            <w:hideMark/>
          </w:tcPr>
          <w:p w14:paraId="37109EB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 </w:t>
            </w:r>
          </w:p>
        </w:tc>
        <w:tc>
          <w:tcPr>
            <w:tcW w:w="718" w:type="dxa"/>
            <w:tcBorders>
              <w:top w:val="nil"/>
              <w:left w:val="nil"/>
              <w:bottom w:val="nil"/>
              <w:right w:val="nil"/>
            </w:tcBorders>
            <w:shd w:val="clear" w:color="000000" w:fill="FFFFFF"/>
            <w:noWrap/>
            <w:vAlign w:val="bottom"/>
            <w:hideMark/>
          </w:tcPr>
          <w:p w14:paraId="13A5A68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0.441</w:t>
            </w:r>
          </w:p>
        </w:tc>
        <w:tc>
          <w:tcPr>
            <w:tcW w:w="718" w:type="dxa"/>
            <w:tcBorders>
              <w:top w:val="nil"/>
              <w:left w:val="nil"/>
              <w:bottom w:val="nil"/>
              <w:right w:val="nil"/>
            </w:tcBorders>
            <w:shd w:val="clear" w:color="000000" w:fill="FFFFFF"/>
            <w:noWrap/>
            <w:vAlign w:val="bottom"/>
            <w:hideMark/>
          </w:tcPr>
          <w:p w14:paraId="54F3416B"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0.441</w:t>
            </w:r>
          </w:p>
        </w:tc>
        <w:tc>
          <w:tcPr>
            <w:tcW w:w="1180" w:type="dxa"/>
            <w:tcBorders>
              <w:top w:val="nil"/>
              <w:left w:val="nil"/>
              <w:bottom w:val="nil"/>
              <w:right w:val="nil"/>
            </w:tcBorders>
            <w:shd w:val="clear" w:color="000000" w:fill="FFFFFF"/>
            <w:noWrap/>
            <w:vAlign w:val="bottom"/>
            <w:hideMark/>
          </w:tcPr>
          <w:p w14:paraId="132189A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0.442</w:t>
            </w:r>
          </w:p>
        </w:tc>
      </w:tr>
      <w:tr w:rsidR="009B62A2" w:rsidRPr="00504D7E" w14:paraId="526708FF" w14:textId="77777777" w:rsidTr="009B62A2">
        <w:trPr>
          <w:trHeight w:val="300"/>
        </w:trPr>
        <w:tc>
          <w:tcPr>
            <w:tcW w:w="5276" w:type="dxa"/>
            <w:tcBorders>
              <w:top w:val="nil"/>
              <w:left w:val="nil"/>
              <w:bottom w:val="nil"/>
              <w:right w:val="nil"/>
            </w:tcBorders>
            <w:shd w:val="clear" w:color="000000" w:fill="FFFFFF"/>
            <w:noWrap/>
            <w:vAlign w:val="bottom"/>
            <w:hideMark/>
          </w:tcPr>
          <w:p w14:paraId="37CA343B" w14:textId="77777777" w:rsidR="009B62A2" w:rsidRPr="00F378A9" w:rsidRDefault="009B62A2" w:rsidP="009B62A2">
            <w:pPr>
              <w:rPr>
                <w:rFonts w:ascii="Times New Roman" w:hAnsi="Times New Roman"/>
                <w:color w:val="000000"/>
                <w:sz w:val="20"/>
                <w:szCs w:val="20"/>
                <w:lang w:val="en-US"/>
              </w:rPr>
            </w:pPr>
            <w:r w:rsidRPr="00F378A9">
              <w:rPr>
                <w:rFonts w:ascii="Times New Roman" w:hAnsi="Times New Roman"/>
                <w:color w:val="000000"/>
                <w:sz w:val="20"/>
                <w:szCs w:val="20"/>
                <w:lang w:val="en-US"/>
              </w:rPr>
              <w:t xml:space="preserve">Furniture; manufacturing </w:t>
            </w:r>
            <w:proofErr w:type="spellStart"/>
            <w:r w:rsidRPr="00F378A9">
              <w:rPr>
                <w:rFonts w:ascii="Times New Roman" w:hAnsi="Times New Roman"/>
                <w:color w:val="000000"/>
                <w:sz w:val="20"/>
                <w:szCs w:val="20"/>
                <w:lang w:val="en-US"/>
              </w:rPr>
              <w:t>n.e.c</w:t>
            </w:r>
            <w:proofErr w:type="spellEnd"/>
            <w:r w:rsidRPr="00F378A9">
              <w:rPr>
                <w:rFonts w:ascii="Times New Roman" w:hAnsi="Times New Roman"/>
                <w:color w:val="000000"/>
                <w:sz w:val="20"/>
                <w:szCs w:val="20"/>
                <w:lang w:val="en-US"/>
              </w:rPr>
              <w:t>.</w:t>
            </w:r>
          </w:p>
        </w:tc>
        <w:tc>
          <w:tcPr>
            <w:tcW w:w="972" w:type="dxa"/>
            <w:tcBorders>
              <w:top w:val="nil"/>
              <w:left w:val="nil"/>
              <w:bottom w:val="nil"/>
              <w:right w:val="nil"/>
            </w:tcBorders>
            <w:shd w:val="clear" w:color="000000" w:fill="FFFFFF"/>
            <w:noWrap/>
            <w:vAlign w:val="bottom"/>
            <w:hideMark/>
          </w:tcPr>
          <w:p w14:paraId="6342951F"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0.198</w:t>
            </w:r>
          </w:p>
        </w:tc>
        <w:tc>
          <w:tcPr>
            <w:tcW w:w="616" w:type="dxa"/>
            <w:tcBorders>
              <w:top w:val="nil"/>
              <w:left w:val="nil"/>
              <w:bottom w:val="nil"/>
              <w:right w:val="nil"/>
            </w:tcBorders>
            <w:shd w:val="clear" w:color="000000" w:fill="FFFFFF"/>
            <w:noWrap/>
            <w:vAlign w:val="bottom"/>
            <w:hideMark/>
          </w:tcPr>
          <w:p w14:paraId="0C5FB05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w:t>
            </w:r>
          </w:p>
        </w:tc>
        <w:tc>
          <w:tcPr>
            <w:tcW w:w="718" w:type="dxa"/>
            <w:tcBorders>
              <w:top w:val="nil"/>
              <w:left w:val="nil"/>
              <w:bottom w:val="nil"/>
              <w:right w:val="nil"/>
            </w:tcBorders>
            <w:shd w:val="clear" w:color="000000" w:fill="FFFFFF"/>
            <w:noWrap/>
            <w:vAlign w:val="bottom"/>
            <w:hideMark/>
          </w:tcPr>
          <w:p w14:paraId="4DFD9B0E"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0.047</w:t>
            </w:r>
          </w:p>
        </w:tc>
        <w:tc>
          <w:tcPr>
            <w:tcW w:w="718" w:type="dxa"/>
            <w:tcBorders>
              <w:top w:val="nil"/>
              <w:left w:val="nil"/>
              <w:bottom w:val="nil"/>
              <w:right w:val="nil"/>
            </w:tcBorders>
            <w:shd w:val="clear" w:color="000000" w:fill="FFFFFF"/>
            <w:noWrap/>
            <w:vAlign w:val="bottom"/>
            <w:hideMark/>
          </w:tcPr>
          <w:p w14:paraId="15323591"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0.048</w:t>
            </w:r>
          </w:p>
        </w:tc>
        <w:tc>
          <w:tcPr>
            <w:tcW w:w="1180" w:type="dxa"/>
            <w:tcBorders>
              <w:top w:val="nil"/>
              <w:left w:val="nil"/>
              <w:bottom w:val="nil"/>
              <w:right w:val="nil"/>
            </w:tcBorders>
            <w:shd w:val="clear" w:color="000000" w:fill="FFFFFF"/>
            <w:noWrap/>
            <w:vAlign w:val="bottom"/>
            <w:hideMark/>
          </w:tcPr>
          <w:p w14:paraId="423DA81C"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0.048</w:t>
            </w:r>
          </w:p>
        </w:tc>
      </w:tr>
      <w:tr w:rsidR="009B62A2" w:rsidRPr="00504D7E" w14:paraId="4E1172F5" w14:textId="77777777" w:rsidTr="009B62A2">
        <w:trPr>
          <w:trHeight w:val="300"/>
        </w:trPr>
        <w:tc>
          <w:tcPr>
            <w:tcW w:w="5276" w:type="dxa"/>
            <w:tcBorders>
              <w:top w:val="nil"/>
              <w:left w:val="nil"/>
              <w:bottom w:val="single" w:sz="4" w:space="0" w:color="auto"/>
              <w:right w:val="nil"/>
            </w:tcBorders>
            <w:shd w:val="clear" w:color="000000" w:fill="FFFFFF"/>
            <w:noWrap/>
            <w:vAlign w:val="bottom"/>
            <w:hideMark/>
          </w:tcPr>
          <w:p w14:paraId="55D0FBC6" w14:textId="77777777" w:rsidR="009B62A2" w:rsidRPr="00504D7E" w:rsidRDefault="009B62A2" w:rsidP="009B62A2">
            <w:pPr>
              <w:rPr>
                <w:rFonts w:ascii="Times New Roman" w:hAnsi="Times New Roman"/>
                <w:color w:val="000000"/>
                <w:sz w:val="20"/>
                <w:szCs w:val="20"/>
              </w:rPr>
            </w:pPr>
            <w:proofErr w:type="spellStart"/>
            <w:r w:rsidRPr="00504D7E">
              <w:rPr>
                <w:rFonts w:ascii="Times New Roman" w:hAnsi="Times New Roman"/>
                <w:color w:val="000000"/>
                <w:sz w:val="20"/>
                <w:szCs w:val="20"/>
              </w:rPr>
              <w:t>Recycling</w:t>
            </w:r>
            <w:proofErr w:type="spellEnd"/>
          </w:p>
        </w:tc>
        <w:tc>
          <w:tcPr>
            <w:tcW w:w="972" w:type="dxa"/>
            <w:tcBorders>
              <w:top w:val="nil"/>
              <w:left w:val="nil"/>
              <w:bottom w:val="single" w:sz="4" w:space="0" w:color="auto"/>
              <w:right w:val="nil"/>
            </w:tcBorders>
            <w:shd w:val="clear" w:color="000000" w:fill="FFFFFF"/>
            <w:noWrap/>
            <w:vAlign w:val="bottom"/>
            <w:hideMark/>
          </w:tcPr>
          <w:p w14:paraId="4D57AC4D"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0.107</w:t>
            </w:r>
          </w:p>
        </w:tc>
        <w:tc>
          <w:tcPr>
            <w:tcW w:w="616" w:type="dxa"/>
            <w:tcBorders>
              <w:top w:val="nil"/>
              <w:left w:val="nil"/>
              <w:bottom w:val="single" w:sz="4" w:space="0" w:color="auto"/>
              <w:right w:val="nil"/>
            </w:tcBorders>
            <w:shd w:val="clear" w:color="000000" w:fill="FFFFFF"/>
            <w:noWrap/>
            <w:vAlign w:val="bottom"/>
            <w:hideMark/>
          </w:tcPr>
          <w:p w14:paraId="3779E9D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 </w:t>
            </w:r>
          </w:p>
        </w:tc>
        <w:tc>
          <w:tcPr>
            <w:tcW w:w="718" w:type="dxa"/>
            <w:tcBorders>
              <w:top w:val="nil"/>
              <w:left w:val="nil"/>
              <w:bottom w:val="single" w:sz="4" w:space="0" w:color="auto"/>
              <w:right w:val="nil"/>
            </w:tcBorders>
            <w:shd w:val="clear" w:color="000000" w:fill="FFFFFF"/>
            <w:noWrap/>
            <w:vAlign w:val="bottom"/>
            <w:hideMark/>
          </w:tcPr>
          <w:p w14:paraId="5B0D2EE7"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0.321</w:t>
            </w:r>
          </w:p>
        </w:tc>
        <w:tc>
          <w:tcPr>
            <w:tcW w:w="718" w:type="dxa"/>
            <w:tcBorders>
              <w:top w:val="nil"/>
              <w:left w:val="nil"/>
              <w:bottom w:val="single" w:sz="4" w:space="0" w:color="auto"/>
              <w:right w:val="nil"/>
            </w:tcBorders>
            <w:shd w:val="clear" w:color="000000" w:fill="FFFFFF"/>
            <w:noWrap/>
            <w:vAlign w:val="bottom"/>
            <w:hideMark/>
          </w:tcPr>
          <w:p w14:paraId="23CD448A"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0.322</w:t>
            </w:r>
          </w:p>
        </w:tc>
        <w:tc>
          <w:tcPr>
            <w:tcW w:w="1180" w:type="dxa"/>
            <w:tcBorders>
              <w:top w:val="nil"/>
              <w:left w:val="nil"/>
              <w:bottom w:val="single" w:sz="4" w:space="0" w:color="auto"/>
              <w:right w:val="nil"/>
            </w:tcBorders>
            <w:shd w:val="clear" w:color="000000" w:fill="FFFFFF"/>
            <w:noWrap/>
            <w:vAlign w:val="bottom"/>
            <w:hideMark/>
          </w:tcPr>
          <w:p w14:paraId="14CB15D6" w14:textId="77777777" w:rsidR="009B62A2" w:rsidRPr="00504D7E" w:rsidRDefault="009B62A2" w:rsidP="009B62A2">
            <w:pPr>
              <w:jc w:val="center"/>
              <w:rPr>
                <w:rFonts w:ascii="Times New Roman" w:hAnsi="Times New Roman"/>
                <w:color w:val="000000"/>
                <w:sz w:val="20"/>
                <w:szCs w:val="20"/>
              </w:rPr>
            </w:pPr>
            <w:r w:rsidRPr="00504D7E">
              <w:rPr>
                <w:rFonts w:ascii="Times New Roman" w:hAnsi="Times New Roman"/>
                <w:color w:val="000000"/>
                <w:sz w:val="20"/>
                <w:szCs w:val="20"/>
              </w:rPr>
              <w:t>0.323</w:t>
            </w:r>
          </w:p>
        </w:tc>
      </w:tr>
    </w:tbl>
    <w:p w14:paraId="6BC82F5B" w14:textId="77777777" w:rsidR="009B62A2" w:rsidRPr="00504D7E" w:rsidRDefault="009B62A2" w:rsidP="00CB7B12">
      <w:pPr>
        <w:spacing w:line="240" w:lineRule="atLeast"/>
        <w:jc w:val="both"/>
        <w:rPr>
          <w:rFonts w:ascii="Times New Roman" w:hAnsi="Times New Roman"/>
          <w:i/>
          <w:iCs/>
          <w:sz w:val="20"/>
          <w:szCs w:val="20"/>
          <w:lang w:val="en-US"/>
        </w:rPr>
      </w:pPr>
    </w:p>
    <w:p w14:paraId="10F006FC" w14:textId="0649E10B" w:rsidR="00CB7B12" w:rsidRPr="00504D7E" w:rsidRDefault="006377AB" w:rsidP="00CB7B12">
      <w:pPr>
        <w:spacing w:line="240" w:lineRule="atLeast"/>
        <w:jc w:val="both"/>
        <w:rPr>
          <w:rFonts w:ascii="Times New Roman" w:hAnsi="Times New Roman"/>
          <w:i/>
          <w:iCs/>
          <w:sz w:val="20"/>
          <w:szCs w:val="20"/>
          <w:lang w:val="en-US"/>
        </w:rPr>
      </w:pPr>
      <w:r w:rsidRPr="00504D7E">
        <w:rPr>
          <w:rFonts w:ascii="Times New Roman" w:hAnsi="Times New Roman"/>
          <w:i/>
          <w:iCs/>
          <w:sz w:val="20"/>
          <w:szCs w:val="20"/>
          <w:lang w:val="en-US"/>
        </w:rPr>
        <w:t>T</w:t>
      </w:r>
      <w:r w:rsidR="008A4429">
        <w:rPr>
          <w:rFonts w:ascii="Times New Roman" w:hAnsi="Times New Roman"/>
          <w:i/>
          <w:iCs/>
          <w:sz w:val="20"/>
          <w:szCs w:val="20"/>
          <w:lang w:val="en-US"/>
        </w:rPr>
        <w:t>he t</w:t>
      </w:r>
      <w:r w:rsidRPr="00504D7E">
        <w:rPr>
          <w:rFonts w:ascii="Times New Roman" w:hAnsi="Times New Roman"/>
          <w:i/>
          <w:iCs/>
          <w:sz w:val="20"/>
          <w:szCs w:val="20"/>
          <w:lang w:val="en-US"/>
        </w:rPr>
        <w:t>able reports the real values of relative entropies defined in equation (</w:t>
      </w:r>
      <w:r w:rsidR="0015271C" w:rsidRPr="00504D7E">
        <w:rPr>
          <w:rFonts w:ascii="Times New Roman" w:hAnsi="Times New Roman"/>
          <w:i/>
          <w:iCs/>
          <w:sz w:val="20"/>
          <w:szCs w:val="20"/>
          <w:lang w:val="en-US"/>
        </w:rPr>
        <w:t>2</w:t>
      </w:r>
      <w:r w:rsidRPr="00504D7E">
        <w:rPr>
          <w:rFonts w:ascii="Times New Roman" w:hAnsi="Times New Roman"/>
          <w:i/>
          <w:iCs/>
          <w:sz w:val="20"/>
          <w:szCs w:val="20"/>
          <w:lang w:val="en-US"/>
        </w:rPr>
        <w:t>). The sign</w:t>
      </w:r>
      <w:r w:rsidR="009B62A2" w:rsidRPr="00504D7E" w:rsidDel="009B62A2">
        <w:rPr>
          <w:rFonts w:ascii="Times New Roman" w:hAnsi="Times New Roman"/>
          <w:i/>
          <w:iCs/>
          <w:sz w:val="20"/>
          <w:szCs w:val="20"/>
          <w:lang w:val="en-US"/>
        </w:rPr>
        <w:t xml:space="preserve"> </w:t>
      </w:r>
      <w:r w:rsidR="00CB7B12" w:rsidRPr="00504D7E">
        <w:rPr>
          <w:i/>
          <w:sz w:val="20"/>
          <w:szCs w:val="20"/>
          <w:lang w:val="en-US"/>
        </w:rPr>
        <w:t xml:space="preserve">“+” indicates statistically significant </w:t>
      </w:r>
      <w:r w:rsidR="0015271C" w:rsidRPr="00504D7E">
        <w:rPr>
          <w:i/>
          <w:sz w:val="20"/>
          <w:szCs w:val="20"/>
          <w:lang w:val="en-US"/>
        </w:rPr>
        <w:t xml:space="preserve">divergence between the distribution of employees and the distribution of establishments </w:t>
      </w:r>
      <w:r w:rsidRPr="00504D7E">
        <w:rPr>
          <w:i/>
          <w:sz w:val="20"/>
          <w:szCs w:val="20"/>
          <w:lang w:val="en-US"/>
        </w:rPr>
        <w:t>at the 95% confidence level. Columns 4, 5 and 6 report</w:t>
      </w:r>
      <w:r w:rsidR="00CB7B12" w:rsidRPr="00504D7E">
        <w:rPr>
          <w:i/>
          <w:sz w:val="20"/>
          <w:szCs w:val="20"/>
          <w:lang w:val="en-US"/>
        </w:rPr>
        <w:t xml:space="preserve"> the upper bounds of the counterfactual 90%</w:t>
      </w:r>
      <w:r w:rsidRPr="00504D7E">
        <w:rPr>
          <w:i/>
          <w:sz w:val="20"/>
          <w:szCs w:val="20"/>
          <w:lang w:val="en-US"/>
        </w:rPr>
        <w:t>, 95% and 99%</w:t>
      </w:r>
      <w:r w:rsidR="00CB7B12" w:rsidRPr="00504D7E">
        <w:rPr>
          <w:i/>
          <w:sz w:val="20"/>
          <w:szCs w:val="20"/>
          <w:lang w:val="en-US"/>
        </w:rPr>
        <w:t xml:space="preserve"> confidence intervals. </w:t>
      </w:r>
    </w:p>
    <w:p w14:paraId="6348B5CE" w14:textId="77777777" w:rsidR="00CB7B12" w:rsidRPr="00504D7E" w:rsidRDefault="00CB7B12" w:rsidP="00CB7B12">
      <w:pPr>
        <w:spacing w:line="480" w:lineRule="auto"/>
        <w:jc w:val="both"/>
        <w:rPr>
          <w:rFonts w:ascii="Times New Roman" w:hAnsi="Times New Roman"/>
          <w:i/>
          <w:iCs/>
          <w:sz w:val="20"/>
          <w:szCs w:val="20"/>
          <w:lang w:val="en-US"/>
        </w:rPr>
      </w:pPr>
    </w:p>
    <w:p w14:paraId="57482795" w14:textId="77777777" w:rsidR="002931D4" w:rsidRPr="00504D7E" w:rsidRDefault="002931D4" w:rsidP="006849EA">
      <w:pPr>
        <w:spacing w:line="480" w:lineRule="auto"/>
        <w:jc w:val="both"/>
        <w:rPr>
          <w:rFonts w:ascii="Times New Roman" w:hAnsi="Times New Roman"/>
          <w:lang w:val="en-US"/>
        </w:rPr>
      </w:pPr>
    </w:p>
    <w:p w14:paraId="292C8757" w14:textId="2A9EA86C" w:rsidR="002A061B" w:rsidRDefault="007A7252" w:rsidP="006849EA">
      <w:pPr>
        <w:spacing w:line="480" w:lineRule="auto"/>
        <w:jc w:val="both"/>
        <w:rPr>
          <w:rFonts w:ascii="Times New Roman" w:hAnsi="Times New Roman"/>
          <w:lang w:val="en-US"/>
        </w:rPr>
      </w:pPr>
      <w:r w:rsidRPr="00504D7E">
        <w:rPr>
          <w:rFonts w:ascii="Times New Roman" w:hAnsi="Times New Roman"/>
          <w:lang w:val="en-US"/>
        </w:rPr>
        <w:t>T</w:t>
      </w:r>
      <w:r w:rsidR="002A061B" w:rsidRPr="00504D7E">
        <w:rPr>
          <w:rFonts w:ascii="Times New Roman" w:hAnsi="Times New Roman"/>
          <w:lang w:val="en-US"/>
        </w:rPr>
        <w:t xml:space="preserve">he </w:t>
      </w:r>
      <w:r w:rsidR="00564486" w:rsidRPr="00504D7E">
        <w:rPr>
          <w:rFonts w:ascii="Times New Roman" w:hAnsi="Times New Roman"/>
          <w:lang w:val="en-US"/>
        </w:rPr>
        <w:t xml:space="preserve">testing procedure </w:t>
      </w:r>
      <w:r w:rsidR="00060569" w:rsidRPr="00504D7E">
        <w:rPr>
          <w:rFonts w:ascii="Times New Roman" w:hAnsi="Times New Roman"/>
          <w:lang w:val="en-US"/>
        </w:rPr>
        <w:t>led</w:t>
      </w:r>
      <w:r w:rsidR="00564486" w:rsidRPr="00504D7E">
        <w:rPr>
          <w:rFonts w:ascii="Times New Roman" w:hAnsi="Times New Roman"/>
          <w:lang w:val="en-US"/>
        </w:rPr>
        <w:t xml:space="preserve"> to </w:t>
      </w:r>
      <w:r w:rsidR="00122BAA">
        <w:rPr>
          <w:rFonts w:ascii="Times New Roman" w:hAnsi="Times New Roman"/>
          <w:lang w:val="en-US"/>
        </w:rPr>
        <w:t>not reject</w:t>
      </w:r>
      <w:r w:rsidR="00564486" w:rsidRPr="00504D7E">
        <w:rPr>
          <w:rFonts w:ascii="Times New Roman" w:hAnsi="Times New Roman"/>
          <w:lang w:val="en-US"/>
        </w:rPr>
        <w:t xml:space="preserve"> H</w:t>
      </w:r>
      <w:r w:rsidR="00564486" w:rsidRPr="00504D7E">
        <w:rPr>
          <w:rFonts w:ascii="Times New Roman" w:hAnsi="Times New Roman"/>
          <w:vertAlign w:val="subscript"/>
          <w:lang w:val="en-US"/>
        </w:rPr>
        <w:t>0</w:t>
      </w:r>
      <w:r w:rsidR="00564486" w:rsidRPr="00504D7E">
        <w:rPr>
          <w:rFonts w:ascii="Times New Roman" w:hAnsi="Times New Roman"/>
          <w:lang w:val="en-US"/>
        </w:rPr>
        <w:t xml:space="preserve"> </w:t>
      </w:r>
      <w:r w:rsidR="00AB51FE" w:rsidRPr="00504D7E">
        <w:rPr>
          <w:rFonts w:ascii="Times New Roman" w:hAnsi="Times New Roman"/>
          <w:lang w:val="en-US"/>
        </w:rPr>
        <w:t xml:space="preserve">in 5 sectors, namely </w:t>
      </w:r>
      <w:r w:rsidR="00AB51FE" w:rsidRPr="00504D7E">
        <w:rPr>
          <w:rFonts w:ascii="Times New Roman" w:hAnsi="Times New Roman"/>
          <w:i/>
          <w:lang w:val="en-US"/>
        </w:rPr>
        <w:t>Wood, Publishing, printing, Other transport equipment</w:t>
      </w:r>
      <w:r w:rsidR="00060569">
        <w:rPr>
          <w:rFonts w:ascii="Times New Roman" w:hAnsi="Times New Roman"/>
          <w:i/>
          <w:lang w:val="en-US"/>
        </w:rPr>
        <w:t xml:space="preserve">, </w:t>
      </w:r>
      <w:r w:rsidR="00504C3F" w:rsidRPr="00504D7E">
        <w:rPr>
          <w:rFonts w:ascii="Times New Roman" w:hAnsi="Times New Roman"/>
          <w:i/>
          <w:lang w:val="en-US"/>
        </w:rPr>
        <w:t>a</w:t>
      </w:r>
      <w:r w:rsidR="00BA46BE" w:rsidRPr="00504D7E">
        <w:rPr>
          <w:rFonts w:ascii="Times New Roman" w:hAnsi="Times New Roman"/>
          <w:i/>
          <w:lang w:val="en-US"/>
        </w:rPr>
        <w:t xml:space="preserve">nd </w:t>
      </w:r>
      <w:r w:rsidR="00AB51FE" w:rsidRPr="00504D7E">
        <w:rPr>
          <w:rFonts w:ascii="Times New Roman" w:hAnsi="Times New Roman"/>
          <w:i/>
          <w:lang w:val="en-US"/>
        </w:rPr>
        <w:t>Recycling</w:t>
      </w:r>
      <w:r w:rsidR="002A061B" w:rsidRPr="00504D7E">
        <w:rPr>
          <w:rFonts w:ascii="Times New Roman" w:hAnsi="Times New Roman"/>
          <w:lang w:val="en-US"/>
        </w:rPr>
        <w:t>, even though establishments are spatially clustered in these industries (</w:t>
      </w:r>
      <w:proofErr w:type="spellStart"/>
      <w:r w:rsidR="002A061B" w:rsidRPr="00504D7E">
        <w:rPr>
          <w:rFonts w:ascii="Times New Roman" w:hAnsi="Times New Roman"/>
          <w:lang w:val="en-US"/>
        </w:rPr>
        <w:t>Cfr</w:t>
      </w:r>
      <w:proofErr w:type="spellEnd"/>
      <w:r w:rsidR="002A061B" w:rsidRPr="00504D7E">
        <w:rPr>
          <w:rFonts w:ascii="Times New Roman" w:hAnsi="Times New Roman"/>
          <w:lang w:val="en-US"/>
        </w:rPr>
        <w:t xml:space="preserve">. Table </w:t>
      </w:r>
      <w:r w:rsidR="006630B8">
        <w:rPr>
          <w:rFonts w:ascii="Times New Roman" w:hAnsi="Times New Roman"/>
          <w:lang w:val="en-US"/>
        </w:rPr>
        <w:t>3</w:t>
      </w:r>
      <w:r w:rsidR="002A061B" w:rsidRPr="00504D7E">
        <w:rPr>
          <w:rFonts w:ascii="Times New Roman" w:hAnsi="Times New Roman"/>
          <w:lang w:val="en-US"/>
        </w:rPr>
        <w:t xml:space="preserve">). </w:t>
      </w:r>
      <w:r w:rsidR="00504C3F" w:rsidRPr="00504D7E">
        <w:rPr>
          <w:rFonts w:ascii="Times New Roman" w:hAnsi="Times New Roman"/>
          <w:lang w:val="en-US"/>
        </w:rPr>
        <w:t xml:space="preserve">Particularly, in the sectors </w:t>
      </w:r>
      <w:r w:rsidR="00DE16D7" w:rsidRPr="00504D7E">
        <w:rPr>
          <w:rFonts w:ascii="Times New Roman" w:hAnsi="Times New Roman"/>
          <w:i/>
          <w:lang w:val="en-US"/>
        </w:rPr>
        <w:t>W</w:t>
      </w:r>
      <w:r w:rsidR="00504C3F" w:rsidRPr="00504D7E">
        <w:rPr>
          <w:rFonts w:ascii="Times New Roman" w:hAnsi="Times New Roman"/>
          <w:i/>
          <w:lang w:val="en-US"/>
        </w:rPr>
        <w:t xml:space="preserve">ood, Publishing, printing, </w:t>
      </w:r>
      <w:r w:rsidR="00504C3F" w:rsidRPr="00504D7E">
        <w:rPr>
          <w:rFonts w:ascii="Times New Roman" w:hAnsi="Times New Roman"/>
          <w:lang w:val="en-US"/>
        </w:rPr>
        <w:t>and</w:t>
      </w:r>
      <w:r w:rsidR="00504C3F" w:rsidRPr="00504D7E">
        <w:rPr>
          <w:rFonts w:ascii="Times New Roman" w:hAnsi="Times New Roman"/>
          <w:i/>
          <w:lang w:val="en-US"/>
        </w:rPr>
        <w:t xml:space="preserve"> Recycling</w:t>
      </w:r>
      <w:r w:rsidR="00504C3F" w:rsidRPr="00504D7E">
        <w:rPr>
          <w:rFonts w:ascii="Times New Roman" w:hAnsi="Times New Roman"/>
          <w:lang w:val="en-US"/>
        </w:rPr>
        <w:t xml:space="preserve">, that </w:t>
      </w:r>
      <w:r w:rsidR="00504C3F" w:rsidRPr="00504D7E">
        <w:rPr>
          <w:rFonts w:ascii="Times New Roman" w:hAnsi="Times New Roman"/>
          <w:lang w:val="en-US"/>
        </w:rPr>
        <w:lastRenderedPageBreak/>
        <w:t xml:space="preserve">are characterized by a small average firm size (11, 17 and 11, respectively; see Table </w:t>
      </w:r>
      <w:r w:rsidR="006630B8">
        <w:rPr>
          <w:rFonts w:ascii="Times New Roman" w:hAnsi="Times New Roman"/>
          <w:lang w:val="en-US"/>
        </w:rPr>
        <w:t>2</w:t>
      </w:r>
      <w:r w:rsidR="00504C3F" w:rsidRPr="00504D7E">
        <w:rPr>
          <w:rFonts w:ascii="Times New Roman" w:hAnsi="Times New Roman"/>
          <w:lang w:val="en-US"/>
        </w:rPr>
        <w:t>), t</w:t>
      </w:r>
      <w:r w:rsidR="002A061B" w:rsidRPr="00504D7E">
        <w:rPr>
          <w:rFonts w:ascii="Times New Roman" w:hAnsi="Times New Roman"/>
          <w:lang w:val="en-US"/>
        </w:rPr>
        <w:t xml:space="preserve">he similarity of the geography of </w:t>
      </w:r>
      <w:r w:rsidR="008A0E87" w:rsidRPr="00504D7E">
        <w:rPr>
          <w:rFonts w:ascii="Times New Roman" w:hAnsi="Times New Roman"/>
          <w:lang w:val="en-US"/>
        </w:rPr>
        <w:t>employ</w:t>
      </w:r>
      <w:r w:rsidR="008A0E87">
        <w:rPr>
          <w:rFonts w:ascii="Times New Roman" w:hAnsi="Times New Roman"/>
          <w:lang w:val="en-US"/>
        </w:rPr>
        <w:t>ees</w:t>
      </w:r>
      <w:r w:rsidR="008A0E87" w:rsidRPr="00504D7E">
        <w:rPr>
          <w:rFonts w:ascii="Times New Roman" w:hAnsi="Times New Roman"/>
          <w:lang w:val="en-US"/>
        </w:rPr>
        <w:t xml:space="preserve"> </w:t>
      </w:r>
      <w:r w:rsidR="002A061B" w:rsidRPr="00504D7E">
        <w:rPr>
          <w:rFonts w:ascii="Times New Roman" w:hAnsi="Times New Roman"/>
          <w:lang w:val="en-US"/>
        </w:rPr>
        <w:t xml:space="preserve">with the spatial distribution of firms </w:t>
      </w:r>
      <w:r w:rsidR="00504C3F" w:rsidRPr="00504D7E">
        <w:rPr>
          <w:rFonts w:ascii="Times New Roman" w:hAnsi="Times New Roman"/>
          <w:lang w:val="en-US"/>
        </w:rPr>
        <w:t xml:space="preserve">lead us to conclude </w:t>
      </w:r>
      <w:r w:rsidR="002A061B" w:rsidRPr="00504D7E">
        <w:rPr>
          <w:rFonts w:ascii="Times New Roman" w:hAnsi="Times New Roman"/>
          <w:lang w:val="en-US"/>
        </w:rPr>
        <w:t xml:space="preserve">that </w:t>
      </w:r>
      <w:r w:rsidR="00893508">
        <w:rPr>
          <w:rFonts w:ascii="Times New Roman" w:hAnsi="Times New Roman"/>
          <w:lang w:val="en-US"/>
        </w:rPr>
        <w:t>they may be driven by the same exogenous factors. L</w:t>
      </w:r>
      <w:r w:rsidR="002A061B" w:rsidRPr="00504D7E">
        <w:rPr>
          <w:rFonts w:ascii="Times New Roman" w:hAnsi="Times New Roman"/>
          <w:lang w:val="en-US"/>
        </w:rPr>
        <w:t xml:space="preserve">ocation choices </w:t>
      </w:r>
      <w:r w:rsidR="00893508">
        <w:rPr>
          <w:rFonts w:ascii="Times New Roman" w:hAnsi="Times New Roman"/>
          <w:lang w:val="en-US"/>
        </w:rPr>
        <w:t xml:space="preserve">in these sectors </w:t>
      </w:r>
      <w:r w:rsidR="000174A3" w:rsidRPr="00504D7E">
        <w:rPr>
          <w:rFonts w:ascii="Times New Roman" w:hAnsi="Times New Roman"/>
          <w:lang w:val="en-US"/>
        </w:rPr>
        <w:t>sound consistent with</w:t>
      </w:r>
      <w:r w:rsidR="002A061B" w:rsidRPr="00504D7E">
        <w:rPr>
          <w:rFonts w:ascii="Times New Roman" w:hAnsi="Times New Roman"/>
          <w:lang w:val="en-US"/>
        </w:rPr>
        <w:t xml:space="preserve"> </w:t>
      </w:r>
      <w:r w:rsidR="000174A3" w:rsidRPr="00504D7E">
        <w:rPr>
          <w:rFonts w:ascii="Times New Roman" w:hAnsi="Times New Roman"/>
          <w:lang w:val="en-US"/>
        </w:rPr>
        <w:t>“first nature causes”, market size, and</w:t>
      </w:r>
      <w:r w:rsidR="002A061B" w:rsidRPr="00504D7E">
        <w:rPr>
          <w:rFonts w:ascii="Times New Roman" w:hAnsi="Times New Roman"/>
          <w:lang w:val="en-US"/>
        </w:rPr>
        <w:t xml:space="preserve"> intra-industry complementarities and spillovers among firms rather than </w:t>
      </w:r>
      <w:r w:rsidR="00060569">
        <w:rPr>
          <w:rFonts w:ascii="Times New Roman" w:hAnsi="Times New Roman"/>
          <w:lang w:val="en-US"/>
        </w:rPr>
        <w:t xml:space="preserve">a </w:t>
      </w:r>
      <w:r w:rsidRPr="00504D7E">
        <w:rPr>
          <w:rFonts w:ascii="Times New Roman" w:hAnsi="Times New Roman"/>
          <w:lang w:val="en-US"/>
        </w:rPr>
        <w:t xml:space="preserve">diversified </w:t>
      </w:r>
      <w:r w:rsidR="00060569">
        <w:rPr>
          <w:rFonts w:ascii="Times New Roman" w:hAnsi="Times New Roman"/>
          <w:lang w:val="en-US"/>
        </w:rPr>
        <w:t xml:space="preserve">average firm size </w:t>
      </w:r>
      <w:r w:rsidR="002A061B" w:rsidRPr="00504D7E">
        <w:rPr>
          <w:rFonts w:ascii="Times New Roman" w:hAnsi="Times New Roman"/>
          <w:lang w:val="en-US"/>
        </w:rPr>
        <w:t xml:space="preserve">within the </w:t>
      </w:r>
      <w:r w:rsidR="00122BAA">
        <w:rPr>
          <w:rFonts w:ascii="Times New Roman" w:hAnsi="Times New Roman"/>
          <w:lang w:val="en-US"/>
        </w:rPr>
        <w:t>sector</w:t>
      </w:r>
      <w:r w:rsidR="002A061B" w:rsidRPr="00504D7E">
        <w:rPr>
          <w:rFonts w:ascii="Times New Roman" w:hAnsi="Times New Roman"/>
          <w:lang w:val="en-US"/>
        </w:rPr>
        <w:t>.</w:t>
      </w:r>
      <w:r w:rsidR="00491AE8">
        <w:rPr>
          <w:rFonts w:ascii="Times New Roman" w:hAnsi="Times New Roman"/>
          <w:lang w:val="en-US"/>
        </w:rPr>
        <w:t xml:space="preserve"> Moreover, </w:t>
      </w:r>
      <w:r w:rsidR="00030621">
        <w:rPr>
          <w:rFonts w:ascii="Times New Roman" w:hAnsi="Times New Roman"/>
          <w:lang w:val="en-US"/>
        </w:rPr>
        <w:t xml:space="preserve">a comparison between Tables </w:t>
      </w:r>
      <w:r w:rsidR="00791E3F">
        <w:rPr>
          <w:rFonts w:ascii="Times New Roman" w:hAnsi="Times New Roman"/>
          <w:lang w:val="en-US"/>
        </w:rPr>
        <w:t>3</w:t>
      </w:r>
      <w:r w:rsidR="00030621">
        <w:rPr>
          <w:rFonts w:ascii="Times New Roman" w:hAnsi="Times New Roman"/>
          <w:lang w:val="en-US"/>
        </w:rPr>
        <w:t xml:space="preserve"> and </w:t>
      </w:r>
      <w:r w:rsidR="00791E3F">
        <w:rPr>
          <w:rFonts w:ascii="Times New Roman" w:hAnsi="Times New Roman"/>
          <w:lang w:val="en-US"/>
        </w:rPr>
        <w:t>4</w:t>
      </w:r>
      <w:r w:rsidR="00030621">
        <w:rPr>
          <w:rFonts w:ascii="Times New Roman" w:hAnsi="Times New Roman"/>
          <w:lang w:val="en-US"/>
        </w:rPr>
        <w:t xml:space="preserve"> suggests that </w:t>
      </w:r>
      <w:r w:rsidR="00030621" w:rsidRPr="00504D7E">
        <w:rPr>
          <w:rFonts w:ascii="Times New Roman" w:hAnsi="Times New Roman"/>
          <w:i/>
          <w:lang w:val="en-US"/>
        </w:rPr>
        <w:t xml:space="preserve">Wood </w:t>
      </w:r>
      <w:r w:rsidR="00030621" w:rsidRPr="00504D7E">
        <w:rPr>
          <w:rFonts w:ascii="Times New Roman" w:hAnsi="Times New Roman"/>
          <w:lang w:val="en-US"/>
        </w:rPr>
        <w:t>and</w:t>
      </w:r>
      <w:r w:rsidR="00030621" w:rsidRPr="00504D7E">
        <w:rPr>
          <w:rFonts w:ascii="Times New Roman" w:hAnsi="Times New Roman"/>
          <w:i/>
          <w:lang w:val="en-US"/>
        </w:rPr>
        <w:t xml:space="preserve"> </w:t>
      </w:r>
      <w:proofErr w:type="gramStart"/>
      <w:r w:rsidR="00030621" w:rsidRPr="00504D7E">
        <w:rPr>
          <w:rFonts w:ascii="Times New Roman" w:hAnsi="Times New Roman"/>
          <w:i/>
          <w:lang w:val="en-US"/>
        </w:rPr>
        <w:t>Recycling</w:t>
      </w:r>
      <w:proofErr w:type="gramEnd"/>
      <w:r w:rsidR="00030621">
        <w:rPr>
          <w:rFonts w:ascii="Times New Roman" w:hAnsi="Times New Roman"/>
          <w:i/>
          <w:lang w:val="en-US"/>
        </w:rPr>
        <w:t xml:space="preserve"> </w:t>
      </w:r>
      <w:r w:rsidR="00030621">
        <w:rPr>
          <w:rFonts w:ascii="Times New Roman" w:hAnsi="Times New Roman"/>
          <w:lang w:val="en-US"/>
        </w:rPr>
        <w:t>–which are two sectors showing an evident</w:t>
      </w:r>
      <w:r w:rsidR="00491AE8">
        <w:rPr>
          <w:rFonts w:ascii="Times New Roman" w:hAnsi="Times New Roman"/>
          <w:lang w:val="en-US"/>
        </w:rPr>
        <w:t xml:space="preserve"> similarity</w:t>
      </w:r>
      <w:r w:rsidR="00030621">
        <w:rPr>
          <w:rFonts w:ascii="Times New Roman" w:hAnsi="Times New Roman"/>
          <w:lang w:val="en-US"/>
        </w:rPr>
        <w:t xml:space="preserve"> between the distribution of the employees and the one of firms- are also sectors with small standard deviation of the size. This outcome goes in the direction of further pointing out the relationship between the null hypothesis of the relative entropy test and the </w:t>
      </w:r>
      <w:r w:rsidR="00060569">
        <w:rPr>
          <w:rFonts w:ascii="Times New Roman" w:hAnsi="Times New Roman"/>
          <w:lang w:val="en-US"/>
        </w:rPr>
        <w:t>equally sized</w:t>
      </w:r>
      <w:r w:rsidR="00030621">
        <w:rPr>
          <w:rFonts w:ascii="Times New Roman" w:hAnsi="Times New Roman"/>
          <w:lang w:val="en-US"/>
        </w:rPr>
        <w:t xml:space="preserve"> condition of the firms in the sector. </w:t>
      </w:r>
    </w:p>
    <w:p w14:paraId="037CAD71" w14:textId="03BC147E" w:rsidR="008455A4" w:rsidRPr="008A4429" w:rsidRDefault="00791E3F" w:rsidP="00791E3F">
      <w:pPr>
        <w:spacing w:line="480" w:lineRule="auto"/>
        <w:jc w:val="both"/>
        <w:rPr>
          <w:rFonts w:ascii="Times New Roman" w:hAnsi="Times New Roman"/>
          <w:lang w:val="en-US"/>
        </w:rPr>
      </w:pPr>
      <w:r>
        <w:rPr>
          <w:rFonts w:ascii="Times New Roman" w:hAnsi="Times New Roman"/>
          <w:lang w:val="en-US"/>
        </w:rPr>
        <w:t>To summarize, our results suggest that the spatial distributions of firms do not follow a uniform law</w:t>
      </w:r>
      <w:r w:rsidR="008455A4">
        <w:rPr>
          <w:rFonts w:ascii="Times New Roman" w:hAnsi="Times New Roman"/>
          <w:lang w:val="en-US"/>
        </w:rPr>
        <w:t>. They also</w:t>
      </w:r>
      <w:r>
        <w:rPr>
          <w:rFonts w:ascii="Times New Roman" w:hAnsi="Times New Roman"/>
          <w:lang w:val="en-US"/>
        </w:rPr>
        <w:t xml:space="preserve"> </w:t>
      </w:r>
      <w:r w:rsidR="00BF1F70">
        <w:rPr>
          <w:rFonts w:ascii="Times New Roman" w:hAnsi="Times New Roman"/>
          <w:lang w:val="en-US"/>
        </w:rPr>
        <w:t>point to</w:t>
      </w:r>
      <w:r>
        <w:rPr>
          <w:rFonts w:ascii="Times New Roman" w:hAnsi="Times New Roman"/>
          <w:lang w:val="en-US"/>
        </w:rPr>
        <w:t xml:space="preserve"> a systematic</w:t>
      </w:r>
      <w:r w:rsidRPr="00791E3F">
        <w:rPr>
          <w:rFonts w:ascii="Times New Roman" w:hAnsi="Times New Roman"/>
          <w:lang w:val="en-US"/>
        </w:rPr>
        <w:t xml:space="preserve"> deviation of the spatial </w:t>
      </w:r>
      <w:r w:rsidR="008455A4">
        <w:rPr>
          <w:rFonts w:ascii="Times New Roman" w:hAnsi="Times New Roman"/>
          <w:lang w:val="en-US"/>
        </w:rPr>
        <w:t>concentration</w:t>
      </w:r>
      <w:r w:rsidRPr="00791E3F">
        <w:rPr>
          <w:rFonts w:ascii="Times New Roman" w:hAnsi="Times New Roman"/>
          <w:lang w:val="en-US"/>
        </w:rPr>
        <w:t xml:space="preserve"> of employees from the distribution of firms.</w:t>
      </w:r>
      <w:r>
        <w:rPr>
          <w:rFonts w:ascii="Times New Roman" w:hAnsi="Times New Roman"/>
          <w:lang w:val="en-US"/>
        </w:rPr>
        <w:t xml:space="preserve"> This evidence </w:t>
      </w:r>
      <w:r w:rsidR="008455A4">
        <w:rPr>
          <w:rFonts w:ascii="Times New Roman" w:hAnsi="Times New Roman"/>
          <w:lang w:val="en-US"/>
        </w:rPr>
        <w:t xml:space="preserve">suggest that the process of industrial agglomeration is more complex </w:t>
      </w:r>
      <w:r w:rsidR="008455A4" w:rsidRPr="008455A4">
        <w:rPr>
          <w:rFonts w:ascii="Times New Roman" w:hAnsi="Times New Roman"/>
          <w:lang w:val="en-US"/>
        </w:rPr>
        <w:t>as it is assumed to be</w:t>
      </w:r>
      <w:r w:rsidR="008455A4">
        <w:rPr>
          <w:rFonts w:ascii="Times New Roman" w:hAnsi="Times New Roman"/>
          <w:lang w:val="en-US"/>
        </w:rPr>
        <w:t xml:space="preserve">, and sound consistent with the view that </w:t>
      </w:r>
      <w:r w:rsidR="00893508">
        <w:rPr>
          <w:rFonts w:ascii="Times New Roman" w:hAnsi="Times New Roman"/>
          <w:lang w:val="en-US"/>
        </w:rPr>
        <w:t xml:space="preserve">factors like </w:t>
      </w:r>
      <w:r w:rsidR="008455A4">
        <w:rPr>
          <w:rFonts w:ascii="Times New Roman" w:hAnsi="Times New Roman"/>
          <w:lang w:val="en-US"/>
        </w:rPr>
        <w:t>path dependence (see, e.g.,</w:t>
      </w:r>
      <w:r w:rsidR="00893508">
        <w:rPr>
          <w:rFonts w:ascii="Times New Roman" w:hAnsi="Times New Roman"/>
          <w:lang w:val="en-US"/>
        </w:rPr>
        <w:t xml:space="preserve"> </w:t>
      </w:r>
      <w:r w:rsidR="00893508" w:rsidRPr="008A4429">
        <w:rPr>
          <w:rFonts w:ascii="Times New Roman" w:hAnsi="Times New Roman"/>
          <w:lang w:val="en-US"/>
        </w:rPr>
        <w:t xml:space="preserve">Arthur 1989; </w:t>
      </w:r>
      <w:r w:rsidR="00893508" w:rsidRPr="00045259">
        <w:rPr>
          <w:rFonts w:ascii="Times New Roman" w:hAnsi="Times New Roman"/>
          <w:highlight w:val="yellow"/>
          <w:lang w:val="en-US"/>
        </w:rPr>
        <w:t>David 1985</w:t>
      </w:r>
      <w:r w:rsidR="00893508" w:rsidRPr="008A4429">
        <w:rPr>
          <w:rFonts w:ascii="Times New Roman" w:hAnsi="Times New Roman"/>
          <w:lang w:val="en-US"/>
        </w:rPr>
        <w:t xml:space="preserve">;  </w:t>
      </w:r>
      <w:proofErr w:type="spellStart"/>
      <w:r w:rsidR="00893508" w:rsidRPr="008A4429">
        <w:rPr>
          <w:rFonts w:ascii="Times New Roman" w:hAnsi="Times New Roman"/>
          <w:lang w:val="en-US"/>
        </w:rPr>
        <w:t>Boschma</w:t>
      </w:r>
      <w:proofErr w:type="spellEnd"/>
      <w:r w:rsidR="00893508" w:rsidRPr="008A4429">
        <w:rPr>
          <w:rFonts w:ascii="Times New Roman" w:hAnsi="Times New Roman"/>
          <w:lang w:val="en-US"/>
        </w:rPr>
        <w:t xml:space="preserve"> and </w:t>
      </w:r>
      <w:proofErr w:type="spellStart"/>
      <w:r w:rsidR="00893508" w:rsidRPr="008A4429">
        <w:rPr>
          <w:rFonts w:ascii="Times New Roman" w:hAnsi="Times New Roman"/>
          <w:lang w:val="en-US"/>
        </w:rPr>
        <w:t>Lambooy</w:t>
      </w:r>
      <w:proofErr w:type="spellEnd"/>
      <w:r w:rsidR="00893508" w:rsidRPr="008A4429">
        <w:rPr>
          <w:rFonts w:ascii="Times New Roman" w:hAnsi="Times New Roman"/>
          <w:lang w:val="en-US"/>
        </w:rPr>
        <w:t xml:space="preserve">, 1999; Martin and </w:t>
      </w:r>
      <w:proofErr w:type="spellStart"/>
      <w:r w:rsidR="00893508" w:rsidRPr="008A4429">
        <w:rPr>
          <w:rFonts w:ascii="Times New Roman" w:hAnsi="Times New Roman"/>
          <w:lang w:val="en-US"/>
        </w:rPr>
        <w:t>Sunley</w:t>
      </w:r>
      <w:proofErr w:type="spellEnd"/>
      <w:r w:rsidR="00893508" w:rsidRPr="008A4429">
        <w:rPr>
          <w:rFonts w:ascii="Times New Roman" w:hAnsi="Times New Roman"/>
          <w:lang w:val="en-US"/>
        </w:rPr>
        <w:t>, 2006; Martin, 2012</w:t>
      </w:r>
      <w:r w:rsidR="008455A4">
        <w:rPr>
          <w:rFonts w:ascii="Times New Roman" w:hAnsi="Times New Roman"/>
          <w:lang w:val="en-US"/>
        </w:rPr>
        <w:t xml:space="preserve"> among others)</w:t>
      </w:r>
      <w:r w:rsidR="00893508">
        <w:rPr>
          <w:rFonts w:ascii="Times New Roman" w:hAnsi="Times New Roman"/>
          <w:lang w:val="en-US"/>
        </w:rPr>
        <w:t>,</w:t>
      </w:r>
      <w:r w:rsidR="008455A4">
        <w:rPr>
          <w:rFonts w:ascii="Times New Roman" w:hAnsi="Times New Roman"/>
          <w:lang w:val="en-US"/>
        </w:rPr>
        <w:t xml:space="preserve"> heterogeneity in individual preferences about spatial interaction (</w:t>
      </w:r>
      <w:proofErr w:type="spellStart"/>
      <w:r w:rsidR="008455A4" w:rsidRPr="008A4429">
        <w:rPr>
          <w:rFonts w:ascii="Times New Roman" w:hAnsi="Times New Roman"/>
          <w:lang w:val="en-US"/>
        </w:rPr>
        <w:t>Papageorgiu</w:t>
      </w:r>
      <w:proofErr w:type="spellEnd"/>
      <w:r w:rsidR="008455A4" w:rsidRPr="008A4429">
        <w:rPr>
          <w:rFonts w:ascii="Times New Roman" w:hAnsi="Times New Roman"/>
          <w:lang w:val="en-US"/>
        </w:rPr>
        <w:t xml:space="preserve"> and Smith, 1983) may lead to spatial configurations that are far from being </w:t>
      </w:r>
      <w:r w:rsidR="00893508">
        <w:rPr>
          <w:rFonts w:ascii="Times New Roman" w:hAnsi="Times New Roman"/>
          <w:lang w:val="en-US"/>
        </w:rPr>
        <w:t xml:space="preserve">a </w:t>
      </w:r>
      <w:r w:rsidR="008455A4" w:rsidRPr="008A4429">
        <w:rPr>
          <w:rFonts w:ascii="Times New Roman" w:hAnsi="Times New Roman"/>
          <w:lang w:val="en-US"/>
        </w:rPr>
        <w:t>uniform distribution of identical individuals across space.</w:t>
      </w:r>
      <w:r w:rsidR="00AD13C9" w:rsidRPr="008A4429">
        <w:rPr>
          <w:rFonts w:ascii="Times New Roman" w:hAnsi="Times New Roman"/>
          <w:lang w:val="en-US"/>
        </w:rPr>
        <w:t xml:space="preserve"> Such theoretical arguments and </w:t>
      </w:r>
      <w:r w:rsidR="00893508" w:rsidRPr="008A4429">
        <w:rPr>
          <w:rFonts w:ascii="Times New Roman" w:hAnsi="Times New Roman"/>
          <w:lang w:val="en-US"/>
        </w:rPr>
        <w:t>possible explanations</w:t>
      </w:r>
      <w:r w:rsidR="00AD13C9" w:rsidRPr="008A4429">
        <w:rPr>
          <w:rFonts w:ascii="Times New Roman" w:hAnsi="Times New Roman"/>
          <w:lang w:val="en-US"/>
        </w:rPr>
        <w:t xml:space="preserve"> behind these patterns </w:t>
      </w:r>
      <w:proofErr w:type="gramStart"/>
      <w:r w:rsidR="00AD13C9" w:rsidRPr="008A4429">
        <w:rPr>
          <w:rFonts w:ascii="Times New Roman" w:hAnsi="Times New Roman"/>
          <w:lang w:val="en-US"/>
        </w:rPr>
        <w:t>are discussed</w:t>
      </w:r>
      <w:proofErr w:type="gramEnd"/>
      <w:r w:rsidR="00AD13C9" w:rsidRPr="008A4429">
        <w:rPr>
          <w:rFonts w:ascii="Times New Roman" w:hAnsi="Times New Roman"/>
          <w:lang w:val="en-US"/>
        </w:rPr>
        <w:t xml:space="preserve"> in a companion paper (Cerqueti and Cutrini, 2021) and goes far beyond the present analysis</w:t>
      </w:r>
      <w:r w:rsidR="00893508">
        <w:rPr>
          <w:rFonts w:ascii="Times New Roman" w:hAnsi="Times New Roman"/>
          <w:lang w:val="en-US"/>
        </w:rPr>
        <w:t>. These issues</w:t>
      </w:r>
      <w:r w:rsidR="00AD13C9" w:rsidRPr="008A4429">
        <w:rPr>
          <w:rFonts w:ascii="Times New Roman" w:hAnsi="Times New Roman"/>
          <w:lang w:val="en-US"/>
        </w:rPr>
        <w:t xml:space="preserve"> </w:t>
      </w:r>
      <w:r w:rsidR="00893508" w:rsidRPr="008A4429">
        <w:rPr>
          <w:rFonts w:ascii="Times New Roman" w:hAnsi="Times New Roman"/>
          <w:lang w:val="en-US"/>
        </w:rPr>
        <w:t>open directions for future research that are discussed in the final sections</w:t>
      </w:r>
      <w:r w:rsidR="00AD13C9" w:rsidRPr="008A4429">
        <w:rPr>
          <w:rFonts w:ascii="Times New Roman" w:hAnsi="Times New Roman"/>
          <w:lang w:val="en-US"/>
        </w:rPr>
        <w:t>.</w:t>
      </w:r>
    </w:p>
    <w:p w14:paraId="5388F2B6" w14:textId="77777777" w:rsidR="00E53358" w:rsidRPr="00504D7E" w:rsidRDefault="00E53358" w:rsidP="005C0E7F">
      <w:pPr>
        <w:spacing w:line="480" w:lineRule="auto"/>
        <w:jc w:val="both"/>
        <w:rPr>
          <w:rFonts w:ascii="Times New Roman" w:hAnsi="Times New Roman"/>
          <w:lang w:val="en-US"/>
        </w:rPr>
      </w:pPr>
    </w:p>
    <w:p w14:paraId="4CA5EB0E" w14:textId="77777777" w:rsidR="00916CC2" w:rsidRPr="00504D7E" w:rsidRDefault="00916CC2" w:rsidP="00916CC2">
      <w:pPr>
        <w:pStyle w:val="Titolo1"/>
        <w:spacing w:line="480" w:lineRule="auto"/>
        <w:rPr>
          <w:color w:val="auto"/>
          <w:lang w:val="en-US"/>
        </w:rPr>
      </w:pPr>
      <w:r w:rsidRPr="00504D7E">
        <w:rPr>
          <w:color w:val="auto"/>
          <w:lang w:val="en-US"/>
        </w:rPr>
        <w:t>Concluding remarks and further developments</w:t>
      </w:r>
    </w:p>
    <w:p w14:paraId="52FF5E4A" w14:textId="4F402ECE" w:rsidR="00935498" w:rsidRDefault="00935498" w:rsidP="00E65104">
      <w:pPr>
        <w:spacing w:line="480" w:lineRule="auto"/>
        <w:jc w:val="both"/>
        <w:rPr>
          <w:rFonts w:ascii="Times New Roman" w:hAnsi="Times New Roman"/>
          <w:lang w:val="en-US"/>
        </w:rPr>
      </w:pPr>
      <w:r>
        <w:rPr>
          <w:rFonts w:ascii="Times New Roman" w:hAnsi="Times New Roman"/>
          <w:lang w:val="en-US"/>
        </w:rPr>
        <w:t>In this paper we focus on the available method to assess localization of industries, that is a phenomenon inevitably associated to territorial competitiveness.</w:t>
      </w:r>
    </w:p>
    <w:p w14:paraId="71761E2E" w14:textId="20AAE8D0" w:rsidR="00E65104" w:rsidRPr="00504D7E" w:rsidRDefault="00E65104" w:rsidP="00E65104">
      <w:pPr>
        <w:spacing w:line="480" w:lineRule="auto"/>
        <w:jc w:val="both"/>
        <w:rPr>
          <w:rFonts w:ascii="Times New Roman" w:hAnsi="Times New Roman"/>
          <w:lang w:val="en-US"/>
        </w:rPr>
      </w:pPr>
      <w:r w:rsidRPr="00504D7E">
        <w:rPr>
          <w:rFonts w:ascii="Times New Roman" w:hAnsi="Times New Roman"/>
          <w:lang w:val="en-US"/>
        </w:rPr>
        <w:lastRenderedPageBreak/>
        <w:t>The approach to study localization based on entrop</w:t>
      </w:r>
      <w:r w:rsidR="00A20086" w:rsidRPr="00504D7E">
        <w:rPr>
          <w:rFonts w:ascii="Times New Roman" w:hAnsi="Times New Roman"/>
          <w:lang w:val="en-US"/>
        </w:rPr>
        <w:t>y measures</w:t>
      </w:r>
      <w:r w:rsidRPr="00504D7E">
        <w:rPr>
          <w:rFonts w:ascii="Times New Roman" w:hAnsi="Times New Roman"/>
          <w:lang w:val="en-US"/>
        </w:rPr>
        <w:t xml:space="preserve"> is limited so far since applied researchers lack the instruments for attaching statistical significance to the observed outcomes in comparative analysis. </w:t>
      </w:r>
      <w:r w:rsidR="00A02D19" w:rsidRPr="00120F0D">
        <w:rPr>
          <w:rFonts w:ascii="Times New Roman" w:hAnsi="Times New Roman"/>
          <w:lang w:val="en-US"/>
        </w:rPr>
        <w:t>Moreover, the widespread practice of using aggregate employ</w:t>
      </w:r>
      <w:r w:rsidR="00A02D19">
        <w:rPr>
          <w:rFonts w:ascii="Times New Roman" w:hAnsi="Times New Roman"/>
          <w:lang w:val="en-US"/>
        </w:rPr>
        <w:t>ees</w:t>
      </w:r>
      <w:r w:rsidR="00A02D19" w:rsidRPr="00120F0D">
        <w:rPr>
          <w:rFonts w:ascii="Times New Roman" w:hAnsi="Times New Roman"/>
          <w:lang w:val="en-US"/>
        </w:rPr>
        <w:t xml:space="preserve"> data applied to discrete space analysis has left completely on the shadow the underlying location process by firms, which is instead central in spatial point patterns. We believe that the location process by firms should be taken in due consideration also for measures based on aggregate employ</w:t>
      </w:r>
      <w:r w:rsidR="00A02D19">
        <w:rPr>
          <w:rFonts w:ascii="Times New Roman" w:hAnsi="Times New Roman"/>
          <w:lang w:val="en-US"/>
        </w:rPr>
        <w:t>ees</w:t>
      </w:r>
      <w:r w:rsidR="00CE12AF">
        <w:rPr>
          <w:rFonts w:ascii="Times New Roman" w:hAnsi="Times New Roman"/>
          <w:lang w:val="en-US"/>
        </w:rPr>
        <w:t>’</w:t>
      </w:r>
      <w:r w:rsidR="00A02D19" w:rsidRPr="00120F0D">
        <w:rPr>
          <w:rFonts w:ascii="Times New Roman" w:hAnsi="Times New Roman"/>
          <w:lang w:val="en-US"/>
        </w:rPr>
        <w:t xml:space="preserve"> data to better evaluate the agglomeration forces behind the observed spatial patterns.</w:t>
      </w:r>
      <w:r w:rsidR="00CE12AF">
        <w:rPr>
          <w:rFonts w:ascii="Times New Roman" w:hAnsi="Times New Roman"/>
          <w:lang w:val="en-US"/>
        </w:rPr>
        <w:t xml:space="preserve"> We go in this direction with a two-step testing procedure that considers both employees and establishments. </w:t>
      </w:r>
    </w:p>
    <w:p w14:paraId="074510C8" w14:textId="5A976D3A" w:rsidR="00FC70A9" w:rsidRPr="00504D7E" w:rsidRDefault="00916CC2" w:rsidP="00916CC2">
      <w:pPr>
        <w:spacing w:line="480" w:lineRule="auto"/>
        <w:jc w:val="both"/>
        <w:rPr>
          <w:rFonts w:ascii="Times New Roman" w:hAnsi="Times New Roman"/>
          <w:lang w:val="en-US"/>
        </w:rPr>
      </w:pPr>
      <w:r w:rsidRPr="00504D7E">
        <w:rPr>
          <w:rFonts w:ascii="Times New Roman" w:hAnsi="Times New Roman"/>
          <w:lang w:val="en-US"/>
        </w:rPr>
        <w:t xml:space="preserve">We improve the economic interpretation of entropy-based indices by simulating confidence intervals that can be used to assess </w:t>
      </w:r>
      <w:r w:rsidR="00B803E2" w:rsidRPr="00504D7E">
        <w:rPr>
          <w:rFonts w:ascii="Times New Roman" w:hAnsi="Times New Roman"/>
          <w:lang w:val="en-US"/>
        </w:rPr>
        <w:t>the</w:t>
      </w:r>
      <w:r w:rsidRPr="00504D7E">
        <w:rPr>
          <w:rFonts w:ascii="Times New Roman" w:hAnsi="Times New Roman"/>
          <w:lang w:val="en-US"/>
        </w:rPr>
        <w:t xml:space="preserve"> spatial concentration of industries. To this purpose, we </w:t>
      </w:r>
      <w:r w:rsidR="00FA1976" w:rsidRPr="00504D7E">
        <w:rPr>
          <w:rFonts w:ascii="Times New Roman" w:hAnsi="Times New Roman"/>
          <w:lang w:val="en-US"/>
        </w:rPr>
        <w:t xml:space="preserve">introduce a testing procedure </w:t>
      </w:r>
      <w:r w:rsidR="00FC70A9" w:rsidRPr="00504D7E">
        <w:rPr>
          <w:rFonts w:ascii="Times New Roman" w:hAnsi="Times New Roman"/>
          <w:lang w:val="en-US"/>
        </w:rPr>
        <w:t xml:space="preserve">developed in two steps. In the first step, we evaluate absolute concentration of establishments. In this case the </w:t>
      </w:r>
      <w:r w:rsidR="00FA1976" w:rsidRPr="00504D7E">
        <w:rPr>
          <w:rFonts w:ascii="Times New Roman" w:hAnsi="Times New Roman"/>
          <w:lang w:val="en-US"/>
        </w:rPr>
        <w:t xml:space="preserve">counterfactual distributions for the null hypothesis are </w:t>
      </w:r>
      <w:r w:rsidR="00FC70A9" w:rsidRPr="00504D7E">
        <w:rPr>
          <w:rFonts w:ascii="Times New Roman" w:hAnsi="Times New Roman"/>
          <w:lang w:val="en-US"/>
        </w:rPr>
        <w:t>constructed on</w:t>
      </w:r>
      <w:r w:rsidR="00FA1976" w:rsidRPr="00504D7E">
        <w:rPr>
          <w:rFonts w:ascii="Times New Roman" w:hAnsi="Times New Roman"/>
          <w:lang w:val="en-US"/>
        </w:rPr>
        <w:t xml:space="preserve"> randomly sampled establishments that are equally likely to be located anywhere in space</w:t>
      </w:r>
      <w:r w:rsidR="00FC70A9" w:rsidRPr="00504D7E">
        <w:rPr>
          <w:rFonts w:ascii="Times New Roman" w:hAnsi="Times New Roman"/>
          <w:lang w:val="en-US"/>
        </w:rPr>
        <w:t xml:space="preserve">. In the second step, we compute relative entropies with counterfactual distributions following a binomial law based on the real distribution of establishments across regions. </w:t>
      </w:r>
    </w:p>
    <w:p w14:paraId="303DB0CA" w14:textId="77777777" w:rsidR="002E05C9" w:rsidRPr="00504D7E" w:rsidRDefault="00916CC2" w:rsidP="00916CC2">
      <w:pPr>
        <w:spacing w:line="480" w:lineRule="auto"/>
        <w:jc w:val="both"/>
        <w:rPr>
          <w:rFonts w:ascii="Times New Roman" w:hAnsi="Times New Roman"/>
          <w:lang w:val="en-US"/>
        </w:rPr>
      </w:pPr>
      <w:r w:rsidRPr="00504D7E">
        <w:rPr>
          <w:rFonts w:ascii="Times New Roman" w:hAnsi="Times New Roman"/>
          <w:lang w:val="en-US"/>
        </w:rPr>
        <w:t xml:space="preserve">We run 10,000 simulations for each industry and we determine 10,000 simulated values of the whole set of entropy measures of </w:t>
      </w:r>
      <w:r w:rsidR="009F7C61" w:rsidRPr="00504D7E">
        <w:rPr>
          <w:rFonts w:ascii="Times New Roman" w:hAnsi="Times New Roman"/>
          <w:lang w:val="en-US"/>
        </w:rPr>
        <w:t xml:space="preserve">absolute and relative </w:t>
      </w:r>
      <w:r w:rsidRPr="00504D7E">
        <w:rPr>
          <w:rFonts w:ascii="Times New Roman" w:hAnsi="Times New Roman"/>
          <w:lang w:val="en-US"/>
        </w:rPr>
        <w:t xml:space="preserve">concentration. We identify critical values of type I error (at 5% level) by ordering the 10,000 simulated values of each entropy index and selecting those that correspond to the top of each generated distribution. As an illustrative exercise, we use our approach to calculate critical values of significant concentration of manufacturing industries in Europe in 2007. </w:t>
      </w:r>
    </w:p>
    <w:p w14:paraId="67A87F31" w14:textId="22CCD9A5" w:rsidR="00A20086" w:rsidRPr="00504D7E" w:rsidRDefault="00916CC2" w:rsidP="00916CC2">
      <w:pPr>
        <w:spacing w:line="480" w:lineRule="auto"/>
        <w:jc w:val="both"/>
        <w:rPr>
          <w:rFonts w:ascii="Times New Roman" w:hAnsi="Times New Roman"/>
          <w:lang w:val="en-US"/>
        </w:rPr>
      </w:pPr>
      <w:r w:rsidRPr="00504D7E">
        <w:rPr>
          <w:rFonts w:ascii="Times New Roman" w:hAnsi="Times New Roman"/>
          <w:lang w:val="en-US"/>
        </w:rPr>
        <w:t>Our findings suggest that</w:t>
      </w:r>
      <w:r w:rsidR="002E05C9" w:rsidRPr="00504D7E">
        <w:rPr>
          <w:rFonts w:ascii="Times New Roman" w:hAnsi="Times New Roman"/>
          <w:lang w:val="en-US"/>
        </w:rPr>
        <w:t xml:space="preserve"> spatial concentration of industries is widespread</w:t>
      </w:r>
      <w:r w:rsidR="00860C29">
        <w:rPr>
          <w:rFonts w:ascii="Times New Roman" w:hAnsi="Times New Roman"/>
          <w:lang w:val="en-US"/>
        </w:rPr>
        <w:t xml:space="preserve"> in Europe</w:t>
      </w:r>
      <w:r w:rsidR="002E05C9" w:rsidRPr="00504D7E">
        <w:rPr>
          <w:rFonts w:ascii="Times New Roman" w:hAnsi="Times New Roman"/>
          <w:lang w:val="en-US"/>
        </w:rPr>
        <w:t>, as</w:t>
      </w:r>
      <w:r w:rsidRPr="00504D7E">
        <w:rPr>
          <w:rFonts w:ascii="Times New Roman" w:hAnsi="Times New Roman"/>
          <w:lang w:val="en-US"/>
        </w:rPr>
        <w:t xml:space="preserve"> a significant departure from a </w:t>
      </w:r>
      <w:r w:rsidR="00C775BA" w:rsidRPr="00504D7E">
        <w:rPr>
          <w:rFonts w:ascii="Times New Roman" w:hAnsi="Times New Roman"/>
          <w:lang w:val="en-US"/>
        </w:rPr>
        <w:t xml:space="preserve">uniform </w:t>
      </w:r>
      <w:r w:rsidRPr="00504D7E">
        <w:rPr>
          <w:rFonts w:ascii="Times New Roman" w:hAnsi="Times New Roman"/>
          <w:lang w:val="en-US"/>
        </w:rPr>
        <w:t>location scenario is common</w:t>
      </w:r>
      <w:r w:rsidR="002E05C9" w:rsidRPr="00504D7E">
        <w:rPr>
          <w:rFonts w:ascii="Times New Roman" w:hAnsi="Times New Roman"/>
          <w:lang w:val="en-US"/>
        </w:rPr>
        <w:t xml:space="preserve"> to all the manufacturing sectors investigated</w:t>
      </w:r>
      <w:r w:rsidRPr="00504D7E">
        <w:rPr>
          <w:rFonts w:ascii="Times New Roman" w:hAnsi="Times New Roman"/>
          <w:lang w:val="en-US"/>
        </w:rPr>
        <w:t xml:space="preserve"> and does not depend on technology intensity, neither it is affected by internal scale economies. </w:t>
      </w:r>
    </w:p>
    <w:p w14:paraId="78CCD102" w14:textId="23D4E9AC" w:rsidR="006829B7" w:rsidRDefault="009F7C61" w:rsidP="00893508">
      <w:pPr>
        <w:spacing w:line="480" w:lineRule="auto"/>
        <w:jc w:val="both"/>
        <w:rPr>
          <w:rFonts w:ascii="Times New Roman" w:hAnsi="Times New Roman"/>
          <w:lang w:val="en-US"/>
        </w:rPr>
      </w:pPr>
      <w:r w:rsidRPr="00504D7E">
        <w:rPr>
          <w:rFonts w:ascii="Times New Roman" w:hAnsi="Times New Roman"/>
          <w:lang w:val="en-US"/>
        </w:rPr>
        <w:t xml:space="preserve">As for relative entropies, </w:t>
      </w:r>
      <w:r w:rsidR="00BF650F">
        <w:rPr>
          <w:rFonts w:ascii="Times New Roman" w:hAnsi="Times New Roman"/>
          <w:lang w:val="en-US"/>
        </w:rPr>
        <w:t>w</w:t>
      </w:r>
      <w:r w:rsidR="00893508">
        <w:rPr>
          <w:rFonts w:ascii="Times New Roman" w:hAnsi="Times New Roman"/>
          <w:lang w:val="en-US"/>
        </w:rPr>
        <w:t xml:space="preserve">e suggest that a significant divergence </w:t>
      </w:r>
      <w:proofErr w:type="gramStart"/>
      <w:r w:rsidR="00893508">
        <w:rPr>
          <w:rFonts w:ascii="Times New Roman" w:hAnsi="Times New Roman"/>
          <w:lang w:val="en-US"/>
        </w:rPr>
        <w:t xml:space="preserve">can be </w:t>
      </w:r>
      <w:r w:rsidR="006829B7">
        <w:rPr>
          <w:rFonts w:ascii="Times New Roman" w:hAnsi="Times New Roman"/>
          <w:lang w:val="en-US"/>
        </w:rPr>
        <w:t>related</w:t>
      </w:r>
      <w:proofErr w:type="gramEnd"/>
      <w:r w:rsidR="006829B7">
        <w:rPr>
          <w:rFonts w:ascii="Times New Roman" w:hAnsi="Times New Roman"/>
          <w:lang w:val="en-US"/>
        </w:rPr>
        <w:t xml:space="preserve"> to</w:t>
      </w:r>
      <w:r w:rsidR="00893508">
        <w:rPr>
          <w:rFonts w:ascii="Times New Roman" w:hAnsi="Times New Roman"/>
          <w:lang w:val="en-US"/>
        </w:rPr>
        <w:t xml:space="preserve"> competitiveness, in line with the view that heterogeneity in firm size within a sector may signal greater experimentation </w:t>
      </w:r>
      <w:r w:rsidR="00893508">
        <w:rPr>
          <w:rFonts w:ascii="Times New Roman" w:hAnsi="Times New Roman"/>
          <w:lang w:val="en-US"/>
        </w:rPr>
        <w:lastRenderedPageBreak/>
        <w:t xml:space="preserve">of new entrants and successful dynamics of </w:t>
      </w:r>
      <w:r w:rsidR="00893508" w:rsidRPr="00107E38">
        <w:rPr>
          <w:rFonts w:ascii="Times New Roman" w:hAnsi="Times New Roman"/>
          <w:lang w:val="en-US"/>
        </w:rPr>
        <w:t>most innovative and productive companies</w:t>
      </w:r>
      <w:r w:rsidR="004E3B0A">
        <w:rPr>
          <w:rFonts w:ascii="Times New Roman" w:hAnsi="Times New Roman"/>
          <w:lang w:val="en-US"/>
        </w:rPr>
        <w:t xml:space="preserve"> but</w:t>
      </w:r>
      <w:r w:rsidR="006829B7">
        <w:rPr>
          <w:rFonts w:ascii="Times New Roman" w:hAnsi="Times New Roman"/>
          <w:lang w:val="en-US"/>
        </w:rPr>
        <w:t xml:space="preserve"> this first intuition requires </w:t>
      </w:r>
      <w:r w:rsidR="00B305ED">
        <w:rPr>
          <w:rFonts w:ascii="Times New Roman" w:hAnsi="Times New Roman"/>
          <w:lang w:val="en-US"/>
        </w:rPr>
        <w:t>to be corroborated. In particular, it is important to</w:t>
      </w:r>
      <w:r w:rsidR="007379FD">
        <w:rPr>
          <w:rFonts w:ascii="Times New Roman" w:hAnsi="Times New Roman"/>
          <w:lang w:val="en-US"/>
        </w:rPr>
        <w:t xml:space="preserve"> understand why </w:t>
      </w:r>
      <w:r w:rsidR="007379FD" w:rsidRPr="007379FD">
        <w:rPr>
          <w:rFonts w:ascii="Times New Roman" w:hAnsi="Times New Roman"/>
          <w:lang w:val="en-US"/>
        </w:rPr>
        <w:t xml:space="preserve">some regions are more apt to favor </w:t>
      </w:r>
      <w:r w:rsidR="007379FD">
        <w:rPr>
          <w:rFonts w:ascii="Times New Roman" w:hAnsi="Times New Roman"/>
          <w:lang w:val="en-US"/>
        </w:rPr>
        <w:t xml:space="preserve">heterogeneity and </w:t>
      </w:r>
      <w:r w:rsidR="007379FD" w:rsidRPr="007379FD">
        <w:rPr>
          <w:rFonts w:ascii="Times New Roman" w:hAnsi="Times New Roman"/>
          <w:lang w:val="en-US"/>
        </w:rPr>
        <w:t>the growth of firms and establishments while other are not</w:t>
      </w:r>
      <w:r w:rsidR="007379FD">
        <w:rPr>
          <w:rFonts w:ascii="Times New Roman" w:hAnsi="Times New Roman"/>
          <w:lang w:val="en-US"/>
        </w:rPr>
        <w:t>.</w:t>
      </w:r>
      <w:r w:rsidR="007379FD" w:rsidRPr="007379FD">
        <w:rPr>
          <w:rFonts w:ascii="Times New Roman" w:hAnsi="Times New Roman"/>
          <w:lang w:val="en-US"/>
        </w:rPr>
        <w:t xml:space="preserve"> These are promising lines of further research that may help policy makers to define appropriate development policies to foster competitiveness at the local level.</w:t>
      </w:r>
    </w:p>
    <w:p w14:paraId="46602A39" w14:textId="1C8370A7" w:rsidR="004E3B0A" w:rsidRDefault="006829B7" w:rsidP="004E3B0A">
      <w:pPr>
        <w:spacing w:line="480" w:lineRule="auto"/>
        <w:jc w:val="both"/>
        <w:rPr>
          <w:rFonts w:ascii="Times New Roman" w:hAnsi="Times New Roman"/>
          <w:lang w:val="en-US"/>
        </w:rPr>
      </w:pPr>
      <w:r w:rsidRPr="006829B7">
        <w:rPr>
          <w:rFonts w:ascii="Times New Roman" w:hAnsi="Times New Roman"/>
          <w:lang w:val="en-US"/>
        </w:rPr>
        <w:t xml:space="preserve">Although the study has successfully demonstrated </w:t>
      </w:r>
      <w:r>
        <w:rPr>
          <w:rFonts w:ascii="Times New Roman" w:hAnsi="Times New Roman"/>
          <w:lang w:val="en-US"/>
        </w:rPr>
        <w:t>some empirical regularities in the spatial distribution of employees and establishments,</w:t>
      </w:r>
      <w:r w:rsidRPr="006829B7">
        <w:rPr>
          <w:rFonts w:ascii="Times New Roman" w:hAnsi="Times New Roman"/>
          <w:lang w:val="en-US"/>
        </w:rPr>
        <w:t xml:space="preserve"> it </w:t>
      </w:r>
      <w:r w:rsidR="00B305ED">
        <w:rPr>
          <w:rFonts w:ascii="Times New Roman" w:hAnsi="Times New Roman"/>
          <w:lang w:val="en-US"/>
        </w:rPr>
        <w:t xml:space="preserve">is </w:t>
      </w:r>
      <w:r w:rsidR="00B305ED" w:rsidRPr="00B305ED">
        <w:rPr>
          <w:rFonts w:ascii="Times New Roman" w:hAnsi="Times New Roman"/>
          <w:lang w:val="en-US"/>
        </w:rPr>
        <w:t xml:space="preserve">subject to at least </w:t>
      </w:r>
      <w:r w:rsidR="004E3B0A">
        <w:rPr>
          <w:rFonts w:ascii="Times New Roman" w:hAnsi="Times New Roman"/>
          <w:lang w:val="en-US"/>
        </w:rPr>
        <w:t>three</w:t>
      </w:r>
      <w:r w:rsidR="00B305ED" w:rsidRPr="00B305ED">
        <w:rPr>
          <w:rFonts w:ascii="Times New Roman" w:hAnsi="Times New Roman"/>
          <w:lang w:val="en-US"/>
        </w:rPr>
        <w:t xml:space="preserve"> limitations</w:t>
      </w:r>
      <w:r w:rsidR="00B305ED">
        <w:rPr>
          <w:rFonts w:ascii="Times New Roman" w:hAnsi="Times New Roman"/>
          <w:lang w:val="en-US"/>
        </w:rPr>
        <w:t xml:space="preserve">, in terms of </w:t>
      </w:r>
      <w:r w:rsidR="004E3B0A">
        <w:rPr>
          <w:rFonts w:ascii="Times New Roman" w:hAnsi="Times New Roman"/>
          <w:lang w:val="en-US"/>
        </w:rPr>
        <w:t>geographical</w:t>
      </w:r>
      <w:r w:rsidR="00B305ED">
        <w:rPr>
          <w:rFonts w:ascii="Times New Roman" w:hAnsi="Times New Roman"/>
          <w:lang w:val="en-US"/>
        </w:rPr>
        <w:t xml:space="preserve"> coverage, sectoral coverage</w:t>
      </w:r>
      <w:r w:rsidR="00B305ED" w:rsidRPr="00B305ED">
        <w:rPr>
          <w:rFonts w:ascii="Times New Roman" w:hAnsi="Times New Roman"/>
          <w:lang w:val="en-US"/>
        </w:rPr>
        <w:t xml:space="preserve"> </w:t>
      </w:r>
      <w:r w:rsidR="00B305ED">
        <w:rPr>
          <w:rFonts w:ascii="Times New Roman" w:hAnsi="Times New Roman"/>
          <w:lang w:val="en-US"/>
        </w:rPr>
        <w:t>and theoretical explanations</w:t>
      </w:r>
      <w:r>
        <w:rPr>
          <w:rFonts w:ascii="Times New Roman" w:hAnsi="Times New Roman"/>
          <w:lang w:val="en-US"/>
        </w:rPr>
        <w:t>. We briefly recall them.</w:t>
      </w:r>
      <w:r w:rsidR="00B305ED">
        <w:rPr>
          <w:rFonts w:ascii="Times New Roman" w:hAnsi="Times New Roman"/>
          <w:lang w:val="en-US"/>
        </w:rPr>
        <w:t xml:space="preserve"> </w:t>
      </w:r>
    </w:p>
    <w:p w14:paraId="5CFC02F1" w14:textId="1B026818" w:rsidR="004E3B0A" w:rsidRDefault="004E3B0A" w:rsidP="004E3B0A">
      <w:pPr>
        <w:spacing w:line="480" w:lineRule="auto"/>
        <w:jc w:val="both"/>
        <w:rPr>
          <w:rFonts w:ascii="Times New Roman" w:hAnsi="Times New Roman"/>
          <w:lang w:val="en-US"/>
        </w:rPr>
      </w:pPr>
      <w:r w:rsidRPr="00B305ED">
        <w:rPr>
          <w:rFonts w:ascii="Times New Roman" w:hAnsi="Times New Roman"/>
          <w:lang w:val="en-US"/>
        </w:rPr>
        <w:t xml:space="preserve">A </w:t>
      </w:r>
      <w:r>
        <w:rPr>
          <w:rFonts w:ascii="Times New Roman" w:hAnsi="Times New Roman"/>
          <w:lang w:val="en-US"/>
        </w:rPr>
        <w:t xml:space="preserve">first </w:t>
      </w:r>
      <w:r w:rsidRPr="00B305ED">
        <w:rPr>
          <w:rFonts w:ascii="Times New Roman" w:hAnsi="Times New Roman"/>
          <w:lang w:val="en-US"/>
        </w:rPr>
        <w:t>limitation of this study is that</w:t>
      </w:r>
      <w:r>
        <w:rPr>
          <w:rFonts w:ascii="Times New Roman" w:hAnsi="Times New Roman"/>
          <w:lang w:val="en-US"/>
        </w:rPr>
        <w:t xml:space="preserve"> it</w:t>
      </w:r>
      <w:r w:rsidRPr="004E3B0A">
        <w:rPr>
          <w:rFonts w:ascii="Times New Roman" w:hAnsi="Times New Roman"/>
          <w:lang w:val="en-US"/>
        </w:rPr>
        <w:t xml:space="preserve"> focuses on the European context</w:t>
      </w:r>
      <w:r>
        <w:rPr>
          <w:rFonts w:ascii="Times New Roman" w:hAnsi="Times New Roman"/>
          <w:lang w:val="en-US"/>
        </w:rPr>
        <w:t>. E</w:t>
      </w:r>
      <w:r w:rsidRPr="004E3B0A">
        <w:rPr>
          <w:rFonts w:ascii="Times New Roman" w:hAnsi="Times New Roman"/>
          <w:lang w:val="en-US"/>
        </w:rPr>
        <w:t>qually important would be to extend the analysis to the United States for which data is available on a larger scale and especially to other rapidly growing geographic areas, such as Asia.</w:t>
      </w:r>
    </w:p>
    <w:p w14:paraId="4BA80C40" w14:textId="150DB2ED" w:rsidR="004E3B0A" w:rsidRDefault="004E3B0A" w:rsidP="004E3B0A">
      <w:pPr>
        <w:spacing w:line="480" w:lineRule="auto"/>
        <w:jc w:val="both"/>
        <w:rPr>
          <w:rFonts w:ascii="Times New Roman" w:hAnsi="Times New Roman"/>
          <w:lang w:val="en-US"/>
        </w:rPr>
      </w:pPr>
      <w:r>
        <w:rPr>
          <w:rFonts w:ascii="Times New Roman" w:hAnsi="Times New Roman"/>
          <w:lang w:val="en-US"/>
        </w:rPr>
        <w:t>Second</w:t>
      </w:r>
      <w:r w:rsidRPr="00BF650F">
        <w:rPr>
          <w:rFonts w:ascii="Times New Roman" w:hAnsi="Times New Roman"/>
          <w:lang w:val="en-US"/>
        </w:rPr>
        <w:t xml:space="preserve">, </w:t>
      </w:r>
      <w:r w:rsidRPr="00B305ED">
        <w:rPr>
          <w:rFonts w:ascii="Times New Roman" w:hAnsi="Times New Roman"/>
          <w:lang w:val="en-US"/>
        </w:rPr>
        <w:t xml:space="preserve">the </w:t>
      </w:r>
      <w:r>
        <w:rPr>
          <w:rFonts w:ascii="Times New Roman" w:hAnsi="Times New Roman"/>
          <w:lang w:val="en-US"/>
        </w:rPr>
        <w:t>present analysis</w:t>
      </w:r>
      <w:r w:rsidRPr="00B305ED">
        <w:rPr>
          <w:rFonts w:ascii="Times New Roman" w:hAnsi="Times New Roman"/>
          <w:lang w:val="en-US"/>
        </w:rPr>
        <w:t xml:space="preserve"> used a convenience sample</w:t>
      </w:r>
      <w:r w:rsidR="00FB3CE9">
        <w:rPr>
          <w:rFonts w:ascii="Times New Roman" w:hAnsi="Times New Roman"/>
          <w:lang w:val="en-US"/>
        </w:rPr>
        <w:t xml:space="preserve"> as d</w:t>
      </w:r>
      <w:r w:rsidR="00FB3CE9" w:rsidRPr="00FB3CE9">
        <w:rPr>
          <w:rFonts w:ascii="Times New Roman" w:hAnsi="Times New Roman"/>
          <w:lang w:val="en-US"/>
        </w:rPr>
        <w:t>etailed sectoral-regional data with a pan-European coverage are in short supply.</w:t>
      </w:r>
      <w:r w:rsidR="00FB3CE9">
        <w:rPr>
          <w:rFonts w:ascii="Times New Roman" w:hAnsi="Times New Roman"/>
          <w:lang w:val="en-US"/>
        </w:rPr>
        <w:t xml:space="preserve"> Hence, </w:t>
      </w:r>
      <w:r w:rsidRPr="00BF650F">
        <w:rPr>
          <w:rFonts w:ascii="Times New Roman" w:hAnsi="Times New Roman"/>
          <w:lang w:val="en-US"/>
        </w:rPr>
        <w:t>the analysis concerns only the manufacturing sectors</w:t>
      </w:r>
      <w:r>
        <w:rPr>
          <w:rFonts w:ascii="Times New Roman" w:hAnsi="Times New Roman"/>
          <w:lang w:val="en-US"/>
        </w:rPr>
        <w:t xml:space="preserve"> due to</w:t>
      </w:r>
      <w:r w:rsidRPr="004E3B0A">
        <w:rPr>
          <w:rFonts w:ascii="Times New Roman" w:hAnsi="Times New Roman"/>
          <w:lang w:val="en-US"/>
        </w:rPr>
        <w:t xml:space="preserve"> the absence of</w:t>
      </w:r>
      <w:r>
        <w:rPr>
          <w:rFonts w:ascii="Times New Roman" w:hAnsi="Times New Roman"/>
          <w:lang w:val="en-US"/>
        </w:rPr>
        <w:t xml:space="preserve"> reliable data on services</w:t>
      </w:r>
      <w:r w:rsidRPr="00BF650F">
        <w:rPr>
          <w:rFonts w:ascii="Times New Roman" w:hAnsi="Times New Roman"/>
          <w:lang w:val="en-US"/>
        </w:rPr>
        <w:t xml:space="preserve">. </w:t>
      </w:r>
      <w:r>
        <w:rPr>
          <w:rFonts w:ascii="Times New Roman" w:hAnsi="Times New Roman"/>
          <w:lang w:val="en-US"/>
        </w:rPr>
        <w:t>It goes without saying that</w:t>
      </w:r>
      <w:r w:rsidRPr="00BF650F">
        <w:rPr>
          <w:rFonts w:ascii="Times New Roman" w:hAnsi="Times New Roman"/>
          <w:lang w:val="en-US"/>
        </w:rPr>
        <w:t xml:space="preserve"> </w:t>
      </w:r>
      <w:r>
        <w:rPr>
          <w:rFonts w:ascii="Times New Roman" w:hAnsi="Times New Roman"/>
          <w:lang w:val="en-US"/>
        </w:rPr>
        <w:t>the</w:t>
      </w:r>
      <w:r w:rsidRPr="00BF650F">
        <w:rPr>
          <w:rFonts w:ascii="Times New Roman" w:hAnsi="Times New Roman"/>
          <w:lang w:val="en-US"/>
        </w:rPr>
        <w:t xml:space="preserve"> analysis of localization</w:t>
      </w:r>
      <w:r>
        <w:rPr>
          <w:rFonts w:ascii="Times New Roman" w:hAnsi="Times New Roman"/>
          <w:lang w:val="en-US"/>
        </w:rPr>
        <w:t xml:space="preserve"> of economic activities</w:t>
      </w:r>
      <w:r w:rsidRPr="00BF650F">
        <w:rPr>
          <w:rFonts w:ascii="Times New Roman" w:hAnsi="Times New Roman"/>
          <w:lang w:val="en-US"/>
        </w:rPr>
        <w:t xml:space="preserve"> of contemporary economic systems cannot ignore the service sectors. </w:t>
      </w:r>
      <w:r>
        <w:rPr>
          <w:rFonts w:ascii="Times New Roman" w:hAnsi="Times New Roman"/>
          <w:lang w:val="en-US"/>
        </w:rPr>
        <w:t>In particular</w:t>
      </w:r>
      <w:r w:rsidRPr="004713A9">
        <w:rPr>
          <w:rFonts w:ascii="Times New Roman" w:hAnsi="Times New Roman"/>
          <w:lang w:val="en-US"/>
        </w:rPr>
        <w:t>, services make up the largest sector in most European economies and there are services that are of great importance for the distribution of regional income and welfare</w:t>
      </w:r>
      <w:r>
        <w:rPr>
          <w:rFonts w:ascii="Times New Roman" w:hAnsi="Times New Roman"/>
          <w:lang w:val="en-US"/>
        </w:rPr>
        <w:t xml:space="preserve">. </w:t>
      </w:r>
      <w:r w:rsidRPr="004713A9">
        <w:rPr>
          <w:rFonts w:ascii="Times New Roman" w:hAnsi="Times New Roman"/>
          <w:lang w:val="en-US"/>
        </w:rPr>
        <w:t xml:space="preserve">Any full assessment of </w:t>
      </w:r>
      <w:r>
        <w:rPr>
          <w:rFonts w:ascii="Times New Roman" w:hAnsi="Times New Roman"/>
          <w:lang w:val="en-US"/>
        </w:rPr>
        <w:t xml:space="preserve">spatial </w:t>
      </w:r>
      <w:r w:rsidRPr="004713A9">
        <w:rPr>
          <w:rFonts w:ascii="Times New Roman" w:hAnsi="Times New Roman"/>
          <w:lang w:val="en-US"/>
        </w:rPr>
        <w:t>concentration in Europe should include them.</w:t>
      </w:r>
    </w:p>
    <w:p w14:paraId="6DE99C3B" w14:textId="1A912960" w:rsidR="006829B7" w:rsidRPr="004E3B0A" w:rsidRDefault="004E3B0A" w:rsidP="00FB3CE9">
      <w:pPr>
        <w:spacing w:line="480" w:lineRule="auto"/>
        <w:jc w:val="both"/>
        <w:rPr>
          <w:rFonts w:ascii="Times New Roman" w:hAnsi="Times New Roman"/>
          <w:lang w:val="en-US"/>
        </w:rPr>
      </w:pPr>
      <w:r>
        <w:rPr>
          <w:rFonts w:ascii="Times New Roman" w:hAnsi="Times New Roman"/>
          <w:lang w:val="en-US"/>
        </w:rPr>
        <w:t>Third, d</w:t>
      </w:r>
      <w:r w:rsidRPr="004E3B0A">
        <w:rPr>
          <w:rFonts w:ascii="Times New Roman" w:hAnsi="Times New Roman"/>
          <w:lang w:val="en-US"/>
        </w:rPr>
        <w:t xml:space="preserve">espite its </w:t>
      </w:r>
      <w:r w:rsidRPr="00BF650F">
        <w:rPr>
          <w:rFonts w:ascii="Times New Roman" w:hAnsi="Times New Roman"/>
          <w:lang w:val="en-US"/>
        </w:rPr>
        <w:t>eminently descriptive</w:t>
      </w:r>
      <w:r w:rsidRPr="004E3B0A">
        <w:rPr>
          <w:rFonts w:ascii="Times New Roman" w:hAnsi="Times New Roman"/>
          <w:lang w:val="en-US"/>
        </w:rPr>
        <w:t xml:space="preserve"> nature, this study offers some insight into </w:t>
      </w:r>
      <w:r>
        <w:rPr>
          <w:rFonts w:ascii="Times New Roman" w:hAnsi="Times New Roman"/>
          <w:lang w:val="en-US"/>
        </w:rPr>
        <w:t xml:space="preserve">the possible theoretical explanations that </w:t>
      </w:r>
      <w:r w:rsidRPr="00BF650F">
        <w:rPr>
          <w:rFonts w:ascii="Times New Roman" w:hAnsi="Times New Roman"/>
          <w:lang w:val="en-US"/>
        </w:rPr>
        <w:t>lies behind the observed spatial configurations</w:t>
      </w:r>
      <w:r>
        <w:rPr>
          <w:rFonts w:ascii="Times New Roman" w:hAnsi="Times New Roman"/>
          <w:lang w:val="en-US"/>
        </w:rPr>
        <w:t xml:space="preserve">. Nevertheless, further investigation is needed in this </w:t>
      </w:r>
      <w:r w:rsidRPr="004E3B0A">
        <w:rPr>
          <w:rFonts w:ascii="Times New Roman" w:hAnsi="Times New Roman"/>
          <w:lang w:val="en-US"/>
        </w:rPr>
        <w:t>area</w:t>
      </w:r>
      <w:r w:rsidR="00FB3CE9">
        <w:rPr>
          <w:rFonts w:ascii="Times New Roman" w:hAnsi="Times New Roman"/>
          <w:lang w:val="en-US"/>
        </w:rPr>
        <w:t xml:space="preserve">, </w:t>
      </w:r>
      <w:r>
        <w:rPr>
          <w:rFonts w:ascii="Times New Roman" w:hAnsi="Times New Roman"/>
          <w:lang w:val="en-US"/>
        </w:rPr>
        <w:t xml:space="preserve">to improve the </w:t>
      </w:r>
      <w:r w:rsidR="00FB3CE9">
        <w:rPr>
          <w:rFonts w:ascii="Times New Roman" w:hAnsi="Times New Roman"/>
          <w:lang w:val="en-US"/>
        </w:rPr>
        <w:t>economic interpretation and the robustness</w:t>
      </w:r>
      <w:r>
        <w:rPr>
          <w:rFonts w:ascii="Times New Roman" w:hAnsi="Times New Roman"/>
          <w:lang w:val="en-US"/>
        </w:rPr>
        <w:t xml:space="preserve"> of our findings</w:t>
      </w:r>
      <w:r w:rsidRPr="00BF650F">
        <w:rPr>
          <w:rFonts w:ascii="Times New Roman" w:hAnsi="Times New Roman"/>
          <w:lang w:val="en-US"/>
        </w:rPr>
        <w:t>.</w:t>
      </w:r>
    </w:p>
    <w:p w14:paraId="0B284782" w14:textId="3B26B2CF" w:rsidR="00695A7E" w:rsidRPr="00504D7E" w:rsidRDefault="00BF650F" w:rsidP="00916CC2">
      <w:pPr>
        <w:spacing w:line="480" w:lineRule="auto"/>
        <w:jc w:val="both"/>
        <w:rPr>
          <w:rFonts w:ascii="Times New Roman" w:hAnsi="Times New Roman"/>
          <w:lang w:val="en-US"/>
        </w:rPr>
      </w:pPr>
      <w:r>
        <w:rPr>
          <w:rFonts w:ascii="Times New Roman" w:hAnsi="Times New Roman"/>
          <w:lang w:val="en-US"/>
        </w:rPr>
        <w:t xml:space="preserve">There are also possible improvements of the testing procedure. </w:t>
      </w:r>
      <w:r w:rsidR="00695A7E" w:rsidRPr="00504D7E">
        <w:rPr>
          <w:rFonts w:ascii="Times New Roman" w:hAnsi="Times New Roman"/>
          <w:lang w:val="en-US"/>
        </w:rPr>
        <w:t>A</w:t>
      </w:r>
      <w:r w:rsidR="00916CC2" w:rsidRPr="00504D7E">
        <w:rPr>
          <w:rFonts w:ascii="Times New Roman" w:hAnsi="Times New Roman"/>
          <w:lang w:val="en-US"/>
        </w:rPr>
        <w:t xml:space="preserve"> promising direction for a methodological advancement could be to refine the testing procedure with a counterfactual scenario embedded in a consistent nested model of location choice able to take into account different spatial scales. This method is versatile, and with the appropriate definition of </w:t>
      </w:r>
      <w:r w:rsidR="00695A7E" w:rsidRPr="00504D7E">
        <w:rPr>
          <w:rFonts w:ascii="Times New Roman" w:hAnsi="Times New Roman"/>
          <w:lang w:val="en-US"/>
        </w:rPr>
        <w:t xml:space="preserve">the </w:t>
      </w:r>
      <w:r w:rsidR="00916CC2" w:rsidRPr="00504D7E">
        <w:rPr>
          <w:rFonts w:ascii="Times New Roman" w:hAnsi="Times New Roman"/>
          <w:lang w:val="en-US"/>
        </w:rPr>
        <w:t xml:space="preserve">variable of interest, </w:t>
      </w:r>
      <w:r w:rsidR="00916CC2" w:rsidRPr="00504D7E">
        <w:rPr>
          <w:rFonts w:ascii="Times New Roman" w:hAnsi="Times New Roman"/>
          <w:lang w:val="en-US"/>
        </w:rPr>
        <w:lastRenderedPageBreak/>
        <w:t xml:space="preserve">counterfactual distributions and location model, it may be easily adapted to different research questions. Particularly, it could be used to evaluate the strength of other relevant agglomeration and dispersion forces like urbanization economies and the distribution of final demand (market potential). </w:t>
      </w:r>
    </w:p>
    <w:p w14:paraId="016553DC" w14:textId="07ADDF18" w:rsidR="00180212" w:rsidRPr="00504D7E" w:rsidRDefault="0008231F" w:rsidP="00E708C4">
      <w:pPr>
        <w:spacing w:line="480" w:lineRule="auto"/>
        <w:jc w:val="both"/>
        <w:rPr>
          <w:rFonts w:ascii="Times New Roman" w:hAnsi="Times New Roman"/>
          <w:lang w:val="en-US"/>
        </w:rPr>
      </w:pPr>
      <w:r>
        <w:rPr>
          <w:rFonts w:ascii="Times New Roman" w:hAnsi="Times New Roman"/>
          <w:lang w:val="en-US"/>
        </w:rPr>
        <w:t>E</w:t>
      </w:r>
      <w:r w:rsidRPr="00504D7E">
        <w:rPr>
          <w:rFonts w:ascii="Times New Roman" w:hAnsi="Times New Roman"/>
          <w:lang w:val="en-US"/>
        </w:rPr>
        <w:t xml:space="preserve">ntropy </w:t>
      </w:r>
      <w:r w:rsidR="00180212" w:rsidRPr="00504D7E">
        <w:rPr>
          <w:rFonts w:ascii="Times New Roman" w:hAnsi="Times New Roman"/>
          <w:lang w:val="en-US"/>
        </w:rPr>
        <w:t>measures and the methodology developed here to test for sign</w:t>
      </w:r>
      <w:r w:rsidR="00675D88" w:rsidRPr="00504D7E">
        <w:rPr>
          <w:rFonts w:ascii="Times New Roman" w:hAnsi="Times New Roman"/>
          <w:lang w:val="en-US"/>
        </w:rPr>
        <w:t>i</w:t>
      </w:r>
      <w:r w:rsidR="00180212" w:rsidRPr="00504D7E">
        <w:rPr>
          <w:rFonts w:ascii="Times New Roman" w:hAnsi="Times New Roman"/>
          <w:lang w:val="en-US"/>
        </w:rPr>
        <w:t xml:space="preserve">ficant localization may be helpful in the context of public choices and public planning. </w:t>
      </w:r>
      <w:r w:rsidR="00BF24AB">
        <w:rPr>
          <w:rFonts w:ascii="Times New Roman" w:hAnsi="Times New Roman"/>
          <w:lang w:val="en-US"/>
        </w:rPr>
        <w:t xml:space="preserve">In particular, </w:t>
      </w:r>
      <w:r w:rsidR="00180212" w:rsidRPr="00504D7E">
        <w:rPr>
          <w:rFonts w:ascii="Times New Roman" w:hAnsi="Times New Roman"/>
          <w:lang w:val="en-US"/>
        </w:rPr>
        <w:t xml:space="preserve">location policies can benefit from an empirical analysis able to assess whether </w:t>
      </w:r>
      <w:r w:rsidR="00BF650F">
        <w:rPr>
          <w:rFonts w:ascii="Times New Roman" w:hAnsi="Times New Roman"/>
          <w:lang w:val="en-US"/>
        </w:rPr>
        <w:t xml:space="preserve">industries </w:t>
      </w:r>
      <w:proofErr w:type="gramStart"/>
      <w:r w:rsidR="00BF650F" w:rsidRPr="00504D7E">
        <w:rPr>
          <w:rFonts w:ascii="Times New Roman" w:hAnsi="Times New Roman"/>
          <w:lang w:val="en-US"/>
        </w:rPr>
        <w:t>are</w:t>
      </w:r>
      <w:r w:rsidR="00180212" w:rsidRPr="00504D7E">
        <w:rPr>
          <w:rFonts w:ascii="Times New Roman" w:hAnsi="Times New Roman"/>
          <w:lang w:val="en-US"/>
        </w:rPr>
        <w:t xml:space="preserve"> significantly localized</w:t>
      </w:r>
      <w:proofErr w:type="gramEnd"/>
      <w:r w:rsidR="00180212" w:rsidRPr="00504D7E">
        <w:rPr>
          <w:rFonts w:ascii="Times New Roman" w:hAnsi="Times New Roman"/>
          <w:lang w:val="en-US"/>
        </w:rPr>
        <w:t>, so to evaluate the costs and benefits associated with the current state of the system and with its possible changes.</w:t>
      </w:r>
    </w:p>
    <w:p w14:paraId="7CEBD1FB" w14:textId="37B44A18" w:rsidR="00916CC2" w:rsidRPr="00504D7E" w:rsidRDefault="00916CC2" w:rsidP="00916CC2">
      <w:pPr>
        <w:spacing w:line="480" w:lineRule="auto"/>
        <w:jc w:val="both"/>
        <w:rPr>
          <w:rFonts w:ascii="Times New Roman" w:hAnsi="Times New Roman"/>
          <w:lang w:val="en-US"/>
        </w:rPr>
      </w:pPr>
      <w:r w:rsidRPr="00504D7E">
        <w:rPr>
          <w:rFonts w:ascii="Times New Roman" w:hAnsi="Times New Roman"/>
          <w:lang w:val="en-US"/>
        </w:rPr>
        <w:t>A further possible avenue for future research should be to verify whether the results on the significance of spatial concentration are consistent with evidence arising through the methods based on spatial point patterns.</w:t>
      </w:r>
    </w:p>
    <w:p w14:paraId="7D22F0B3" w14:textId="77777777" w:rsidR="004713A9" w:rsidRDefault="004713A9" w:rsidP="005C0E7F">
      <w:pPr>
        <w:spacing w:line="480" w:lineRule="auto"/>
        <w:jc w:val="both"/>
        <w:rPr>
          <w:lang w:val="en-US"/>
        </w:rPr>
      </w:pPr>
    </w:p>
    <w:p w14:paraId="3F81037A" w14:textId="77777777" w:rsidR="004713A9" w:rsidRDefault="004713A9" w:rsidP="005C0E7F">
      <w:pPr>
        <w:spacing w:line="480" w:lineRule="auto"/>
        <w:jc w:val="both"/>
        <w:rPr>
          <w:rFonts w:ascii="Times New Roman" w:hAnsi="Times New Roman"/>
          <w:lang w:val="en-US"/>
        </w:rPr>
      </w:pPr>
    </w:p>
    <w:p w14:paraId="7DE393E6" w14:textId="197BDAAE" w:rsidR="004713A9" w:rsidRPr="00504D7E" w:rsidRDefault="004713A9" w:rsidP="005C0E7F">
      <w:pPr>
        <w:spacing w:line="480" w:lineRule="auto"/>
        <w:jc w:val="both"/>
        <w:rPr>
          <w:rFonts w:ascii="Times New Roman" w:hAnsi="Times New Roman"/>
          <w:lang w:val="en-US"/>
        </w:rPr>
        <w:sectPr w:rsidR="004713A9" w:rsidRPr="00504D7E" w:rsidSect="00F70153">
          <w:footerReference w:type="even" r:id="rId12"/>
          <w:footerReference w:type="default" r:id="rId13"/>
          <w:pgSz w:w="11906" w:h="16838"/>
          <w:pgMar w:top="1417" w:right="1134" w:bottom="1134" w:left="1134" w:header="708" w:footer="708" w:gutter="0"/>
          <w:cols w:space="708"/>
          <w:docGrid w:linePitch="360"/>
        </w:sectPr>
      </w:pPr>
    </w:p>
    <w:p w14:paraId="1563E876" w14:textId="69BBB015" w:rsidR="000921B9" w:rsidRPr="00504D7E" w:rsidDel="00690659" w:rsidRDefault="00855074" w:rsidP="00107E38">
      <w:pPr>
        <w:pStyle w:val="Titolo1"/>
        <w:spacing w:line="480" w:lineRule="auto"/>
        <w:rPr>
          <w:lang w:val="en-US"/>
        </w:rPr>
      </w:pPr>
      <w:r>
        <w:rPr>
          <w:color w:val="auto"/>
          <w:lang w:val="en-US"/>
        </w:rPr>
        <w:lastRenderedPageBreak/>
        <w:t>R</w:t>
      </w:r>
      <w:r w:rsidR="00E779E9" w:rsidRPr="00504D7E">
        <w:rPr>
          <w:color w:val="auto"/>
          <w:lang w:val="en-US"/>
        </w:rPr>
        <w:t>eferences</w:t>
      </w:r>
    </w:p>
    <w:p w14:paraId="55C99A2D" w14:textId="2E51E883" w:rsidR="00D45C8C" w:rsidRPr="008A4429" w:rsidRDefault="00D45C8C" w:rsidP="00D45C8C">
      <w:pPr>
        <w:spacing w:line="480" w:lineRule="auto"/>
        <w:ind w:left="284" w:hanging="284"/>
        <w:jc w:val="both"/>
        <w:rPr>
          <w:rFonts w:ascii="Times New Roman" w:eastAsia="Calibri" w:hAnsi="Times New Roman"/>
          <w:lang w:val="en-US"/>
        </w:rPr>
      </w:pPr>
      <w:proofErr w:type="spellStart"/>
      <w:r w:rsidRPr="008A4429">
        <w:rPr>
          <w:rFonts w:ascii="Times New Roman" w:eastAsia="Calibri" w:hAnsi="Times New Roman"/>
          <w:lang w:val="en-US"/>
        </w:rPr>
        <w:t>Aiginger</w:t>
      </w:r>
      <w:proofErr w:type="spellEnd"/>
      <w:r w:rsidRPr="008A4429">
        <w:rPr>
          <w:rFonts w:ascii="Times New Roman" w:eastAsia="Calibri" w:hAnsi="Times New Roman"/>
          <w:lang w:val="en-US"/>
        </w:rPr>
        <w:t>, K. and Rodrik, D. (2020)</w:t>
      </w:r>
      <w:r w:rsidR="006630B8" w:rsidRPr="008A4429">
        <w:rPr>
          <w:rFonts w:ascii="Times New Roman" w:eastAsia="Calibri" w:hAnsi="Times New Roman"/>
          <w:lang w:val="en-US"/>
        </w:rPr>
        <w:t>,</w:t>
      </w:r>
      <w:r w:rsidRPr="008A4429">
        <w:rPr>
          <w:rFonts w:ascii="Times New Roman" w:eastAsia="Calibri" w:hAnsi="Times New Roman"/>
          <w:lang w:val="en-US"/>
        </w:rPr>
        <w:t xml:space="preserve"> Rebirth of Industrial Policy and an Agenda for the Twenty-First</w:t>
      </w:r>
    </w:p>
    <w:p w14:paraId="46AB8915" w14:textId="0768EC2B" w:rsidR="00D45C8C" w:rsidRPr="008A4429" w:rsidRDefault="00D45C8C" w:rsidP="00D45C8C">
      <w:pPr>
        <w:spacing w:line="480" w:lineRule="auto"/>
        <w:ind w:left="284" w:hanging="284"/>
        <w:jc w:val="both"/>
        <w:rPr>
          <w:rFonts w:ascii="Times New Roman" w:eastAsia="Calibri" w:hAnsi="Times New Roman"/>
          <w:lang w:val="en-US"/>
        </w:rPr>
      </w:pPr>
      <w:r w:rsidRPr="008A4429">
        <w:rPr>
          <w:rFonts w:ascii="Times New Roman" w:eastAsia="Calibri" w:hAnsi="Times New Roman"/>
          <w:lang w:val="en-US"/>
        </w:rPr>
        <w:t>Century</w:t>
      </w:r>
      <w:r w:rsidR="006630B8" w:rsidRPr="008A4429">
        <w:rPr>
          <w:rFonts w:ascii="Times New Roman" w:eastAsia="Calibri" w:hAnsi="Times New Roman"/>
          <w:lang w:val="en-US"/>
        </w:rPr>
        <w:t>,</w:t>
      </w:r>
      <w:r w:rsidRPr="008A4429">
        <w:rPr>
          <w:rFonts w:ascii="Times New Roman" w:eastAsia="Calibri" w:hAnsi="Times New Roman"/>
          <w:lang w:val="en-US"/>
        </w:rPr>
        <w:t xml:space="preserve"> </w:t>
      </w:r>
      <w:r w:rsidRPr="008A4429">
        <w:rPr>
          <w:rFonts w:ascii="Times New Roman" w:eastAsia="Calibri" w:hAnsi="Times New Roman"/>
          <w:i/>
          <w:iCs/>
          <w:lang w:val="en-US"/>
        </w:rPr>
        <w:t>Journal of Industry, Competition and Trade</w:t>
      </w:r>
      <w:r w:rsidRPr="008A4429">
        <w:rPr>
          <w:rFonts w:ascii="Times New Roman" w:eastAsia="Calibri" w:hAnsi="Times New Roman"/>
          <w:lang w:val="en-US"/>
        </w:rPr>
        <w:t xml:space="preserve">, Vol. 20, 189–207. </w:t>
      </w:r>
    </w:p>
    <w:p w14:paraId="34D9BB6D" w14:textId="2455E74F" w:rsidR="000921B9" w:rsidRPr="008A4429" w:rsidRDefault="000921B9" w:rsidP="00D45C8C">
      <w:pPr>
        <w:spacing w:line="480" w:lineRule="auto"/>
        <w:ind w:left="284" w:hanging="284"/>
        <w:jc w:val="both"/>
        <w:rPr>
          <w:rFonts w:ascii="Times New Roman" w:eastAsia="Calibri" w:hAnsi="Times New Roman"/>
          <w:lang w:val="en-US"/>
        </w:rPr>
      </w:pPr>
      <w:r w:rsidRPr="008A4429">
        <w:rPr>
          <w:rFonts w:ascii="Times New Roman" w:eastAsia="Calibri" w:hAnsi="Times New Roman"/>
          <w:lang w:val="en-US"/>
        </w:rPr>
        <w:t xml:space="preserve">Alonso-Villar O., Del Río C. </w:t>
      </w:r>
      <w:r w:rsidRPr="008A4429">
        <w:rPr>
          <w:rFonts w:ascii="Times New Roman" w:hAnsi="Times New Roman"/>
          <w:lang w:val="en-US"/>
        </w:rPr>
        <w:t>(2013)</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eastAsia="Calibri" w:hAnsi="Times New Roman"/>
          <w:lang w:val="en-US"/>
        </w:rPr>
        <w:t>Concentration of Economic Activity: An Axiomatic Approach</w:t>
      </w:r>
      <w:r w:rsidR="006630B8" w:rsidRPr="008A4429">
        <w:rPr>
          <w:rFonts w:ascii="Times New Roman" w:eastAsia="Calibri" w:hAnsi="Times New Roman"/>
          <w:lang w:val="en-US"/>
        </w:rPr>
        <w:t>,</w:t>
      </w:r>
      <w:r w:rsidRPr="008A4429">
        <w:rPr>
          <w:rFonts w:ascii="Times New Roman" w:eastAsia="Calibri" w:hAnsi="Times New Roman"/>
          <w:lang w:val="en-US"/>
        </w:rPr>
        <w:t xml:space="preserve"> </w:t>
      </w:r>
      <w:r w:rsidRPr="008A4429">
        <w:rPr>
          <w:rFonts w:ascii="Times New Roman" w:eastAsia="Calibri" w:hAnsi="Times New Roman"/>
          <w:i/>
          <w:lang w:val="en-US"/>
        </w:rPr>
        <w:t>Regional Studies</w:t>
      </w:r>
      <w:r w:rsidRPr="008A4429">
        <w:rPr>
          <w:rFonts w:ascii="Times New Roman" w:eastAsia="Calibri" w:hAnsi="Times New Roman"/>
          <w:lang w:val="en-US"/>
        </w:rPr>
        <w:t xml:space="preserve"> 47(5), 756-772.</w:t>
      </w:r>
    </w:p>
    <w:p w14:paraId="1FF82628" w14:textId="7FFD1057" w:rsidR="000921B9" w:rsidRPr="008A4429" w:rsidRDefault="000921B9" w:rsidP="007F4EAE">
      <w:pPr>
        <w:spacing w:line="480" w:lineRule="auto"/>
        <w:ind w:left="284" w:hanging="284"/>
        <w:jc w:val="both"/>
        <w:rPr>
          <w:rFonts w:ascii="Times New Roman" w:hAnsi="Times New Roman"/>
        </w:rPr>
      </w:pPr>
      <w:proofErr w:type="spellStart"/>
      <w:r w:rsidRPr="008A4429">
        <w:rPr>
          <w:rFonts w:ascii="Times New Roman" w:hAnsi="Times New Roman"/>
          <w:lang w:val="en-US"/>
        </w:rPr>
        <w:t>Arbia</w:t>
      </w:r>
      <w:proofErr w:type="spellEnd"/>
      <w:r w:rsidRPr="008A4429">
        <w:rPr>
          <w:rFonts w:ascii="Times New Roman" w:hAnsi="Times New Roman"/>
          <w:lang w:val="en-US"/>
        </w:rPr>
        <w:t xml:space="preserve"> G. (2001)</w:t>
      </w:r>
      <w:r w:rsidR="006630B8" w:rsidRPr="008A4429">
        <w:rPr>
          <w:rFonts w:ascii="Times New Roman" w:hAnsi="Times New Roman"/>
          <w:lang w:val="en-US"/>
        </w:rPr>
        <w:t>,</w:t>
      </w:r>
      <w:r w:rsidRPr="008A4429">
        <w:rPr>
          <w:rFonts w:ascii="Times New Roman" w:hAnsi="Times New Roman"/>
          <w:lang w:val="en-US"/>
        </w:rPr>
        <w:t xml:space="preserve"> Modelling the geography of economic activity on a continuous space. </w:t>
      </w:r>
      <w:proofErr w:type="spellStart"/>
      <w:r w:rsidRPr="008A4429">
        <w:rPr>
          <w:rFonts w:ascii="Times New Roman" w:hAnsi="Times New Roman"/>
          <w:i/>
        </w:rPr>
        <w:t>Papers</w:t>
      </w:r>
      <w:proofErr w:type="spellEnd"/>
      <w:r w:rsidRPr="008A4429">
        <w:rPr>
          <w:rFonts w:ascii="Times New Roman" w:hAnsi="Times New Roman"/>
          <w:i/>
        </w:rPr>
        <w:t xml:space="preserve"> in </w:t>
      </w:r>
      <w:proofErr w:type="spellStart"/>
      <w:r w:rsidRPr="008A4429">
        <w:rPr>
          <w:rFonts w:ascii="Times New Roman" w:hAnsi="Times New Roman"/>
          <w:i/>
        </w:rPr>
        <w:t>Regional</w:t>
      </w:r>
      <w:proofErr w:type="spellEnd"/>
      <w:r w:rsidRPr="008A4429">
        <w:rPr>
          <w:rFonts w:ascii="Times New Roman" w:hAnsi="Times New Roman"/>
          <w:i/>
        </w:rPr>
        <w:t xml:space="preserve"> Science</w:t>
      </w:r>
      <w:r w:rsidRPr="008A4429">
        <w:rPr>
          <w:rFonts w:ascii="Times New Roman" w:hAnsi="Times New Roman"/>
        </w:rPr>
        <w:t xml:space="preserve"> 80, 411-424.</w:t>
      </w:r>
    </w:p>
    <w:p w14:paraId="064D134C" w14:textId="5AEA7968" w:rsidR="004713A9" w:rsidRPr="008A4429" w:rsidRDefault="000921B9" w:rsidP="008A4429">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Arbia</w:t>
      </w:r>
      <w:proofErr w:type="spellEnd"/>
      <w:r w:rsidRPr="008A4429">
        <w:rPr>
          <w:rFonts w:ascii="Times New Roman" w:hAnsi="Times New Roman"/>
          <w:lang w:val="en-US"/>
        </w:rPr>
        <w:t xml:space="preserve"> G., Espa G., Giuliani D., </w:t>
      </w:r>
      <w:proofErr w:type="spellStart"/>
      <w:r w:rsidRPr="008A4429">
        <w:rPr>
          <w:rFonts w:ascii="Times New Roman" w:hAnsi="Times New Roman"/>
          <w:lang w:val="en-US"/>
        </w:rPr>
        <w:t>Mazzitelli</w:t>
      </w:r>
      <w:proofErr w:type="spellEnd"/>
      <w:r w:rsidRPr="008A4429">
        <w:rPr>
          <w:rFonts w:ascii="Times New Roman" w:hAnsi="Times New Roman"/>
          <w:lang w:val="en-US"/>
        </w:rPr>
        <w:t xml:space="preserve"> A. (2012)</w:t>
      </w:r>
      <w:r w:rsidR="006630B8" w:rsidRPr="008A4429">
        <w:rPr>
          <w:rFonts w:ascii="Times New Roman" w:hAnsi="Times New Roman"/>
          <w:lang w:val="en-US"/>
        </w:rPr>
        <w:t>,</w:t>
      </w:r>
      <w:r w:rsidRPr="008A4429">
        <w:rPr>
          <w:rFonts w:ascii="Times New Roman" w:hAnsi="Times New Roman"/>
          <w:lang w:val="en-US"/>
        </w:rPr>
        <w:t xml:space="preserve"> Clusters of firms in an inhomogeneous space: The high-tech industries in Milan. </w:t>
      </w:r>
      <w:r w:rsidRPr="008A4429">
        <w:rPr>
          <w:rFonts w:ascii="Times New Roman" w:hAnsi="Times New Roman"/>
          <w:i/>
          <w:lang w:val="en-US"/>
        </w:rPr>
        <w:t>Economic Modelling</w:t>
      </w:r>
      <w:r w:rsidRPr="008A4429">
        <w:rPr>
          <w:rFonts w:ascii="Times New Roman" w:hAnsi="Times New Roman"/>
          <w:lang w:val="en-US"/>
        </w:rPr>
        <w:t>, 29(1), 3–11.</w:t>
      </w:r>
    </w:p>
    <w:p w14:paraId="4F4C8332" w14:textId="64790A2D" w:rsidR="004713A9" w:rsidRPr="008A4429" w:rsidRDefault="004713A9" w:rsidP="004713A9">
      <w:pPr>
        <w:spacing w:line="480" w:lineRule="auto"/>
        <w:ind w:left="284" w:hanging="284"/>
        <w:jc w:val="both"/>
        <w:rPr>
          <w:rFonts w:ascii="Times New Roman" w:hAnsi="Times New Roman"/>
          <w:lang w:val="en-GB"/>
        </w:rPr>
      </w:pPr>
      <w:r w:rsidRPr="008A4429">
        <w:rPr>
          <w:rFonts w:ascii="Times New Roman" w:hAnsi="Times New Roman"/>
          <w:lang w:val="en-GB"/>
        </w:rPr>
        <w:t xml:space="preserve">Arthur W.B. (1989), Competing Technologies, Increasing Returns, and Lock-In by Historical Events, </w:t>
      </w:r>
      <w:r w:rsidRPr="008A4429">
        <w:rPr>
          <w:rFonts w:ascii="Times New Roman" w:hAnsi="Times New Roman"/>
          <w:i/>
          <w:lang w:val="en-GB"/>
        </w:rPr>
        <w:t>Economic Journal</w:t>
      </w:r>
      <w:r w:rsidRPr="008A4429">
        <w:rPr>
          <w:rFonts w:ascii="Times New Roman" w:hAnsi="Times New Roman"/>
          <w:lang w:val="en-GB"/>
        </w:rPr>
        <w:t>, 99, 116-131.</w:t>
      </w:r>
    </w:p>
    <w:p w14:paraId="6201BD8C" w14:textId="2F65AD56" w:rsidR="000921B9" w:rsidRPr="008A4429" w:rsidRDefault="000921B9" w:rsidP="007F4EAE">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Bagoulla</w:t>
      </w:r>
      <w:proofErr w:type="spellEnd"/>
      <w:r w:rsidRPr="008A4429">
        <w:rPr>
          <w:rFonts w:ascii="Times New Roman" w:hAnsi="Times New Roman"/>
          <w:lang w:val="en-US"/>
        </w:rPr>
        <w:t xml:space="preserve"> C., </w:t>
      </w:r>
      <w:proofErr w:type="spellStart"/>
      <w:r w:rsidRPr="008A4429">
        <w:rPr>
          <w:rFonts w:ascii="Times New Roman" w:hAnsi="Times New Roman"/>
          <w:lang w:val="en-US"/>
        </w:rPr>
        <w:t>Péridy</w:t>
      </w:r>
      <w:proofErr w:type="spellEnd"/>
      <w:r w:rsidRPr="008A4429">
        <w:rPr>
          <w:rFonts w:ascii="Times New Roman" w:hAnsi="Times New Roman"/>
          <w:lang w:val="en-US"/>
        </w:rPr>
        <w:t xml:space="preserve"> N. (2011)</w:t>
      </w:r>
      <w:r w:rsidR="006630B8" w:rsidRPr="008A4429">
        <w:rPr>
          <w:rFonts w:ascii="Times New Roman" w:hAnsi="Times New Roman"/>
          <w:lang w:val="en-US"/>
        </w:rPr>
        <w:t>,</w:t>
      </w:r>
      <w:r w:rsidRPr="008A4429">
        <w:rPr>
          <w:rFonts w:ascii="Times New Roman" w:hAnsi="Times New Roman"/>
          <w:lang w:val="en-US"/>
        </w:rPr>
        <w:t xml:space="preserve"> Market access and the other determinants of North–South manufacturing location choice: An application to the Euro-Mediterranean area</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lang w:val="en-US"/>
        </w:rPr>
        <w:t>Economic Systems</w:t>
      </w:r>
      <w:r w:rsidRPr="008A4429">
        <w:rPr>
          <w:rFonts w:ascii="Times New Roman" w:hAnsi="Times New Roman"/>
          <w:lang w:val="en-US"/>
        </w:rPr>
        <w:t xml:space="preserve"> 35, 537-561.</w:t>
      </w:r>
    </w:p>
    <w:p w14:paraId="77D198AB" w14:textId="77777777" w:rsidR="000921B9" w:rsidRPr="008A4429" w:rsidRDefault="000921B9" w:rsidP="000800B2">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Bartelsman</w:t>
      </w:r>
      <w:proofErr w:type="spellEnd"/>
      <w:r w:rsidRPr="008A4429">
        <w:rPr>
          <w:rFonts w:ascii="Times New Roman" w:hAnsi="Times New Roman"/>
          <w:lang w:val="en-US"/>
        </w:rPr>
        <w:t xml:space="preserve">, E., </w:t>
      </w:r>
      <w:proofErr w:type="spellStart"/>
      <w:r w:rsidRPr="008A4429">
        <w:rPr>
          <w:rFonts w:ascii="Times New Roman" w:hAnsi="Times New Roman"/>
          <w:lang w:val="en-US"/>
        </w:rPr>
        <w:t>Haltiwanger</w:t>
      </w:r>
      <w:proofErr w:type="spellEnd"/>
      <w:r w:rsidRPr="008A4429">
        <w:rPr>
          <w:rFonts w:ascii="Times New Roman" w:hAnsi="Times New Roman"/>
          <w:lang w:val="en-US"/>
        </w:rPr>
        <w:t xml:space="preserve">, J., </w:t>
      </w:r>
      <w:proofErr w:type="spellStart"/>
      <w:r w:rsidRPr="008A4429">
        <w:rPr>
          <w:rFonts w:ascii="Times New Roman" w:hAnsi="Times New Roman"/>
          <w:lang w:val="en-US"/>
        </w:rPr>
        <w:t>Scarpetta</w:t>
      </w:r>
      <w:proofErr w:type="spellEnd"/>
      <w:r w:rsidRPr="008A4429">
        <w:rPr>
          <w:rFonts w:ascii="Times New Roman" w:hAnsi="Times New Roman"/>
          <w:lang w:val="en-US"/>
        </w:rPr>
        <w:t xml:space="preserve">, S. (2009), Measuring and analyzing cross-country differences in firm dynamics, in: Dunne, T., Jensen, J.B., Roberts, M.J. (eds.), </w:t>
      </w:r>
      <w:r w:rsidRPr="008A4429">
        <w:rPr>
          <w:rFonts w:ascii="Times New Roman" w:hAnsi="Times New Roman"/>
          <w:i/>
          <w:iCs/>
          <w:lang w:val="en-US"/>
        </w:rPr>
        <w:t>Producer Dynamics: New Evidence from Micro Data</w:t>
      </w:r>
      <w:r w:rsidRPr="008A4429">
        <w:rPr>
          <w:rFonts w:ascii="Times New Roman" w:hAnsi="Times New Roman"/>
          <w:lang w:val="en-US"/>
        </w:rPr>
        <w:t>, Chicago: University of Chicago Press, 15-76.</w:t>
      </w:r>
    </w:p>
    <w:p w14:paraId="3EDADF24" w14:textId="3515B35F"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proofErr w:type="spellStart"/>
      <w:r w:rsidRPr="008A4429">
        <w:rPr>
          <w:rFonts w:ascii="Times New Roman" w:hAnsi="Times New Roman"/>
          <w:lang w:val="en-US"/>
        </w:rPr>
        <w:t>Bickenbach</w:t>
      </w:r>
      <w:proofErr w:type="spellEnd"/>
      <w:r w:rsidRPr="008A4429">
        <w:rPr>
          <w:rFonts w:ascii="Times New Roman" w:hAnsi="Times New Roman"/>
          <w:lang w:val="en-US"/>
        </w:rPr>
        <w:t xml:space="preserve"> F., Bode E. (2008)</w:t>
      </w:r>
      <w:r w:rsidR="006630B8" w:rsidRPr="008A4429">
        <w:rPr>
          <w:rFonts w:ascii="Times New Roman" w:hAnsi="Times New Roman"/>
          <w:lang w:val="en-US"/>
        </w:rPr>
        <w:t>,</w:t>
      </w:r>
      <w:r w:rsidRPr="008A4429">
        <w:rPr>
          <w:rFonts w:ascii="Times New Roman" w:hAnsi="Times New Roman"/>
          <w:lang w:val="en-US"/>
        </w:rPr>
        <w:t xml:space="preserve"> Disproportionality Measures of Concentration, Specialization and Localization</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International Regional Science Review</w:t>
      </w:r>
      <w:r w:rsidR="006630B8" w:rsidRPr="008A4429">
        <w:rPr>
          <w:rFonts w:ascii="Times New Roman" w:hAnsi="Times New Roman"/>
          <w:i/>
          <w:iCs/>
          <w:lang w:val="en-US"/>
        </w:rPr>
        <w:t>,</w:t>
      </w:r>
      <w:r w:rsidRPr="008A4429">
        <w:rPr>
          <w:rFonts w:ascii="Times New Roman" w:hAnsi="Times New Roman"/>
          <w:i/>
          <w:iCs/>
          <w:lang w:val="en-US"/>
        </w:rPr>
        <w:t xml:space="preserve"> </w:t>
      </w:r>
      <w:r w:rsidRPr="008A4429">
        <w:rPr>
          <w:rFonts w:ascii="Times New Roman" w:hAnsi="Times New Roman"/>
          <w:lang w:val="en-US"/>
        </w:rPr>
        <w:t>31(4), 359-388.</w:t>
      </w:r>
    </w:p>
    <w:p w14:paraId="6DAF4E34" w14:textId="40F05208" w:rsidR="000921B9" w:rsidRPr="008A4429" w:rsidRDefault="000921B9" w:rsidP="000A7628">
      <w:pPr>
        <w:autoSpaceDE w:val="0"/>
        <w:autoSpaceDN w:val="0"/>
        <w:adjustRightInd w:val="0"/>
        <w:spacing w:line="480" w:lineRule="auto"/>
        <w:ind w:left="709" w:hanging="709"/>
        <w:jc w:val="both"/>
        <w:rPr>
          <w:rFonts w:ascii="Times New Roman" w:eastAsia="Calibri" w:hAnsi="Times New Roman"/>
          <w:lang w:val="en-US"/>
        </w:rPr>
      </w:pPr>
      <w:proofErr w:type="spellStart"/>
      <w:r w:rsidRPr="008A4429">
        <w:rPr>
          <w:rFonts w:ascii="Times New Roman" w:eastAsia="Calibri" w:hAnsi="Times New Roman"/>
          <w:lang w:val="en-US"/>
        </w:rPr>
        <w:t>Bickenbach</w:t>
      </w:r>
      <w:proofErr w:type="spellEnd"/>
      <w:r w:rsidRPr="008A4429">
        <w:rPr>
          <w:rFonts w:ascii="Times New Roman" w:eastAsia="Calibri" w:hAnsi="Times New Roman"/>
          <w:lang w:val="en-US"/>
        </w:rPr>
        <w:t xml:space="preserve"> F., Bode E., Krieger-Boden C. (2010), Closing the gap between absolute</w:t>
      </w:r>
      <w:r w:rsidRPr="008A4429">
        <w:rPr>
          <w:rFonts w:ascii="Times New Roman" w:hAnsi="Times New Roman"/>
          <w:lang w:val="en-US"/>
        </w:rPr>
        <w:t xml:space="preserve"> </w:t>
      </w:r>
      <w:r w:rsidRPr="008A4429">
        <w:rPr>
          <w:rFonts w:ascii="Times New Roman" w:eastAsia="Calibri" w:hAnsi="Times New Roman"/>
          <w:lang w:val="en-US"/>
        </w:rPr>
        <w:t>and relative measures of localization, concentration or specialization</w:t>
      </w:r>
      <w:r w:rsidR="006630B8" w:rsidRPr="008A4429">
        <w:rPr>
          <w:rFonts w:ascii="Times New Roman" w:eastAsia="Calibri" w:hAnsi="Times New Roman"/>
          <w:lang w:val="en-US"/>
        </w:rPr>
        <w:t>,</w:t>
      </w:r>
      <w:r w:rsidRPr="008A4429">
        <w:rPr>
          <w:rFonts w:ascii="Times New Roman" w:eastAsia="Calibri" w:hAnsi="Times New Roman"/>
          <w:lang w:val="en-US"/>
        </w:rPr>
        <w:t xml:space="preserve"> </w:t>
      </w:r>
      <w:r w:rsidRPr="008A4429">
        <w:rPr>
          <w:rFonts w:ascii="Times New Roman" w:eastAsia="Calibri" w:hAnsi="Times New Roman"/>
          <w:i/>
          <w:lang w:val="en-US"/>
        </w:rPr>
        <w:t>Kiel Institute for the</w:t>
      </w:r>
      <w:r w:rsidRPr="008A4429">
        <w:rPr>
          <w:rFonts w:ascii="Times New Roman" w:hAnsi="Times New Roman"/>
          <w:i/>
          <w:lang w:val="en-US"/>
        </w:rPr>
        <w:t xml:space="preserve"> </w:t>
      </w:r>
      <w:r w:rsidRPr="008A4429">
        <w:rPr>
          <w:rFonts w:ascii="Times New Roman" w:eastAsia="Calibri" w:hAnsi="Times New Roman"/>
          <w:i/>
          <w:lang w:val="en-US"/>
        </w:rPr>
        <w:t>World Economy, Working Paper 1660</w:t>
      </w:r>
      <w:r w:rsidRPr="008A4429">
        <w:rPr>
          <w:rFonts w:ascii="Times New Roman" w:eastAsia="Calibri" w:hAnsi="Times New Roman"/>
          <w:lang w:val="en-US"/>
        </w:rPr>
        <w:t xml:space="preserve">. </w:t>
      </w:r>
    </w:p>
    <w:p w14:paraId="795810D5" w14:textId="35CEF799" w:rsidR="000921B9" w:rsidRPr="008A4429" w:rsidRDefault="000921B9" w:rsidP="000A7628">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Billings S.B., Johnson E.B. (2012a)</w:t>
      </w:r>
      <w:r w:rsidR="006630B8" w:rsidRPr="008A4429">
        <w:rPr>
          <w:rFonts w:ascii="Times New Roman" w:hAnsi="Times New Roman"/>
          <w:lang w:val="en-US"/>
        </w:rPr>
        <w:t>,</w:t>
      </w:r>
      <w:r w:rsidRPr="008A4429">
        <w:rPr>
          <w:rFonts w:ascii="Times New Roman" w:hAnsi="Times New Roman"/>
          <w:lang w:val="en-US"/>
        </w:rPr>
        <w:t xml:space="preserve"> </w:t>
      </w:r>
      <w:proofErr w:type="gramStart"/>
      <w:r w:rsidRPr="008A4429">
        <w:rPr>
          <w:rFonts w:ascii="Times New Roman" w:hAnsi="Times New Roman"/>
          <w:lang w:val="en-US"/>
        </w:rPr>
        <w:t>A</w:t>
      </w:r>
      <w:proofErr w:type="gramEnd"/>
      <w:r w:rsidRPr="008A4429">
        <w:rPr>
          <w:rFonts w:ascii="Times New Roman" w:hAnsi="Times New Roman"/>
          <w:lang w:val="en-US"/>
        </w:rPr>
        <w:t xml:space="preserve"> non-parametric test for</w:t>
      </w:r>
      <w:r w:rsidRPr="008A4429">
        <w:rPr>
          <w:rFonts w:ascii="Times New Roman" w:eastAsia="Calibri" w:hAnsi="Times New Roman"/>
          <w:lang w:val="en-US"/>
        </w:rPr>
        <w:t xml:space="preserve"> </w:t>
      </w:r>
      <w:r w:rsidRPr="008A4429">
        <w:rPr>
          <w:rFonts w:ascii="Times New Roman" w:hAnsi="Times New Roman"/>
          <w:lang w:val="en-US"/>
        </w:rPr>
        <w:t>industrial specialization</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lang w:val="en-US"/>
        </w:rPr>
        <w:t>Journal of Urban Economics</w:t>
      </w:r>
      <w:r w:rsidRPr="008A4429">
        <w:rPr>
          <w:rFonts w:ascii="Times New Roman" w:hAnsi="Times New Roman"/>
          <w:lang w:val="en-US"/>
        </w:rPr>
        <w:t>, 71(3), 312–331.</w:t>
      </w:r>
    </w:p>
    <w:p w14:paraId="428AA39B" w14:textId="630F5E02" w:rsidR="000921B9" w:rsidRPr="008A4429" w:rsidRDefault="000921B9" w:rsidP="00386C8B">
      <w:pPr>
        <w:autoSpaceDE w:val="0"/>
        <w:autoSpaceDN w:val="0"/>
        <w:adjustRightInd w:val="0"/>
        <w:spacing w:line="480" w:lineRule="auto"/>
        <w:ind w:left="709" w:hanging="709"/>
        <w:jc w:val="both"/>
        <w:rPr>
          <w:rFonts w:ascii="Times New Roman" w:eastAsia="Calibri" w:hAnsi="Times New Roman"/>
          <w:lang w:val="en-US"/>
        </w:rPr>
      </w:pPr>
      <w:r w:rsidRPr="008A4429">
        <w:rPr>
          <w:rFonts w:ascii="Times New Roman" w:hAnsi="Times New Roman"/>
          <w:lang w:val="en-US"/>
        </w:rPr>
        <w:lastRenderedPageBreak/>
        <w:t>Billings S.B., Johnson E.B. (2012b)</w:t>
      </w:r>
      <w:r w:rsidR="006630B8" w:rsidRPr="008A4429">
        <w:rPr>
          <w:rFonts w:ascii="Times New Roman" w:hAnsi="Times New Roman"/>
          <w:lang w:val="en-US"/>
        </w:rPr>
        <w:t>,</w:t>
      </w:r>
      <w:r w:rsidRPr="008A4429">
        <w:rPr>
          <w:rFonts w:ascii="Times New Roman" w:hAnsi="Times New Roman"/>
          <w:lang w:val="en-US"/>
        </w:rPr>
        <w:t xml:space="preserve"> </w:t>
      </w:r>
      <w:proofErr w:type="gramStart"/>
      <w:r w:rsidRPr="008A4429">
        <w:rPr>
          <w:rFonts w:ascii="Times New Roman" w:eastAsia="Calibri" w:hAnsi="Times New Roman"/>
          <w:lang w:val="en-US"/>
        </w:rPr>
        <w:t>The</w:t>
      </w:r>
      <w:proofErr w:type="gramEnd"/>
      <w:r w:rsidRPr="008A4429">
        <w:rPr>
          <w:rFonts w:ascii="Times New Roman" w:eastAsia="Calibri" w:hAnsi="Times New Roman"/>
          <w:lang w:val="en-US"/>
        </w:rPr>
        <w:t xml:space="preserve"> Location Quotient as an Estimator of Industrial Concentration</w:t>
      </w:r>
      <w:r w:rsidR="006630B8" w:rsidRPr="008A4429">
        <w:rPr>
          <w:rFonts w:ascii="Times New Roman" w:eastAsia="Calibri" w:hAnsi="Times New Roman"/>
          <w:lang w:val="en-US"/>
        </w:rPr>
        <w:t>,</w:t>
      </w:r>
      <w:r w:rsidRPr="008A4429">
        <w:rPr>
          <w:rFonts w:ascii="Times New Roman" w:eastAsia="Calibri" w:hAnsi="Times New Roman"/>
          <w:lang w:val="en-US"/>
        </w:rPr>
        <w:t xml:space="preserve"> </w:t>
      </w:r>
      <w:r w:rsidRPr="008A4429">
        <w:rPr>
          <w:rFonts w:ascii="Times New Roman" w:eastAsia="Calibri" w:hAnsi="Times New Roman"/>
          <w:i/>
          <w:lang w:val="en-US"/>
        </w:rPr>
        <w:t>Regional Science and Urban Economics</w:t>
      </w:r>
      <w:r w:rsidRPr="008A4429">
        <w:rPr>
          <w:rFonts w:ascii="Times New Roman" w:eastAsia="Calibri" w:hAnsi="Times New Roman"/>
          <w:lang w:val="en-US"/>
        </w:rPr>
        <w:t>, 42(4), 642–647.</w:t>
      </w:r>
    </w:p>
    <w:p w14:paraId="6E3E6B6D" w14:textId="32EFC732" w:rsidR="004713A9" w:rsidRPr="008A4429" w:rsidRDefault="004713A9" w:rsidP="004713A9">
      <w:pPr>
        <w:autoSpaceDE w:val="0"/>
        <w:autoSpaceDN w:val="0"/>
        <w:adjustRightInd w:val="0"/>
        <w:spacing w:line="480" w:lineRule="auto"/>
        <w:ind w:left="709" w:hanging="709"/>
        <w:jc w:val="both"/>
        <w:rPr>
          <w:rFonts w:ascii="Times New Roman" w:hAnsi="Times New Roman"/>
          <w:lang w:val="en-GB"/>
        </w:rPr>
      </w:pPr>
      <w:proofErr w:type="spellStart"/>
      <w:r w:rsidRPr="008A4429">
        <w:rPr>
          <w:rFonts w:ascii="Times New Roman" w:hAnsi="Times New Roman"/>
          <w:lang w:val="en-GB"/>
        </w:rPr>
        <w:t>Boschma</w:t>
      </w:r>
      <w:proofErr w:type="spellEnd"/>
      <w:r w:rsidRPr="008A4429">
        <w:rPr>
          <w:rFonts w:ascii="Times New Roman" w:hAnsi="Times New Roman"/>
          <w:lang w:val="en-GB"/>
        </w:rPr>
        <w:t xml:space="preserve"> R.A., </w:t>
      </w:r>
      <w:proofErr w:type="spellStart"/>
      <w:r w:rsidRPr="008A4429">
        <w:rPr>
          <w:rFonts w:ascii="Times New Roman" w:hAnsi="Times New Roman"/>
          <w:lang w:val="en-GB"/>
        </w:rPr>
        <w:t>Lambooy</w:t>
      </w:r>
      <w:proofErr w:type="spellEnd"/>
      <w:r w:rsidRPr="008A4429">
        <w:rPr>
          <w:rFonts w:ascii="Times New Roman" w:hAnsi="Times New Roman"/>
          <w:lang w:val="en-GB"/>
        </w:rPr>
        <w:t xml:space="preserve"> J.G., (1999), Evolutionary economics and economic geography, </w:t>
      </w:r>
      <w:r w:rsidRPr="008A4429">
        <w:rPr>
          <w:rFonts w:ascii="Times New Roman" w:hAnsi="Times New Roman"/>
          <w:i/>
          <w:lang w:val="en-GB"/>
        </w:rPr>
        <w:t>Journal of Evolutionary Economics</w:t>
      </w:r>
      <w:r w:rsidRPr="008A4429">
        <w:rPr>
          <w:rFonts w:ascii="Times New Roman" w:hAnsi="Times New Roman"/>
          <w:lang w:val="en-GB"/>
        </w:rPr>
        <w:t>, 9(4), 411-429.</w:t>
      </w:r>
    </w:p>
    <w:p w14:paraId="5BB33E42" w14:textId="2A356D28" w:rsidR="000921B9" w:rsidRPr="008A4429" w:rsidRDefault="000921B9" w:rsidP="00386C8B">
      <w:pPr>
        <w:autoSpaceDE w:val="0"/>
        <w:autoSpaceDN w:val="0"/>
        <w:adjustRightInd w:val="0"/>
        <w:spacing w:line="480" w:lineRule="auto"/>
        <w:ind w:left="709" w:hanging="709"/>
        <w:jc w:val="both"/>
        <w:rPr>
          <w:rFonts w:ascii="Times New Roman" w:eastAsia="Calibri" w:hAnsi="Times New Roman"/>
          <w:lang w:val="en-US"/>
        </w:rPr>
      </w:pPr>
      <w:r w:rsidRPr="008A4429">
        <w:rPr>
          <w:rFonts w:ascii="Times New Roman" w:eastAsia="Calibri" w:hAnsi="Times New Roman"/>
          <w:lang w:val="en-US"/>
        </w:rPr>
        <w:t>Bourguignon F. (1979)</w:t>
      </w:r>
      <w:r w:rsidR="006630B8" w:rsidRPr="008A4429">
        <w:rPr>
          <w:rFonts w:ascii="Times New Roman" w:eastAsia="Calibri" w:hAnsi="Times New Roman"/>
          <w:lang w:val="en-US"/>
        </w:rPr>
        <w:t>,</w:t>
      </w:r>
      <w:r w:rsidRPr="008A4429">
        <w:rPr>
          <w:rFonts w:ascii="Times New Roman" w:eastAsia="Calibri" w:hAnsi="Times New Roman"/>
          <w:lang w:val="en-US"/>
        </w:rPr>
        <w:t xml:space="preserve"> </w:t>
      </w:r>
      <w:proofErr w:type="gramStart"/>
      <w:r w:rsidRPr="008A4429">
        <w:rPr>
          <w:rFonts w:ascii="Times New Roman" w:eastAsia="Calibri" w:hAnsi="Times New Roman"/>
          <w:lang w:val="en-US"/>
        </w:rPr>
        <w:t>Decomposable income inequality measures</w:t>
      </w:r>
      <w:proofErr w:type="gramEnd"/>
      <w:r w:rsidR="006630B8" w:rsidRPr="008A4429">
        <w:rPr>
          <w:rFonts w:ascii="Times New Roman" w:eastAsia="Calibri" w:hAnsi="Times New Roman"/>
          <w:lang w:val="en-US"/>
        </w:rPr>
        <w:t>,</w:t>
      </w:r>
      <w:r w:rsidRPr="008A4429">
        <w:rPr>
          <w:rFonts w:ascii="Times New Roman" w:eastAsia="Calibri" w:hAnsi="Times New Roman"/>
          <w:lang w:val="en-US"/>
        </w:rPr>
        <w:t xml:space="preserve"> </w:t>
      </w:r>
      <w:proofErr w:type="spellStart"/>
      <w:r w:rsidRPr="008A4429">
        <w:rPr>
          <w:rFonts w:ascii="Times New Roman" w:eastAsia="Calibri" w:hAnsi="Times New Roman"/>
          <w:i/>
          <w:lang w:val="en-US"/>
        </w:rPr>
        <w:t>Econometrica</w:t>
      </w:r>
      <w:proofErr w:type="spellEnd"/>
      <w:r w:rsidRPr="008A4429">
        <w:rPr>
          <w:rFonts w:ascii="Times New Roman" w:eastAsia="Calibri" w:hAnsi="Times New Roman"/>
          <w:lang w:val="en-US"/>
        </w:rPr>
        <w:t>, 47, 901-920.</w:t>
      </w:r>
    </w:p>
    <w:p w14:paraId="066858B9" w14:textId="2CBDF919"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proofErr w:type="spellStart"/>
      <w:r w:rsidRPr="008A4429">
        <w:rPr>
          <w:rFonts w:ascii="Times New Roman" w:hAnsi="Times New Roman"/>
          <w:lang w:val="en-US"/>
        </w:rPr>
        <w:t>Brülhart</w:t>
      </w:r>
      <w:proofErr w:type="spellEnd"/>
      <w:r w:rsidRPr="008A4429">
        <w:rPr>
          <w:rFonts w:ascii="Times New Roman" w:hAnsi="Times New Roman"/>
          <w:lang w:val="en-US"/>
        </w:rPr>
        <w:t xml:space="preserve"> M., </w:t>
      </w:r>
      <w:proofErr w:type="spellStart"/>
      <w:r w:rsidRPr="008A4429">
        <w:rPr>
          <w:rFonts w:ascii="Times New Roman" w:hAnsi="Times New Roman"/>
          <w:lang w:val="en-US"/>
        </w:rPr>
        <w:t>Träger</w:t>
      </w:r>
      <w:proofErr w:type="spellEnd"/>
      <w:r w:rsidRPr="008A4429">
        <w:rPr>
          <w:rFonts w:ascii="Times New Roman" w:hAnsi="Times New Roman"/>
          <w:lang w:val="en-US"/>
        </w:rPr>
        <w:t xml:space="preserve"> R. (2005)</w:t>
      </w:r>
      <w:r w:rsidR="006630B8" w:rsidRPr="008A4429">
        <w:rPr>
          <w:rFonts w:ascii="Times New Roman" w:hAnsi="Times New Roman"/>
          <w:lang w:val="en-US"/>
        </w:rPr>
        <w:t>,</w:t>
      </w:r>
      <w:r w:rsidRPr="008A4429">
        <w:rPr>
          <w:rFonts w:ascii="Times New Roman" w:hAnsi="Times New Roman"/>
          <w:lang w:val="en-US"/>
        </w:rPr>
        <w:t xml:space="preserve"> An Account of Geographic Concentration Patterns in Europe</w:t>
      </w:r>
      <w:r w:rsidR="006630B8" w:rsidRPr="008A4429">
        <w:rPr>
          <w:rFonts w:ascii="Times New Roman" w:hAnsi="Times New Roman"/>
          <w:lang w:val="en-US"/>
        </w:rPr>
        <w:t xml:space="preserve">, </w:t>
      </w:r>
      <w:r w:rsidRPr="008A4429">
        <w:rPr>
          <w:rFonts w:ascii="Times New Roman" w:hAnsi="Times New Roman"/>
          <w:i/>
          <w:iCs/>
          <w:lang w:val="en-US"/>
        </w:rPr>
        <w:t>Regional Science and Urban Economics</w:t>
      </w:r>
      <w:r w:rsidR="006630B8" w:rsidRPr="008A4429">
        <w:rPr>
          <w:rFonts w:ascii="Times New Roman" w:hAnsi="Times New Roman"/>
          <w:lang w:val="en-US"/>
        </w:rPr>
        <w:t>,</w:t>
      </w:r>
      <w:r w:rsidRPr="008A4429">
        <w:rPr>
          <w:rFonts w:ascii="Times New Roman" w:hAnsi="Times New Roman"/>
          <w:i/>
          <w:iCs/>
          <w:lang w:val="en-US"/>
        </w:rPr>
        <w:t xml:space="preserve"> </w:t>
      </w:r>
      <w:r w:rsidRPr="008A4429">
        <w:rPr>
          <w:rFonts w:ascii="Times New Roman" w:hAnsi="Times New Roman"/>
          <w:lang w:val="en-US"/>
        </w:rPr>
        <w:t>35(6), 597-624.</w:t>
      </w:r>
    </w:p>
    <w:p w14:paraId="6C207683" w14:textId="3BA6F808"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proofErr w:type="spellStart"/>
      <w:r w:rsidRPr="008A4429">
        <w:rPr>
          <w:rFonts w:ascii="Times New Roman" w:hAnsi="Times New Roman"/>
          <w:lang w:val="en-US"/>
        </w:rPr>
        <w:t>Cassey</w:t>
      </w:r>
      <w:proofErr w:type="spellEnd"/>
      <w:r w:rsidRPr="008A4429">
        <w:rPr>
          <w:rFonts w:ascii="Times New Roman" w:hAnsi="Times New Roman"/>
          <w:lang w:val="en-US"/>
        </w:rPr>
        <w:t xml:space="preserve"> A.J., Smith B.O. (2014)</w:t>
      </w:r>
      <w:r w:rsidR="006630B8" w:rsidRPr="008A4429">
        <w:rPr>
          <w:rFonts w:ascii="Times New Roman" w:hAnsi="Times New Roman"/>
          <w:lang w:val="en-US"/>
        </w:rPr>
        <w:t>,</w:t>
      </w:r>
      <w:r w:rsidRPr="008A4429">
        <w:rPr>
          <w:rFonts w:ascii="Times New Roman" w:hAnsi="Times New Roman"/>
          <w:lang w:val="en-US"/>
        </w:rPr>
        <w:t xml:space="preserve"> Simulating confidence for the Ellison–</w:t>
      </w:r>
      <w:proofErr w:type="spellStart"/>
      <w:r w:rsidRPr="008A4429">
        <w:rPr>
          <w:rFonts w:ascii="Times New Roman" w:hAnsi="Times New Roman"/>
          <w:lang w:val="en-US"/>
        </w:rPr>
        <w:t>Glaeser</w:t>
      </w:r>
      <w:proofErr w:type="spellEnd"/>
      <w:r w:rsidRPr="008A4429">
        <w:rPr>
          <w:rFonts w:ascii="Times New Roman" w:hAnsi="Times New Roman"/>
          <w:lang w:val="en-US"/>
        </w:rPr>
        <w:t xml:space="preserve"> index</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lang w:val="en-US"/>
        </w:rPr>
        <w:t>Journal of Urban Economics</w:t>
      </w:r>
      <w:r w:rsidRPr="008A4429">
        <w:rPr>
          <w:rFonts w:ascii="Times New Roman" w:hAnsi="Times New Roman"/>
          <w:lang w:val="en-US"/>
        </w:rPr>
        <w:t>, 81(C), 85-103.</w:t>
      </w:r>
    </w:p>
    <w:p w14:paraId="104AFF21" w14:textId="7948423A" w:rsidR="00CA6573" w:rsidRPr="008A4429" w:rsidRDefault="008A4429" w:rsidP="008A4429">
      <w:pPr>
        <w:spacing w:line="480" w:lineRule="auto"/>
        <w:ind w:left="284" w:hanging="284"/>
        <w:jc w:val="both"/>
        <w:rPr>
          <w:rFonts w:ascii="Times New Roman" w:hAnsi="Times New Roman"/>
          <w:lang w:val="en-GB"/>
        </w:rPr>
      </w:pPr>
      <w:r w:rsidRPr="008A4429">
        <w:rPr>
          <w:rFonts w:ascii="Times New Roman" w:hAnsi="Times New Roman"/>
          <w:lang w:val="en-GB"/>
        </w:rPr>
        <w:t>Cerqueti R., Cutrini</w:t>
      </w:r>
      <w:r w:rsidR="00CA6573" w:rsidRPr="008A4429">
        <w:rPr>
          <w:rFonts w:ascii="Times New Roman" w:hAnsi="Times New Roman"/>
          <w:lang w:val="en-GB"/>
        </w:rPr>
        <w:t xml:space="preserve"> E., (2021), </w:t>
      </w:r>
      <w:proofErr w:type="gramStart"/>
      <w:r w:rsidR="00CA6573" w:rsidRPr="008A4429">
        <w:rPr>
          <w:rFonts w:ascii="Times New Roman" w:hAnsi="Times New Roman" w:cstheme="minorBidi"/>
          <w:lang w:val="en-GB"/>
        </w:rPr>
        <w:t>A</w:t>
      </w:r>
      <w:proofErr w:type="gramEnd"/>
      <w:r w:rsidR="00CA6573" w:rsidRPr="008A4429">
        <w:rPr>
          <w:rFonts w:ascii="Times New Roman" w:hAnsi="Times New Roman" w:cstheme="minorBidi"/>
          <w:lang w:val="en-GB"/>
        </w:rPr>
        <w:t xml:space="preserve"> framework for modelling economic regional location</w:t>
      </w:r>
      <w:r w:rsidR="00CA6573" w:rsidRPr="008A4429">
        <w:rPr>
          <w:rFonts w:ascii="Times New Roman" w:hAnsi="Times New Roman"/>
          <w:lang w:val="en-GB"/>
        </w:rPr>
        <w:t xml:space="preserve"> </w:t>
      </w:r>
      <w:r w:rsidR="00CA6573" w:rsidRPr="008A4429">
        <w:rPr>
          <w:rFonts w:ascii="Times New Roman" w:hAnsi="Times New Roman" w:cstheme="minorBidi"/>
          <w:lang w:val="en-GB"/>
        </w:rPr>
        <w:t>processes under uncertainty</w:t>
      </w:r>
      <w:r w:rsidR="00CA6573" w:rsidRPr="008A4429">
        <w:rPr>
          <w:rFonts w:ascii="Times New Roman" w:hAnsi="Times New Roman"/>
          <w:lang w:val="en-GB"/>
        </w:rPr>
        <w:t xml:space="preserve">, </w:t>
      </w:r>
      <w:r w:rsidR="00CA6573" w:rsidRPr="008A4429">
        <w:rPr>
          <w:rFonts w:ascii="Times New Roman" w:hAnsi="Times New Roman"/>
          <w:i/>
          <w:lang w:val="en-GB"/>
        </w:rPr>
        <w:t xml:space="preserve">Journal of Quantitative Economics, </w:t>
      </w:r>
      <w:proofErr w:type="spellStart"/>
      <w:r w:rsidR="00CA6573" w:rsidRPr="008A4429">
        <w:rPr>
          <w:rFonts w:ascii="Times New Roman" w:hAnsi="Times New Roman"/>
          <w:lang w:val="en-GB"/>
        </w:rPr>
        <w:t>doi</w:t>
      </w:r>
      <w:proofErr w:type="spellEnd"/>
      <w:r w:rsidR="00CA6573" w:rsidRPr="008A4429">
        <w:rPr>
          <w:rFonts w:ascii="Times New Roman" w:hAnsi="Times New Roman"/>
          <w:lang w:val="en-GB"/>
        </w:rPr>
        <w:t>:</w:t>
      </w:r>
      <w:r w:rsidR="00CA6573" w:rsidRPr="008A4429">
        <w:rPr>
          <w:rFonts w:ascii="Times New Roman" w:hAnsi="Times New Roman" w:cstheme="minorBidi"/>
          <w:sz w:val="22"/>
          <w:szCs w:val="22"/>
          <w:lang w:val="en-GB"/>
        </w:rPr>
        <w:t xml:space="preserve"> 10.1007/s40953-021-00248-w</w:t>
      </w:r>
      <w:r w:rsidR="00CA6573" w:rsidRPr="008A4429">
        <w:rPr>
          <w:rFonts w:ascii="Times New Roman" w:hAnsi="Times New Roman"/>
          <w:lang w:val="en-GB"/>
        </w:rPr>
        <w:t>.</w:t>
      </w:r>
    </w:p>
    <w:p w14:paraId="346F8078" w14:textId="36CA5885" w:rsidR="000921B9" w:rsidRPr="008A4429" w:rsidRDefault="000921B9" w:rsidP="000800B2">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Ciommi</w:t>
      </w:r>
      <w:proofErr w:type="spellEnd"/>
      <w:r w:rsidRPr="008A4429">
        <w:rPr>
          <w:rFonts w:ascii="Times New Roman" w:hAnsi="Times New Roman"/>
          <w:lang w:val="en-US"/>
        </w:rPr>
        <w:t xml:space="preserve"> M., </w:t>
      </w:r>
      <w:proofErr w:type="spellStart"/>
      <w:r w:rsidRPr="008A4429">
        <w:rPr>
          <w:rFonts w:ascii="Times New Roman" w:hAnsi="Times New Roman"/>
          <w:lang w:val="en-US"/>
        </w:rPr>
        <w:t>Gigliarano</w:t>
      </w:r>
      <w:proofErr w:type="spellEnd"/>
      <w:r w:rsidRPr="008A4429">
        <w:rPr>
          <w:rFonts w:ascii="Times New Roman" w:hAnsi="Times New Roman"/>
          <w:lang w:val="en-US"/>
        </w:rPr>
        <w:t xml:space="preserve"> C., </w:t>
      </w:r>
      <w:proofErr w:type="spellStart"/>
      <w:r w:rsidRPr="008A4429">
        <w:rPr>
          <w:rFonts w:ascii="Times New Roman" w:hAnsi="Times New Roman"/>
          <w:lang w:val="en-US"/>
        </w:rPr>
        <w:t>Emili</w:t>
      </w:r>
      <w:proofErr w:type="spellEnd"/>
      <w:r w:rsidRPr="008A4429">
        <w:rPr>
          <w:rFonts w:ascii="Times New Roman" w:hAnsi="Times New Roman"/>
          <w:lang w:val="en-US"/>
        </w:rPr>
        <w:t xml:space="preserve"> A., </w:t>
      </w:r>
      <w:proofErr w:type="spellStart"/>
      <w:r w:rsidRPr="008A4429">
        <w:rPr>
          <w:rFonts w:ascii="Times New Roman" w:hAnsi="Times New Roman"/>
          <w:lang w:val="en-US"/>
        </w:rPr>
        <w:t>Taralli</w:t>
      </w:r>
      <w:proofErr w:type="spellEnd"/>
      <w:r w:rsidRPr="008A4429">
        <w:rPr>
          <w:rFonts w:ascii="Times New Roman" w:hAnsi="Times New Roman"/>
          <w:lang w:val="en-US"/>
        </w:rPr>
        <w:t xml:space="preserve"> S., </w:t>
      </w:r>
      <w:proofErr w:type="spellStart"/>
      <w:r w:rsidRPr="008A4429">
        <w:rPr>
          <w:rFonts w:ascii="Times New Roman" w:hAnsi="Times New Roman"/>
          <w:lang w:val="en-US"/>
        </w:rPr>
        <w:t>Chelli</w:t>
      </w:r>
      <w:proofErr w:type="spellEnd"/>
      <w:r w:rsidRPr="008A4429">
        <w:rPr>
          <w:rFonts w:ascii="Times New Roman" w:hAnsi="Times New Roman"/>
          <w:lang w:val="en-US"/>
        </w:rPr>
        <w:t>, F.M. (2017)</w:t>
      </w:r>
      <w:r w:rsidR="006630B8" w:rsidRPr="008A4429">
        <w:rPr>
          <w:rFonts w:ascii="Times New Roman" w:hAnsi="Times New Roman"/>
          <w:lang w:val="en-US"/>
        </w:rPr>
        <w:t>,</w:t>
      </w:r>
      <w:r w:rsidRPr="008A4429">
        <w:rPr>
          <w:rFonts w:ascii="Times New Roman" w:hAnsi="Times New Roman"/>
          <w:lang w:val="en-US"/>
        </w:rPr>
        <w:t xml:space="preserve"> A new class of composite indicators for measuring well-being at the local level: An application to the Equitable and Sustainable Well-being (BES) of the Italian Provinces</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Ecological Indicators</w:t>
      </w:r>
      <w:r w:rsidRPr="008A4429">
        <w:rPr>
          <w:rFonts w:ascii="Times New Roman" w:hAnsi="Times New Roman"/>
          <w:lang w:val="en-US"/>
        </w:rPr>
        <w:t>, 76, 281–296.</w:t>
      </w:r>
    </w:p>
    <w:p w14:paraId="34A03F41" w14:textId="3D1C2837"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 xml:space="preserve">Combes P.-P., Mayer T., </w:t>
      </w:r>
      <w:proofErr w:type="spellStart"/>
      <w:r w:rsidRPr="008A4429">
        <w:rPr>
          <w:rFonts w:ascii="Times New Roman" w:hAnsi="Times New Roman"/>
          <w:lang w:val="en-US"/>
        </w:rPr>
        <w:t>Thisse</w:t>
      </w:r>
      <w:proofErr w:type="spellEnd"/>
      <w:r w:rsidRPr="008A4429">
        <w:rPr>
          <w:rFonts w:ascii="Times New Roman" w:hAnsi="Times New Roman"/>
          <w:lang w:val="en-US"/>
        </w:rPr>
        <w:t xml:space="preserve"> J.-F. (2008)</w:t>
      </w:r>
      <w:r w:rsidR="006630B8" w:rsidRPr="008A4429">
        <w:rPr>
          <w:rFonts w:ascii="Times New Roman" w:hAnsi="Times New Roman"/>
          <w:lang w:val="en-US"/>
        </w:rPr>
        <w:t>,</w:t>
      </w:r>
      <w:r w:rsidRPr="008A4429">
        <w:rPr>
          <w:rFonts w:ascii="Times New Roman" w:hAnsi="Times New Roman"/>
          <w:lang w:val="en-US"/>
        </w:rPr>
        <w:t xml:space="preserve"> Economic Geography: </w:t>
      </w:r>
      <w:r w:rsidR="006630B8" w:rsidRPr="008A4429">
        <w:rPr>
          <w:rFonts w:ascii="Times New Roman" w:hAnsi="Times New Roman"/>
          <w:lang w:val="en-US"/>
        </w:rPr>
        <w:t>The</w:t>
      </w:r>
      <w:r w:rsidRPr="008A4429">
        <w:rPr>
          <w:rFonts w:ascii="Times New Roman" w:hAnsi="Times New Roman"/>
          <w:lang w:val="en-US"/>
        </w:rPr>
        <w:t xml:space="preserve"> Integration of Regions and Nations, Princeton University Press.</w:t>
      </w:r>
    </w:p>
    <w:p w14:paraId="02A77B48" w14:textId="2C50F617"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Cutrini E. (2009)</w:t>
      </w:r>
      <w:r w:rsidR="006630B8" w:rsidRPr="008A4429">
        <w:rPr>
          <w:rFonts w:ascii="Times New Roman" w:hAnsi="Times New Roman"/>
          <w:lang w:val="en-US"/>
        </w:rPr>
        <w:t>,</w:t>
      </w:r>
      <w:r w:rsidRPr="008A4429">
        <w:rPr>
          <w:rFonts w:ascii="Times New Roman" w:hAnsi="Times New Roman"/>
          <w:lang w:val="en-US"/>
        </w:rPr>
        <w:t xml:space="preserve"> Using entropy measures to disentangle regional from national localization patterns</w:t>
      </w:r>
      <w:r w:rsidR="006630B8" w:rsidRPr="008A4429">
        <w:rPr>
          <w:rFonts w:ascii="Times New Roman" w:hAnsi="Times New Roman"/>
          <w:lang w:val="en-US"/>
        </w:rPr>
        <w:t>,</w:t>
      </w:r>
      <w:r w:rsidRPr="008A4429">
        <w:rPr>
          <w:rFonts w:ascii="Times New Roman" w:hAnsi="Times New Roman"/>
          <w:i/>
          <w:lang w:val="en-US"/>
        </w:rPr>
        <w:t xml:space="preserve"> Regional Science and Urban Economics</w:t>
      </w:r>
      <w:r w:rsidR="006630B8" w:rsidRPr="008A4429">
        <w:rPr>
          <w:rFonts w:ascii="Times New Roman" w:hAnsi="Times New Roman"/>
          <w:i/>
          <w:lang w:val="en-US"/>
        </w:rPr>
        <w:t>,</w:t>
      </w:r>
      <w:r w:rsidRPr="008A4429">
        <w:rPr>
          <w:rFonts w:ascii="Times New Roman" w:hAnsi="Times New Roman"/>
          <w:lang w:val="en-US"/>
        </w:rPr>
        <w:t xml:space="preserve"> 39(2), 243-250.</w:t>
      </w:r>
    </w:p>
    <w:p w14:paraId="6E312463" w14:textId="7191CA38"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Cutrini E. (2010)</w:t>
      </w:r>
      <w:r w:rsidR="006630B8" w:rsidRPr="008A4429">
        <w:rPr>
          <w:rFonts w:ascii="Times New Roman" w:hAnsi="Times New Roman"/>
          <w:lang w:val="en-US"/>
        </w:rPr>
        <w:t>,</w:t>
      </w:r>
      <w:r w:rsidRPr="008A4429">
        <w:rPr>
          <w:rFonts w:ascii="Times New Roman" w:hAnsi="Times New Roman"/>
          <w:lang w:val="en-US"/>
        </w:rPr>
        <w:t xml:space="preserve"> Specialization and Concentration from a Twofold Geographical Perspective: Evidence from Europe</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Regional Studies</w:t>
      </w:r>
      <w:r w:rsidR="006630B8" w:rsidRPr="008A4429">
        <w:rPr>
          <w:rFonts w:ascii="Times New Roman" w:hAnsi="Times New Roman"/>
          <w:i/>
          <w:iCs/>
          <w:lang w:val="en-US"/>
        </w:rPr>
        <w:t>,</w:t>
      </w:r>
      <w:r w:rsidRPr="008A4429">
        <w:rPr>
          <w:rFonts w:ascii="Times New Roman" w:hAnsi="Times New Roman"/>
          <w:i/>
          <w:iCs/>
          <w:lang w:val="en-US"/>
        </w:rPr>
        <w:t xml:space="preserve"> </w:t>
      </w:r>
      <w:r w:rsidRPr="008A4429">
        <w:rPr>
          <w:rFonts w:ascii="Times New Roman" w:hAnsi="Times New Roman"/>
          <w:lang w:val="en-US"/>
        </w:rPr>
        <w:t>44(3), 315–336.</w:t>
      </w:r>
    </w:p>
    <w:p w14:paraId="077AC0EF" w14:textId="32F236F5" w:rsidR="007211C0" w:rsidRPr="008A4429" w:rsidRDefault="007211C0" w:rsidP="008A4429">
      <w:pPr>
        <w:spacing w:line="480" w:lineRule="auto"/>
        <w:ind w:left="284" w:hanging="284"/>
        <w:jc w:val="both"/>
        <w:rPr>
          <w:rFonts w:ascii="Times New Roman" w:hAnsi="Times New Roman"/>
          <w:lang w:val="en-GB"/>
        </w:rPr>
      </w:pPr>
      <w:r w:rsidRPr="00045259">
        <w:rPr>
          <w:rFonts w:ascii="Times New Roman" w:hAnsi="Times New Roman"/>
          <w:highlight w:val="yellow"/>
          <w:lang w:val="en-GB"/>
        </w:rPr>
        <w:t xml:space="preserve">David, P. (2000), </w:t>
      </w:r>
      <w:r w:rsidRPr="00045259">
        <w:rPr>
          <w:rFonts w:ascii="Times New Roman" w:hAnsi="Times New Roman"/>
          <w:i/>
          <w:highlight w:val="yellow"/>
          <w:lang w:val="en-GB"/>
        </w:rPr>
        <w:t>Path dependence, its critics and the quest for ‘historical economics’</w:t>
      </w:r>
      <w:r w:rsidRPr="00045259">
        <w:rPr>
          <w:rFonts w:ascii="Times New Roman" w:hAnsi="Times New Roman"/>
          <w:highlight w:val="yellow"/>
          <w:lang w:val="en-GB"/>
        </w:rPr>
        <w:t>. Oxford and Stanford University.</w:t>
      </w:r>
    </w:p>
    <w:p w14:paraId="6E4DE2C0" w14:textId="2156063F" w:rsidR="000921B9" w:rsidRPr="008A4429" w:rsidRDefault="000921B9" w:rsidP="007F4EAE">
      <w:pPr>
        <w:spacing w:line="480" w:lineRule="auto"/>
        <w:ind w:left="284" w:hanging="284"/>
        <w:jc w:val="both"/>
        <w:rPr>
          <w:rFonts w:ascii="Times New Roman" w:hAnsi="Times New Roman"/>
          <w:lang w:val="en-GB"/>
        </w:rPr>
      </w:pPr>
      <w:r w:rsidRPr="008A4429">
        <w:rPr>
          <w:rFonts w:ascii="Times New Roman" w:hAnsi="Times New Roman"/>
          <w:lang w:val="en-GB"/>
        </w:rPr>
        <w:t>Devereux M.P., Griffith R., Simpson H. (2004)</w:t>
      </w:r>
      <w:r w:rsidR="006630B8" w:rsidRPr="008A4429">
        <w:rPr>
          <w:rFonts w:ascii="Times New Roman" w:hAnsi="Times New Roman"/>
          <w:lang w:val="en-GB"/>
        </w:rPr>
        <w:t>,</w:t>
      </w:r>
      <w:r w:rsidRPr="008A4429">
        <w:rPr>
          <w:rFonts w:ascii="Times New Roman" w:hAnsi="Times New Roman"/>
          <w:lang w:val="en-GB"/>
        </w:rPr>
        <w:t xml:space="preserve"> The geographic distribution of production activity in the UK</w:t>
      </w:r>
      <w:r w:rsidR="006630B8" w:rsidRPr="008A4429">
        <w:rPr>
          <w:rFonts w:ascii="Times New Roman" w:hAnsi="Times New Roman"/>
          <w:lang w:val="en-GB"/>
        </w:rPr>
        <w:t>,</w:t>
      </w:r>
      <w:r w:rsidRPr="008A4429">
        <w:rPr>
          <w:rFonts w:ascii="Times New Roman" w:hAnsi="Times New Roman"/>
          <w:b/>
          <w:bCs/>
          <w:lang w:val="en-GB"/>
        </w:rPr>
        <w:t xml:space="preserve"> </w:t>
      </w:r>
      <w:r w:rsidRPr="008A4429">
        <w:rPr>
          <w:rFonts w:ascii="Times New Roman" w:hAnsi="Times New Roman"/>
          <w:i/>
          <w:lang w:val="en-GB"/>
        </w:rPr>
        <w:t>Regional Science and Urban Economics</w:t>
      </w:r>
      <w:r w:rsidR="006630B8" w:rsidRPr="008A4429">
        <w:rPr>
          <w:rFonts w:ascii="Times New Roman" w:hAnsi="Times New Roman"/>
          <w:i/>
          <w:lang w:val="en-GB"/>
        </w:rPr>
        <w:t>,</w:t>
      </w:r>
      <w:r w:rsidRPr="008A4429">
        <w:rPr>
          <w:rFonts w:ascii="Times New Roman" w:hAnsi="Times New Roman"/>
          <w:lang w:val="en-GB"/>
        </w:rPr>
        <w:t xml:space="preserve"> 34(5), 533-564.</w:t>
      </w:r>
    </w:p>
    <w:p w14:paraId="3D00C92D" w14:textId="6947BF7A" w:rsidR="000921B9" w:rsidRPr="008A4429" w:rsidRDefault="000921B9" w:rsidP="007A3720">
      <w:pPr>
        <w:spacing w:line="480" w:lineRule="auto"/>
        <w:ind w:left="284" w:hanging="284"/>
        <w:jc w:val="both"/>
        <w:rPr>
          <w:rFonts w:ascii="Times New Roman" w:hAnsi="Times New Roman"/>
          <w:lang w:val="en-GB"/>
        </w:rPr>
      </w:pPr>
      <w:r w:rsidRPr="008A4429">
        <w:rPr>
          <w:rFonts w:ascii="Times New Roman" w:hAnsi="Times New Roman"/>
          <w:lang w:val="en-GB"/>
        </w:rPr>
        <w:t>Diggle P.J. (1983)</w:t>
      </w:r>
      <w:r w:rsidR="006630B8" w:rsidRPr="008A4429">
        <w:rPr>
          <w:rFonts w:ascii="Times New Roman" w:hAnsi="Times New Roman"/>
          <w:lang w:val="en-GB"/>
        </w:rPr>
        <w:t>,</w:t>
      </w:r>
      <w:r w:rsidRPr="008A4429">
        <w:rPr>
          <w:rFonts w:ascii="Times New Roman" w:hAnsi="Times New Roman"/>
          <w:lang w:val="en-GB"/>
        </w:rPr>
        <w:t xml:space="preserve"> Statistical analysis of spatial point patterns</w:t>
      </w:r>
      <w:r w:rsidR="006630B8" w:rsidRPr="008A4429">
        <w:rPr>
          <w:rFonts w:ascii="Times New Roman" w:hAnsi="Times New Roman"/>
          <w:lang w:val="en-GB"/>
        </w:rPr>
        <w:t>,</w:t>
      </w:r>
      <w:r w:rsidRPr="008A4429">
        <w:rPr>
          <w:rFonts w:ascii="Times New Roman" w:hAnsi="Times New Roman"/>
          <w:lang w:val="en-GB"/>
        </w:rPr>
        <w:t xml:space="preserve"> Academic Press, London.</w:t>
      </w:r>
    </w:p>
    <w:p w14:paraId="62328CB3" w14:textId="00899041"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proofErr w:type="spellStart"/>
      <w:r w:rsidRPr="008A4429">
        <w:rPr>
          <w:rFonts w:ascii="Times New Roman" w:hAnsi="Times New Roman"/>
          <w:lang w:val="en-US"/>
        </w:rPr>
        <w:lastRenderedPageBreak/>
        <w:t>Duranton</w:t>
      </w:r>
      <w:proofErr w:type="spellEnd"/>
      <w:r w:rsidRPr="008A4429">
        <w:rPr>
          <w:rFonts w:ascii="Times New Roman" w:hAnsi="Times New Roman"/>
          <w:lang w:val="en-US"/>
        </w:rPr>
        <w:t xml:space="preserve"> G., Overman H.G. (2005), Testing for </w:t>
      </w:r>
      <w:proofErr w:type="spellStart"/>
      <w:r w:rsidRPr="008A4429">
        <w:rPr>
          <w:rFonts w:ascii="Times New Roman" w:hAnsi="Times New Roman"/>
          <w:lang w:val="en-US"/>
        </w:rPr>
        <w:t>Localisation</w:t>
      </w:r>
      <w:proofErr w:type="spellEnd"/>
      <w:r w:rsidRPr="008A4429">
        <w:rPr>
          <w:rFonts w:ascii="Times New Roman" w:hAnsi="Times New Roman"/>
          <w:lang w:val="en-US"/>
        </w:rPr>
        <w:t xml:space="preserve"> Using Micro-Geographic Data</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Review of Economic Studies</w:t>
      </w:r>
      <w:r w:rsidR="006630B8" w:rsidRPr="008A4429">
        <w:rPr>
          <w:rFonts w:ascii="Times New Roman" w:hAnsi="Times New Roman"/>
          <w:i/>
          <w:iCs/>
          <w:lang w:val="en-US"/>
        </w:rPr>
        <w:t>,</w:t>
      </w:r>
      <w:r w:rsidRPr="008A4429">
        <w:rPr>
          <w:rFonts w:ascii="Times New Roman" w:hAnsi="Times New Roman"/>
          <w:i/>
          <w:iCs/>
          <w:lang w:val="en-US"/>
        </w:rPr>
        <w:t xml:space="preserve"> </w:t>
      </w:r>
      <w:r w:rsidRPr="008A4429">
        <w:rPr>
          <w:rFonts w:ascii="Times New Roman" w:hAnsi="Times New Roman"/>
          <w:lang w:val="en-US"/>
        </w:rPr>
        <w:t>72(4), 1077–1106.</w:t>
      </w:r>
    </w:p>
    <w:p w14:paraId="484CA890" w14:textId="306996E3" w:rsidR="000921B9" w:rsidRPr="008A4429" w:rsidRDefault="000921B9" w:rsidP="007F4EAE">
      <w:pPr>
        <w:spacing w:line="480" w:lineRule="auto"/>
        <w:ind w:left="284" w:hanging="284"/>
        <w:jc w:val="both"/>
        <w:rPr>
          <w:rFonts w:ascii="Times New Roman" w:hAnsi="Times New Roman"/>
          <w:lang w:val="en-US"/>
        </w:rPr>
      </w:pPr>
      <w:r w:rsidRPr="008A4429">
        <w:rPr>
          <w:rFonts w:ascii="Times New Roman" w:hAnsi="Times New Roman"/>
          <w:lang w:val="en-US"/>
        </w:rPr>
        <w:t xml:space="preserve">Ellison G., </w:t>
      </w:r>
      <w:proofErr w:type="spellStart"/>
      <w:r w:rsidRPr="008A4429">
        <w:rPr>
          <w:rFonts w:ascii="Times New Roman" w:hAnsi="Times New Roman"/>
          <w:lang w:val="en-US"/>
        </w:rPr>
        <w:t>Glaeser</w:t>
      </w:r>
      <w:proofErr w:type="spellEnd"/>
      <w:r w:rsidRPr="008A4429">
        <w:rPr>
          <w:rFonts w:ascii="Times New Roman" w:hAnsi="Times New Roman"/>
          <w:lang w:val="en-US"/>
        </w:rPr>
        <w:t xml:space="preserve"> E.L. (1997)</w:t>
      </w:r>
      <w:r w:rsidR="006630B8" w:rsidRPr="008A4429">
        <w:rPr>
          <w:rFonts w:ascii="Times New Roman" w:hAnsi="Times New Roman"/>
          <w:lang w:val="en-US"/>
        </w:rPr>
        <w:t>,</w:t>
      </w:r>
      <w:r w:rsidRPr="008A4429">
        <w:rPr>
          <w:rFonts w:ascii="Times New Roman" w:hAnsi="Times New Roman"/>
          <w:lang w:val="en-US"/>
        </w:rPr>
        <w:t xml:space="preserve"> Geographic concentration in U.S. manufacturing industries: a dartboard approach</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lang w:val="en-US"/>
        </w:rPr>
        <w:t>Journal of Political Economy</w:t>
      </w:r>
      <w:r w:rsidR="006630B8" w:rsidRPr="008A4429">
        <w:rPr>
          <w:rFonts w:ascii="Times New Roman" w:hAnsi="Times New Roman"/>
          <w:i/>
          <w:lang w:val="en-US"/>
        </w:rPr>
        <w:t>,</w:t>
      </w:r>
      <w:r w:rsidRPr="008A4429">
        <w:rPr>
          <w:rFonts w:ascii="Times New Roman" w:hAnsi="Times New Roman"/>
          <w:lang w:val="en-US"/>
        </w:rPr>
        <w:t xml:space="preserve"> 105(5), 889–927.</w:t>
      </w:r>
    </w:p>
    <w:p w14:paraId="32896FE8" w14:textId="5DCE46DF" w:rsidR="00123F07" w:rsidRPr="008A4429" w:rsidRDefault="00123F07" w:rsidP="00123F07">
      <w:pPr>
        <w:spacing w:line="480" w:lineRule="auto"/>
        <w:ind w:left="284" w:hanging="284"/>
        <w:jc w:val="both"/>
        <w:rPr>
          <w:rFonts w:ascii="Times New Roman" w:hAnsi="Times New Roman"/>
          <w:lang w:val="en-US"/>
        </w:rPr>
      </w:pPr>
      <w:r w:rsidRPr="008A4429">
        <w:rPr>
          <w:rFonts w:ascii="Times New Roman" w:hAnsi="Times New Roman"/>
          <w:lang w:val="en-US"/>
        </w:rPr>
        <w:t>European Commission (2011)</w:t>
      </w:r>
      <w:r w:rsidR="006630B8" w:rsidRPr="008A4429">
        <w:rPr>
          <w:rFonts w:ascii="Times New Roman" w:hAnsi="Times New Roman"/>
          <w:lang w:val="en-US"/>
        </w:rPr>
        <w:t>,</w:t>
      </w:r>
      <w:r w:rsidRPr="008A4429">
        <w:rPr>
          <w:rFonts w:ascii="Times New Roman" w:hAnsi="Times New Roman"/>
          <w:lang w:val="en-US"/>
        </w:rPr>
        <w:t xml:space="preserve"> Regional Policy for Smart Growth in Europe</w:t>
      </w:r>
      <w:r w:rsidR="006630B8" w:rsidRPr="008A4429">
        <w:rPr>
          <w:rFonts w:ascii="Times New Roman" w:hAnsi="Times New Roman"/>
          <w:lang w:val="en-US"/>
        </w:rPr>
        <w:t xml:space="preserve">, </w:t>
      </w:r>
      <w:r w:rsidRPr="008A4429">
        <w:rPr>
          <w:rFonts w:ascii="Times New Roman" w:hAnsi="Times New Roman"/>
          <w:lang w:val="en-US"/>
        </w:rPr>
        <w:t>2020.</w:t>
      </w:r>
    </w:p>
    <w:p w14:paraId="1755D16C" w14:textId="3DF48CB2" w:rsidR="008646AC" w:rsidRPr="008A4429" w:rsidRDefault="008646AC" w:rsidP="007F4EAE">
      <w:pPr>
        <w:spacing w:line="480" w:lineRule="auto"/>
        <w:ind w:left="284" w:hanging="284"/>
        <w:jc w:val="both"/>
        <w:rPr>
          <w:rFonts w:ascii="Times New Roman" w:hAnsi="Times New Roman"/>
          <w:lang w:val="en-US"/>
        </w:rPr>
      </w:pPr>
      <w:r w:rsidRPr="008A4429">
        <w:rPr>
          <w:rFonts w:ascii="Times New Roman" w:hAnsi="Times New Roman"/>
          <w:lang w:val="en-US"/>
        </w:rPr>
        <w:t xml:space="preserve">European Commission (2014), For a European Industrial Renaissance. Brussels: </w:t>
      </w:r>
      <w:r w:rsidRPr="008A4429">
        <w:rPr>
          <w:rFonts w:ascii="Times New Roman" w:hAnsi="Times New Roman"/>
          <w:i/>
          <w:iCs/>
          <w:lang w:val="en-US"/>
        </w:rPr>
        <w:t>Communication COM/2014/014 final</w:t>
      </w:r>
      <w:r w:rsidRPr="008A4429">
        <w:rPr>
          <w:rFonts w:ascii="Times New Roman" w:hAnsi="Times New Roman"/>
          <w:lang w:val="en-US"/>
        </w:rPr>
        <w:t>.</w:t>
      </w:r>
    </w:p>
    <w:p w14:paraId="3FEB679E" w14:textId="00FD1420" w:rsidR="000921B9" w:rsidRPr="008A4429" w:rsidRDefault="000921B9" w:rsidP="00690659">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European Commission (2020), A European strategy for data, Communication from the Commission to the European Parliament, the Council, the European Economic and Social Committee and the Committee of the Regions, 19 February 2020, Brussels</w:t>
      </w:r>
      <w:r w:rsidR="006630B8" w:rsidRPr="008A4429">
        <w:rPr>
          <w:rFonts w:ascii="Times New Roman" w:hAnsi="Times New Roman"/>
          <w:lang w:val="en-US"/>
        </w:rPr>
        <w:t>.</w:t>
      </w:r>
    </w:p>
    <w:p w14:paraId="44F2E0EE" w14:textId="08884F64" w:rsidR="000921B9" w:rsidRPr="008A4429" w:rsidRDefault="000921B9" w:rsidP="007F4EAE">
      <w:pPr>
        <w:autoSpaceDE w:val="0"/>
        <w:autoSpaceDN w:val="0"/>
        <w:adjustRightInd w:val="0"/>
        <w:spacing w:line="480" w:lineRule="auto"/>
        <w:ind w:left="709" w:hanging="709"/>
        <w:jc w:val="both"/>
        <w:rPr>
          <w:rFonts w:ascii="Times New Roman" w:hAnsi="Times New Roman"/>
          <w:lang w:val="en-US" w:eastAsia="ar-SA"/>
        </w:rPr>
      </w:pPr>
      <w:r w:rsidRPr="008A4429">
        <w:rPr>
          <w:rFonts w:ascii="Times New Roman" w:hAnsi="Times New Roman"/>
          <w:lang w:val="en-US"/>
        </w:rPr>
        <w:t>Evans A.J. (2010)</w:t>
      </w:r>
      <w:r w:rsidR="006630B8" w:rsidRPr="008A4429">
        <w:rPr>
          <w:rFonts w:ascii="Times New Roman" w:hAnsi="Times New Roman"/>
          <w:lang w:val="en-US"/>
        </w:rPr>
        <w:t>,</w:t>
      </w:r>
      <w:r w:rsidRPr="008A4429">
        <w:rPr>
          <w:rFonts w:ascii="Times New Roman" w:hAnsi="Times New Roman"/>
          <w:lang w:val="en-US"/>
        </w:rPr>
        <w:t xml:space="preserve"> Complex spatial networks in application</w:t>
      </w:r>
      <w:r w:rsidR="006630B8" w:rsidRPr="008A4429">
        <w:rPr>
          <w:rFonts w:ascii="Times New Roman" w:hAnsi="Times New Roman"/>
          <w:lang w:val="en-US"/>
        </w:rPr>
        <w:t>,</w:t>
      </w:r>
      <w:r w:rsidRPr="008A4429">
        <w:rPr>
          <w:rFonts w:ascii="Times New Roman" w:hAnsi="Times New Roman"/>
          <w:i/>
          <w:lang w:val="en-US"/>
        </w:rPr>
        <w:t xml:space="preserve"> Complexity</w:t>
      </w:r>
      <w:r w:rsidR="006630B8" w:rsidRPr="008A4429">
        <w:rPr>
          <w:rFonts w:ascii="Times New Roman" w:hAnsi="Times New Roman"/>
          <w:i/>
          <w:lang w:val="en-US"/>
        </w:rPr>
        <w:t>,</w:t>
      </w:r>
      <w:r w:rsidRPr="008A4429">
        <w:rPr>
          <w:rFonts w:ascii="Times New Roman" w:hAnsi="Times New Roman"/>
          <w:lang w:val="en-US"/>
        </w:rPr>
        <w:t xml:space="preserve"> 16, 11–19</w:t>
      </w:r>
      <w:r w:rsidR="006630B8" w:rsidRPr="008A4429">
        <w:rPr>
          <w:rFonts w:ascii="Times New Roman" w:hAnsi="Times New Roman"/>
          <w:lang w:val="en-US"/>
        </w:rPr>
        <w:t>.</w:t>
      </w:r>
    </w:p>
    <w:p w14:paraId="34ABDDB5" w14:textId="69F5F20C" w:rsidR="000921B9" w:rsidRPr="008A4429" w:rsidRDefault="000921B9" w:rsidP="00A26866">
      <w:pPr>
        <w:autoSpaceDE w:val="0"/>
        <w:autoSpaceDN w:val="0"/>
        <w:adjustRightInd w:val="0"/>
        <w:spacing w:line="480" w:lineRule="auto"/>
        <w:ind w:left="709" w:hanging="709"/>
        <w:jc w:val="both"/>
        <w:rPr>
          <w:rFonts w:ascii="Times New Roman" w:hAnsi="Times New Roman"/>
          <w:lang w:val="en-US" w:eastAsia="ar-SA"/>
        </w:rPr>
      </w:pPr>
      <w:proofErr w:type="spellStart"/>
      <w:r w:rsidRPr="008A4429">
        <w:rPr>
          <w:rFonts w:ascii="Times New Roman" w:hAnsi="Times New Roman"/>
          <w:lang w:val="en-US" w:eastAsia="ar-SA"/>
        </w:rPr>
        <w:t>Gokan</w:t>
      </w:r>
      <w:proofErr w:type="spellEnd"/>
      <w:r w:rsidRPr="008A4429">
        <w:rPr>
          <w:rFonts w:ascii="Times New Roman" w:hAnsi="Times New Roman"/>
          <w:lang w:val="en-US" w:eastAsia="ar-SA"/>
        </w:rPr>
        <w:t xml:space="preserve"> T. (2010)</w:t>
      </w:r>
      <w:r w:rsidR="006630B8" w:rsidRPr="008A4429">
        <w:rPr>
          <w:rFonts w:ascii="Times New Roman" w:hAnsi="Times New Roman"/>
          <w:lang w:val="en-US" w:eastAsia="ar-SA"/>
        </w:rPr>
        <w:t>,</w:t>
      </w:r>
      <w:r w:rsidRPr="008A4429">
        <w:rPr>
          <w:rFonts w:ascii="Times New Roman" w:hAnsi="Times New Roman"/>
          <w:lang w:val="en-US" w:eastAsia="ar-SA"/>
        </w:rPr>
        <w:t xml:space="preserve"> </w:t>
      </w:r>
      <w:proofErr w:type="gramStart"/>
      <w:r w:rsidRPr="008A4429">
        <w:rPr>
          <w:rFonts w:ascii="Times New Roman" w:hAnsi="Times New Roman"/>
          <w:lang w:val="en-US" w:eastAsia="ar-SA"/>
        </w:rPr>
        <w:t>On</w:t>
      </w:r>
      <w:proofErr w:type="gramEnd"/>
      <w:r w:rsidRPr="008A4429">
        <w:rPr>
          <w:rFonts w:ascii="Times New Roman" w:hAnsi="Times New Roman"/>
          <w:lang w:val="en-US" w:eastAsia="ar-SA"/>
        </w:rPr>
        <w:t xml:space="preserve"> the usage of the measurements of geographical concentration and specialization with areal data</w:t>
      </w:r>
      <w:r w:rsidR="006630B8" w:rsidRPr="008A4429">
        <w:rPr>
          <w:rFonts w:ascii="Times New Roman" w:hAnsi="Times New Roman"/>
          <w:lang w:val="en-US" w:eastAsia="ar-SA"/>
        </w:rPr>
        <w:t>,</w:t>
      </w:r>
      <w:r w:rsidRPr="008A4429">
        <w:rPr>
          <w:rFonts w:ascii="Times New Roman" w:hAnsi="Times New Roman"/>
          <w:lang w:val="en-US" w:eastAsia="ar-SA"/>
        </w:rPr>
        <w:t xml:space="preserve"> </w:t>
      </w:r>
      <w:r w:rsidR="006630B8" w:rsidRPr="008A4429">
        <w:rPr>
          <w:rFonts w:ascii="Times New Roman" w:hAnsi="Times New Roman"/>
          <w:lang w:val="en-US" w:eastAsia="ar-SA"/>
        </w:rPr>
        <w:t>i</w:t>
      </w:r>
      <w:r w:rsidRPr="008A4429">
        <w:rPr>
          <w:rFonts w:ascii="Times New Roman" w:hAnsi="Times New Roman"/>
          <w:lang w:val="en-US" w:eastAsia="ar-SA"/>
        </w:rPr>
        <w:t xml:space="preserve">n: </w:t>
      </w:r>
      <w:r w:rsidRPr="008A4429">
        <w:rPr>
          <w:rFonts w:ascii="Times New Roman" w:hAnsi="Times New Roman"/>
          <w:i/>
          <w:lang w:val="en-US" w:eastAsia="ar-SA"/>
        </w:rPr>
        <w:t xml:space="preserve">Spatial Statistics and Industrial Location in CLMV: An Interim Report, </w:t>
      </w:r>
      <w:r w:rsidRPr="008A4429">
        <w:rPr>
          <w:rFonts w:ascii="Times New Roman" w:hAnsi="Times New Roman"/>
          <w:lang w:val="en-US" w:eastAsia="ar-SA"/>
        </w:rPr>
        <w:t xml:space="preserve">cap. 2, </w:t>
      </w:r>
      <w:proofErr w:type="spellStart"/>
      <w:r w:rsidRPr="008A4429">
        <w:rPr>
          <w:rFonts w:ascii="Times New Roman" w:hAnsi="Times New Roman"/>
          <w:lang w:val="en-US" w:eastAsia="ar-SA"/>
        </w:rPr>
        <w:t>Kuroiwa</w:t>
      </w:r>
      <w:proofErr w:type="spellEnd"/>
      <w:r w:rsidRPr="008A4429">
        <w:rPr>
          <w:rFonts w:ascii="Times New Roman" w:hAnsi="Times New Roman"/>
          <w:lang w:val="en-US" w:eastAsia="ar-SA"/>
        </w:rPr>
        <w:t xml:space="preserve"> ed., </w:t>
      </w:r>
      <w:proofErr w:type="spellStart"/>
      <w:r w:rsidRPr="008A4429">
        <w:rPr>
          <w:rFonts w:ascii="Times New Roman" w:hAnsi="Times New Roman"/>
          <w:lang w:val="en-US" w:eastAsia="ar-SA"/>
        </w:rPr>
        <w:t>Chosakenkyu</w:t>
      </w:r>
      <w:proofErr w:type="spellEnd"/>
      <w:r w:rsidRPr="008A4429">
        <w:rPr>
          <w:rFonts w:ascii="Times New Roman" w:hAnsi="Times New Roman"/>
          <w:lang w:val="en-US" w:eastAsia="ar-SA"/>
        </w:rPr>
        <w:t xml:space="preserve"> </w:t>
      </w:r>
      <w:proofErr w:type="spellStart"/>
      <w:r w:rsidRPr="008A4429">
        <w:rPr>
          <w:rFonts w:ascii="Times New Roman" w:hAnsi="Times New Roman"/>
          <w:lang w:val="en-US" w:eastAsia="ar-SA"/>
        </w:rPr>
        <w:t>Hokokusho</w:t>
      </w:r>
      <w:proofErr w:type="spellEnd"/>
      <w:r w:rsidRPr="008A4429">
        <w:rPr>
          <w:rFonts w:ascii="Times New Roman" w:hAnsi="Times New Roman"/>
          <w:lang w:val="en-US" w:eastAsia="ar-SA"/>
        </w:rPr>
        <w:t>, IDE-JETRO.</w:t>
      </w:r>
    </w:p>
    <w:p w14:paraId="40653B07" w14:textId="60DB0D4B" w:rsidR="000921B9" w:rsidRPr="008A4429" w:rsidRDefault="000921B9" w:rsidP="000800B2">
      <w:pPr>
        <w:spacing w:line="480" w:lineRule="auto"/>
        <w:ind w:left="284" w:hanging="284"/>
        <w:jc w:val="both"/>
        <w:rPr>
          <w:rFonts w:ascii="Times New Roman" w:hAnsi="Times New Roman"/>
          <w:lang w:val="en-US"/>
        </w:rPr>
      </w:pPr>
      <w:r w:rsidRPr="008A4429">
        <w:rPr>
          <w:rFonts w:ascii="Times New Roman" w:hAnsi="Times New Roman"/>
          <w:lang w:val="en-US"/>
        </w:rPr>
        <w:t xml:space="preserve">Greco S., Ishizaka A., </w:t>
      </w:r>
      <w:proofErr w:type="spellStart"/>
      <w:r w:rsidRPr="008A4429">
        <w:rPr>
          <w:rFonts w:ascii="Times New Roman" w:hAnsi="Times New Roman"/>
          <w:lang w:val="en-US"/>
        </w:rPr>
        <w:t>Tasiou</w:t>
      </w:r>
      <w:proofErr w:type="spellEnd"/>
      <w:r w:rsidRPr="008A4429">
        <w:rPr>
          <w:rFonts w:ascii="Times New Roman" w:hAnsi="Times New Roman"/>
          <w:lang w:val="en-US"/>
        </w:rPr>
        <w:t xml:space="preserve"> M., </w:t>
      </w:r>
      <w:proofErr w:type="spellStart"/>
      <w:r w:rsidRPr="008A4429">
        <w:rPr>
          <w:rFonts w:ascii="Times New Roman" w:hAnsi="Times New Roman"/>
          <w:lang w:val="en-US"/>
        </w:rPr>
        <w:t>Torrisi</w:t>
      </w:r>
      <w:proofErr w:type="spellEnd"/>
      <w:r w:rsidRPr="008A4429">
        <w:rPr>
          <w:rFonts w:ascii="Times New Roman" w:hAnsi="Times New Roman"/>
          <w:lang w:val="en-US"/>
        </w:rPr>
        <w:t xml:space="preserve"> G. (2019)</w:t>
      </w:r>
      <w:r w:rsidR="006630B8" w:rsidRPr="008A4429">
        <w:rPr>
          <w:rFonts w:ascii="Times New Roman" w:hAnsi="Times New Roman"/>
          <w:lang w:val="en-US"/>
        </w:rPr>
        <w:t>,</w:t>
      </w:r>
      <w:r w:rsidRPr="008A4429">
        <w:rPr>
          <w:rFonts w:ascii="Times New Roman" w:hAnsi="Times New Roman"/>
          <w:lang w:val="en-US"/>
        </w:rPr>
        <w:t xml:space="preserve"> </w:t>
      </w:r>
      <w:proofErr w:type="gramStart"/>
      <w:r w:rsidRPr="008A4429">
        <w:rPr>
          <w:rFonts w:ascii="Times New Roman" w:hAnsi="Times New Roman"/>
          <w:lang w:val="en-US"/>
        </w:rPr>
        <w:t>On</w:t>
      </w:r>
      <w:proofErr w:type="gramEnd"/>
      <w:r w:rsidRPr="008A4429">
        <w:rPr>
          <w:rFonts w:ascii="Times New Roman" w:hAnsi="Times New Roman"/>
          <w:lang w:val="en-US"/>
        </w:rPr>
        <w:t xml:space="preserve"> the methodological framework of composite indices: A review of the issues of weighting, aggregation, and robustness</w:t>
      </w:r>
      <w:r w:rsidR="006630B8"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Social Indicators Research</w:t>
      </w:r>
      <w:r w:rsidRPr="008A4429">
        <w:rPr>
          <w:rFonts w:ascii="Times New Roman" w:hAnsi="Times New Roman"/>
          <w:lang w:val="en-US"/>
        </w:rPr>
        <w:t>, 141(1), 61–94.</w:t>
      </w:r>
    </w:p>
    <w:p w14:paraId="06963FF5" w14:textId="012F06DF" w:rsidR="000921B9" w:rsidRPr="008A4429" w:rsidRDefault="000921B9" w:rsidP="007F1AD2">
      <w:pPr>
        <w:autoSpaceDE w:val="0"/>
        <w:autoSpaceDN w:val="0"/>
        <w:adjustRightInd w:val="0"/>
        <w:spacing w:line="480" w:lineRule="auto"/>
        <w:ind w:left="709" w:hanging="709"/>
        <w:jc w:val="both"/>
        <w:rPr>
          <w:rFonts w:ascii="Times New Roman" w:hAnsi="Times New Roman"/>
          <w:lang w:val="en-US" w:eastAsia="ar-SA"/>
        </w:rPr>
      </w:pPr>
      <w:proofErr w:type="spellStart"/>
      <w:r w:rsidRPr="008A4429">
        <w:rPr>
          <w:rFonts w:ascii="Times New Roman" w:hAnsi="Times New Roman"/>
          <w:lang w:val="en-US" w:eastAsia="ar-SA"/>
        </w:rPr>
        <w:t>Guimarães</w:t>
      </w:r>
      <w:proofErr w:type="spellEnd"/>
      <w:r w:rsidRPr="008A4429">
        <w:rPr>
          <w:rFonts w:ascii="Times New Roman" w:hAnsi="Times New Roman"/>
          <w:lang w:val="en-US" w:eastAsia="ar-SA"/>
        </w:rPr>
        <w:t xml:space="preserve"> P., </w:t>
      </w:r>
      <w:proofErr w:type="spellStart"/>
      <w:r w:rsidRPr="008A4429">
        <w:rPr>
          <w:rFonts w:ascii="Times New Roman" w:hAnsi="Times New Roman"/>
          <w:lang w:val="en-US" w:eastAsia="ar-SA"/>
        </w:rPr>
        <w:t>Figueiredo</w:t>
      </w:r>
      <w:proofErr w:type="spellEnd"/>
      <w:r w:rsidRPr="008A4429">
        <w:rPr>
          <w:rFonts w:ascii="Times New Roman" w:hAnsi="Times New Roman"/>
          <w:lang w:val="en-US" w:eastAsia="ar-SA"/>
        </w:rPr>
        <w:t xml:space="preserve"> O., Woodward D. (2009)</w:t>
      </w:r>
      <w:r w:rsidR="006630B8" w:rsidRPr="008A4429">
        <w:rPr>
          <w:rFonts w:ascii="Times New Roman" w:hAnsi="Times New Roman"/>
          <w:lang w:val="en-US" w:eastAsia="ar-SA"/>
        </w:rPr>
        <w:t>,</w:t>
      </w:r>
      <w:r w:rsidRPr="008A4429">
        <w:rPr>
          <w:rFonts w:ascii="Times New Roman" w:hAnsi="Times New Roman"/>
          <w:lang w:val="en-US" w:eastAsia="ar-SA"/>
        </w:rPr>
        <w:t xml:space="preserve"> Dartboard tests for the location quotient</w:t>
      </w:r>
      <w:r w:rsidR="006630B8" w:rsidRPr="008A4429">
        <w:rPr>
          <w:rFonts w:ascii="Times New Roman" w:hAnsi="Times New Roman"/>
          <w:lang w:val="en-US" w:eastAsia="ar-SA"/>
        </w:rPr>
        <w:t xml:space="preserve">, </w:t>
      </w:r>
      <w:r w:rsidRPr="008A4429">
        <w:rPr>
          <w:rFonts w:ascii="Times New Roman" w:hAnsi="Times New Roman"/>
          <w:i/>
          <w:lang w:val="en-US" w:eastAsia="ar-SA"/>
        </w:rPr>
        <w:t>Regional Science and Urban</w:t>
      </w:r>
      <w:r w:rsidRPr="008A4429">
        <w:rPr>
          <w:rFonts w:ascii="Times New Roman" w:hAnsi="Times New Roman"/>
          <w:lang w:val="en-US" w:eastAsia="ar-SA"/>
        </w:rPr>
        <w:t xml:space="preserve"> </w:t>
      </w:r>
      <w:r w:rsidRPr="008A4429">
        <w:rPr>
          <w:rFonts w:ascii="Times New Roman" w:hAnsi="Times New Roman"/>
          <w:i/>
          <w:lang w:val="en-US" w:eastAsia="ar-SA"/>
        </w:rPr>
        <w:t>Economics</w:t>
      </w:r>
      <w:r w:rsidR="006630B8" w:rsidRPr="008A4429">
        <w:rPr>
          <w:rFonts w:ascii="Times New Roman" w:hAnsi="Times New Roman"/>
          <w:i/>
          <w:lang w:val="en-US" w:eastAsia="ar-SA"/>
        </w:rPr>
        <w:t>,</w:t>
      </w:r>
      <w:r w:rsidRPr="008A4429">
        <w:rPr>
          <w:rFonts w:ascii="Times New Roman" w:hAnsi="Times New Roman"/>
          <w:lang w:val="en-US" w:eastAsia="ar-SA"/>
        </w:rPr>
        <w:t xml:space="preserve"> 39(3), 360–364.</w:t>
      </w:r>
    </w:p>
    <w:p w14:paraId="4D204743" w14:textId="10DC78DC" w:rsidR="000921B9" w:rsidRPr="008A4429" w:rsidRDefault="000921B9" w:rsidP="00F378A9">
      <w:pPr>
        <w:spacing w:line="480" w:lineRule="auto"/>
        <w:ind w:left="284" w:hanging="284"/>
        <w:jc w:val="both"/>
        <w:rPr>
          <w:rFonts w:ascii="Times New Roman" w:hAnsi="Times New Roman"/>
          <w:lang w:val="en-US" w:eastAsia="ar-SA"/>
        </w:rPr>
      </w:pPr>
      <w:proofErr w:type="spellStart"/>
      <w:r w:rsidRPr="008A4429">
        <w:rPr>
          <w:rFonts w:ascii="Times New Roman" w:hAnsi="Times New Roman"/>
          <w:lang w:val="en-US"/>
        </w:rPr>
        <w:t>Haedo</w:t>
      </w:r>
      <w:proofErr w:type="spellEnd"/>
      <w:r w:rsidRPr="008A4429">
        <w:rPr>
          <w:rFonts w:ascii="Times New Roman" w:hAnsi="Times New Roman"/>
          <w:lang w:val="en-US"/>
        </w:rPr>
        <w:t xml:space="preserve"> C., </w:t>
      </w:r>
      <w:proofErr w:type="spellStart"/>
      <w:r w:rsidRPr="008A4429">
        <w:rPr>
          <w:rFonts w:ascii="Times New Roman" w:hAnsi="Times New Roman"/>
          <w:lang w:val="en-US"/>
        </w:rPr>
        <w:t>Mouchart</w:t>
      </w:r>
      <w:proofErr w:type="spellEnd"/>
      <w:r w:rsidRPr="008A4429">
        <w:rPr>
          <w:rFonts w:ascii="Times New Roman" w:hAnsi="Times New Roman"/>
          <w:lang w:val="en-US"/>
        </w:rPr>
        <w:t xml:space="preserve"> M. (2018)</w:t>
      </w:r>
      <w:r w:rsidR="006630B8" w:rsidRPr="008A4429">
        <w:rPr>
          <w:rFonts w:ascii="Times New Roman" w:hAnsi="Times New Roman"/>
          <w:lang w:val="en-US"/>
        </w:rPr>
        <w:t>,</w:t>
      </w:r>
      <w:r w:rsidRPr="008A4429">
        <w:rPr>
          <w:rFonts w:ascii="Times New Roman" w:hAnsi="Times New Roman"/>
          <w:lang w:val="en-US"/>
        </w:rPr>
        <w:t xml:space="preserve"> </w:t>
      </w:r>
      <w:proofErr w:type="gramStart"/>
      <w:r w:rsidRPr="008A4429">
        <w:rPr>
          <w:rFonts w:ascii="Times New Roman" w:hAnsi="Times New Roman"/>
          <w:lang w:val="en-US"/>
        </w:rPr>
        <w:t>A</w:t>
      </w:r>
      <w:proofErr w:type="gramEnd"/>
      <w:r w:rsidRPr="008A4429">
        <w:rPr>
          <w:rFonts w:ascii="Times New Roman" w:hAnsi="Times New Roman"/>
          <w:lang w:val="en-US"/>
        </w:rPr>
        <w:t xml:space="preserve"> stochastic independence approach for measuring regional specialization and concentration</w:t>
      </w:r>
      <w:r w:rsidR="006630B8" w:rsidRPr="008A4429">
        <w:rPr>
          <w:rFonts w:ascii="Times New Roman" w:hAnsi="Times New Roman"/>
          <w:lang w:val="en-US"/>
        </w:rPr>
        <w:t xml:space="preserve">, </w:t>
      </w:r>
      <w:r w:rsidRPr="008A4429">
        <w:rPr>
          <w:rFonts w:ascii="Times New Roman" w:hAnsi="Times New Roman"/>
          <w:i/>
          <w:lang w:val="en-US"/>
        </w:rPr>
        <w:t>Papers in Regional Science</w:t>
      </w:r>
      <w:r w:rsidR="002105F7" w:rsidRPr="008A4429">
        <w:rPr>
          <w:rFonts w:ascii="Times New Roman" w:hAnsi="Times New Roman"/>
          <w:i/>
          <w:lang w:val="en-US"/>
        </w:rPr>
        <w:t>,</w:t>
      </w:r>
      <w:r w:rsidRPr="008A4429">
        <w:rPr>
          <w:rFonts w:ascii="Times New Roman" w:hAnsi="Times New Roman"/>
          <w:i/>
          <w:lang w:val="en-US"/>
        </w:rPr>
        <w:t xml:space="preserve"> </w:t>
      </w:r>
      <w:r w:rsidRPr="008A4429">
        <w:rPr>
          <w:rFonts w:ascii="Times New Roman" w:hAnsi="Times New Roman"/>
          <w:lang w:val="en-US" w:eastAsia="ar-SA"/>
        </w:rPr>
        <w:t>97(4), 1151-1168.</w:t>
      </w:r>
    </w:p>
    <w:p w14:paraId="6A5AA416" w14:textId="65C0F737" w:rsidR="000921B9" w:rsidRPr="008A4429" w:rsidRDefault="000921B9" w:rsidP="000800B2">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Krishnakumar</w:t>
      </w:r>
      <w:proofErr w:type="spellEnd"/>
      <w:r w:rsidRPr="008A4429">
        <w:rPr>
          <w:rFonts w:ascii="Times New Roman" w:hAnsi="Times New Roman"/>
          <w:lang w:val="en-US"/>
        </w:rPr>
        <w:t xml:space="preserve"> J., Nagar A.L. (2008)</w:t>
      </w:r>
      <w:r w:rsidR="006630B8" w:rsidRPr="008A4429">
        <w:rPr>
          <w:rFonts w:ascii="Times New Roman" w:hAnsi="Times New Roman"/>
          <w:lang w:val="en-US"/>
        </w:rPr>
        <w:t>,</w:t>
      </w:r>
      <w:r w:rsidRPr="008A4429">
        <w:rPr>
          <w:rFonts w:ascii="Times New Roman" w:hAnsi="Times New Roman"/>
          <w:lang w:val="en-US"/>
        </w:rPr>
        <w:t xml:space="preserve"> On exact statistical properties of multidimensional indices based on principal components, factor analysis, MIMIC and structural equation models</w:t>
      </w:r>
      <w:r w:rsidR="006630B8" w:rsidRPr="008A4429">
        <w:rPr>
          <w:rFonts w:ascii="Times New Roman" w:hAnsi="Times New Roman"/>
          <w:lang w:val="en-US"/>
        </w:rPr>
        <w:t xml:space="preserve">, </w:t>
      </w:r>
      <w:r w:rsidRPr="008A4429">
        <w:rPr>
          <w:rFonts w:ascii="Times New Roman" w:hAnsi="Times New Roman"/>
          <w:i/>
          <w:iCs/>
          <w:lang w:val="en-US"/>
        </w:rPr>
        <w:t>Social Indicators Research,86</w:t>
      </w:r>
      <w:r w:rsidRPr="008A4429">
        <w:rPr>
          <w:rFonts w:ascii="Times New Roman" w:hAnsi="Times New Roman"/>
          <w:lang w:val="en-US"/>
        </w:rPr>
        <w:t>(3), 481–496.</w:t>
      </w:r>
    </w:p>
    <w:p w14:paraId="7E4B49C9" w14:textId="46635E8E" w:rsidR="002105F7" w:rsidRPr="008A4429" w:rsidRDefault="000921B9" w:rsidP="002105F7">
      <w:pPr>
        <w:spacing w:line="480" w:lineRule="auto"/>
        <w:ind w:left="284" w:hanging="284"/>
        <w:jc w:val="both"/>
        <w:rPr>
          <w:rFonts w:ascii="Times New Roman" w:hAnsi="Times New Roman"/>
          <w:lang w:val="en-US"/>
        </w:rPr>
      </w:pPr>
      <w:r w:rsidRPr="008A4429">
        <w:rPr>
          <w:rFonts w:ascii="Times New Roman" w:hAnsi="Times New Roman"/>
          <w:lang w:val="en-US"/>
        </w:rPr>
        <w:t>Lang G., Marcon E. Puech F. (20</w:t>
      </w:r>
      <w:r w:rsidR="002105F7" w:rsidRPr="008A4429">
        <w:rPr>
          <w:rFonts w:ascii="Times New Roman" w:hAnsi="Times New Roman"/>
          <w:lang w:val="en-US"/>
        </w:rPr>
        <w:t>20</w:t>
      </w:r>
      <w:r w:rsidRPr="008A4429">
        <w:rPr>
          <w:rFonts w:ascii="Times New Roman" w:hAnsi="Times New Roman"/>
          <w:lang w:val="en-US"/>
        </w:rPr>
        <w:t>)</w:t>
      </w:r>
      <w:r w:rsidR="002105F7" w:rsidRPr="008A4429">
        <w:rPr>
          <w:rFonts w:ascii="Times New Roman" w:hAnsi="Times New Roman"/>
          <w:lang w:val="en-US"/>
        </w:rPr>
        <w:t xml:space="preserve">, </w:t>
      </w:r>
      <w:r w:rsidRPr="008A4429">
        <w:rPr>
          <w:rFonts w:ascii="Times New Roman" w:hAnsi="Times New Roman"/>
          <w:lang w:val="en-US"/>
        </w:rPr>
        <w:t xml:space="preserve">Distance-based measures of spatial concentration: introducing a relative density function, </w:t>
      </w:r>
      <w:r w:rsidR="002105F7" w:rsidRPr="008A4429">
        <w:rPr>
          <w:rFonts w:ascii="Times New Roman" w:hAnsi="Times New Roman"/>
          <w:i/>
          <w:iCs/>
          <w:lang w:val="en-US"/>
        </w:rPr>
        <w:t>The Annals of Regional Science</w:t>
      </w:r>
      <w:r w:rsidR="002105F7" w:rsidRPr="008A4429">
        <w:rPr>
          <w:rFonts w:ascii="Times New Roman" w:hAnsi="Times New Roman"/>
          <w:lang w:val="en-US"/>
        </w:rPr>
        <w:t>, v64, 243–265.</w:t>
      </w:r>
    </w:p>
    <w:p w14:paraId="659A397D" w14:textId="6AA195C3" w:rsidR="000921B9" w:rsidRPr="008A4429" w:rsidRDefault="000921B9" w:rsidP="002105F7">
      <w:pPr>
        <w:spacing w:line="480" w:lineRule="auto"/>
        <w:ind w:left="284" w:hanging="284"/>
        <w:jc w:val="both"/>
        <w:rPr>
          <w:rFonts w:ascii="Times New Roman" w:hAnsi="Times New Roman"/>
          <w:lang w:val="en-US" w:eastAsia="ar-SA"/>
        </w:rPr>
      </w:pPr>
      <w:proofErr w:type="spellStart"/>
      <w:r w:rsidRPr="008A4429">
        <w:rPr>
          <w:rFonts w:ascii="Times New Roman" w:hAnsi="Times New Roman"/>
          <w:lang w:val="en-US" w:eastAsia="ar-SA"/>
        </w:rPr>
        <w:lastRenderedPageBreak/>
        <w:t>Marcon</w:t>
      </w:r>
      <w:proofErr w:type="spellEnd"/>
      <w:r w:rsidRPr="008A4429">
        <w:rPr>
          <w:rFonts w:ascii="Times New Roman" w:hAnsi="Times New Roman"/>
          <w:lang w:val="en-US" w:eastAsia="ar-SA"/>
        </w:rPr>
        <w:t xml:space="preserve"> E., Puech F. (2003)</w:t>
      </w:r>
      <w:r w:rsidR="00A317F7" w:rsidRPr="008A4429">
        <w:rPr>
          <w:rFonts w:ascii="Times New Roman" w:hAnsi="Times New Roman"/>
          <w:lang w:val="en-US" w:eastAsia="ar-SA"/>
        </w:rPr>
        <w:t>,</w:t>
      </w:r>
      <w:r w:rsidRPr="008A4429">
        <w:rPr>
          <w:rFonts w:ascii="Times New Roman" w:hAnsi="Times New Roman"/>
          <w:lang w:val="en-US" w:eastAsia="ar-SA"/>
        </w:rPr>
        <w:t xml:space="preserve"> </w:t>
      </w:r>
      <w:proofErr w:type="gramStart"/>
      <w:r w:rsidRPr="008A4429">
        <w:rPr>
          <w:rFonts w:ascii="Times New Roman" w:hAnsi="Times New Roman"/>
          <w:lang w:val="en-US" w:eastAsia="ar-SA"/>
        </w:rPr>
        <w:t>Evaluating</w:t>
      </w:r>
      <w:proofErr w:type="gramEnd"/>
      <w:r w:rsidRPr="008A4429">
        <w:rPr>
          <w:rFonts w:ascii="Times New Roman" w:hAnsi="Times New Roman"/>
          <w:lang w:val="en-US" w:eastAsia="ar-SA"/>
        </w:rPr>
        <w:t xml:space="preserve"> the geographic concentration of industries using distance-based methods</w:t>
      </w:r>
      <w:r w:rsidR="00A317F7" w:rsidRPr="008A4429">
        <w:rPr>
          <w:rFonts w:ascii="Times New Roman" w:hAnsi="Times New Roman"/>
          <w:lang w:val="en-US" w:eastAsia="ar-SA"/>
        </w:rPr>
        <w:t>,</w:t>
      </w:r>
      <w:r w:rsidRPr="008A4429">
        <w:rPr>
          <w:rFonts w:ascii="Times New Roman" w:hAnsi="Times New Roman"/>
          <w:lang w:val="en-US" w:eastAsia="ar-SA"/>
        </w:rPr>
        <w:t xml:space="preserve"> </w:t>
      </w:r>
      <w:r w:rsidRPr="008A4429">
        <w:rPr>
          <w:rFonts w:ascii="Times New Roman" w:hAnsi="Times New Roman"/>
          <w:i/>
          <w:lang w:val="en-US" w:eastAsia="ar-SA"/>
        </w:rPr>
        <w:t>Journal of Economic Geography</w:t>
      </w:r>
      <w:r w:rsidR="00A317F7" w:rsidRPr="008A4429">
        <w:rPr>
          <w:rFonts w:ascii="Times New Roman" w:hAnsi="Times New Roman"/>
          <w:i/>
          <w:lang w:val="en-US" w:eastAsia="ar-SA"/>
        </w:rPr>
        <w:t>,</w:t>
      </w:r>
      <w:r w:rsidRPr="008A4429">
        <w:rPr>
          <w:rFonts w:ascii="Times New Roman" w:hAnsi="Times New Roman"/>
          <w:lang w:val="en-US" w:eastAsia="ar-SA"/>
        </w:rPr>
        <w:t xml:space="preserve"> 3(4), 409–428.</w:t>
      </w:r>
    </w:p>
    <w:p w14:paraId="689C52A4" w14:textId="6ADA1F43"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Marcon E., Puech F. (2010)</w:t>
      </w:r>
      <w:r w:rsidR="00A317F7" w:rsidRPr="008A4429">
        <w:rPr>
          <w:rFonts w:ascii="Times New Roman" w:hAnsi="Times New Roman"/>
          <w:lang w:val="en-US"/>
        </w:rPr>
        <w:t>,</w:t>
      </w:r>
      <w:r w:rsidRPr="008A4429">
        <w:rPr>
          <w:rFonts w:ascii="Times New Roman" w:hAnsi="Times New Roman"/>
          <w:lang w:val="en-US"/>
        </w:rPr>
        <w:t xml:space="preserve"> Measures of the Geographic Concentration of Industries: Improving Distance-based Methods</w:t>
      </w:r>
      <w:r w:rsidR="00A317F7"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Journal of Economic Geography</w:t>
      </w:r>
      <w:r w:rsidR="00A317F7" w:rsidRPr="008A4429">
        <w:rPr>
          <w:rFonts w:ascii="Times New Roman" w:hAnsi="Times New Roman"/>
          <w:i/>
          <w:iCs/>
          <w:lang w:val="en-US"/>
        </w:rPr>
        <w:t>,</w:t>
      </w:r>
      <w:r w:rsidRPr="008A4429">
        <w:rPr>
          <w:rFonts w:ascii="Times New Roman" w:hAnsi="Times New Roman"/>
          <w:i/>
          <w:iCs/>
          <w:lang w:val="en-US"/>
        </w:rPr>
        <w:t xml:space="preserve"> </w:t>
      </w:r>
      <w:r w:rsidRPr="008A4429">
        <w:rPr>
          <w:rFonts w:ascii="Times New Roman" w:hAnsi="Times New Roman"/>
          <w:lang w:val="en-US"/>
        </w:rPr>
        <w:t>10(5), 745–762.</w:t>
      </w:r>
    </w:p>
    <w:p w14:paraId="501B3C70" w14:textId="4CEE4AC5" w:rsidR="000921B9" w:rsidRPr="008A4429" w:rsidRDefault="000921B9" w:rsidP="007F4EAE">
      <w:pPr>
        <w:autoSpaceDE w:val="0"/>
        <w:autoSpaceDN w:val="0"/>
        <w:adjustRightInd w:val="0"/>
        <w:spacing w:line="480" w:lineRule="auto"/>
        <w:ind w:left="709" w:hanging="709"/>
        <w:jc w:val="both"/>
        <w:rPr>
          <w:rFonts w:ascii="Times New Roman" w:hAnsi="Times New Roman"/>
          <w:lang w:val="en-US"/>
        </w:rPr>
      </w:pPr>
      <w:r w:rsidRPr="008A4429">
        <w:rPr>
          <w:rFonts w:ascii="Times New Roman" w:hAnsi="Times New Roman"/>
          <w:lang w:val="en-US"/>
        </w:rPr>
        <w:t>Marcon E., Puech F. (2017)</w:t>
      </w:r>
      <w:r w:rsidR="00A317F7" w:rsidRPr="008A4429">
        <w:rPr>
          <w:rFonts w:ascii="Times New Roman" w:hAnsi="Times New Roman"/>
          <w:lang w:val="en-US"/>
        </w:rPr>
        <w:t xml:space="preserve">, </w:t>
      </w:r>
      <w:r w:rsidRPr="008A4429">
        <w:rPr>
          <w:rFonts w:ascii="Times New Roman" w:hAnsi="Times New Roman"/>
          <w:lang w:val="en-US"/>
        </w:rPr>
        <w:t xml:space="preserve">A typology of distance-based measures of spatial concentration, </w:t>
      </w:r>
      <w:r w:rsidRPr="008A4429">
        <w:rPr>
          <w:rFonts w:ascii="Times New Roman" w:hAnsi="Times New Roman"/>
          <w:i/>
          <w:lang w:val="en-US"/>
        </w:rPr>
        <w:t>Regional Science and Urban Economics</w:t>
      </w:r>
      <w:r w:rsidRPr="008A4429">
        <w:rPr>
          <w:rFonts w:ascii="Times New Roman" w:hAnsi="Times New Roman"/>
          <w:lang w:val="en-US"/>
        </w:rPr>
        <w:t>, 62, 56-67.</w:t>
      </w:r>
    </w:p>
    <w:p w14:paraId="03A2C7FA" w14:textId="6CB7441A" w:rsidR="007211C0" w:rsidRPr="008A4429" w:rsidRDefault="007211C0" w:rsidP="007211C0">
      <w:pPr>
        <w:spacing w:line="480" w:lineRule="auto"/>
        <w:ind w:left="284" w:hanging="284"/>
        <w:jc w:val="both"/>
        <w:rPr>
          <w:rFonts w:ascii="Times New Roman" w:hAnsi="Times New Roman"/>
          <w:lang w:val="en-GB"/>
        </w:rPr>
      </w:pPr>
      <w:r w:rsidRPr="008A4429">
        <w:rPr>
          <w:rFonts w:ascii="Times New Roman" w:hAnsi="Times New Roman"/>
          <w:lang w:val="en-GB"/>
        </w:rPr>
        <w:t>Martin R. (2012), (Re) placing path dependence: a response to the debate, </w:t>
      </w:r>
      <w:r w:rsidRPr="008A4429">
        <w:rPr>
          <w:rFonts w:ascii="Times New Roman" w:hAnsi="Times New Roman"/>
          <w:i/>
          <w:lang w:val="en-GB"/>
        </w:rPr>
        <w:t>International Journal of Urban and Regional Research</w:t>
      </w:r>
      <w:r w:rsidRPr="008A4429">
        <w:rPr>
          <w:rFonts w:ascii="Times New Roman" w:hAnsi="Times New Roman"/>
          <w:lang w:val="en-GB"/>
        </w:rPr>
        <w:t>, 36(1), 179-192.</w:t>
      </w:r>
    </w:p>
    <w:p w14:paraId="39B4FF44" w14:textId="537F93BE" w:rsidR="007211C0" w:rsidRPr="008A4429" w:rsidRDefault="007211C0" w:rsidP="008A4429">
      <w:pPr>
        <w:spacing w:line="480" w:lineRule="auto"/>
        <w:ind w:left="284" w:hanging="284"/>
        <w:jc w:val="both"/>
        <w:rPr>
          <w:rFonts w:ascii="Times New Roman" w:hAnsi="Times New Roman"/>
          <w:lang w:val="en-GB"/>
        </w:rPr>
      </w:pPr>
      <w:r w:rsidRPr="008A4429">
        <w:rPr>
          <w:rFonts w:ascii="Times New Roman" w:hAnsi="Times New Roman"/>
          <w:lang w:val="en-GB"/>
        </w:rPr>
        <w:t xml:space="preserve">Martin R., </w:t>
      </w:r>
      <w:proofErr w:type="spellStart"/>
      <w:r w:rsidRPr="008A4429">
        <w:rPr>
          <w:rFonts w:ascii="Times New Roman" w:hAnsi="Times New Roman"/>
          <w:lang w:val="en-GB"/>
        </w:rPr>
        <w:t>Sunley</w:t>
      </w:r>
      <w:proofErr w:type="spellEnd"/>
      <w:r w:rsidRPr="008A4429">
        <w:rPr>
          <w:rFonts w:ascii="Times New Roman" w:hAnsi="Times New Roman"/>
          <w:lang w:val="en-GB"/>
        </w:rPr>
        <w:t xml:space="preserve"> P. (2006), Path dependence and regional economic evolution, </w:t>
      </w:r>
      <w:r w:rsidRPr="008A4429">
        <w:rPr>
          <w:rFonts w:ascii="Times New Roman" w:hAnsi="Times New Roman"/>
          <w:i/>
          <w:lang w:val="en-GB"/>
        </w:rPr>
        <w:t>Journal of Economic Geography</w:t>
      </w:r>
      <w:r w:rsidRPr="008A4429">
        <w:rPr>
          <w:rFonts w:ascii="Times New Roman" w:hAnsi="Times New Roman"/>
          <w:lang w:val="en-GB"/>
        </w:rPr>
        <w:t>, 6(4), 395–437.</w:t>
      </w:r>
    </w:p>
    <w:p w14:paraId="3FEA6CE1" w14:textId="096CA9AC" w:rsidR="000921B9" w:rsidRPr="008A4429" w:rsidRDefault="000921B9" w:rsidP="007F4EAE">
      <w:pPr>
        <w:autoSpaceDE w:val="0"/>
        <w:autoSpaceDN w:val="0"/>
        <w:adjustRightInd w:val="0"/>
        <w:spacing w:line="480" w:lineRule="auto"/>
        <w:ind w:left="709" w:hanging="709"/>
        <w:jc w:val="both"/>
        <w:rPr>
          <w:rFonts w:ascii="Times New Roman" w:hAnsi="Times New Roman"/>
          <w:lang w:val="en-GB" w:eastAsia="ar-SA"/>
        </w:rPr>
      </w:pPr>
      <w:proofErr w:type="spellStart"/>
      <w:r w:rsidRPr="008A4429">
        <w:rPr>
          <w:rFonts w:ascii="Times New Roman" w:hAnsi="Times New Roman"/>
          <w:lang w:val="en-GB" w:eastAsia="ar-SA"/>
        </w:rPr>
        <w:t>Maurel</w:t>
      </w:r>
      <w:proofErr w:type="spellEnd"/>
      <w:r w:rsidRPr="008A4429">
        <w:rPr>
          <w:rFonts w:ascii="Times New Roman" w:hAnsi="Times New Roman"/>
          <w:lang w:val="en-GB" w:eastAsia="ar-SA"/>
        </w:rPr>
        <w:t xml:space="preserve"> F., </w:t>
      </w:r>
      <w:proofErr w:type="spellStart"/>
      <w:r w:rsidRPr="008A4429">
        <w:rPr>
          <w:rFonts w:ascii="Times New Roman" w:hAnsi="Times New Roman"/>
          <w:lang w:val="en-GB" w:eastAsia="ar-SA"/>
        </w:rPr>
        <w:t>Sédillot</w:t>
      </w:r>
      <w:proofErr w:type="spellEnd"/>
      <w:r w:rsidRPr="008A4429">
        <w:rPr>
          <w:rFonts w:ascii="Times New Roman" w:hAnsi="Times New Roman"/>
          <w:lang w:val="en-GB" w:eastAsia="ar-SA"/>
        </w:rPr>
        <w:t xml:space="preserve"> B. (1999)</w:t>
      </w:r>
      <w:r w:rsidR="00A317F7" w:rsidRPr="008A4429">
        <w:rPr>
          <w:rFonts w:ascii="Times New Roman" w:hAnsi="Times New Roman"/>
          <w:lang w:val="en-GB" w:eastAsia="ar-SA"/>
        </w:rPr>
        <w:t>,</w:t>
      </w:r>
      <w:r w:rsidRPr="008A4429">
        <w:rPr>
          <w:rFonts w:ascii="Times New Roman" w:hAnsi="Times New Roman"/>
          <w:lang w:val="en-GB" w:eastAsia="ar-SA"/>
        </w:rPr>
        <w:t xml:space="preserve"> A measure of the geographic concentration in French manufacturing industries</w:t>
      </w:r>
      <w:r w:rsidR="00A317F7" w:rsidRPr="008A4429">
        <w:rPr>
          <w:rFonts w:ascii="Times New Roman" w:hAnsi="Times New Roman"/>
          <w:lang w:val="en-GB" w:eastAsia="ar-SA"/>
        </w:rPr>
        <w:t>,</w:t>
      </w:r>
      <w:r w:rsidRPr="008A4429">
        <w:rPr>
          <w:rFonts w:ascii="Times New Roman" w:hAnsi="Times New Roman"/>
          <w:lang w:val="en-GB" w:eastAsia="ar-SA"/>
        </w:rPr>
        <w:t xml:space="preserve"> </w:t>
      </w:r>
      <w:r w:rsidRPr="008A4429">
        <w:rPr>
          <w:rFonts w:ascii="Times New Roman" w:hAnsi="Times New Roman"/>
          <w:i/>
          <w:lang w:val="en-GB" w:eastAsia="ar-SA"/>
        </w:rPr>
        <w:t>Regional Science and Urban Economics</w:t>
      </w:r>
      <w:r w:rsidR="00A317F7" w:rsidRPr="008A4429">
        <w:rPr>
          <w:rFonts w:ascii="Times New Roman" w:hAnsi="Times New Roman"/>
          <w:i/>
          <w:lang w:val="en-GB" w:eastAsia="ar-SA"/>
        </w:rPr>
        <w:t>,</w:t>
      </w:r>
      <w:r w:rsidRPr="008A4429">
        <w:rPr>
          <w:rFonts w:ascii="Times New Roman" w:hAnsi="Times New Roman"/>
          <w:lang w:val="en-GB" w:eastAsia="ar-SA"/>
        </w:rPr>
        <w:t xml:space="preserve"> 29(5), 575-604. </w:t>
      </w:r>
    </w:p>
    <w:p w14:paraId="1F5FC590" w14:textId="38EF1F6B" w:rsidR="000921B9" w:rsidRPr="008A4429" w:rsidRDefault="000921B9" w:rsidP="000800B2">
      <w:pPr>
        <w:autoSpaceDE w:val="0"/>
        <w:autoSpaceDN w:val="0"/>
        <w:adjustRightInd w:val="0"/>
        <w:spacing w:line="480" w:lineRule="auto"/>
        <w:ind w:left="709" w:hanging="709"/>
        <w:jc w:val="both"/>
        <w:rPr>
          <w:rFonts w:ascii="Times New Roman" w:hAnsi="Times New Roman"/>
          <w:lang w:val="en-US" w:eastAsia="ar-SA"/>
        </w:rPr>
      </w:pPr>
      <w:proofErr w:type="spellStart"/>
      <w:r w:rsidRPr="008A4429">
        <w:rPr>
          <w:rFonts w:ascii="Times New Roman" w:hAnsi="Times New Roman"/>
          <w:lang w:val="en-US" w:eastAsia="ar-SA"/>
        </w:rPr>
        <w:t>Mazziotta</w:t>
      </w:r>
      <w:proofErr w:type="spellEnd"/>
      <w:r w:rsidRPr="008A4429">
        <w:rPr>
          <w:rFonts w:ascii="Times New Roman" w:hAnsi="Times New Roman"/>
          <w:lang w:val="en-US" w:eastAsia="ar-SA"/>
        </w:rPr>
        <w:t xml:space="preserve"> M., Pareto</w:t>
      </w:r>
      <w:r w:rsidR="008A4429" w:rsidRPr="008A4429">
        <w:rPr>
          <w:rFonts w:ascii="Times New Roman" w:hAnsi="Times New Roman"/>
          <w:lang w:val="en-US" w:eastAsia="ar-SA"/>
        </w:rPr>
        <w:t xml:space="preserve"> </w:t>
      </w:r>
      <w:r w:rsidRPr="008A4429">
        <w:rPr>
          <w:rFonts w:ascii="Times New Roman" w:hAnsi="Times New Roman"/>
          <w:lang w:val="en-US" w:eastAsia="ar-SA"/>
        </w:rPr>
        <w:t>A. (2019)</w:t>
      </w:r>
      <w:r w:rsidR="00A317F7" w:rsidRPr="008A4429">
        <w:rPr>
          <w:rFonts w:ascii="Times New Roman" w:hAnsi="Times New Roman"/>
          <w:lang w:val="en-US" w:eastAsia="ar-SA"/>
        </w:rPr>
        <w:t>,</w:t>
      </w:r>
      <w:r w:rsidRPr="008A4429">
        <w:rPr>
          <w:rFonts w:ascii="Times New Roman" w:hAnsi="Times New Roman"/>
          <w:lang w:val="en-US" w:eastAsia="ar-SA"/>
        </w:rPr>
        <w:t xml:space="preserve"> Use and misuse of PCA for measuring well-being</w:t>
      </w:r>
      <w:r w:rsidR="00A317F7" w:rsidRPr="008A4429">
        <w:rPr>
          <w:rFonts w:ascii="Times New Roman" w:hAnsi="Times New Roman"/>
          <w:lang w:val="en-US" w:eastAsia="ar-SA"/>
        </w:rPr>
        <w:t>,</w:t>
      </w:r>
      <w:r w:rsidRPr="008A4429">
        <w:rPr>
          <w:rFonts w:ascii="Times New Roman" w:hAnsi="Times New Roman"/>
          <w:lang w:val="en-US" w:eastAsia="ar-SA"/>
        </w:rPr>
        <w:t xml:space="preserve"> </w:t>
      </w:r>
      <w:r w:rsidRPr="008A4429">
        <w:rPr>
          <w:rFonts w:ascii="Times New Roman" w:hAnsi="Times New Roman"/>
          <w:i/>
          <w:iCs/>
          <w:lang w:val="en-US" w:eastAsia="ar-SA"/>
        </w:rPr>
        <w:t>Social Indicators Research</w:t>
      </w:r>
      <w:r w:rsidRPr="008A4429">
        <w:rPr>
          <w:rFonts w:ascii="Times New Roman" w:hAnsi="Times New Roman"/>
          <w:lang w:val="en-US" w:eastAsia="ar-SA"/>
        </w:rPr>
        <w:t>, 142, 451–476.</w:t>
      </w:r>
    </w:p>
    <w:p w14:paraId="382AE647" w14:textId="12C3D5E7" w:rsidR="000921B9" w:rsidRPr="008A4429" w:rsidRDefault="000921B9" w:rsidP="007F4EAE">
      <w:pPr>
        <w:autoSpaceDE w:val="0"/>
        <w:autoSpaceDN w:val="0"/>
        <w:adjustRightInd w:val="0"/>
        <w:spacing w:line="480" w:lineRule="auto"/>
        <w:ind w:left="709" w:hanging="709"/>
        <w:jc w:val="both"/>
        <w:rPr>
          <w:rFonts w:ascii="Times New Roman" w:hAnsi="Times New Roman"/>
          <w:lang w:val="en-GB" w:eastAsia="ar-SA"/>
        </w:rPr>
      </w:pPr>
      <w:r w:rsidRPr="008A4429">
        <w:rPr>
          <w:rFonts w:ascii="Times New Roman" w:hAnsi="Times New Roman"/>
          <w:lang w:val="en-GB" w:eastAsia="ar-SA"/>
        </w:rPr>
        <w:t xml:space="preserve">Mori T., </w:t>
      </w:r>
      <w:proofErr w:type="spellStart"/>
      <w:r w:rsidRPr="008A4429">
        <w:rPr>
          <w:rFonts w:ascii="Times New Roman" w:hAnsi="Times New Roman"/>
          <w:lang w:val="en-GB" w:eastAsia="ar-SA"/>
        </w:rPr>
        <w:t>Nishikimi</w:t>
      </w:r>
      <w:proofErr w:type="spellEnd"/>
      <w:r w:rsidRPr="008A4429">
        <w:rPr>
          <w:rFonts w:ascii="Times New Roman" w:hAnsi="Times New Roman"/>
          <w:lang w:val="en-GB" w:eastAsia="ar-SA"/>
        </w:rPr>
        <w:t xml:space="preserve"> K., Smith T.E., 2005</w:t>
      </w:r>
      <w:r w:rsidR="00A317F7" w:rsidRPr="008A4429">
        <w:rPr>
          <w:rFonts w:ascii="Times New Roman" w:hAnsi="Times New Roman"/>
          <w:lang w:val="en-GB" w:eastAsia="ar-SA"/>
        </w:rPr>
        <w:t>l</w:t>
      </w:r>
      <w:r w:rsidRPr="008A4429">
        <w:rPr>
          <w:rFonts w:ascii="Times New Roman" w:hAnsi="Times New Roman"/>
          <w:lang w:val="en-GB" w:eastAsia="ar-SA"/>
        </w:rPr>
        <w:t xml:space="preserve"> A divergence statistic for industrial localization</w:t>
      </w:r>
      <w:r w:rsidR="00A317F7" w:rsidRPr="008A4429">
        <w:rPr>
          <w:rFonts w:ascii="Times New Roman" w:hAnsi="Times New Roman"/>
          <w:lang w:val="en-GB" w:eastAsia="ar-SA"/>
        </w:rPr>
        <w:t>,</w:t>
      </w:r>
      <w:r w:rsidRPr="008A4429">
        <w:rPr>
          <w:rFonts w:ascii="Times New Roman" w:hAnsi="Times New Roman"/>
          <w:lang w:val="en-GB" w:eastAsia="ar-SA"/>
        </w:rPr>
        <w:t xml:space="preserve"> </w:t>
      </w:r>
      <w:r w:rsidRPr="008A4429">
        <w:rPr>
          <w:rFonts w:ascii="Times New Roman" w:hAnsi="Times New Roman"/>
          <w:i/>
          <w:lang w:val="en-GB" w:eastAsia="ar-SA"/>
        </w:rPr>
        <w:t>The Review of Economics and Statistics</w:t>
      </w:r>
      <w:r w:rsidR="00A317F7" w:rsidRPr="008A4429">
        <w:rPr>
          <w:rFonts w:ascii="Times New Roman" w:hAnsi="Times New Roman"/>
          <w:lang w:val="en-GB" w:eastAsia="ar-SA"/>
        </w:rPr>
        <w:t xml:space="preserve">, </w:t>
      </w:r>
      <w:r w:rsidRPr="008A4429">
        <w:rPr>
          <w:rFonts w:ascii="Times New Roman" w:hAnsi="Times New Roman"/>
          <w:lang w:val="en-GB" w:eastAsia="ar-SA"/>
        </w:rPr>
        <w:t>87(4), 635–651.</w:t>
      </w:r>
    </w:p>
    <w:p w14:paraId="60D0F7C6" w14:textId="693E7820" w:rsidR="000921B9" w:rsidRPr="008A4429" w:rsidRDefault="000921B9" w:rsidP="007F4EAE">
      <w:pPr>
        <w:autoSpaceDE w:val="0"/>
        <w:autoSpaceDN w:val="0"/>
        <w:adjustRightInd w:val="0"/>
        <w:spacing w:line="480" w:lineRule="auto"/>
        <w:ind w:left="709" w:hanging="709"/>
        <w:jc w:val="both"/>
        <w:rPr>
          <w:rFonts w:ascii="Times New Roman" w:hAnsi="Times New Roman"/>
          <w:lang w:val="en-GB" w:eastAsia="ar-SA"/>
        </w:rPr>
      </w:pPr>
      <w:r w:rsidRPr="008A4429">
        <w:rPr>
          <w:rFonts w:ascii="Courier New" w:hAnsi="Courier New" w:cs="Courier New"/>
          <w:lang w:val="en-GB" w:eastAsia="ar-SA"/>
        </w:rPr>
        <w:t>﻿</w:t>
      </w:r>
      <w:r w:rsidRPr="008A4429">
        <w:rPr>
          <w:rFonts w:ascii="Times New Roman" w:hAnsi="Times New Roman"/>
          <w:lang w:val="en-GB" w:eastAsia="ar-SA"/>
        </w:rPr>
        <w:t>Mulligan G.F.</w:t>
      </w:r>
      <w:r w:rsidR="008A4429" w:rsidRPr="008A4429">
        <w:rPr>
          <w:rFonts w:ascii="Times New Roman" w:hAnsi="Times New Roman"/>
          <w:lang w:val="en-GB" w:eastAsia="ar-SA"/>
        </w:rPr>
        <w:t>,</w:t>
      </w:r>
      <w:r w:rsidRPr="008A4429">
        <w:rPr>
          <w:rFonts w:ascii="Times New Roman" w:hAnsi="Times New Roman"/>
          <w:lang w:val="en-GB" w:eastAsia="ar-SA"/>
        </w:rPr>
        <w:t xml:space="preserve"> Schmidt </w:t>
      </w:r>
      <w:r w:rsidR="008A4429" w:rsidRPr="008A4429">
        <w:rPr>
          <w:rFonts w:ascii="Times New Roman" w:hAnsi="Times New Roman"/>
          <w:lang w:val="en-GB" w:eastAsia="ar-SA"/>
        </w:rPr>
        <w:t xml:space="preserve">C. </w:t>
      </w:r>
      <w:r w:rsidRPr="008A4429">
        <w:rPr>
          <w:rFonts w:ascii="Times New Roman" w:hAnsi="Times New Roman"/>
          <w:lang w:val="en-GB" w:eastAsia="ar-SA"/>
        </w:rPr>
        <w:t xml:space="preserve">(2005), A note on localization and specialization, </w:t>
      </w:r>
      <w:r w:rsidRPr="008A4429">
        <w:rPr>
          <w:rFonts w:ascii="Times New Roman" w:hAnsi="Times New Roman"/>
          <w:i/>
          <w:lang w:val="en-GB" w:eastAsia="ar-SA"/>
        </w:rPr>
        <w:t>Growth and Change</w:t>
      </w:r>
      <w:r w:rsidRPr="008A4429">
        <w:rPr>
          <w:rFonts w:ascii="Times New Roman" w:hAnsi="Times New Roman"/>
          <w:lang w:val="en-GB" w:eastAsia="ar-SA"/>
        </w:rPr>
        <w:t>, 36 (4), 565–576.</w:t>
      </w:r>
    </w:p>
    <w:p w14:paraId="4BBE59CB" w14:textId="53A7D17E" w:rsidR="000921B9" w:rsidRPr="008A4429" w:rsidRDefault="000921B9" w:rsidP="004961B6">
      <w:pPr>
        <w:autoSpaceDE w:val="0"/>
        <w:autoSpaceDN w:val="0"/>
        <w:adjustRightInd w:val="0"/>
        <w:spacing w:line="480" w:lineRule="auto"/>
        <w:ind w:left="709" w:hanging="709"/>
        <w:jc w:val="both"/>
        <w:rPr>
          <w:rFonts w:ascii="Times New Roman" w:hAnsi="Times New Roman"/>
          <w:lang w:val="en-GB" w:eastAsia="ar-SA"/>
        </w:rPr>
      </w:pPr>
      <w:r w:rsidRPr="008A4429">
        <w:rPr>
          <w:rFonts w:ascii="Times New Roman" w:hAnsi="Times New Roman"/>
          <w:lang w:val="en-GB" w:eastAsia="ar-SA"/>
        </w:rPr>
        <w:t>OECD (2011), ISIC Rev. 3 Technology Intensity Definition - Classification of manufacturing industries into categories based on R&amp;D intensities, OECD Publishing.</w:t>
      </w:r>
    </w:p>
    <w:p w14:paraId="681CC3A9" w14:textId="58228A78" w:rsidR="00AD13C9" w:rsidRPr="008A4429" w:rsidRDefault="00AD13C9" w:rsidP="008A4429">
      <w:pPr>
        <w:spacing w:line="480" w:lineRule="auto"/>
        <w:ind w:left="284" w:hanging="284"/>
        <w:jc w:val="both"/>
        <w:rPr>
          <w:rFonts w:ascii="Times New Roman" w:hAnsi="Times New Roman"/>
          <w:lang w:val="en-GB"/>
        </w:rPr>
      </w:pPr>
      <w:bookmarkStart w:id="0" w:name="_GoBack"/>
      <w:proofErr w:type="spellStart"/>
      <w:r w:rsidRPr="008A4429">
        <w:rPr>
          <w:rFonts w:ascii="Times New Roman" w:hAnsi="Times New Roman"/>
          <w:lang w:val="en-GB"/>
        </w:rPr>
        <w:t>Papageorgiou</w:t>
      </w:r>
      <w:proofErr w:type="spellEnd"/>
      <w:r w:rsidRPr="008A4429">
        <w:rPr>
          <w:rFonts w:ascii="Times New Roman" w:hAnsi="Times New Roman"/>
          <w:lang w:val="en-GB"/>
        </w:rPr>
        <w:t xml:space="preserve"> Y.Y., Smith T.R. (1983), Agglomeration as local instability of spatially uniform </w:t>
      </w:r>
      <w:proofErr w:type="gramStart"/>
      <w:r w:rsidRPr="008A4429">
        <w:rPr>
          <w:rFonts w:ascii="Times New Roman" w:hAnsi="Times New Roman"/>
          <w:lang w:val="en-GB"/>
        </w:rPr>
        <w:t>steady-states</w:t>
      </w:r>
      <w:proofErr w:type="gramEnd"/>
      <w:r w:rsidRPr="008A4429">
        <w:rPr>
          <w:rFonts w:ascii="Times New Roman" w:hAnsi="Times New Roman"/>
          <w:lang w:val="en-GB"/>
        </w:rPr>
        <w:t xml:space="preserve">, </w:t>
      </w:r>
      <w:proofErr w:type="spellStart"/>
      <w:r w:rsidRPr="008A4429">
        <w:rPr>
          <w:rFonts w:ascii="Times New Roman" w:hAnsi="Times New Roman"/>
          <w:i/>
          <w:lang w:val="en-GB"/>
        </w:rPr>
        <w:t>Econometrica</w:t>
      </w:r>
      <w:proofErr w:type="spellEnd"/>
      <w:r w:rsidRPr="008A4429">
        <w:rPr>
          <w:rFonts w:ascii="Times New Roman" w:hAnsi="Times New Roman"/>
          <w:lang w:val="en-GB"/>
        </w:rPr>
        <w:t>, 51, 1109-1119.</w:t>
      </w:r>
    </w:p>
    <w:bookmarkEnd w:id="0"/>
    <w:p w14:paraId="6087AC0B" w14:textId="3D0E4FF0" w:rsidR="000921B9" w:rsidRPr="008A4429" w:rsidRDefault="000921B9" w:rsidP="000800B2">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Schlossarek</w:t>
      </w:r>
      <w:proofErr w:type="spellEnd"/>
      <w:r w:rsidRPr="008A4429">
        <w:rPr>
          <w:rFonts w:ascii="Times New Roman" w:hAnsi="Times New Roman"/>
          <w:lang w:val="en-US"/>
        </w:rPr>
        <w:t xml:space="preserve"> M., </w:t>
      </w:r>
      <w:proofErr w:type="spellStart"/>
      <w:r w:rsidRPr="008A4429">
        <w:rPr>
          <w:rFonts w:ascii="Times New Roman" w:hAnsi="Times New Roman"/>
          <w:lang w:val="en-US"/>
        </w:rPr>
        <w:t>Syrovatka</w:t>
      </w:r>
      <w:proofErr w:type="spellEnd"/>
      <w:r w:rsidRPr="008A4429">
        <w:rPr>
          <w:rFonts w:ascii="Times New Roman" w:hAnsi="Times New Roman"/>
          <w:lang w:val="en-US"/>
        </w:rPr>
        <w:t xml:space="preserve"> M., </w:t>
      </w:r>
      <w:proofErr w:type="spellStart"/>
      <w:r w:rsidRPr="008A4429">
        <w:rPr>
          <w:rFonts w:ascii="Times New Roman" w:hAnsi="Times New Roman"/>
          <w:lang w:val="en-US"/>
        </w:rPr>
        <w:t>Vencalek</w:t>
      </w:r>
      <w:proofErr w:type="spellEnd"/>
      <w:r w:rsidRPr="008A4429">
        <w:rPr>
          <w:rFonts w:ascii="Times New Roman" w:hAnsi="Times New Roman"/>
          <w:lang w:val="en-US"/>
        </w:rPr>
        <w:t xml:space="preserve"> O. (2019)</w:t>
      </w:r>
      <w:r w:rsidR="00A317F7" w:rsidRPr="008A4429">
        <w:rPr>
          <w:rFonts w:ascii="Times New Roman" w:hAnsi="Times New Roman"/>
          <w:lang w:val="en-US"/>
        </w:rPr>
        <w:t>,</w:t>
      </w:r>
      <w:r w:rsidRPr="008A4429">
        <w:rPr>
          <w:rFonts w:ascii="Times New Roman" w:hAnsi="Times New Roman"/>
          <w:lang w:val="en-US"/>
        </w:rPr>
        <w:t xml:space="preserve"> </w:t>
      </w:r>
      <w:proofErr w:type="gramStart"/>
      <w:r w:rsidRPr="008A4429">
        <w:rPr>
          <w:rFonts w:ascii="Times New Roman" w:hAnsi="Times New Roman"/>
          <w:lang w:val="en-US"/>
        </w:rPr>
        <w:t>The</w:t>
      </w:r>
      <w:proofErr w:type="gramEnd"/>
      <w:r w:rsidRPr="008A4429">
        <w:rPr>
          <w:rFonts w:ascii="Times New Roman" w:hAnsi="Times New Roman"/>
          <w:lang w:val="en-US"/>
        </w:rPr>
        <w:t xml:space="preserve"> importance of variables in composite indices: A contribution to the methodology and application to development indices</w:t>
      </w:r>
      <w:r w:rsidR="00A317F7" w:rsidRPr="008A4429">
        <w:rPr>
          <w:rFonts w:ascii="Times New Roman" w:hAnsi="Times New Roman"/>
          <w:lang w:val="en-US"/>
        </w:rPr>
        <w:t>,</w:t>
      </w:r>
      <w:r w:rsidRPr="008A4429">
        <w:rPr>
          <w:rFonts w:ascii="Times New Roman" w:hAnsi="Times New Roman"/>
          <w:lang w:val="en-US"/>
        </w:rPr>
        <w:t xml:space="preserve"> </w:t>
      </w:r>
      <w:r w:rsidRPr="008A4429">
        <w:rPr>
          <w:rFonts w:ascii="Times New Roman" w:hAnsi="Times New Roman"/>
          <w:i/>
          <w:iCs/>
          <w:lang w:val="en-US"/>
        </w:rPr>
        <w:t>Social Indicators Research</w:t>
      </w:r>
      <w:r w:rsidRPr="008A4429">
        <w:rPr>
          <w:rFonts w:ascii="Times New Roman" w:hAnsi="Times New Roman"/>
          <w:lang w:val="en-US"/>
        </w:rPr>
        <w:t>,</w:t>
      </w:r>
      <w:r w:rsidR="002801F6" w:rsidRPr="008A4429">
        <w:rPr>
          <w:rFonts w:ascii="Times New Roman" w:hAnsi="Times New Roman"/>
          <w:lang w:val="en-US"/>
        </w:rPr>
        <w:t xml:space="preserve"> 145, 1125–1160.</w:t>
      </w:r>
    </w:p>
    <w:p w14:paraId="4FE00008" w14:textId="691D87C5" w:rsidR="000921B9" w:rsidRPr="008A4429" w:rsidRDefault="000921B9" w:rsidP="007F4EAE">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lastRenderedPageBreak/>
        <w:t>Stierle</w:t>
      </w:r>
      <w:proofErr w:type="spellEnd"/>
      <w:r w:rsidRPr="008A4429">
        <w:rPr>
          <w:rFonts w:ascii="Times New Roman" w:hAnsi="Times New Roman"/>
          <w:lang w:val="en-US"/>
        </w:rPr>
        <w:t xml:space="preserve">-von Schultz U., </w:t>
      </w:r>
      <w:proofErr w:type="spellStart"/>
      <w:r w:rsidRPr="008A4429">
        <w:rPr>
          <w:rFonts w:ascii="Times New Roman" w:hAnsi="Times New Roman"/>
          <w:lang w:val="en-US"/>
        </w:rPr>
        <w:t>Stierle</w:t>
      </w:r>
      <w:proofErr w:type="spellEnd"/>
      <w:r w:rsidRPr="008A4429">
        <w:rPr>
          <w:rFonts w:ascii="Times New Roman" w:hAnsi="Times New Roman"/>
          <w:lang w:val="en-US"/>
        </w:rPr>
        <w:t xml:space="preserve"> M.H. (2013)</w:t>
      </w:r>
      <w:r w:rsidR="00A317F7" w:rsidRPr="008A4429">
        <w:rPr>
          <w:rFonts w:ascii="Times New Roman" w:hAnsi="Times New Roman"/>
          <w:lang w:val="en-US"/>
        </w:rPr>
        <w:t>,</w:t>
      </w:r>
      <w:r w:rsidRPr="008A4429">
        <w:rPr>
          <w:rFonts w:ascii="Times New Roman" w:hAnsi="Times New Roman"/>
          <w:lang w:val="en-US"/>
        </w:rPr>
        <w:t xml:space="preserve"> Regional </w:t>
      </w:r>
      <w:proofErr w:type="spellStart"/>
      <w:r w:rsidRPr="008A4429">
        <w:rPr>
          <w:rFonts w:ascii="Times New Roman" w:hAnsi="Times New Roman"/>
          <w:lang w:val="en-US"/>
        </w:rPr>
        <w:t>Specialisation</w:t>
      </w:r>
      <w:proofErr w:type="spellEnd"/>
      <w:r w:rsidRPr="008A4429">
        <w:rPr>
          <w:rFonts w:ascii="Times New Roman" w:hAnsi="Times New Roman"/>
          <w:lang w:val="en-US"/>
        </w:rPr>
        <w:t xml:space="preserve"> and Sectoral Concentration in an Enlarged EU, </w:t>
      </w:r>
      <w:r w:rsidRPr="008A4429">
        <w:rPr>
          <w:rFonts w:ascii="Times New Roman" w:hAnsi="Times New Roman"/>
          <w:i/>
          <w:iCs/>
          <w:lang w:val="en-US"/>
        </w:rPr>
        <w:t>INFER WP. 2/2013</w:t>
      </w:r>
      <w:r w:rsidRPr="008A4429">
        <w:rPr>
          <w:rFonts w:ascii="Times New Roman" w:hAnsi="Times New Roman"/>
          <w:lang w:val="en-US"/>
        </w:rPr>
        <w:t>.</w:t>
      </w:r>
    </w:p>
    <w:p w14:paraId="5F6E0B2C" w14:textId="77777777" w:rsidR="000921B9" w:rsidRPr="008A4429" w:rsidRDefault="000921B9" w:rsidP="007F4EAE">
      <w:pPr>
        <w:spacing w:line="480" w:lineRule="auto"/>
        <w:ind w:left="284" w:hanging="284"/>
        <w:jc w:val="both"/>
        <w:rPr>
          <w:rFonts w:ascii="Times New Roman" w:hAnsi="Times New Roman"/>
          <w:lang w:val="en-US"/>
        </w:rPr>
      </w:pPr>
      <w:proofErr w:type="spellStart"/>
      <w:r w:rsidRPr="008A4429">
        <w:rPr>
          <w:rFonts w:ascii="Times New Roman" w:hAnsi="Times New Roman"/>
          <w:lang w:val="en-US"/>
        </w:rPr>
        <w:t>Vechiu</w:t>
      </w:r>
      <w:proofErr w:type="spellEnd"/>
      <w:r w:rsidRPr="008A4429">
        <w:rPr>
          <w:rFonts w:ascii="Times New Roman" w:hAnsi="Times New Roman"/>
          <w:lang w:val="en-US"/>
        </w:rPr>
        <w:t xml:space="preserve"> N., </w:t>
      </w:r>
      <w:proofErr w:type="spellStart"/>
      <w:r w:rsidRPr="008A4429">
        <w:rPr>
          <w:rFonts w:ascii="Times New Roman" w:hAnsi="Times New Roman"/>
          <w:lang w:val="en-US"/>
        </w:rPr>
        <w:t>Makhlouf</w:t>
      </w:r>
      <w:proofErr w:type="spellEnd"/>
      <w:r w:rsidRPr="008A4429">
        <w:rPr>
          <w:rFonts w:ascii="Times New Roman" w:hAnsi="Times New Roman"/>
          <w:lang w:val="en-US"/>
        </w:rPr>
        <w:t xml:space="preserve"> F. (2014), Economic integration and specialization in production in the EU27: does FDI influence countries’ specialization</w:t>
      </w:r>
      <w:proofErr w:type="gramStart"/>
      <w:r w:rsidRPr="008A4429">
        <w:rPr>
          <w:rFonts w:ascii="Times New Roman" w:hAnsi="Times New Roman"/>
          <w:lang w:val="en-US"/>
        </w:rPr>
        <w:t>?,</w:t>
      </w:r>
      <w:proofErr w:type="gramEnd"/>
      <w:r w:rsidRPr="008A4429">
        <w:rPr>
          <w:rFonts w:ascii="Times New Roman" w:hAnsi="Times New Roman"/>
          <w:lang w:val="en-US"/>
        </w:rPr>
        <w:t xml:space="preserve"> </w:t>
      </w:r>
      <w:r w:rsidRPr="008A4429">
        <w:rPr>
          <w:rFonts w:ascii="Times New Roman" w:hAnsi="Times New Roman"/>
          <w:i/>
          <w:lang w:val="en-US"/>
        </w:rPr>
        <w:t>Empirical Economics</w:t>
      </w:r>
      <w:r w:rsidRPr="008A4429">
        <w:rPr>
          <w:rFonts w:ascii="Times New Roman" w:hAnsi="Times New Roman"/>
          <w:lang w:val="en-US"/>
        </w:rPr>
        <w:t xml:space="preserve"> 46, 543-572.</w:t>
      </w:r>
    </w:p>
    <w:p w14:paraId="1BAF6FC7" w14:textId="2CEE8BC0" w:rsidR="000921B9" w:rsidRPr="008A4429" w:rsidRDefault="000921B9" w:rsidP="00236DB8">
      <w:pPr>
        <w:spacing w:line="480" w:lineRule="auto"/>
        <w:ind w:left="284" w:hanging="284"/>
        <w:jc w:val="both"/>
        <w:rPr>
          <w:rFonts w:ascii="Times New Roman" w:hAnsi="Times New Roman"/>
          <w:lang w:val="en-US"/>
        </w:rPr>
      </w:pPr>
      <w:r w:rsidRPr="008A4429">
        <w:rPr>
          <w:rFonts w:ascii="Times New Roman" w:hAnsi="Times New Roman"/>
          <w:lang w:val="en-US"/>
        </w:rPr>
        <w:t xml:space="preserve">WIFO (2017), Measuring Competitiveness, Background documents for the European </w:t>
      </w:r>
      <w:proofErr w:type="gramStart"/>
      <w:r w:rsidRPr="008A4429">
        <w:rPr>
          <w:rFonts w:ascii="Times New Roman" w:hAnsi="Times New Roman"/>
          <w:lang w:val="en-US"/>
        </w:rPr>
        <w:t xml:space="preserve">Semester </w:t>
      </w:r>
      <w:r w:rsidR="00A317F7" w:rsidRPr="008A4429">
        <w:rPr>
          <w:rFonts w:ascii="Times New Roman" w:hAnsi="Times New Roman"/>
          <w:lang w:val="en-US"/>
        </w:rPr>
        <w:t>.</w:t>
      </w:r>
      <w:proofErr w:type="gramEnd"/>
    </w:p>
    <w:p w14:paraId="5A4072AD" w14:textId="722F6673" w:rsidR="00ED7810" w:rsidRPr="008A4429" w:rsidRDefault="00ED7810" w:rsidP="000800B2">
      <w:pPr>
        <w:spacing w:line="480" w:lineRule="auto"/>
        <w:ind w:left="284" w:hanging="284"/>
        <w:jc w:val="both"/>
        <w:rPr>
          <w:rFonts w:ascii="Times New Roman" w:hAnsi="Times New Roman"/>
          <w:lang w:val="en-US"/>
        </w:rPr>
      </w:pPr>
    </w:p>
    <w:p w14:paraId="6BF74470" w14:textId="77777777" w:rsidR="000800B2" w:rsidRPr="008A4429" w:rsidRDefault="000800B2" w:rsidP="007F4EAE">
      <w:pPr>
        <w:spacing w:line="480" w:lineRule="auto"/>
        <w:ind w:left="284" w:hanging="284"/>
        <w:jc w:val="both"/>
        <w:rPr>
          <w:rFonts w:ascii="Times New Roman" w:hAnsi="Times New Roman"/>
          <w:lang w:val="en-US"/>
        </w:rPr>
      </w:pPr>
    </w:p>
    <w:p w14:paraId="2C4B3263" w14:textId="77777777" w:rsidR="0031601A" w:rsidRPr="008A4429" w:rsidRDefault="0031601A" w:rsidP="007F4EAE">
      <w:pPr>
        <w:spacing w:line="480" w:lineRule="auto"/>
        <w:ind w:left="284" w:hanging="284"/>
        <w:jc w:val="both"/>
        <w:rPr>
          <w:rFonts w:ascii="Times New Roman" w:hAnsi="Times New Roman"/>
          <w:lang w:val="en-US"/>
        </w:rPr>
      </w:pPr>
    </w:p>
    <w:p w14:paraId="5BD8BED4" w14:textId="77777777" w:rsidR="0031601A" w:rsidRPr="008A4429" w:rsidRDefault="0031601A" w:rsidP="007F4EAE">
      <w:pPr>
        <w:spacing w:line="480" w:lineRule="auto"/>
        <w:ind w:left="284" w:hanging="284"/>
        <w:jc w:val="both"/>
        <w:rPr>
          <w:rFonts w:ascii="Times New Roman" w:hAnsi="Times New Roman"/>
          <w:lang w:val="en-US"/>
        </w:rPr>
      </w:pPr>
    </w:p>
    <w:p w14:paraId="150BA3A1" w14:textId="77777777" w:rsidR="00916CC2" w:rsidRPr="008A4429" w:rsidRDefault="00916CC2" w:rsidP="00107E38">
      <w:pPr>
        <w:spacing w:line="480" w:lineRule="auto"/>
        <w:jc w:val="both"/>
        <w:rPr>
          <w:rFonts w:ascii="Times New Roman" w:hAnsi="Times New Roman"/>
          <w:lang w:val="en-US"/>
        </w:rPr>
      </w:pPr>
    </w:p>
    <w:p w14:paraId="7A912509" w14:textId="77777777" w:rsidR="00916CC2" w:rsidRPr="008A4429" w:rsidRDefault="00916CC2" w:rsidP="007F4EAE">
      <w:pPr>
        <w:spacing w:line="480" w:lineRule="auto"/>
        <w:ind w:left="284" w:hanging="284"/>
        <w:jc w:val="both"/>
        <w:rPr>
          <w:rFonts w:ascii="Times New Roman" w:hAnsi="Times New Roman"/>
          <w:lang w:val="en-US"/>
        </w:rPr>
      </w:pPr>
    </w:p>
    <w:p w14:paraId="17D0DCF4" w14:textId="77777777" w:rsidR="00E779E9" w:rsidRPr="00504D7E" w:rsidRDefault="00E779E9" w:rsidP="00E779E9">
      <w:pPr>
        <w:spacing w:after="200" w:line="276" w:lineRule="auto"/>
        <w:rPr>
          <w:lang w:val="en-US"/>
        </w:rPr>
        <w:sectPr w:rsidR="00E779E9" w:rsidRPr="00504D7E" w:rsidSect="00F70153">
          <w:footerReference w:type="even" r:id="rId14"/>
          <w:footerReference w:type="default" r:id="rId15"/>
          <w:pgSz w:w="11906" w:h="16838"/>
          <w:pgMar w:top="1417" w:right="1134" w:bottom="1134" w:left="1134" w:header="708" w:footer="708" w:gutter="0"/>
          <w:cols w:space="708"/>
          <w:docGrid w:linePitch="360"/>
        </w:sectPr>
      </w:pPr>
    </w:p>
    <w:p w14:paraId="42B939DB" w14:textId="259451BC" w:rsidR="00E779E9" w:rsidRPr="00504D7E" w:rsidRDefault="00E779E9" w:rsidP="005A77B3">
      <w:pPr>
        <w:pStyle w:val="Titolo1"/>
        <w:rPr>
          <w:lang w:val="en-US"/>
        </w:rPr>
      </w:pPr>
      <w:r w:rsidRPr="00504D7E">
        <w:rPr>
          <w:color w:val="auto"/>
          <w:lang w:val="en-US"/>
        </w:rPr>
        <w:lastRenderedPageBreak/>
        <w:t>Appendix</w:t>
      </w:r>
    </w:p>
    <w:p w14:paraId="56ED6FC2" w14:textId="58B5C372" w:rsidR="00E779E9" w:rsidRPr="00504D7E" w:rsidRDefault="00E779E9" w:rsidP="00E779E9">
      <w:pPr>
        <w:rPr>
          <w:lang w:val="en-US"/>
        </w:rPr>
      </w:pPr>
      <w:r w:rsidRPr="00504D7E">
        <w:rPr>
          <w:b/>
          <w:lang w:val="en-US"/>
        </w:rPr>
        <w:t xml:space="preserve">Table </w:t>
      </w:r>
      <w:r w:rsidR="00A45092" w:rsidRPr="00504D7E">
        <w:rPr>
          <w:b/>
          <w:lang w:val="en-US"/>
        </w:rPr>
        <w:t>B</w:t>
      </w:r>
      <w:r w:rsidRPr="00504D7E">
        <w:rPr>
          <w:b/>
          <w:lang w:val="en-US"/>
        </w:rPr>
        <w:t xml:space="preserve">1 List of </w:t>
      </w:r>
      <w:r w:rsidR="00DE7C48" w:rsidRPr="00504D7E">
        <w:rPr>
          <w:b/>
          <w:lang w:val="en-US"/>
        </w:rPr>
        <w:t xml:space="preserve">NUTS </w:t>
      </w:r>
      <w:r w:rsidR="003C75D7">
        <w:rPr>
          <w:b/>
          <w:lang w:val="en-US"/>
        </w:rPr>
        <w:t>2</w:t>
      </w:r>
      <w:r w:rsidR="00DE7C48" w:rsidRPr="00504D7E">
        <w:rPr>
          <w:b/>
          <w:lang w:val="en-US"/>
        </w:rPr>
        <w:t xml:space="preserve"> </w:t>
      </w:r>
      <w:r w:rsidRPr="00504D7E">
        <w:rPr>
          <w:b/>
          <w:lang w:val="en-US"/>
        </w:rPr>
        <w:t xml:space="preserve">regions </w:t>
      </w:r>
    </w:p>
    <w:tbl>
      <w:tblPr>
        <w:tblW w:w="12300" w:type="dxa"/>
        <w:tblInd w:w="55" w:type="dxa"/>
        <w:tblCellMar>
          <w:left w:w="70" w:type="dxa"/>
          <w:right w:w="70" w:type="dxa"/>
        </w:tblCellMar>
        <w:tblLook w:val="04A0" w:firstRow="1" w:lastRow="0" w:firstColumn="1" w:lastColumn="0" w:noHBand="0" w:noVBand="1"/>
      </w:tblPr>
      <w:tblGrid>
        <w:gridCol w:w="960"/>
        <w:gridCol w:w="2400"/>
        <w:gridCol w:w="340"/>
        <w:gridCol w:w="731"/>
        <w:gridCol w:w="3780"/>
        <w:gridCol w:w="300"/>
        <w:gridCol w:w="760"/>
        <w:gridCol w:w="3060"/>
      </w:tblGrid>
      <w:tr w:rsidR="00370D59" w:rsidRPr="00504D7E" w14:paraId="65541431" w14:textId="77777777" w:rsidTr="00370D59">
        <w:trPr>
          <w:trHeight w:val="300"/>
        </w:trPr>
        <w:tc>
          <w:tcPr>
            <w:tcW w:w="960" w:type="dxa"/>
            <w:tcBorders>
              <w:top w:val="nil"/>
              <w:left w:val="nil"/>
              <w:bottom w:val="single" w:sz="4" w:space="0" w:color="auto"/>
              <w:right w:val="nil"/>
            </w:tcBorders>
            <w:shd w:val="clear" w:color="auto" w:fill="auto"/>
            <w:noWrap/>
            <w:vAlign w:val="bottom"/>
            <w:hideMark/>
          </w:tcPr>
          <w:p w14:paraId="6DE54036" w14:textId="01E1B471" w:rsidR="00370D59" w:rsidRPr="00504D7E" w:rsidRDefault="00370D59" w:rsidP="00370D59">
            <w:pPr>
              <w:rPr>
                <w:rFonts w:ascii="Arial" w:hAnsi="Arial"/>
                <w:sz w:val="18"/>
                <w:szCs w:val="18"/>
              </w:rPr>
            </w:pPr>
            <w:r w:rsidRPr="00504D7E">
              <w:rPr>
                <w:rFonts w:ascii="Arial" w:hAnsi="Arial"/>
                <w:sz w:val="18"/>
                <w:szCs w:val="18"/>
              </w:rPr>
              <w:t>NUTS</w:t>
            </w:r>
            <w:r w:rsidR="008C3CBE" w:rsidRPr="00504D7E">
              <w:rPr>
                <w:rFonts w:ascii="Arial" w:hAnsi="Arial"/>
                <w:sz w:val="18"/>
                <w:szCs w:val="18"/>
              </w:rPr>
              <w:t>2</w:t>
            </w:r>
            <w:r w:rsidRPr="00504D7E">
              <w:rPr>
                <w:rFonts w:ascii="Arial" w:hAnsi="Arial"/>
                <w:sz w:val="18"/>
                <w:szCs w:val="18"/>
              </w:rPr>
              <w:t xml:space="preserve"> </w:t>
            </w:r>
          </w:p>
        </w:tc>
        <w:tc>
          <w:tcPr>
            <w:tcW w:w="2400" w:type="dxa"/>
            <w:tcBorders>
              <w:top w:val="nil"/>
              <w:left w:val="nil"/>
              <w:bottom w:val="single" w:sz="4" w:space="0" w:color="auto"/>
              <w:right w:val="nil"/>
            </w:tcBorders>
            <w:shd w:val="clear" w:color="auto" w:fill="auto"/>
            <w:noWrap/>
            <w:vAlign w:val="bottom"/>
            <w:hideMark/>
          </w:tcPr>
          <w:p w14:paraId="0EDD568D" w14:textId="49B6EE96" w:rsidR="00370D59" w:rsidRPr="00504D7E" w:rsidRDefault="00855074" w:rsidP="00370D59">
            <w:pPr>
              <w:rPr>
                <w:color w:val="000000"/>
                <w:sz w:val="18"/>
                <w:szCs w:val="18"/>
              </w:rPr>
            </w:pPr>
            <w:proofErr w:type="spellStart"/>
            <w:r w:rsidRPr="00504D7E">
              <w:rPr>
                <w:color w:val="000000"/>
                <w:sz w:val="18"/>
                <w:szCs w:val="18"/>
              </w:rPr>
              <w:t>R</w:t>
            </w:r>
            <w:r w:rsidR="00370D59" w:rsidRPr="00504D7E">
              <w:rPr>
                <w:color w:val="000000"/>
                <w:sz w:val="18"/>
                <w:szCs w:val="18"/>
              </w:rPr>
              <w:t>egion</w:t>
            </w:r>
            <w:proofErr w:type="spellEnd"/>
          </w:p>
        </w:tc>
        <w:tc>
          <w:tcPr>
            <w:tcW w:w="340" w:type="dxa"/>
            <w:tcBorders>
              <w:top w:val="nil"/>
              <w:left w:val="nil"/>
              <w:bottom w:val="single" w:sz="4" w:space="0" w:color="auto"/>
              <w:right w:val="nil"/>
            </w:tcBorders>
            <w:shd w:val="clear" w:color="auto" w:fill="auto"/>
            <w:noWrap/>
            <w:vAlign w:val="bottom"/>
            <w:hideMark/>
          </w:tcPr>
          <w:p w14:paraId="5C4E074F" w14:textId="77777777" w:rsidR="00370D59" w:rsidRPr="00504D7E" w:rsidRDefault="00370D59" w:rsidP="00370D59">
            <w:pPr>
              <w:rPr>
                <w:color w:val="000000"/>
                <w:sz w:val="18"/>
                <w:szCs w:val="18"/>
              </w:rPr>
            </w:pPr>
            <w:r w:rsidRPr="00504D7E">
              <w:rPr>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87B425C" w14:textId="4AD3FC43" w:rsidR="00370D59" w:rsidRPr="00504D7E" w:rsidRDefault="00370D59" w:rsidP="00370D59">
            <w:pPr>
              <w:rPr>
                <w:rFonts w:ascii="Arial" w:hAnsi="Arial"/>
                <w:sz w:val="18"/>
                <w:szCs w:val="18"/>
              </w:rPr>
            </w:pPr>
            <w:r w:rsidRPr="00504D7E">
              <w:rPr>
                <w:rFonts w:ascii="Arial" w:hAnsi="Arial"/>
                <w:sz w:val="18"/>
                <w:szCs w:val="18"/>
              </w:rPr>
              <w:t>NUTS</w:t>
            </w:r>
            <w:r w:rsidR="008C3CBE" w:rsidRPr="00504D7E">
              <w:rPr>
                <w:rFonts w:ascii="Arial" w:hAnsi="Arial"/>
                <w:sz w:val="18"/>
                <w:szCs w:val="18"/>
              </w:rPr>
              <w:t>2</w:t>
            </w:r>
            <w:r w:rsidRPr="00504D7E">
              <w:rPr>
                <w:rFonts w:ascii="Arial" w:hAnsi="Arial"/>
                <w:sz w:val="18"/>
                <w:szCs w:val="18"/>
              </w:rPr>
              <w:t xml:space="preserve"> </w:t>
            </w:r>
          </w:p>
        </w:tc>
        <w:tc>
          <w:tcPr>
            <w:tcW w:w="3780" w:type="dxa"/>
            <w:tcBorders>
              <w:top w:val="nil"/>
              <w:left w:val="nil"/>
              <w:bottom w:val="single" w:sz="4" w:space="0" w:color="auto"/>
              <w:right w:val="nil"/>
            </w:tcBorders>
            <w:shd w:val="clear" w:color="auto" w:fill="auto"/>
            <w:noWrap/>
            <w:vAlign w:val="bottom"/>
            <w:hideMark/>
          </w:tcPr>
          <w:p w14:paraId="6BAD8309" w14:textId="5777A278" w:rsidR="00370D59" w:rsidRPr="00504D7E" w:rsidRDefault="008A0E87" w:rsidP="00370D59">
            <w:pPr>
              <w:rPr>
                <w:color w:val="000000"/>
                <w:sz w:val="18"/>
                <w:szCs w:val="18"/>
              </w:rPr>
            </w:pPr>
            <w:proofErr w:type="spellStart"/>
            <w:r w:rsidRPr="00504D7E">
              <w:rPr>
                <w:color w:val="000000"/>
                <w:sz w:val="18"/>
                <w:szCs w:val="18"/>
              </w:rPr>
              <w:t>R</w:t>
            </w:r>
            <w:r w:rsidR="00370D59" w:rsidRPr="00504D7E">
              <w:rPr>
                <w:color w:val="000000"/>
                <w:sz w:val="18"/>
                <w:szCs w:val="18"/>
              </w:rPr>
              <w:t>egion</w:t>
            </w:r>
            <w:proofErr w:type="spellEnd"/>
          </w:p>
        </w:tc>
        <w:tc>
          <w:tcPr>
            <w:tcW w:w="300" w:type="dxa"/>
            <w:tcBorders>
              <w:top w:val="nil"/>
              <w:left w:val="nil"/>
              <w:bottom w:val="single" w:sz="4" w:space="0" w:color="auto"/>
              <w:right w:val="nil"/>
            </w:tcBorders>
            <w:shd w:val="clear" w:color="auto" w:fill="auto"/>
            <w:noWrap/>
            <w:vAlign w:val="bottom"/>
            <w:hideMark/>
          </w:tcPr>
          <w:p w14:paraId="7A88D246" w14:textId="77777777" w:rsidR="00370D59" w:rsidRPr="00504D7E" w:rsidRDefault="00370D59" w:rsidP="00370D59">
            <w:pPr>
              <w:rPr>
                <w:color w:val="000000"/>
              </w:rPr>
            </w:pPr>
            <w:r w:rsidRPr="00504D7E">
              <w:rPr>
                <w:color w:val="000000"/>
              </w:rPr>
              <w:t> </w:t>
            </w:r>
          </w:p>
        </w:tc>
        <w:tc>
          <w:tcPr>
            <w:tcW w:w="760" w:type="dxa"/>
            <w:tcBorders>
              <w:top w:val="nil"/>
              <w:left w:val="nil"/>
              <w:bottom w:val="single" w:sz="4" w:space="0" w:color="auto"/>
              <w:right w:val="nil"/>
            </w:tcBorders>
            <w:shd w:val="clear" w:color="auto" w:fill="auto"/>
            <w:noWrap/>
            <w:vAlign w:val="bottom"/>
            <w:hideMark/>
          </w:tcPr>
          <w:p w14:paraId="6DF7B7BF" w14:textId="41816C6F" w:rsidR="00370D59" w:rsidRPr="00504D7E" w:rsidRDefault="00370D59" w:rsidP="00370D59">
            <w:pPr>
              <w:rPr>
                <w:rFonts w:ascii="Arial" w:hAnsi="Arial"/>
                <w:sz w:val="18"/>
                <w:szCs w:val="18"/>
              </w:rPr>
            </w:pPr>
            <w:r w:rsidRPr="00504D7E">
              <w:rPr>
                <w:rFonts w:ascii="Arial" w:hAnsi="Arial"/>
                <w:sz w:val="18"/>
                <w:szCs w:val="18"/>
              </w:rPr>
              <w:t>NUTS</w:t>
            </w:r>
            <w:r w:rsidR="008C3CBE" w:rsidRPr="00504D7E">
              <w:rPr>
                <w:rFonts w:ascii="Arial" w:hAnsi="Arial"/>
                <w:sz w:val="18"/>
                <w:szCs w:val="18"/>
              </w:rPr>
              <w:t>2</w:t>
            </w:r>
            <w:r w:rsidRPr="00504D7E">
              <w:rPr>
                <w:rFonts w:ascii="Arial" w:hAnsi="Arial"/>
                <w:sz w:val="18"/>
                <w:szCs w:val="18"/>
              </w:rPr>
              <w:t xml:space="preserve"> </w:t>
            </w:r>
          </w:p>
        </w:tc>
        <w:tc>
          <w:tcPr>
            <w:tcW w:w="3060" w:type="dxa"/>
            <w:tcBorders>
              <w:top w:val="nil"/>
              <w:left w:val="nil"/>
              <w:bottom w:val="single" w:sz="4" w:space="0" w:color="auto"/>
              <w:right w:val="nil"/>
            </w:tcBorders>
            <w:shd w:val="clear" w:color="auto" w:fill="auto"/>
            <w:noWrap/>
            <w:vAlign w:val="bottom"/>
            <w:hideMark/>
          </w:tcPr>
          <w:p w14:paraId="5350FF04" w14:textId="77777777" w:rsidR="00370D59" w:rsidRPr="00504D7E" w:rsidRDefault="00370D59" w:rsidP="00370D59">
            <w:pPr>
              <w:rPr>
                <w:color w:val="000000"/>
                <w:sz w:val="18"/>
                <w:szCs w:val="18"/>
              </w:rPr>
            </w:pPr>
            <w:proofErr w:type="spellStart"/>
            <w:r w:rsidRPr="00504D7E">
              <w:rPr>
                <w:color w:val="000000"/>
                <w:sz w:val="18"/>
                <w:szCs w:val="18"/>
              </w:rPr>
              <w:t>region</w:t>
            </w:r>
            <w:proofErr w:type="spellEnd"/>
          </w:p>
        </w:tc>
      </w:tr>
      <w:tr w:rsidR="00370D59" w:rsidRPr="00504D7E" w14:paraId="2DF63F79" w14:textId="77777777" w:rsidTr="00370D59">
        <w:trPr>
          <w:trHeight w:val="300"/>
        </w:trPr>
        <w:tc>
          <w:tcPr>
            <w:tcW w:w="960" w:type="dxa"/>
            <w:tcBorders>
              <w:top w:val="nil"/>
              <w:left w:val="nil"/>
              <w:bottom w:val="nil"/>
              <w:right w:val="nil"/>
            </w:tcBorders>
            <w:shd w:val="clear" w:color="auto" w:fill="auto"/>
            <w:noWrap/>
            <w:vAlign w:val="bottom"/>
            <w:hideMark/>
          </w:tcPr>
          <w:p w14:paraId="65979089" w14:textId="77777777" w:rsidR="00370D59" w:rsidRPr="00504D7E" w:rsidRDefault="00370D59" w:rsidP="00370D59">
            <w:pPr>
              <w:rPr>
                <w:color w:val="000000"/>
                <w:sz w:val="18"/>
                <w:szCs w:val="18"/>
              </w:rPr>
            </w:pPr>
            <w:r w:rsidRPr="00504D7E">
              <w:rPr>
                <w:color w:val="000000"/>
                <w:sz w:val="18"/>
                <w:szCs w:val="18"/>
              </w:rPr>
              <w:t>BE35</w:t>
            </w:r>
          </w:p>
        </w:tc>
        <w:tc>
          <w:tcPr>
            <w:tcW w:w="2400" w:type="dxa"/>
            <w:tcBorders>
              <w:top w:val="nil"/>
              <w:left w:val="nil"/>
              <w:bottom w:val="nil"/>
              <w:right w:val="nil"/>
            </w:tcBorders>
            <w:shd w:val="clear" w:color="auto" w:fill="auto"/>
            <w:noWrap/>
            <w:vAlign w:val="bottom"/>
            <w:hideMark/>
          </w:tcPr>
          <w:p w14:paraId="0290D7D3" w14:textId="77777777" w:rsidR="00370D59" w:rsidRPr="00504D7E" w:rsidRDefault="00370D59" w:rsidP="00370D59">
            <w:pPr>
              <w:rPr>
                <w:color w:val="000000"/>
                <w:sz w:val="18"/>
                <w:szCs w:val="18"/>
              </w:rPr>
            </w:pPr>
            <w:proofErr w:type="spellStart"/>
            <w:r w:rsidRPr="00504D7E">
              <w:rPr>
                <w:color w:val="000000"/>
                <w:sz w:val="18"/>
                <w:szCs w:val="18"/>
              </w:rPr>
              <w:t>Prov</w:t>
            </w:r>
            <w:proofErr w:type="spellEnd"/>
            <w:r w:rsidRPr="00504D7E">
              <w:rPr>
                <w:color w:val="000000"/>
                <w:sz w:val="18"/>
                <w:szCs w:val="18"/>
              </w:rPr>
              <w:t>. Namur</w:t>
            </w:r>
          </w:p>
        </w:tc>
        <w:tc>
          <w:tcPr>
            <w:tcW w:w="340" w:type="dxa"/>
            <w:tcBorders>
              <w:top w:val="nil"/>
              <w:left w:val="nil"/>
              <w:bottom w:val="nil"/>
              <w:right w:val="nil"/>
            </w:tcBorders>
            <w:shd w:val="clear" w:color="auto" w:fill="auto"/>
            <w:noWrap/>
            <w:vAlign w:val="bottom"/>
            <w:hideMark/>
          </w:tcPr>
          <w:p w14:paraId="09B47D64"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6C3B2099" w14:textId="77777777" w:rsidR="00370D59" w:rsidRPr="00504D7E" w:rsidRDefault="00370D59" w:rsidP="00370D59">
            <w:pPr>
              <w:rPr>
                <w:color w:val="000000"/>
                <w:sz w:val="18"/>
                <w:szCs w:val="18"/>
              </w:rPr>
            </w:pPr>
            <w:r w:rsidRPr="00504D7E">
              <w:rPr>
                <w:color w:val="000000"/>
                <w:sz w:val="18"/>
                <w:szCs w:val="18"/>
              </w:rPr>
              <w:t>ES30</w:t>
            </w:r>
          </w:p>
        </w:tc>
        <w:tc>
          <w:tcPr>
            <w:tcW w:w="3780" w:type="dxa"/>
            <w:tcBorders>
              <w:top w:val="nil"/>
              <w:left w:val="nil"/>
              <w:bottom w:val="nil"/>
              <w:right w:val="nil"/>
            </w:tcBorders>
            <w:shd w:val="clear" w:color="auto" w:fill="auto"/>
            <w:noWrap/>
            <w:vAlign w:val="bottom"/>
            <w:hideMark/>
          </w:tcPr>
          <w:p w14:paraId="335E720D" w14:textId="77777777" w:rsidR="00370D59" w:rsidRPr="00504D7E" w:rsidRDefault="00370D59" w:rsidP="00370D59">
            <w:pPr>
              <w:rPr>
                <w:color w:val="000000"/>
                <w:sz w:val="18"/>
                <w:szCs w:val="18"/>
              </w:rPr>
            </w:pPr>
            <w:proofErr w:type="spellStart"/>
            <w:r w:rsidRPr="00504D7E">
              <w:rPr>
                <w:color w:val="000000"/>
                <w:sz w:val="18"/>
                <w:szCs w:val="18"/>
              </w:rPr>
              <w:t>Comunidad</w:t>
            </w:r>
            <w:proofErr w:type="spellEnd"/>
            <w:r w:rsidRPr="00504D7E">
              <w:rPr>
                <w:color w:val="000000"/>
                <w:sz w:val="18"/>
                <w:szCs w:val="18"/>
              </w:rPr>
              <w:t xml:space="preserve"> de Madrid</w:t>
            </w:r>
          </w:p>
        </w:tc>
        <w:tc>
          <w:tcPr>
            <w:tcW w:w="300" w:type="dxa"/>
            <w:tcBorders>
              <w:top w:val="nil"/>
              <w:left w:val="nil"/>
              <w:bottom w:val="nil"/>
              <w:right w:val="nil"/>
            </w:tcBorders>
            <w:shd w:val="clear" w:color="auto" w:fill="auto"/>
            <w:noWrap/>
            <w:vAlign w:val="bottom"/>
            <w:hideMark/>
          </w:tcPr>
          <w:p w14:paraId="494A3D9B"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402A37D4" w14:textId="77777777" w:rsidR="00370D59" w:rsidRPr="00504D7E" w:rsidRDefault="00370D59" w:rsidP="00370D59">
            <w:pPr>
              <w:rPr>
                <w:color w:val="000000"/>
                <w:sz w:val="18"/>
                <w:szCs w:val="18"/>
              </w:rPr>
            </w:pPr>
            <w:r w:rsidRPr="00504D7E">
              <w:rPr>
                <w:color w:val="000000"/>
                <w:sz w:val="18"/>
                <w:szCs w:val="18"/>
              </w:rPr>
              <w:t>ITD2</w:t>
            </w:r>
          </w:p>
        </w:tc>
        <w:tc>
          <w:tcPr>
            <w:tcW w:w="3060" w:type="dxa"/>
            <w:tcBorders>
              <w:top w:val="nil"/>
              <w:left w:val="nil"/>
              <w:bottom w:val="nil"/>
              <w:right w:val="nil"/>
            </w:tcBorders>
            <w:shd w:val="clear" w:color="auto" w:fill="auto"/>
            <w:noWrap/>
            <w:vAlign w:val="bottom"/>
            <w:hideMark/>
          </w:tcPr>
          <w:p w14:paraId="2EAC95A9" w14:textId="77777777" w:rsidR="00370D59" w:rsidRPr="00504D7E" w:rsidRDefault="00370D59" w:rsidP="00370D59">
            <w:pPr>
              <w:rPr>
                <w:color w:val="000000"/>
                <w:sz w:val="18"/>
                <w:szCs w:val="18"/>
              </w:rPr>
            </w:pPr>
            <w:r w:rsidRPr="00504D7E">
              <w:rPr>
                <w:color w:val="000000"/>
                <w:sz w:val="18"/>
                <w:szCs w:val="18"/>
              </w:rPr>
              <w:t>Provincia Autonoma Trento (NUTS 2006)</w:t>
            </w:r>
          </w:p>
        </w:tc>
      </w:tr>
      <w:tr w:rsidR="00370D59" w:rsidRPr="00504D7E" w14:paraId="56DC9C3E" w14:textId="77777777" w:rsidTr="00370D59">
        <w:trPr>
          <w:trHeight w:val="300"/>
        </w:trPr>
        <w:tc>
          <w:tcPr>
            <w:tcW w:w="960" w:type="dxa"/>
            <w:tcBorders>
              <w:top w:val="nil"/>
              <w:left w:val="nil"/>
              <w:bottom w:val="nil"/>
              <w:right w:val="nil"/>
            </w:tcBorders>
            <w:shd w:val="clear" w:color="auto" w:fill="auto"/>
            <w:noWrap/>
            <w:vAlign w:val="bottom"/>
            <w:hideMark/>
          </w:tcPr>
          <w:p w14:paraId="5AEDDEF2" w14:textId="77777777" w:rsidR="00370D59" w:rsidRPr="00504D7E" w:rsidRDefault="00370D59" w:rsidP="00370D59">
            <w:pPr>
              <w:rPr>
                <w:color w:val="000000"/>
                <w:sz w:val="18"/>
                <w:szCs w:val="18"/>
              </w:rPr>
            </w:pPr>
            <w:r w:rsidRPr="00504D7E">
              <w:rPr>
                <w:color w:val="000000"/>
                <w:sz w:val="18"/>
                <w:szCs w:val="18"/>
              </w:rPr>
              <w:t>BG32</w:t>
            </w:r>
          </w:p>
        </w:tc>
        <w:tc>
          <w:tcPr>
            <w:tcW w:w="2400" w:type="dxa"/>
            <w:tcBorders>
              <w:top w:val="nil"/>
              <w:left w:val="nil"/>
              <w:bottom w:val="nil"/>
              <w:right w:val="nil"/>
            </w:tcBorders>
            <w:shd w:val="clear" w:color="auto" w:fill="auto"/>
            <w:noWrap/>
            <w:vAlign w:val="bottom"/>
            <w:hideMark/>
          </w:tcPr>
          <w:p w14:paraId="728EC985" w14:textId="77777777" w:rsidR="00370D59" w:rsidRPr="00504D7E" w:rsidRDefault="00370D59" w:rsidP="00370D59">
            <w:pPr>
              <w:rPr>
                <w:color w:val="000000"/>
                <w:sz w:val="18"/>
                <w:szCs w:val="18"/>
              </w:rPr>
            </w:pPr>
            <w:proofErr w:type="spellStart"/>
            <w:r w:rsidRPr="00504D7E">
              <w:rPr>
                <w:color w:val="000000"/>
                <w:sz w:val="18"/>
                <w:szCs w:val="18"/>
              </w:rPr>
              <w:t>Severen</w:t>
            </w:r>
            <w:proofErr w:type="spellEnd"/>
            <w:r w:rsidRPr="00504D7E">
              <w:rPr>
                <w:color w:val="000000"/>
                <w:sz w:val="18"/>
                <w:szCs w:val="18"/>
              </w:rPr>
              <w:t xml:space="preserve"> </w:t>
            </w:r>
            <w:proofErr w:type="spellStart"/>
            <w:r w:rsidRPr="00504D7E">
              <w:rPr>
                <w:color w:val="000000"/>
                <w:sz w:val="18"/>
                <w:szCs w:val="18"/>
              </w:rPr>
              <w:t>tsentralen</w:t>
            </w:r>
            <w:proofErr w:type="spellEnd"/>
          </w:p>
        </w:tc>
        <w:tc>
          <w:tcPr>
            <w:tcW w:w="340" w:type="dxa"/>
            <w:tcBorders>
              <w:top w:val="nil"/>
              <w:left w:val="nil"/>
              <w:bottom w:val="nil"/>
              <w:right w:val="nil"/>
            </w:tcBorders>
            <w:shd w:val="clear" w:color="auto" w:fill="auto"/>
            <w:noWrap/>
            <w:vAlign w:val="bottom"/>
            <w:hideMark/>
          </w:tcPr>
          <w:p w14:paraId="6AD5EAD3"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2B9E9611" w14:textId="77777777" w:rsidR="00370D59" w:rsidRPr="00504D7E" w:rsidRDefault="00370D59" w:rsidP="00370D59">
            <w:pPr>
              <w:rPr>
                <w:color w:val="000000"/>
                <w:sz w:val="18"/>
                <w:szCs w:val="18"/>
              </w:rPr>
            </w:pPr>
            <w:r w:rsidRPr="00504D7E">
              <w:rPr>
                <w:color w:val="000000"/>
                <w:sz w:val="18"/>
                <w:szCs w:val="18"/>
              </w:rPr>
              <w:t>FR10</w:t>
            </w:r>
          </w:p>
        </w:tc>
        <w:tc>
          <w:tcPr>
            <w:tcW w:w="3780" w:type="dxa"/>
            <w:tcBorders>
              <w:top w:val="nil"/>
              <w:left w:val="nil"/>
              <w:bottom w:val="nil"/>
              <w:right w:val="nil"/>
            </w:tcBorders>
            <w:shd w:val="clear" w:color="auto" w:fill="auto"/>
            <w:noWrap/>
            <w:vAlign w:val="bottom"/>
            <w:hideMark/>
          </w:tcPr>
          <w:p w14:paraId="7DEFD5ED" w14:textId="77777777" w:rsidR="00370D59" w:rsidRPr="00504D7E" w:rsidRDefault="00370D59" w:rsidP="00370D59">
            <w:pPr>
              <w:rPr>
                <w:color w:val="000000"/>
                <w:sz w:val="18"/>
                <w:szCs w:val="18"/>
              </w:rPr>
            </w:pPr>
            <w:proofErr w:type="spellStart"/>
            <w:r w:rsidRPr="00504D7E">
              <w:rPr>
                <w:color w:val="000000"/>
                <w:sz w:val="18"/>
                <w:szCs w:val="18"/>
              </w:rPr>
              <w:t>Île</w:t>
            </w:r>
            <w:proofErr w:type="spellEnd"/>
            <w:r w:rsidRPr="00504D7E">
              <w:rPr>
                <w:color w:val="000000"/>
                <w:sz w:val="18"/>
                <w:szCs w:val="18"/>
              </w:rPr>
              <w:t xml:space="preserve"> de France</w:t>
            </w:r>
          </w:p>
        </w:tc>
        <w:tc>
          <w:tcPr>
            <w:tcW w:w="300" w:type="dxa"/>
            <w:tcBorders>
              <w:top w:val="nil"/>
              <w:left w:val="nil"/>
              <w:bottom w:val="nil"/>
              <w:right w:val="nil"/>
            </w:tcBorders>
            <w:shd w:val="clear" w:color="auto" w:fill="auto"/>
            <w:noWrap/>
            <w:vAlign w:val="bottom"/>
            <w:hideMark/>
          </w:tcPr>
          <w:p w14:paraId="74EED76F"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09CBC4B9" w14:textId="77777777" w:rsidR="00370D59" w:rsidRPr="00504D7E" w:rsidRDefault="00370D59" w:rsidP="00370D59">
            <w:pPr>
              <w:rPr>
                <w:color w:val="000000"/>
                <w:sz w:val="18"/>
                <w:szCs w:val="18"/>
              </w:rPr>
            </w:pPr>
            <w:r w:rsidRPr="00504D7E">
              <w:rPr>
                <w:color w:val="000000"/>
                <w:sz w:val="18"/>
                <w:szCs w:val="18"/>
              </w:rPr>
              <w:t>ITD3</w:t>
            </w:r>
          </w:p>
        </w:tc>
        <w:tc>
          <w:tcPr>
            <w:tcW w:w="3060" w:type="dxa"/>
            <w:tcBorders>
              <w:top w:val="nil"/>
              <w:left w:val="nil"/>
              <w:bottom w:val="nil"/>
              <w:right w:val="nil"/>
            </w:tcBorders>
            <w:shd w:val="clear" w:color="auto" w:fill="auto"/>
            <w:noWrap/>
            <w:vAlign w:val="bottom"/>
            <w:hideMark/>
          </w:tcPr>
          <w:p w14:paraId="6946A95F" w14:textId="77777777" w:rsidR="00370D59" w:rsidRPr="00504D7E" w:rsidRDefault="00370D59" w:rsidP="00370D59">
            <w:pPr>
              <w:rPr>
                <w:color w:val="000000"/>
                <w:sz w:val="18"/>
                <w:szCs w:val="18"/>
              </w:rPr>
            </w:pPr>
            <w:r w:rsidRPr="00504D7E">
              <w:rPr>
                <w:color w:val="000000"/>
                <w:sz w:val="18"/>
                <w:szCs w:val="18"/>
              </w:rPr>
              <w:t>Veneto (NUTS 2006)</w:t>
            </w:r>
          </w:p>
        </w:tc>
      </w:tr>
      <w:tr w:rsidR="00370D59" w:rsidRPr="00504D7E" w14:paraId="594DA453" w14:textId="77777777" w:rsidTr="00370D59">
        <w:trPr>
          <w:trHeight w:val="300"/>
        </w:trPr>
        <w:tc>
          <w:tcPr>
            <w:tcW w:w="960" w:type="dxa"/>
            <w:tcBorders>
              <w:top w:val="nil"/>
              <w:left w:val="nil"/>
              <w:bottom w:val="nil"/>
              <w:right w:val="nil"/>
            </w:tcBorders>
            <w:shd w:val="clear" w:color="auto" w:fill="auto"/>
            <w:noWrap/>
            <w:vAlign w:val="bottom"/>
            <w:hideMark/>
          </w:tcPr>
          <w:p w14:paraId="6862E497" w14:textId="77777777" w:rsidR="00370D59" w:rsidRPr="00504D7E" w:rsidRDefault="00370D59" w:rsidP="00370D59">
            <w:pPr>
              <w:rPr>
                <w:color w:val="000000"/>
                <w:sz w:val="18"/>
                <w:szCs w:val="18"/>
              </w:rPr>
            </w:pPr>
            <w:r w:rsidRPr="00504D7E">
              <w:rPr>
                <w:color w:val="000000"/>
                <w:sz w:val="18"/>
                <w:szCs w:val="18"/>
              </w:rPr>
              <w:t>BG34</w:t>
            </w:r>
          </w:p>
        </w:tc>
        <w:tc>
          <w:tcPr>
            <w:tcW w:w="2400" w:type="dxa"/>
            <w:tcBorders>
              <w:top w:val="nil"/>
              <w:left w:val="nil"/>
              <w:bottom w:val="nil"/>
              <w:right w:val="nil"/>
            </w:tcBorders>
            <w:shd w:val="clear" w:color="auto" w:fill="auto"/>
            <w:noWrap/>
            <w:vAlign w:val="bottom"/>
            <w:hideMark/>
          </w:tcPr>
          <w:p w14:paraId="34E86E8A" w14:textId="77777777" w:rsidR="00370D59" w:rsidRPr="00504D7E" w:rsidRDefault="00370D59" w:rsidP="00370D59">
            <w:pPr>
              <w:rPr>
                <w:color w:val="000000"/>
                <w:sz w:val="18"/>
                <w:szCs w:val="18"/>
              </w:rPr>
            </w:pPr>
            <w:proofErr w:type="spellStart"/>
            <w:r w:rsidRPr="00504D7E">
              <w:rPr>
                <w:color w:val="000000"/>
                <w:sz w:val="18"/>
                <w:szCs w:val="18"/>
              </w:rPr>
              <w:t>Yugoiztochen</w:t>
            </w:r>
            <w:proofErr w:type="spellEnd"/>
          </w:p>
        </w:tc>
        <w:tc>
          <w:tcPr>
            <w:tcW w:w="340" w:type="dxa"/>
            <w:tcBorders>
              <w:top w:val="nil"/>
              <w:left w:val="nil"/>
              <w:bottom w:val="nil"/>
              <w:right w:val="nil"/>
            </w:tcBorders>
            <w:shd w:val="clear" w:color="auto" w:fill="auto"/>
            <w:noWrap/>
            <w:vAlign w:val="bottom"/>
            <w:hideMark/>
          </w:tcPr>
          <w:p w14:paraId="53E57D5F"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26078C2A" w14:textId="77777777" w:rsidR="00370D59" w:rsidRPr="00504D7E" w:rsidRDefault="00370D59" w:rsidP="00370D59">
            <w:pPr>
              <w:rPr>
                <w:color w:val="000000"/>
                <w:sz w:val="18"/>
                <w:szCs w:val="18"/>
              </w:rPr>
            </w:pPr>
            <w:r w:rsidRPr="00504D7E">
              <w:rPr>
                <w:color w:val="000000"/>
                <w:sz w:val="18"/>
                <w:szCs w:val="18"/>
              </w:rPr>
              <w:t>FR21</w:t>
            </w:r>
          </w:p>
        </w:tc>
        <w:tc>
          <w:tcPr>
            <w:tcW w:w="3780" w:type="dxa"/>
            <w:tcBorders>
              <w:top w:val="nil"/>
              <w:left w:val="nil"/>
              <w:bottom w:val="nil"/>
              <w:right w:val="nil"/>
            </w:tcBorders>
            <w:shd w:val="clear" w:color="auto" w:fill="auto"/>
            <w:noWrap/>
            <w:vAlign w:val="bottom"/>
            <w:hideMark/>
          </w:tcPr>
          <w:p w14:paraId="0A98FB42" w14:textId="77777777" w:rsidR="00370D59" w:rsidRPr="00504D7E" w:rsidRDefault="00370D59" w:rsidP="00370D59">
            <w:pPr>
              <w:rPr>
                <w:color w:val="000000"/>
                <w:sz w:val="18"/>
                <w:szCs w:val="18"/>
              </w:rPr>
            </w:pPr>
            <w:r w:rsidRPr="00504D7E">
              <w:rPr>
                <w:color w:val="000000"/>
                <w:sz w:val="18"/>
                <w:szCs w:val="18"/>
              </w:rPr>
              <w:t>Champagne-Ardenne</w:t>
            </w:r>
          </w:p>
        </w:tc>
        <w:tc>
          <w:tcPr>
            <w:tcW w:w="300" w:type="dxa"/>
            <w:tcBorders>
              <w:top w:val="nil"/>
              <w:left w:val="nil"/>
              <w:bottom w:val="nil"/>
              <w:right w:val="nil"/>
            </w:tcBorders>
            <w:shd w:val="clear" w:color="auto" w:fill="auto"/>
            <w:noWrap/>
            <w:vAlign w:val="bottom"/>
            <w:hideMark/>
          </w:tcPr>
          <w:p w14:paraId="29EBB7D8"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52F89B08" w14:textId="77777777" w:rsidR="00370D59" w:rsidRPr="00504D7E" w:rsidRDefault="00370D59" w:rsidP="00370D59">
            <w:pPr>
              <w:rPr>
                <w:color w:val="000000"/>
                <w:sz w:val="18"/>
                <w:szCs w:val="18"/>
              </w:rPr>
            </w:pPr>
            <w:r w:rsidRPr="00504D7E">
              <w:rPr>
                <w:color w:val="000000"/>
                <w:sz w:val="18"/>
                <w:szCs w:val="18"/>
              </w:rPr>
              <w:t>ITD4</w:t>
            </w:r>
          </w:p>
        </w:tc>
        <w:tc>
          <w:tcPr>
            <w:tcW w:w="3060" w:type="dxa"/>
            <w:tcBorders>
              <w:top w:val="nil"/>
              <w:left w:val="nil"/>
              <w:bottom w:val="nil"/>
              <w:right w:val="nil"/>
            </w:tcBorders>
            <w:shd w:val="clear" w:color="auto" w:fill="auto"/>
            <w:noWrap/>
            <w:vAlign w:val="bottom"/>
            <w:hideMark/>
          </w:tcPr>
          <w:p w14:paraId="26605946" w14:textId="77777777" w:rsidR="00370D59" w:rsidRPr="00504D7E" w:rsidRDefault="00370D59" w:rsidP="00370D59">
            <w:pPr>
              <w:rPr>
                <w:color w:val="000000"/>
                <w:sz w:val="18"/>
                <w:szCs w:val="18"/>
              </w:rPr>
            </w:pPr>
            <w:r w:rsidRPr="00504D7E">
              <w:rPr>
                <w:color w:val="000000"/>
                <w:sz w:val="18"/>
                <w:szCs w:val="18"/>
              </w:rPr>
              <w:t>Friuli-Venezia Giulia (NUTS 2006)</w:t>
            </w:r>
          </w:p>
        </w:tc>
      </w:tr>
      <w:tr w:rsidR="00370D59" w:rsidRPr="00504D7E" w14:paraId="78EB0641" w14:textId="77777777" w:rsidTr="00370D59">
        <w:trPr>
          <w:trHeight w:val="300"/>
        </w:trPr>
        <w:tc>
          <w:tcPr>
            <w:tcW w:w="960" w:type="dxa"/>
            <w:tcBorders>
              <w:top w:val="nil"/>
              <w:left w:val="nil"/>
              <w:bottom w:val="nil"/>
              <w:right w:val="nil"/>
            </w:tcBorders>
            <w:shd w:val="clear" w:color="auto" w:fill="auto"/>
            <w:noWrap/>
            <w:vAlign w:val="bottom"/>
            <w:hideMark/>
          </w:tcPr>
          <w:p w14:paraId="12A5F273" w14:textId="77777777" w:rsidR="00370D59" w:rsidRPr="00504D7E" w:rsidRDefault="00370D59" w:rsidP="00370D59">
            <w:pPr>
              <w:rPr>
                <w:color w:val="000000"/>
                <w:sz w:val="18"/>
                <w:szCs w:val="18"/>
              </w:rPr>
            </w:pPr>
            <w:r w:rsidRPr="00504D7E">
              <w:rPr>
                <w:color w:val="000000"/>
                <w:sz w:val="18"/>
                <w:szCs w:val="18"/>
              </w:rPr>
              <w:t>BG41</w:t>
            </w:r>
          </w:p>
        </w:tc>
        <w:tc>
          <w:tcPr>
            <w:tcW w:w="2400" w:type="dxa"/>
            <w:tcBorders>
              <w:top w:val="nil"/>
              <w:left w:val="nil"/>
              <w:bottom w:val="nil"/>
              <w:right w:val="nil"/>
            </w:tcBorders>
            <w:shd w:val="clear" w:color="auto" w:fill="auto"/>
            <w:noWrap/>
            <w:vAlign w:val="bottom"/>
            <w:hideMark/>
          </w:tcPr>
          <w:p w14:paraId="0352E7A5" w14:textId="77777777" w:rsidR="00370D59" w:rsidRPr="00504D7E" w:rsidRDefault="00370D59" w:rsidP="00370D59">
            <w:pPr>
              <w:rPr>
                <w:color w:val="000000"/>
                <w:sz w:val="18"/>
                <w:szCs w:val="18"/>
              </w:rPr>
            </w:pPr>
            <w:proofErr w:type="spellStart"/>
            <w:r w:rsidRPr="00504D7E">
              <w:rPr>
                <w:color w:val="000000"/>
                <w:sz w:val="18"/>
                <w:szCs w:val="18"/>
              </w:rPr>
              <w:t>Yugozapaden</w:t>
            </w:r>
            <w:proofErr w:type="spellEnd"/>
          </w:p>
        </w:tc>
        <w:tc>
          <w:tcPr>
            <w:tcW w:w="340" w:type="dxa"/>
            <w:tcBorders>
              <w:top w:val="nil"/>
              <w:left w:val="nil"/>
              <w:bottom w:val="nil"/>
              <w:right w:val="nil"/>
            </w:tcBorders>
            <w:shd w:val="clear" w:color="auto" w:fill="auto"/>
            <w:noWrap/>
            <w:vAlign w:val="bottom"/>
            <w:hideMark/>
          </w:tcPr>
          <w:p w14:paraId="1E8D4B75"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2D9488EC" w14:textId="77777777" w:rsidR="00370D59" w:rsidRPr="00504D7E" w:rsidRDefault="00370D59" w:rsidP="00370D59">
            <w:pPr>
              <w:rPr>
                <w:color w:val="000000"/>
                <w:sz w:val="18"/>
                <w:szCs w:val="18"/>
              </w:rPr>
            </w:pPr>
            <w:r w:rsidRPr="00504D7E">
              <w:rPr>
                <w:color w:val="000000"/>
                <w:sz w:val="18"/>
                <w:szCs w:val="18"/>
              </w:rPr>
              <w:t>FR22</w:t>
            </w:r>
          </w:p>
        </w:tc>
        <w:tc>
          <w:tcPr>
            <w:tcW w:w="3780" w:type="dxa"/>
            <w:tcBorders>
              <w:top w:val="nil"/>
              <w:left w:val="nil"/>
              <w:bottom w:val="nil"/>
              <w:right w:val="nil"/>
            </w:tcBorders>
            <w:shd w:val="clear" w:color="auto" w:fill="auto"/>
            <w:noWrap/>
            <w:vAlign w:val="bottom"/>
            <w:hideMark/>
          </w:tcPr>
          <w:p w14:paraId="36557FCE" w14:textId="77777777" w:rsidR="00370D59" w:rsidRPr="00504D7E" w:rsidRDefault="00370D59" w:rsidP="00370D59">
            <w:pPr>
              <w:rPr>
                <w:color w:val="000000"/>
                <w:sz w:val="18"/>
                <w:szCs w:val="18"/>
              </w:rPr>
            </w:pPr>
            <w:proofErr w:type="spellStart"/>
            <w:r w:rsidRPr="00504D7E">
              <w:rPr>
                <w:color w:val="000000"/>
                <w:sz w:val="18"/>
                <w:szCs w:val="18"/>
              </w:rPr>
              <w:t>Picardie</w:t>
            </w:r>
            <w:proofErr w:type="spellEnd"/>
          </w:p>
        </w:tc>
        <w:tc>
          <w:tcPr>
            <w:tcW w:w="300" w:type="dxa"/>
            <w:tcBorders>
              <w:top w:val="nil"/>
              <w:left w:val="nil"/>
              <w:bottom w:val="nil"/>
              <w:right w:val="nil"/>
            </w:tcBorders>
            <w:shd w:val="clear" w:color="auto" w:fill="auto"/>
            <w:noWrap/>
            <w:vAlign w:val="bottom"/>
            <w:hideMark/>
          </w:tcPr>
          <w:p w14:paraId="0914D2E9"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7EEBFCA6" w14:textId="77777777" w:rsidR="00370D59" w:rsidRPr="00504D7E" w:rsidRDefault="00370D59" w:rsidP="00370D59">
            <w:pPr>
              <w:rPr>
                <w:color w:val="000000"/>
                <w:sz w:val="18"/>
                <w:szCs w:val="18"/>
              </w:rPr>
            </w:pPr>
            <w:r w:rsidRPr="00504D7E">
              <w:rPr>
                <w:color w:val="000000"/>
                <w:sz w:val="18"/>
                <w:szCs w:val="18"/>
              </w:rPr>
              <w:t>ITD5</w:t>
            </w:r>
          </w:p>
        </w:tc>
        <w:tc>
          <w:tcPr>
            <w:tcW w:w="3060" w:type="dxa"/>
            <w:tcBorders>
              <w:top w:val="nil"/>
              <w:left w:val="nil"/>
              <w:bottom w:val="nil"/>
              <w:right w:val="nil"/>
            </w:tcBorders>
            <w:shd w:val="clear" w:color="auto" w:fill="auto"/>
            <w:noWrap/>
            <w:vAlign w:val="bottom"/>
            <w:hideMark/>
          </w:tcPr>
          <w:p w14:paraId="3E485B80" w14:textId="77777777" w:rsidR="00370D59" w:rsidRPr="00504D7E" w:rsidRDefault="00370D59" w:rsidP="00370D59">
            <w:pPr>
              <w:rPr>
                <w:color w:val="000000"/>
                <w:sz w:val="18"/>
                <w:szCs w:val="18"/>
              </w:rPr>
            </w:pPr>
            <w:r w:rsidRPr="00504D7E">
              <w:rPr>
                <w:color w:val="000000"/>
                <w:sz w:val="18"/>
                <w:szCs w:val="18"/>
              </w:rPr>
              <w:t>Emilia-Romagna (NUTS 2006)</w:t>
            </w:r>
          </w:p>
        </w:tc>
      </w:tr>
      <w:tr w:rsidR="00370D59" w:rsidRPr="00504D7E" w14:paraId="51335FC3" w14:textId="77777777" w:rsidTr="00370D59">
        <w:trPr>
          <w:trHeight w:val="300"/>
        </w:trPr>
        <w:tc>
          <w:tcPr>
            <w:tcW w:w="960" w:type="dxa"/>
            <w:tcBorders>
              <w:top w:val="nil"/>
              <w:left w:val="nil"/>
              <w:bottom w:val="nil"/>
              <w:right w:val="nil"/>
            </w:tcBorders>
            <w:shd w:val="clear" w:color="auto" w:fill="auto"/>
            <w:noWrap/>
            <w:vAlign w:val="bottom"/>
            <w:hideMark/>
          </w:tcPr>
          <w:p w14:paraId="6B5BD3C3" w14:textId="77777777" w:rsidR="00370D59" w:rsidRPr="00504D7E" w:rsidRDefault="00370D59" w:rsidP="00370D59">
            <w:pPr>
              <w:rPr>
                <w:color w:val="000000"/>
                <w:sz w:val="18"/>
                <w:szCs w:val="18"/>
              </w:rPr>
            </w:pPr>
            <w:r w:rsidRPr="00504D7E">
              <w:rPr>
                <w:color w:val="000000"/>
                <w:sz w:val="18"/>
                <w:szCs w:val="18"/>
              </w:rPr>
              <w:t>BG42</w:t>
            </w:r>
          </w:p>
        </w:tc>
        <w:tc>
          <w:tcPr>
            <w:tcW w:w="2400" w:type="dxa"/>
            <w:tcBorders>
              <w:top w:val="nil"/>
              <w:left w:val="nil"/>
              <w:bottom w:val="nil"/>
              <w:right w:val="nil"/>
            </w:tcBorders>
            <w:shd w:val="clear" w:color="auto" w:fill="auto"/>
            <w:noWrap/>
            <w:vAlign w:val="bottom"/>
            <w:hideMark/>
          </w:tcPr>
          <w:p w14:paraId="3CD7CC43" w14:textId="77777777" w:rsidR="00370D59" w:rsidRPr="00504D7E" w:rsidRDefault="00370D59" w:rsidP="00370D59">
            <w:pPr>
              <w:rPr>
                <w:color w:val="000000"/>
                <w:sz w:val="18"/>
                <w:szCs w:val="18"/>
              </w:rPr>
            </w:pPr>
            <w:proofErr w:type="spellStart"/>
            <w:r w:rsidRPr="00504D7E">
              <w:rPr>
                <w:color w:val="000000"/>
                <w:sz w:val="18"/>
                <w:szCs w:val="18"/>
              </w:rPr>
              <w:t>Yuzhen</w:t>
            </w:r>
            <w:proofErr w:type="spellEnd"/>
            <w:r w:rsidRPr="00504D7E">
              <w:rPr>
                <w:color w:val="000000"/>
                <w:sz w:val="18"/>
                <w:szCs w:val="18"/>
              </w:rPr>
              <w:t xml:space="preserve"> </w:t>
            </w:r>
            <w:proofErr w:type="spellStart"/>
            <w:r w:rsidRPr="00504D7E">
              <w:rPr>
                <w:color w:val="000000"/>
                <w:sz w:val="18"/>
                <w:szCs w:val="18"/>
              </w:rPr>
              <w:t>tsentralen</w:t>
            </w:r>
            <w:proofErr w:type="spellEnd"/>
          </w:p>
        </w:tc>
        <w:tc>
          <w:tcPr>
            <w:tcW w:w="340" w:type="dxa"/>
            <w:tcBorders>
              <w:top w:val="nil"/>
              <w:left w:val="nil"/>
              <w:bottom w:val="nil"/>
              <w:right w:val="nil"/>
            </w:tcBorders>
            <w:shd w:val="clear" w:color="auto" w:fill="auto"/>
            <w:noWrap/>
            <w:vAlign w:val="bottom"/>
            <w:hideMark/>
          </w:tcPr>
          <w:p w14:paraId="3DC3F9E3"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22564140" w14:textId="77777777" w:rsidR="00370D59" w:rsidRPr="00504D7E" w:rsidRDefault="00370D59" w:rsidP="00370D59">
            <w:pPr>
              <w:rPr>
                <w:color w:val="000000"/>
                <w:sz w:val="18"/>
                <w:szCs w:val="18"/>
              </w:rPr>
            </w:pPr>
            <w:r w:rsidRPr="00504D7E">
              <w:rPr>
                <w:color w:val="000000"/>
                <w:sz w:val="18"/>
                <w:szCs w:val="18"/>
              </w:rPr>
              <w:t>FR23</w:t>
            </w:r>
          </w:p>
        </w:tc>
        <w:tc>
          <w:tcPr>
            <w:tcW w:w="3780" w:type="dxa"/>
            <w:tcBorders>
              <w:top w:val="nil"/>
              <w:left w:val="nil"/>
              <w:bottom w:val="nil"/>
              <w:right w:val="nil"/>
            </w:tcBorders>
            <w:shd w:val="clear" w:color="auto" w:fill="auto"/>
            <w:noWrap/>
            <w:vAlign w:val="bottom"/>
            <w:hideMark/>
          </w:tcPr>
          <w:p w14:paraId="6211E82C" w14:textId="77777777" w:rsidR="00370D59" w:rsidRPr="00504D7E" w:rsidRDefault="00370D59" w:rsidP="00370D59">
            <w:pPr>
              <w:rPr>
                <w:color w:val="000000"/>
                <w:sz w:val="18"/>
                <w:szCs w:val="18"/>
              </w:rPr>
            </w:pPr>
            <w:r w:rsidRPr="00504D7E">
              <w:rPr>
                <w:color w:val="000000"/>
                <w:sz w:val="18"/>
                <w:szCs w:val="18"/>
              </w:rPr>
              <w:t>Haute-</w:t>
            </w:r>
            <w:proofErr w:type="spellStart"/>
            <w:r w:rsidRPr="00504D7E">
              <w:rPr>
                <w:color w:val="000000"/>
                <w:sz w:val="18"/>
                <w:szCs w:val="18"/>
              </w:rPr>
              <w:t>Normandie</w:t>
            </w:r>
            <w:proofErr w:type="spellEnd"/>
          </w:p>
        </w:tc>
        <w:tc>
          <w:tcPr>
            <w:tcW w:w="300" w:type="dxa"/>
            <w:tcBorders>
              <w:top w:val="nil"/>
              <w:left w:val="nil"/>
              <w:bottom w:val="nil"/>
              <w:right w:val="nil"/>
            </w:tcBorders>
            <w:shd w:val="clear" w:color="auto" w:fill="auto"/>
            <w:noWrap/>
            <w:vAlign w:val="bottom"/>
            <w:hideMark/>
          </w:tcPr>
          <w:p w14:paraId="6404DB77"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29644B42" w14:textId="77777777" w:rsidR="00370D59" w:rsidRPr="00504D7E" w:rsidRDefault="00370D59" w:rsidP="00370D59">
            <w:pPr>
              <w:rPr>
                <w:color w:val="000000"/>
                <w:sz w:val="18"/>
                <w:szCs w:val="18"/>
              </w:rPr>
            </w:pPr>
            <w:r w:rsidRPr="00504D7E">
              <w:rPr>
                <w:color w:val="000000"/>
                <w:sz w:val="18"/>
                <w:szCs w:val="18"/>
              </w:rPr>
              <w:t>ITE1</w:t>
            </w:r>
          </w:p>
        </w:tc>
        <w:tc>
          <w:tcPr>
            <w:tcW w:w="3060" w:type="dxa"/>
            <w:tcBorders>
              <w:top w:val="nil"/>
              <w:left w:val="nil"/>
              <w:bottom w:val="nil"/>
              <w:right w:val="nil"/>
            </w:tcBorders>
            <w:shd w:val="clear" w:color="auto" w:fill="auto"/>
            <w:noWrap/>
            <w:vAlign w:val="bottom"/>
            <w:hideMark/>
          </w:tcPr>
          <w:p w14:paraId="07A7F374" w14:textId="77777777" w:rsidR="00370D59" w:rsidRPr="00504D7E" w:rsidRDefault="00370D59" w:rsidP="00370D59">
            <w:pPr>
              <w:rPr>
                <w:color w:val="000000"/>
                <w:sz w:val="18"/>
                <w:szCs w:val="18"/>
              </w:rPr>
            </w:pPr>
            <w:r w:rsidRPr="00504D7E">
              <w:rPr>
                <w:color w:val="000000"/>
                <w:sz w:val="18"/>
                <w:szCs w:val="18"/>
              </w:rPr>
              <w:t>Toscana (NUTS 2006)</w:t>
            </w:r>
          </w:p>
        </w:tc>
      </w:tr>
      <w:tr w:rsidR="00370D59" w:rsidRPr="00504D7E" w14:paraId="5489E9CA" w14:textId="77777777" w:rsidTr="00370D59">
        <w:trPr>
          <w:trHeight w:val="300"/>
        </w:trPr>
        <w:tc>
          <w:tcPr>
            <w:tcW w:w="960" w:type="dxa"/>
            <w:tcBorders>
              <w:top w:val="nil"/>
              <w:left w:val="nil"/>
              <w:bottom w:val="nil"/>
              <w:right w:val="nil"/>
            </w:tcBorders>
            <w:shd w:val="clear" w:color="auto" w:fill="auto"/>
            <w:noWrap/>
            <w:vAlign w:val="bottom"/>
            <w:hideMark/>
          </w:tcPr>
          <w:p w14:paraId="3AEDA5A4" w14:textId="77777777" w:rsidR="00370D59" w:rsidRPr="00504D7E" w:rsidRDefault="00370D59" w:rsidP="00370D59">
            <w:pPr>
              <w:rPr>
                <w:color w:val="000000"/>
                <w:sz w:val="18"/>
                <w:szCs w:val="18"/>
              </w:rPr>
            </w:pPr>
            <w:r w:rsidRPr="00504D7E">
              <w:rPr>
                <w:color w:val="000000"/>
                <w:sz w:val="18"/>
                <w:szCs w:val="18"/>
              </w:rPr>
              <w:t>CZ01</w:t>
            </w:r>
          </w:p>
        </w:tc>
        <w:tc>
          <w:tcPr>
            <w:tcW w:w="2400" w:type="dxa"/>
            <w:tcBorders>
              <w:top w:val="nil"/>
              <w:left w:val="nil"/>
              <w:bottom w:val="nil"/>
              <w:right w:val="nil"/>
            </w:tcBorders>
            <w:shd w:val="clear" w:color="auto" w:fill="auto"/>
            <w:noWrap/>
            <w:vAlign w:val="bottom"/>
            <w:hideMark/>
          </w:tcPr>
          <w:p w14:paraId="49F84A56" w14:textId="77777777" w:rsidR="00370D59" w:rsidRPr="00504D7E" w:rsidRDefault="00370D59" w:rsidP="00370D59">
            <w:pPr>
              <w:rPr>
                <w:color w:val="000000"/>
                <w:sz w:val="18"/>
                <w:szCs w:val="18"/>
              </w:rPr>
            </w:pPr>
            <w:r w:rsidRPr="00504D7E">
              <w:rPr>
                <w:color w:val="000000"/>
                <w:sz w:val="18"/>
                <w:szCs w:val="18"/>
              </w:rPr>
              <w:t>Praha</w:t>
            </w:r>
          </w:p>
        </w:tc>
        <w:tc>
          <w:tcPr>
            <w:tcW w:w="340" w:type="dxa"/>
            <w:tcBorders>
              <w:top w:val="nil"/>
              <w:left w:val="nil"/>
              <w:bottom w:val="nil"/>
              <w:right w:val="nil"/>
            </w:tcBorders>
            <w:shd w:val="clear" w:color="auto" w:fill="auto"/>
            <w:noWrap/>
            <w:vAlign w:val="bottom"/>
            <w:hideMark/>
          </w:tcPr>
          <w:p w14:paraId="5548A334"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5EA9D330" w14:textId="77777777" w:rsidR="00370D59" w:rsidRPr="00504D7E" w:rsidRDefault="00370D59" w:rsidP="00370D59">
            <w:pPr>
              <w:rPr>
                <w:color w:val="000000"/>
                <w:sz w:val="18"/>
                <w:szCs w:val="18"/>
              </w:rPr>
            </w:pPr>
            <w:r w:rsidRPr="00504D7E">
              <w:rPr>
                <w:color w:val="000000"/>
                <w:sz w:val="18"/>
                <w:szCs w:val="18"/>
              </w:rPr>
              <w:t>FR24</w:t>
            </w:r>
          </w:p>
        </w:tc>
        <w:tc>
          <w:tcPr>
            <w:tcW w:w="3780" w:type="dxa"/>
            <w:tcBorders>
              <w:top w:val="nil"/>
              <w:left w:val="nil"/>
              <w:bottom w:val="nil"/>
              <w:right w:val="nil"/>
            </w:tcBorders>
            <w:shd w:val="clear" w:color="auto" w:fill="auto"/>
            <w:noWrap/>
            <w:vAlign w:val="bottom"/>
            <w:hideMark/>
          </w:tcPr>
          <w:p w14:paraId="3417B55A" w14:textId="77777777" w:rsidR="00370D59" w:rsidRPr="00504D7E" w:rsidRDefault="00370D59" w:rsidP="00370D59">
            <w:pPr>
              <w:rPr>
                <w:color w:val="000000"/>
                <w:sz w:val="18"/>
                <w:szCs w:val="18"/>
              </w:rPr>
            </w:pPr>
            <w:r w:rsidRPr="00504D7E">
              <w:rPr>
                <w:color w:val="000000"/>
                <w:sz w:val="18"/>
                <w:szCs w:val="18"/>
              </w:rPr>
              <w:t>Centre (FR)</w:t>
            </w:r>
          </w:p>
        </w:tc>
        <w:tc>
          <w:tcPr>
            <w:tcW w:w="300" w:type="dxa"/>
            <w:tcBorders>
              <w:top w:val="nil"/>
              <w:left w:val="nil"/>
              <w:bottom w:val="nil"/>
              <w:right w:val="nil"/>
            </w:tcBorders>
            <w:shd w:val="clear" w:color="auto" w:fill="auto"/>
            <w:noWrap/>
            <w:vAlign w:val="bottom"/>
            <w:hideMark/>
          </w:tcPr>
          <w:p w14:paraId="0C94FA2A"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4A4DE723" w14:textId="77777777" w:rsidR="00370D59" w:rsidRPr="00504D7E" w:rsidRDefault="00370D59" w:rsidP="00370D59">
            <w:pPr>
              <w:rPr>
                <w:color w:val="000000"/>
                <w:sz w:val="18"/>
                <w:szCs w:val="18"/>
              </w:rPr>
            </w:pPr>
            <w:r w:rsidRPr="00504D7E">
              <w:rPr>
                <w:color w:val="000000"/>
                <w:sz w:val="18"/>
                <w:szCs w:val="18"/>
              </w:rPr>
              <w:t>ITE2</w:t>
            </w:r>
          </w:p>
        </w:tc>
        <w:tc>
          <w:tcPr>
            <w:tcW w:w="3060" w:type="dxa"/>
            <w:tcBorders>
              <w:top w:val="nil"/>
              <w:left w:val="nil"/>
              <w:bottom w:val="nil"/>
              <w:right w:val="nil"/>
            </w:tcBorders>
            <w:shd w:val="clear" w:color="auto" w:fill="auto"/>
            <w:noWrap/>
            <w:vAlign w:val="bottom"/>
            <w:hideMark/>
          </w:tcPr>
          <w:p w14:paraId="29A9074D" w14:textId="77777777" w:rsidR="00370D59" w:rsidRPr="00504D7E" w:rsidRDefault="00370D59" w:rsidP="00370D59">
            <w:pPr>
              <w:rPr>
                <w:color w:val="000000"/>
                <w:sz w:val="18"/>
                <w:szCs w:val="18"/>
              </w:rPr>
            </w:pPr>
            <w:r w:rsidRPr="00504D7E">
              <w:rPr>
                <w:color w:val="000000"/>
                <w:sz w:val="18"/>
                <w:szCs w:val="18"/>
              </w:rPr>
              <w:t>Umbria (NUTS 2006)</w:t>
            </w:r>
          </w:p>
        </w:tc>
      </w:tr>
      <w:tr w:rsidR="00370D59" w:rsidRPr="00504D7E" w14:paraId="76B406A9" w14:textId="77777777" w:rsidTr="00370D59">
        <w:trPr>
          <w:trHeight w:val="300"/>
        </w:trPr>
        <w:tc>
          <w:tcPr>
            <w:tcW w:w="960" w:type="dxa"/>
            <w:tcBorders>
              <w:top w:val="nil"/>
              <w:left w:val="nil"/>
              <w:bottom w:val="nil"/>
              <w:right w:val="nil"/>
            </w:tcBorders>
            <w:shd w:val="clear" w:color="auto" w:fill="auto"/>
            <w:noWrap/>
            <w:vAlign w:val="bottom"/>
            <w:hideMark/>
          </w:tcPr>
          <w:p w14:paraId="49DADBE6" w14:textId="77777777" w:rsidR="00370D59" w:rsidRPr="00504D7E" w:rsidRDefault="00370D59" w:rsidP="00370D59">
            <w:pPr>
              <w:rPr>
                <w:color w:val="000000"/>
                <w:sz w:val="18"/>
                <w:szCs w:val="18"/>
              </w:rPr>
            </w:pPr>
            <w:r w:rsidRPr="00504D7E">
              <w:rPr>
                <w:color w:val="000000"/>
                <w:sz w:val="18"/>
                <w:szCs w:val="18"/>
              </w:rPr>
              <w:t>CZ02</w:t>
            </w:r>
          </w:p>
        </w:tc>
        <w:tc>
          <w:tcPr>
            <w:tcW w:w="2400" w:type="dxa"/>
            <w:tcBorders>
              <w:top w:val="nil"/>
              <w:left w:val="nil"/>
              <w:bottom w:val="nil"/>
              <w:right w:val="nil"/>
            </w:tcBorders>
            <w:shd w:val="clear" w:color="auto" w:fill="auto"/>
            <w:noWrap/>
            <w:vAlign w:val="bottom"/>
            <w:hideMark/>
          </w:tcPr>
          <w:p w14:paraId="6C32E782" w14:textId="77777777" w:rsidR="00370D59" w:rsidRPr="00504D7E" w:rsidRDefault="00370D59" w:rsidP="00370D59">
            <w:pPr>
              <w:rPr>
                <w:color w:val="000000"/>
                <w:sz w:val="18"/>
                <w:szCs w:val="18"/>
              </w:rPr>
            </w:pPr>
            <w:proofErr w:type="spellStart"/>
            <w:r w:rsidRPr="00504D7E">
              <w:rPr>
                <w:color w:val="000000"/>
                <w:sz w:val="18"/>
                <w:szCs w:val="18"/>
              </w:rPr>
              <w:t>Strední</w:t>
            </w:r>
            <w:proofErr w:type="spellEnd"/>
            <w:r w:rsidRPr="00504D7E">
              <w:rPr>
                <w:color w:val="000000"/>
                <w:sz w:val="18"/>
                <w:szCs w:val="18"/>
              </w:rPr>
              <w:t xml:space="preserve"> </w:t>
            </w:r>
            <w:proofErr w:type="spellStart"/>
            <w:r w:rsidRPr="00504D7E">
              <w:rPr>
                <w:color w:val="000000"/>
                <w:sz w:val="18"/>
                <w:szCs w:val="18"/>
              </w:rPr>
              <w:t>Cechy</w:t>
            </w:r>
            <w:proofErr w:type="spellEnd"/>
          </w:p>
        </w:tc>
        <w:tc>
          <w:tcPr>
            <w:tcW w:w="340" w:type="dxa"/>
            <w:tcBorders>
              <w:top w:val="nil"/>
              <w:left w:val="nil"/>
              <w:bottom w:val="nil"/>
              <w:right w:val="nil"/>
            </w:tcBorders>
            <w:shd w:val="clear" w:color="auto" w:fill="auto"/>
            <w:noWrap/>
            <w:vAlign w:val="bottom"/>
            <w:hideMark/>
          </w:tcPr>
          <w:p w14:paraId="77E86813"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29ED98DD" w14:textId="77777777" w:rsidR="00370D59" w:rsidRPr="00504D7E" w:rsidRDefault="00370D59" w:rsidP="00370D59">
            <w:pPr>
              <w:rPr>
                <w:color w:val="000000"/>
                <w:sz w:val="18"/>
                <w:szCs w:val="18"/>
              </w:rPr>
            </w:pPr>
            <w:r w:rsidRPr="00504D7E">
              <w:rPr>
                <w:color w:val="000000"/>
                <w:sz w:val="18"/>
                <w:szCs w:val="18"/>
              </w:rPr>
              <w:t>FR25</w:t>
            </w:r>
          </w:p>
        </w:tc>
        <w:tc>
          <w:tcPr>
            <w:tcW w:w="3780" w:type="dxa"/>
            <w:tcBorders>
              <w:top w:val="nil"/>
              <w:left w:val="nil"/>
              <w:bottom w:val="nil"/>
              <w:right w:val="nil"/>
            </w:tcBorders>
            <w:shd w:val="clear" w:color="auto" w:fill="auto"/>
            <w:noWrap/>
            <w:vAlign w:val="bottom"/>
            <w:hideMark/>
          </w:tcPr>
          <w:p w14:paraId="1B0E28C9" w14:textId="77777777" w:rsidR="00370D59" w:rsidRPr="00504D7E" w:rsidRDefault="00370D59" w:rsidP="00370D59">
            <w:pPr>
              <w:rPr>
                <w:color w:val="000000"/>
                <w:sz w:val="18"/>
                <w:szCs w:val="18"/>
              </w:rPr>
            </w:pPr>
            <w:r w:rsidRPr="00504D7E">
              <w:rPr>
                <w:color w:val="000000"/>
                <w:sz w:val="18"/>
                <w:szCs w:val="18"/>
              </w:rPr>
              <w:t>Basse-</w:t>
            </w:r>
            <w:proofErr w:type="spellStart"/>
            <w:r w:rsidRPr="00504D7E">
              <w:rPr>
                <w:color w:val="000000"/>
                <w:sz w:val="18"/>
                <w:szCs w:val="18"/>
              </w:rPr>
              <w:t>Normandie</w:t>
            </w:r>
            <w:proofErr w:type="spellEnd"/>
          </w:p>
        </w:tc>
        <w:tc>
          <w:tcPr>
            <w:tcW w:w="300" w:type="dxa"/>
            <w:tcBorders>
              <w:top w:val="nil"/>
              <w:left w:val="nil"/>
              <w:bottom w:val="nil"/>
              <w:right w:val="nil"/>
            </w:tcBorders>
            <w:shd w:val="clear" w:color="auto" w:fill="auto"/>
            <w:noWrap/>
            <w:vAlign w:val="bottom"/>
            <w:hideMark/>
          </w:tcPr>
          <w:p w14:paraId="093F59F9"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5E6B6CB6" w14:textId="77777777" w:rsidR="00370D59" w:rsidRPr="00504D7E" w:rsidRDefault="00370D59" w:rsidP="00370D59">
            <w:pPr>
              <w:rPr>
                <w:color w:val="000000"/>
                <w:sz w:val="18"/>
                <w:szCs w:val="18"/>
              </w:rPr>
            </w:pPr>
            <w:r w:rsidRPr="00504D7E">
              <w:rPr>
                <w:color w:val="000000"/>
                <w:sz w:val="18"/>
                <w:szCs w:val="18"/>
              </w:rPr>
              <w:t>ITE3</w:t>
            </w:r>
          </w:p>
        </w:tc>
        <w:tc>
          <w:tcPr>
            <w:tcW w:w="3060" w:type="dxa"/>
            <w:tcBorders>
              <w:top w:val="nil"/>
              <w:left w:val="nil"/>
              <w:bottom w:val="nil"/>
              <w:right w:val="nil"/>
            </w:tcBorders>
            <w:shd w:val="clear" w:color="auto" w:fill="auto"/>
            <w:noWrap/>
            <w:vAlign w:val="bottom"/>
            <w:hideMark/>
          </w:tcPr>
          <w:p w14:paraId="5A36785A" w14:textId="77777777" w:rsidR="00370D59" w:rsidRPr="00504D7E" w:rsidRDefault="00370D59" w:rsidP="00370D59">
            <w:pPr>
              <w:rPr>
                <w:color w:val="000000"/>
                <w:sz w:val="18"/>
                <w:szCs w:val="18"/>
              </w:rPr>
            </w:pPr>
            <w:r w:rsidRPr="00504D7E">
              <w:rPr>
                <w:color w:val="000000"/>
                <w:sz w:val="18"/>
                <w:szCs w:val="18"/>
              </w:rPr>
              <w:t>Marche (NUTS 2006)</w:t>
            </w:r>
          </w:p>
        </w:tc>
      </w:tr>
      <w:tr w:rsidR="00370D59" w:rsidRPr="00504D7E" w14:paraId="36CA16CF" w14:textId="77777777" w:rsidTr="00370D59">
        <w:trPr>
          <w:trHeight w:val="300"/>
        </w:trPr>
        <w:tc>
          <w:tcPr>
            <w:tcW w:w="960" w:type="dxa"/>
            <w:tcBorders>
              <w:top w:val="nil"/>
              <w:left w:val="nil"/>
              <w:bottom w:val="nil"/>
              <w:right w:val="nil"/>
            </w:tcBorders>
            <w:shd w:val="clear" w:color="auto" w:fill="auto"/>
            <w:noWrap/>
            <w:vAlign w:val="bottom"/>
            <w:hideMark/>
          </w:tcPr>
          <w:p w14:paraId="737065CC" w14:textId="77777777" w:rsidR="00370D59" w:rsidRPr="00504D7E" w:rsidRDefault="00370D59" w:rsidP="00370D59">
            <w:pPr>
              <w:rPr>
                <w:color w:val="000000"/>
                <w:sz w:val="18"/>
                <w:szCs w:val="18"/>
              </w:rPr>
            </w:pPr>
            <w:r w:rsidRPr="00504D7E">
              <w:rPr>
                <w:color w:val="000000"/>
                <w:sz w:val="18"/>
                <w:szCs w:val="18"/>
              </w:rPr>
              <w:t>CZ03</w:t>
            </w:r>
          </w:p>
        </w:tc>
        <w:tc>
          <w:tcPr>
            <w:tcW w:w="2400" w:type="dxa"/>
            <w:tcBorders>
              <w:top w:val="nil"/>
              <w:left w:val="nil"/>
              <w:bottom w:val="nil"/>
              <w:right w:val="nil"/>
            </w:tcBorders>
            <w:shd w:val="clear" w:color="auto" w:fill="auto"/>
            <w:noWrap/>
            <w:vAlign w:val="bottom"/>
            <w:hideMark/>
          </w:tcPr>
          <w:p w14:paraId="39FE2C3C" w14:textId="77777777" w:rsidR="00370D59" w:rsidRPr="00504D7E" w:rsidRDefault="00370D59" w:rsidP="00370D59">
            <w:pPr>
              <w:rPr>
                <w:color w:val="000000"/>
                <w:sz w:val="18"/>
                <w:szCs w:val="18"/>
              </w:rPr>
            </w:pPr>
            <w:proofErr w:type="spellStart"/>
            <w:r w:rsidRPr="00504D7E">
              <w:rPr>
                <w:color w:val="000000"/>
                <w:sz w:val="18"/>
                <w:szCs w:val="18"/>
              </w:rPr>
              <w:t>Jihozápad</w:t>
            </w:r>
            <w:proofErr w:type="spellEnd"/>
          </w:p>
        </w:tc>
        <w:tc>
          <w:tcPr>
            <w:tcW w:w="340" w:type="dxa"/>
            <w:tcBorders>
              <w:top w:val="nil"/>
              <w:left w:val="nil"/>
              <w:bottom w:val="nil"/>
              <w:right w:val="nil"/>
            </w:tcBorders>
            <w:shd w:val="clear" w:color="auto" w:fill="auto"/>
            <w:noWrap/>
            <w:vAlign w:val="bottom"/>
            <w:hideMark/>
          </w:tcPr>
          <w:p w14:paraId="66F3CDA4"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3224F03C" w14:textId="77777777" w:rsidR="00370D59" w:rsidRPr="00504D7E" w:rsidRDefault="00370D59" w:rsidP="00370D59">
            <w:pPr>
              <w:rPr>
                <w:color w:val="000000"/>
                <w:sz w:val="18"/>
                <w:szCs w:val="18"/>
              </w:rPr>
            </w:pPr>
            <w:r w:rsidRPr="00504D7E">
              <w:rPr>
                <w:color w:val="000000"/>
                <w:sz w:val="18"/>
                <w:szCs w:val="18"/>
              </w:rPr>
              <w:t>FR26</w:t>
            </w:r>
          </w:p>
        </w:tc>
        <w:tc>
          <w:tcPr>
            <w:tcW w:w="3780" w:type="dxa"/>
            <w:tcBorders>
              <w:top w:val="nil"/>
              <w:left w:val="nil"/>
              <w:bottom w:val="nil"/>
              <w:right w:val="nil"/>
            </w:tcBorders>
            <w:shd w:val="clear" w:color="auto" w:fill="auto"/>
            <w:noWrap/>
            <w:vAlign w:val="bottom"/>
            <w:hideMark/>
          </w:tcPr>
          <w:p w14:paraId="4E20F79A" w14:textId="77777777" w:rsidR="00370D59" w:rsidRPr="00504D7E" w:rsidRDefault="00370D59" w:rsidP="00370D59">
            <w:pPr>
              <w:rPr>
                <w:color w:val="000000"/>
                <w:sz w:val="18"/>
                <w:szCs w:val="18"/>
              </w:rPr>
            </w:pPr>
            <w:proofErr w:type="spellStart"/>
            <w:r w:rsidRPr="00504D7E">
              <w:rPr>
                <w:color w:val="000000"/>
                <w:sz w:val="18"/>
                <w:szCs w:val="18"/>
              </w:rPr>
              <w:t>Bourgogne</w:t>
            </w:r>
            <w:proofErr w:type="spellEnd"/>
          </w:p>
        </w:tc>
        <w:tc>
          <w:tcPr>
            <w:tcW w:w="300" w:type="dxa"/>
            <w:tcBorders>
              <w:top w:val="nil"/>
              <w:left w:val="nil"/>
              <w:bottom w:val="nil"/>
              <w:right w:val="nil"/>
            </w:tcBorders>
            <w:shd w:val="clear" w:color="auto" w:fill="auto"/>
            <w:noWrap/>
            <w:vAlign w:val="bottom"/>
            <w:hideMark/>
          </w:tcPr>
          <w:p w14:paraId="61C7A590"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43275E41" w14:textId="77777777" w:rsidR="00370D59" w:rsidRPr="00504D7E" w:rsidRDefault="00370D59" w:rsidP="00370D59">
            <w:pPr>
              <w:rPr>
                <w:color w:val="000000"/>
                <w:sz w:val="18"/>
                <w:szCs w:val="18"/>
              </w:rPr>
            </w:pPr>
            <w:r w:rsidRPr="00504D7E">
              <w:rPr>
                <w:color w:val="000000"/>
                <w:sz w:val="18"/>
                <w:szCs w:val="18"/>
              </w:rPr>
              <w:t>ITE4</w:t>
            </w:r>
          </w:p>
        </w:tc>
        <w:tc>
          <w:tcPr>
            <w:tcW w:w="3060" w:type="dxa"/>
            <w:tcBorders>
              <w:top w:val="nil"/>
              <w:left w:val="nil"/>
              <w:bottom w:val="nil"/>
              <w:right w:val="nil"/>
            </w:tcBorders>
            <w:shd w:val="clear" w:color="auto" w:fill="auto"/>
            <w:noWrap/>
            <w:vAlign w:val="bottom"/>
            <w:hideMark/>
          </w:tcPr>
          <w:p w14:paraId="5857AE64" w14:textId="77777777" w:rsidR="00370D59" w:rsidRPr="00504D7E" w:rsidRDefault="00370D59" w:rsidP="00370D59">
            <w:pPr>
              <w:rPr>
                <w:color w:val="000000"/>
                <w:sz w:val="18"/>
                <w:szCs w:val="18"/>
              </w:rPr>
            </w:pPr>
            <w:r w:rsidRPr="00504D7E">
              <w:rPr>
                <w:color w:val="000000"/>
                <w:sz w:val="18"/>
                <w:szCs w:val="18"/>
              </w:rPr>
              <w:t>Lazio (NUTS 2006)</w:t>
            </w:r>
          </w:p>
        </w:tc>
      </w:tr>
      <w:tr w:rsidR="00370D59" w:rsidRPr="00504D7E" w14:paraId="58F2C5A9" w14:textId="77777777" w:rsidTr="00370D59">
        <w:trPr>
          <w:trHeight w:val="300"/>
        </w:trPr>
        <w:tc>
          <w:tcPr>
            <w:tcW w:w="960" w:type="dxa"/>
            <w:tcBorders>
              <w:top w:val="nil"/>
              <w:left w:val="nil"/>
              <w:bottom w:val="nil"/>
              <w:right w:val="nil"/>
            </w:tcBorders>
            <w:shd w:val="clear" w:color="auto" w:fill="auto"/>
            <w:noWrap/>
            <w:vAlign w:val="bottom"/>
            <w:hideMark/>
          </w:tcPr>
          <w:p w14:paraId="01D9CCEF" w14:textId="77777777" w:rsidR="00370D59" w:rsidRPr="00504D7E" w:rsidRDefault="00370D59" w:rsidP="00370D59">
            <w:pPr>
              <w:rPr>
                <w:color w:val="000000"/>
                <w:sz w:val="18"/>
                <w:szCs w:val="18"/>
              </w:rPr>
            </w:pPr>
            <w:r w:rsidRPr="00504D7E">
              <w:rPr>
                <w:color w:val="000000"/>
                <w:sz w:val="18"/>
                <w:szCs w:val="18"/>
              </w:rPr>
              <w:t>CZ05</w:t>
            </w:r>
          </w:p>
        </w:tc>
        <w:tc>
          <w:tcPr>
            <w:tcW w:w="2400" w:type="dxa"/>
            <w:tcBorders>
              <w:top w:val="nil"/>
              <w:left w:val="nil"/>
              <w:bottom w:val="nil"/>
              <w:right w:val="nil"/>
            </w:tcBorders>
            <w:shd w:val="clear" w:color="auto" w:fill="auto"/>
            <w:noWrap/>
            <w:vAlign w:val="bottom"/>
            <w:hideMark/>
          </w:tcPr>
          <w:p w14:paraId="1B97961D" w14:textId="77777777" w:rsidR="00370D59" w:rsidRPr="00504D7E" w:rsidRDefault="00370D59" w:rsidP="00370D59">
            <w:pPr>
              <w:rPr>
                <w:color w:val="000000"/>
                <w:sz w:val="18"/>
                <w:szCs w:val="18"/>
              </w:rPr>
            </w:pPr>
            <w:proofErr w:type="spellStart"/>
            <w:r w:rsidRPr="00504D7E">
              <w:rPr>
                <w:color w:val="000000"/>
                <w:sz w:val="18"/>
                <w:szCs w:val="18"/>
              </w:rPr>
              <w:t>Severovýchod</w:t>
            </w:r>
            <w:proofErr w:type="spellEnd"/>
          </w:p>
        </w:tc>
        <w:tc>
          <w:tcPr>
            <w:tcW w:w="340" w:type="dxa"/>
            <w:tcBorders>
              <w:top w:val="nil"/>
              <w:left w:val="nil"/>
              <w:bottom w:val="nil"/>
              <w:right w:val="nil"/>
            </w:tcBorders>
            <w:shd w:val="clear" w:color="auto" w:fill="auto"/>
            <w:noWrap/>
            <w:vAlign w:val="bottom"/>
            <w:hideMark/>
          </w:tcPr>
          <w:p w14:paraId="21668D3D"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76451833" w14:textId="77777777" w:rsidR="00370D59" w:rsidRPr="00504D7E" w:rsidRDefault="00370D59" w:rsidP="00370D59">
            <w:pPr>
              <w:rPr>
                <w:color w:val="000000"/>
                <w:sz w:val="18"/>
                <w:szCs w:val="18"/>
              </w:rPr>
            </w:pPr>
            <w:r w:rsidRPr="00504D7E">
              <w:rPr>
                <w:color w:val="000000"/>
                <w:sz w:val="18"/>
                <w:szCs w:val="18"/>
              </w:rPr>
              <w:t>FR30</w:t>
            </w:r>
          </w:p>
        </w:tc>
        <w:tc>
          <w:tcPr>
            <w:tcW w:w="3780" w:type="dxa"/>
            <w:tcBorders>
              <w:top w:val="nil"/>
              <w:left w:val="nil"/>
              <w:bottom w:val="nil"/>
              <w:right w:val="nil"/>
            </w:tcBorders>
            <w:shd w:val="clear" w:color="auto" w:fill="auto"/>
            <w:noWrap/>
            <w:vAlign w:val="bottom"/>
            <w:hideMark/>
          </w:tcPr>
          <w:p w14:paraId="53BE61D3" w14:textId="77777777" w:rsidR="00370D59" w:rsidRPr="00504D7E" w:rsidRDefault="00370D59" w:rsidP="00370D59">
            <w:pPr>
              <w:rPr>
                <w:color w:val="000000"/>
                <w:sz w:val="18"/>
                <w:szCs w:val="18"/>
              </w:rPr>
            </w:pPr>
            <w:r w:rsidRPr="00504D7E">
              <w:rPr>
                <w:color w:val="000000"/>
                <w:sz w:val="18"/>
                <w:szCs w:val="18"/>
              </w:rPr>
              <w:t xml:space="preserve">Nord - </w:t>
            </w:r>
            <w:proofErr w:type="spellStart"/>
            <w:r w:rsidRPr="00504D7E">
              <w:rPr>
                <w:color w:val="000000"/>
                <w:sz w:val="18"/>
                <w:szCs w:val="18"/>
              </w:rPr>
              <w:t>Pas</w:t>
            </w:r>
            <w:proofErr w:type="spellEnd"/>
            <w:r w:rsidRPr="00504D7E">
              <w:rPr>
                <w:color w:val="000000"/>
                <w:sz w:val="18"/>
                <w:szCs w:val="18"/>
              </w:rPr>
              <w:t>-de-Calais</w:t>
            </w:r>
          </w:p>
        </w:tc>
        <w:tc>
          <w:tcPr>
            <w:tcW w:w="300" w:type="dxa"/>
            <w:tcBorders>
              <w:top w:val="nil"/>
              <w:left w:val="nil"/>
              <w:bottom w:val="nil"/>
              <w:right w:val="nil"/>
            </w:tcBorders>
            <w:shd w:val="clear" w:color="auto" w:fill="auto"/>
            <w:noWrap/>
            <w:vAlign w:val="bottom"/>
            <w:hideMark/>
          </w:tcPr>
          <w:p w14:paraId="49BBBAE3"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41FD6B22" w14:textId="77777777" w:rsidR="00370D59" w:rsidRPr="00504D7E" w:rsidRDefault="00370D59" w:rsidP="00370D59">
            <w:pPr>
              <w:rPr>
                <w:color w:val="000000"/>
                <w:sz w:val="18"/>
                <w:szCs w:val="18"/>
              </w:rPr>
            </w:pPr>
            <w:r w:rsidRPr="00504D7E">
              <w:rPr>
                <w:color w:val="000000"/>
                <w:sz w:val="18"/>
                <w:szCs w:val="18"/>
              </w:rPr>
              <w:t>ITF1</w:t>
            </w:r>
          </w:p>
        </w:tc>
        <w:tc>
          <w:tcPr>
            <w:tcW w:w="3060" w:type="dxa"/>
            <w:tcBorders>
              <w:top w:val="nil"/>
              <w:left w:val="nil"/>
              <w:bottom w:val="nil"/>
              <w:right w:val="nil"/>
            </w:tcBorders>
            <w:shd w:val="clear" w:color="auto" w:fill="auto"/>
            <w:noWrap/>
            <w:vAlign w:val="bottom"/>
            <w:hideMark/>
          </w:tcPr>
          <w:p w14:paraId="3203DAEF" w14:textId="77777777" w:rsidR="00370D59" w:rsidRPr="00504D7E" w:rsidRDefault="00370D59" w:rsidP="00370D59">
            <w:pPr>
              <w:rPr>
                <w:color w:val="000000"/>
                <w:sz w:val="18"/>
                <w:szCs w:val="18"/>
              </w:rPr>
            </w:pPr>
            <w:r w:rsidRPr="00504D7E">
              <w:rPr>
                <w:color w:val="000000"/>
                <w:sz w:val="18"/>
                <w:szCs w:val="18"/>
              </w:rPr>
              <w:t>Abruzzo</w:t>
            </w:r>
          </w:p>
        </w:tc>
      </w:tr>
      <w:tr w:rsidR="00370D59" w:rsidRPr="00504D7E" w14:paraId="1A1A4E0B" w14:textId="77777777" w:rsidTr="00370D59">
        <w:trPr>
          <w:trHeight w:val="300"/>
        </w:trPr>
        <w:tc>
          <w:tcPr>
            <w:tcW w:w="960" w:type="dxa"/>
            <w:tcBorders>
              <w:top w:val="nil"/>
              <w:left w:val="nil"/>
              <w:bottom w:val="nil"/>
              <w:right w:val="nil"/>
            </w:tcBorders>
            <w:shd w:val="clear" w:color="auto" w:fill="auto"/>
            <w:noWrap/>
            <w:vAlign w:val="bottom"/>
            <w:hideMark/>
          </w:tcPr>
          <w:p w14:paraId="7495BF21" w14:textId="77777777" w:rsidR="00370D59" w:rsidRPr="00504D7E" w:rsidRDefault="00370D59" w:rsidP="00370D59">
            <w:pPr>
              <w:rPr>
                <w:color w:val="000000"/>
                <w:sz w:val="18"/>
                <w:szCs w:val="18"/>
              </w:rPr>
            </w:pPr>
            <w:r w:rsidRPr="00504D7E">
              <w:rPr>
                <w:color w:val="000000"/>
                <w:sz w:val="18"/>
                <w:szCs w:val="18"/>
              </w:rPr>
              <w:t>CZ06</w:t>
            </w:r>
          </w:p>
        </w:tc>
        <w:tc>
          <w:tcPr>
            <w:tcW w:w="2400" w:type="dxa"/>
            <w:tcBorders>
              <w:top w:val="nil"/>
              <w:left w:val="nil"/>
              <w:bottom w:val="nil"/>
              <w:right w:val="nil"/>
            </w:tcBorders>
            <w:shd w:val="clear" w:color="auto" w:fill="auto"/>
            <w:noWrap/>
            <w:vAlign w:val="bottom"/>
            <w:hideMark/>
          </w:tcPr>
          <w:p w14:paraId="2FD253EB" w14:textId="77777777" w:rsidR="00370D59" w:rsidRPr="00504D7E" w:rsidRDefault="00370D59" w:rsidP="00370D59">
            <w:pPr>
              <w:rPr>
                <w:color w:val="000000"/>
                <w:sz w:val="18"/>
                <w:szCs w:val="18"/>
              </w:rPr>
            </w:pPr>
            <w:proofErr w:type="spellStart"/>
            <w:r w:rsidRPr="00504D7E">
              <w:rPr>
                <w:color w:val="000000"/>
                <w:sz w:val="18"/>
                <w:szCs w:val="18"/>
              </w:rPr>
              <w:t>Jihovýchod</w:t>
            </w:r>
            <w:proofErr w:type="spellEnd"/>
          </w:p>
        </w:tc>
        <w:tc>
          <w:tcPr>
            <w:tcW w:w="340" w:type="dxa"/>
            <w:tcBorders>
              <w:top w:val="nil"/>
              <w:left w:val="nil"/>
              <w:bottom w:val="nil"/>
              <w:right w:val="nil"/>
            </w:tcBorders>
            <w:shd w:val="clear" w:color="auto" w:fill="auto"/>
            <w:noWrap/>
            <w:vAlign w:val="bottom"/>
            <w:hideMark/>
          </w:tcPr>
          <w:p w14:paraId="32EA2CD2"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5CC654F2" w14:textId="77777777" w:rsidR="00370D59" w:rsidRPr="00504D7E" w:rsidRDefault="00370D59" w:rsidP="00370D59">
            <w:pPr>
              <w:rPr>
                <w:color w:val="000000"/>
                <w:sz w:val="18"/>
                <w:szCs w:val="18"/>
              </w:rPr>
            </w:pPr>
            <w:r w:rsidRPr="00504D7E">
              <w:rPr>
                <w:color w:val="000000"/>
                <w:sz w:val="18"/>
                <w:szCs w:val="18"/>
              </w:rPr>
              <w:t>FR41</w:t>
            </w:r>
          </w:p>
        </w:tc>
        <w:tc>
          <w:tcPr>
            <w:tcW w:w="3780" w:type="dxa"/>
            <w:tcBorders>
              <w:top w:val="nil"/>
              <w:left w:val="nil"/>
              <w:bottom w:val="nil"/>
              <w:right w:val="nil"/>
            </w:tcBorders>
            <w:shd w:val="clear" w:color="auto" w:fill="auto"/>
            <w:noWrap/>
            <w:vAlign w:val="bottom"/>
            <w:hideMark/>
          </w:tcPr>
          <w:p w14:paraId="3FB5ADE4" w14:textId="77777777" w:rsidR="00370D59" w:rsidRPr="00504D7E" w:rsidRDefault="00370D59" w:rsidP="00370D59">
            <w:pPr>
              <w:rPr>
                <w:color w:val="000000"/>
                <w:sz w:val="18"/>
                <w:szCs w:val="18"/>
              </w:rPr>
            </w:pPr>
            <w:proofErr w:type="spellStart"/>
            <w:r w:rsidRPr="00504D7E">
              <w:rPr>
                <w:color w:val="000000"/>
                <w:sz w:val="18"/>
                <w:szCs w:val="18"/>
              </w:rPr>
              <w:t>Lorraine</w:t>
            </w:r>
            <w:proofErr w:type="spellEnd"/>
          </w:p>
        </w:tc>
        <w:tc>
          <w:tcPr>
            <w:tcW w:w="300" w:type="dxa"/>
            <w:tcBorders>
              <w:top w:val="nil"/>
              <w:left w:val="nil"/>
              <w:bottom w:val="nil"/>
              <w:right w:val="nil"/>
            </w:tcBorders>
            <w:shd w:val="clear" w:color="auto" w:fill="auto"/>
            <w:noWrap/>
            <w:vAlign w:val="bottom"/>
            <w:hideMark/>
          </w:tcPr>
          <w:p w14:paraId="37DCE5D6"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306A0CB3" w14:textId="77777777" w:rsidR="00370D59" w:rsidRPr="00504D7E" w:rsidRDefault="00370D59" w:rsidP="00370D59">
            <w:pPr>
              <w:rPr>
                <w:color w:val="000000"/>
                <w:sz w:val="18"/>
                <w:szCs w:val="18"/>
              </w:rPr>
            </w:pPr>
            <w:r w:rsidRPr="00504D7E">
              <w:rPr>
                <w:color w:val="000000"/>
                <w:sz w:val="18"/>
                <w:szCs w:val="18"/>
              </w:rPr>
              <w:t>ITF3</w:t>
            </w:r>
          </w:p>
        </w:tc>
        <w:tc>
          <w:tcPr>
            <w:tcW w:w="3060" w:type="dxa"/>
            <w:tcBorders>
              <w:top w:val="nil"/>
              <w:left w:val="nil"/>
              <w:bottom w:val="nil"/>
              <w:right w:val="nil"/>
            </w:tcBorders>
            <w:shd w:val="clear" w:color="auto" w:fill="auto"/>
            <w:noWrap/>
            <w:vAlign w:val="bottom"/>
            <w:hideMark/>
          </w:tcPr>
          <w:p w14:paraId="6F75ED37" w14:textId="77777777" w:rsidR="00370D59" w:rsidRPr="00504D7E" w:rsidRDefault="00370D59" w:rsidP="00370D59">
            <w:pPr>
              <w:rPr>
                <w:color w:val="000000"/>
                <w:sz w:val="18"/>
                <w:szCs w:val="18"/>
              </w:rPr>
            </w:pPr>
            <w:r w:rsidRPr="00504D7E">
              <w:rPr>
                <w:color w:val="000000"/>
                <w:sz w:val="18"/>
                <w:szCs w:val="18"/>
              </w:rPr>
              <w:t>Campania</w:t>
            </w:r>
          </w:p>
        </w:tc>
      </w:tr>
      <w:tr w:rsidR="00370D59" w:rsidRPr="00504D7E" w14:paraId="2BA4225F" w14:textId="77777777" w:rsidTr="00370D59">
        <w:trPr>
          <w:trHeight w:val="300"/>
        </w:trPr>
        <w:tc>
          <w:tcPr>
            <w:tcW w:w="960" w:type="dxa"/>
            <w:tcBorders>
              <w:top w:val="nil"/>
              <w:left w:val="nil"/>
              <w:bottom w:val="nil"/>
              <w:right w:val="nil"/>
            </w:tcBorders>
            <w:shd w:val="clear" w:color="auto" w:fill="auto"/>
            <w:noWrap/>
            <w:vAlign w:val="bottom"/>
            <w:hideMark/>
          </w:tcPr>
          <w:p w14:paraId="7E30C798" w14:textId="77777777" w:rsidR="00370D59" w:rsidRPr="00504D7E" w:rsidRDefault="00370D59" w:rsidP="00370D59">
            <w:pPr>
              <w:rPr>
                <w:color w:val="000000"/>
                <w:sz w:val="18"/>
                <w:szCs w:val="18"/>
              </w:rPr>
            </w:pPr>
            <w:r w:rsidRPr="00504D7E">
              <w:rPr>
                <w:color w:val="000000"/>
                <w:sz w:val="18"/>
                <w:szCs w:val="18"/>
              </w:rPr>
              <w:t>CZ07</w:t>
            </w:r>
          </w:p>
        </w:tc>
        <w:tc>
          <w:tcPr>
            <w:tcW w:w="2400" w:type="dxa"/>
            <w:tcBorders>
              <w:top w:val="nil"/>
              <w:left w:val="nil"/>
              <w:bottom w:val="nil"/>
              <w:right w:val="nil"/>
            </w:tcBorders>
            <w:shd w:val="clear" w:color="auto" w:fill="auto"/>
            <w:noWrap/>
            <w:vAlign w:val="bottom"/>
            <w:hideMark/>
          </w:tcPr>
          <w:p w14:paraId="30661CFD" w14:textId="77777777" w:rsidR="00370D59" w:rsidRPr="00504D7E" w:rsidRDefault="00370D59" w:rsidP="00370D59">
            <w:pPr>
              <w:rPr>
                <w:color w:val="000000"/>
                <w:sz w:val="18"/>
                <w:szCs w:val="18"/>
              </w:rPr>
            </w:pPr>
            <w:proofErr w:type="spellStart"/>
            <w:r w:rsidRPr="00504D7E">
              <w:rPr>
                <w:color w:val="000000"/>
                <w:sz w:val="18"/>
                <w:szCs w:val="18"/>
              </w:rPr>
              <w:t>Strední</w:t>
            </w:r>
            <w:proofErr w:type="spellEnd"/>
            <w:r w:rsidRPr="00504D7E">
              <w:rPr>
                <w:color w:val="000000"/>
                <w:sz w:val="18"/>
                <w:szCs w:val="18"/>
              </w:rPr>
              <w:t xml:space="preserve"> Morava</w:t>
            </w:r>
          </w:p>
        </w:tc>
        <w:tc>
          <w:tcPr>
            <w:tcW w:w="340" w:type="dxa"/>
            <w:tcBorders>
              <w:top w:val="nil"/>
              <w:left w:val="nil"/>
              <w:bottom w:val="nil"/>
              <w:right w:val="nil"/>
            </w:tcBorders>
            <w:shd w:val="clear" w:color="auto" w:fill="auto"/>
            <w:noWrap/>
            <w:vAlign w:val="bottom"/>
            <w:hideMark/>
          </w:tcPr>
          <w:p w14:paraId="5872D8AC"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48EF1241" w14:textId="77777777" w:rsidR="00370D59" w:rsidRPr="00504D7E" w:rsidRDefault="00370D59" w:rsidP="00370D59">
            <w:pPr>
              <w:rPr>
                <w:color w:val="000000"/>
                <w:sz w:val="18"/>
                <w:szCs w:val="18"/>
              </w:rPr>
            </w:pPr>
            <w:r w:rsidRPr="00504D7E">
              <w:rPr>
                <w:color w:val="000000"/>
                <w:sz w:val="18"/>
                <w:szCs w:val="18"/>
              </w:rPr>
              <w:t>FR42</w:t>
            </w:r>
          </w:p>
        </w:tc>
        <w:tc>
          <w:tcPr>
            <w:tcW w:w="3780" w:type="dxa"/>
            <w:tcBorders>
              <w:top w:val="nil"/>
              <w:left w:val="nil"/>
              <w:bottom w:val="nil"/>
              <w:right w:val="nil"/>
            </w:tcBorders>
            <w:shd w:val="clear" w:color="auto" w:fill="auto"/>
            <w:noWrap/>
            <w:vAlign w:val="bottom"/>
            <w:hideMark/>
          </w:tcPr>
          <w:p w14:paraId="169C244D" w14:textId="77777777" w:rsidR="00370D59" w:rsidRPr="00504D7E" w:rsidRDefault="00370D59" w:rsidP="00370D59">
            <w:pPr>
              <w:rPr>
                <w:color w:val="000000"/>
                <w:sz w:val="18"/>
                <w:szCs w:val="18"/>
              </w:rPr>
            </w:pPr>
            <w:proofErr w:type="spellStart"/>
            <w:r w:rsidRPr="00504D7E">
              <w:rPr>
                <w:color w:val="000000"/>
                <w:sz w:val="18"/>
                <w:szCs w:val="18"/>
              </w:rPr>
              <w:t>Alsace</w:t>
            </w:r>
            <w:proofErr w:type="spellEnd"/>
          </w:p>
        </w:tc>
        <w:tc>
          <w:tcPr>
            <w:tcW w:w="300" w:type="dxa"/>
            <w:tcBorders>
              <w:top w:val="nil"/>
              <w:left w:val="nil"/>
              <w:bottom w:val="nil"/>
              <w:right w:val="nil"/>
            </w:tcBorders>
            <w:shd w:val="clear" w:color="auto" w:fill="auto"/>
            <w:noWrap/>
            <w:vAlign w:val="bottom"/>
            <w:hideMark/>
          </w:tcPr>
          <w:p w14:paraId="7F296BE5"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731D2CCB" w14:textId="77777777" w:rsidR="00370D59" w:rsidRPr="00504D7E" w:rsidRDefault="00370D59" w:rsidP="00370D59">
            <w:pPr>
              <w:rPr>
                <w:color w:val="000000"/>
                <w:sz w:val="18"/>
                <w:szCs w:val="18"/>
              </w:rPr>
            </w:pPr>
            <w:r w:rsidRPr="00504D7E">
              <w:rPr>
                <w:color w:val="000000"/>
                <w:sz w:val="18"/>
                <w:szCs w:val="18"/>
              </w:rPr>
              <w:t>ITF4</w:t>
            </w:r>
          </w:p>
        </w:tc>
        <w:tc>
          <w:tcPr>
            <w:tcW w:w="3060" w:type="dxa"/>
            <w:tcBorders>
              <w:top w:val="nil"/>
              <w:left w:val="nil"/>
              <w:bottom w:val="nil"/>
              <w:right w:val="nil"/>
            </w:tcBorders>
            <w:shd w:val="clear" w:color="auto" w:fill="auto"/>
            <w:noWrap/>
            <w:vAlign w:val="bottom"/>
            <w:hideMark/>
          </w:tcPr>
          <w:p w14:paraId="414C6AA5" w14:textId="77777777" w:rsidR="00370D59" w:rsidRPr="00504D7E" w:rsidRDefault="00370D59" w:rsidP="00370D59">
            <w:pPr>
              <w:rPr>
                <w:color w:val="000000"/>
                <w:sz w:val="18"/>
                <w:szCs w:val="18"/>
              </w:rPr>
            </w:pPr>
            <w:r w:rsidRPr="00504D7E">
              <w:rPr>
                <w:color w:val="000000"/>
                <w:sz w:val="18"/>
                <w:szCs w:val="18"/>
              </w:rPr>
              <w:t>Puglia</w:t>
            </w:r>
          </w:p>
        </w:tc>
      </w:tr>
      <w:tr w:rsidR="00370D59" w:rsidRPr="00504D7E" w14:paraId="469A879B" w14:textId="77777777" w:rsidTr="00370D59">
        <w:trPr>
          <w:trHeight w:val="300"/>
        </w:trPr>
        <w:tc>
          <w:tcPr>
            <w:tcW w:w="960" w:type="dxa"/>
            <w:tcBorders>
              <w:top w:val="nil"/>
              <w:left w:val="nil"/>
              <w:bottom w:val="nil"/>
              <w:right w:val="nil"/>
            </w:tcBorders>
            <w:shd w:val="clear" w:color="auto" w:fill="auto"/>
            <w:noWrap/>
            <w:vAlign w:val="bottom"/>
            <w:hideMark/>
          </w:tcPr>
          <w:p w14:paraId="52C7559A" w14:textId="77777777" w:rsidR="00370D59" w:rsidRPr="00504D7E" w:rsidRDefault="00370D59" w:rsidP="00370D59">
            <w:pPr>
              <w:rPr>
                <w:color w:val="000000"/>
                <w:sz w:val="18"/>
                <w:szCs w:val="18"/>
              </w:rPr>
            </w:pPr>
            <w:r w:rsidRPr="00504D7E">
              <w:rPr>
                <w:color w:val="000000"/>
                <w:sz w:val="18"/>
                <w:szCs w:val="18"/>
              </w:rPr>
              <w:t>CZ08</w:t>
            </w:r>
          </w:p>
        </w:tc>
        <w:tc>
          <w:tcPr>
            <w:tcW w:w="2400" w:type="dxa"/>
            <w:tcBorders>
              <w:top w:val="nil"/>
              <w:left w:val="nil"/>
              <w:bottom w:val="nil"/>
              <w:right w:val="nil"/>
            </w:tcBorders>
            <w:shd w:val="clear" w:color="auto" w:fill="auto"/>
            <w:noWrap/>
            <w:vAlign w:val="bottom"/>
            <w:hideMark/>
          </w:tcPr>
          <w:p w14:paraId="442BCC89" w14:textId="77777777" w:rsidR="00370D59" w:rsidRPr="00504D7E" w:rsidRDefault="00370D59" w:rsidP="00370D59">
            <w:pPr>
              <w:rPr>
                <w:color w:val="000000"/>
                <w:sz w:val="18"/>
                <w:szCs w:val="18"/>
              </w:rPr>
            </w:pPr>
            <w:proofErr w:type="spellStart"/>
            <w:r w:rsidRPr="00504D7E">
              <w:rPr>
                <w:color w:val="000000"/>
                <w:sz w:val="18"/>
                <w:szCs w:val="18"/>
              </w:rPr>
              <w:t>Moravskoslezsko</w:t>
            </w:r>
            <w:proofErr w:type="spellEnd"/>
          </w:p>
        </w:tc>
        <w:tc>
          <w:tcPr>
            <w:tcW w:w="340" w:type="dxa"/>
            <w:tcBorders>
              <w:top w:val="nil"/>
              <w:left w:val="nil"/>
              <w:bottom w:val="nil"/>
              <w:right w:val="nil"/>
            </w:tcBorders>
            <w:shd w:val="clear" w:color="auto" w:fill="auto"/>
            <w:noWrap/>
            <w:vAlign w:val="bottom"/>
            <w:hideMark/>
          </w:tcPr>
          <w:p w14:paraId="5F528A92"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7C9AE4F8" w14:textId="77777777" w:rsidR="00370D59" w:rsidRPr="00504D7E" w:rsidRDefault="00370D59" w:rsidP="00370D59">
            <w:pPr>
              <w:rPr>
                <w:color w:val="000000"/>
                <w:sz w:val="18"/>
                <w:szCs w:val="18"/>
              </w:rPr>
            </w:pPr>
            <w:r w:rsidRPr="00504D7E">
              <w:rPr>
                <w:color w:val="000000"/>
                <w:sz w:val="18"/>
                <w:szCs w:val="18"/>
              </w:rPr>
              <w:t>FR43</w:t>
            </w:r>
          </w:p>
        </w:tc>
        <w:tc>
          <w:tcPr>
            <w:tcW w:w="3780" w:type="dxa"/>
            <w:tcBorders>
              <w:top w:val="nil"/>
              <w:left w:val="nil"/>
              <w:bottom w:val="nil"/>
              <w:right w:val="nil"/>
            </w:tcBorders>
            <w:shd w:val="clear" w:color="auto" w:fill="auto"/>
            <w:noWrap/>
            <w:vAlign w:val="bottom"/>
            <w:hideMark/>
          </w:tcPr>
          <w:p w14:paraId="5D4EE771" w14:textId="77777777" w:rsidR="00370D59" w:rsidRPr="00504D7E" w:rsidRDefault="00370D59" w:rsidP="00370D59">
            <w:pPr>
              <w:rPr>
                <w:color w:val="000000"/>
                <w:sz w:val="18"/>
                <w:szCs w:val="18"/>
              </w:rPr>
            </w:pPr>
            <w:r w:rsidRPr="00504D7E">
              <w:rPr>
                <w:color w:val="000000"/>
                <w:sz w:val="18"/>
                <w:szCs w:val="18"/>
              </w:rPr>
              <w:t>Franche-</w:t>
            </w:r>
            <w:proofErr w:type="spellStart"/>
            <w:r w:rsidRPr="00504D7E">
              <w:rPr>
                <w:color w:val="000000"/>
                <w:sz w:val="18"/>
                <w:szCs w:val="18"/>
              </w:rPr>
              <w:t>Comté</w:t>
            </w:r>
            <w:proofErr w:type="spellEnd"/>
          </w:p>
        </w:tc>
        <w:tc>
          <w:tcPr>
            <w:tcW w:w="300" w:type="dxa"/>
            <w:tcBorders>
              <w:top w:val="nil"/>
              <w:left w:val="nil"/>
              <w:bottom w:val="nil"/>
              <w:right w:val="nil"/>
            </w:tcBorders>
            <w:shd w:val="clear" w:color="auto" w:fill="auto"/>
            <w:noWrap/>
            <w:vAlign w:val="bottom"/>
            <w:hideMark/>
          </w:tcPr>
          <w:p w14:paraId="3711C2E0"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3F6DE9A3" w14:textId="77777777" w:rsidR="00370D59" w:rsidRPr="00504D7E" w:rsidRDefault="00370D59" w:rsidP="00370D59">
            <w:pPr>
              <w:rPr>
                <w:color w:val="000000"/>
                <w:sz w:val="18"/>
                <w:szCs w:val="18"/>
              </w:rPr>
            </w:pPr>
            <w:r w:rsidRPr="00504D7E">
              <w:rPr>
                <w:color w:val="000000"/>
                <w:sz w:val="18"/>
                <w:szCs w:val="18"/>
              </w:rPr>
              <w:t>ITF5</w:t>
            </w:r>
          </w:p>
        </w:tc>
        <w:tc>
          <w:tcPr>
            <w:tcW w:w="3060" w:type="dxa"/>
            <w:tcBorders>
              <w:top w:val="nil"/>
              <w:left w:val="nil"/>
              <w:bottom w:val="nil"/>
              <w:right w:val="nil"/>
            </w:tcBorders>
            <w:shd w:val="clear" w:color="auto" w:fill="auto"/>
            <w:noWrap/>
            <w:vAlign w:val="bottom"/>
            <w:hideMark/>
          </w:tcPr>
          <w:p w14:paraId="76A8D905" w14:textId="77777777" w:rsidR="00370D59" w:rsidRPr="00504D7E" w:rsidRDefault="00370D59" w:rsidP="00370D59">
            <w:pPr>
              <w:rPr>
                <w:color w:val="000000"/>
                <w:sz w:val="18"/>
                <w:szCs w:val="18"/>
              </w:rPr>
            </w:pPr>
            <w:r w:rsidRPr="00504D7E">
              <w:rPr>
                <w:color w:val="000000"/>
                <w:sz w:val="18"/>
                <w:szCs w:val="18"/>
              </w:rPr>
              <w:t>Basilicata</w:t>
            </w:r>
          </w:p>
        </w:tc>
      </w:tr>
      <w:tr w:rsidR="00370D59" w:rsidRPr="00504D7E" w14:paraId="28A77E3A" w14:textId="77777777" w:rsidTr="00370D59">
        <w:trPr>
          <w:trHeight w:val="300"/>
        </w:trPr>
        <w:tc>
          <w:tcPr>
            <w:tcW w:w="960" w:type="dxa"/>
            <w:tcBorders>
              <w:top w:val="nil"/>
              <w:left w:val="nil"/>
              <w:bottom w:val="nil"/>
              <w:right w:val="nil"/>
            </w:tcBorders>
            <w:shd w:val="clear" w:color="auto" w:fill="auto"/>
            <w:noWrap/>
            <w:vAlign w:val="bottom"/>
            <w:hideMark/>
          </w:tcPr>
          <w:p w14:paraId="315129A4" w14:textId="77777777" w:rsidR="00370D59" w:rsidRPr="00504D7E" w:rsidRDefault="00370D59" w:rsidP="00370D59">
            <w:pPr>
              <w:rPr>
                <w:color w:val="000000"/>
                <w:sz w:val="18"/>
                <w:szCs w:val="18"/>
              </w:rPr>
            </w:pPr>
            <w:r w:rsidRPr="00504D7E">
              <w:rPr>
                <w:color w:val="000000"/>
                <w:sz w:val="18"/>
                <w:szCs w:val="18"/>
              </w:rPr>
              <w:t>DE11</w:t>
            </w:r>
          </w:p>
        </w:tc>
        <w:tc>
          <w:tcPr>
            <w:tcW w:w="2400" w:type="dxa"/>
            <w:tcBorders>
              <w:top w:val="nil"/>
              <w:left w:val="nil"/>
              <w:bottom w:val="nil"/>
              <w:right w:val="nil"/>
            </w:tcBorders>
            <w:shd w:val="clear" w:color="auto" w:fill="auto"/>
            <w:noWrap/>
            <w:vAlign w:val="bottom"/>
            <w:hideMark/>
          </w:tcPr>
          <w:p w14:paraId="11B73460" w14:textId="77777777" w:rsidR="00370D59" w:rsidRPr="00504D7E" w:rsidRDefault="00370D59" w:rsidP="00370D59">
            <w:pPr>
              <w:rPr>
                <w:color w:val="000000"/>
                <w:sz w:val="18"/>
                <w:szCs w:val="18"/>
              </w:rPr>
            </w:pPr>
            <w:r w:rsidRPr="00504D7E">
              <w:rPr>
                <w:color w:val="000000"/>
                <w:sz w:val="18"/>
                <w:szCs w:val="18"/>
              </w:rPr>
              <w:t>Stuttgart</w:t>
            </w:r>
          </w:p>
        </w:tc>
        <w:tc>
          <w:tcPr>
            <w:tcW w:w="340" w:type="dxa"/>
            <w:tcBorders>
              <w:top w:val="nil"/>
              <w:left w:val="nil"/>
              <w:bottom w:val="nil"/>
              <w:right w:val="nil"/>
            </w:tcBorders>
            <w:shd w:val="clear" w:color="auto" w:fill="auto"/>
            <w:noWrap/>
            <w:vAlign w:val="bottom"/>
            <w:hideMark/>
          </w:tcPr>
          <w:p w14:paraId="3C60F867"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6F2663BA" w14:textId="77777777" w:rsidR="00370D59" w:rsidRPr="00504D7E" w:rsidRDefault="00370D59" w:rsidP="00370D59">
            <w:pPr>
              <w:rPr>
                <w:color w:val="000000"/>
                <w:sz w:val="18"/>
                <w:szCs w:val="18"/>
              </w:rPr>
            </w:pPr>
            <w:r w:rsidRPr="00504D7E">
              <w:rPr>
                <w:color w:val="000000"/>
                <w:sz w:val="18"/>
                <w:szCs w:val="18"/>
              </w:rPr>
              <w:t>FR51</w:t>
            </w:r>
          </w:p>
        </w:tc>
        <w:tc>
          <w:tcPr>
            <w:tcW w:w="3780" w:type="dxa"/>
            <w:tcBorders>
              <w:top w:val="nil"/>
              <w:left w:val="nil"/>
              <w:bottom w:val="nil"/>
              <w:right w:val="nil"/>
            </w:tcBorders>
            <w:shd w:val="clear" w:color="auto" w:fill="auto"/>
            <w:noWrap/>
            <w:vAlign w:val="bottom"/>
            <w:hideMark/>
          </w:tcPr>
          <w:p w14:paraId="2ECCCE62" w14:textId="77777777" w:rsidR="00370D59" w:rsidRPr="00504D7E" w:rsidRDefault="00370D59" w:rsidP="00370D59">
            <w:pPr>
              <w:rPr>
                <w:color w:val="000000"/>
                <w:sz w:val="18"/>
                <w:szCs w:val="18"/>
              </w:rPr>
            </w:pPr>
            <w:proofErr w:type="spellStart"/>
            <w:r w:rsidRPr="00504D7E">
              <w:rPr>
                <w:color w:val="000000"/>
                <w:sz w:val="18"/>
                <w:szCs w:val="18"/>
              </w:rPr>
              <w:t>Pays</w:t>
            </w:r>
            <w:proofErr w:type="spellEnd"/>
            <w:r w:rsidRPr="00504D7E">
              <w:rPr>
                <w:color w:val="000000"/>
                <w:sz w:val="18"/>
                <w:szCs w:val="18"/>
              </w:rPr>
              <w:t xml:space="preserve"> de la </w:t>
            </w:r>
            <w:proofErr w:type="spellStart"/>
            <w:r w:rsidRPr="00504D7E">
              <w:rPr>
                <w:color w:val="000000"/>
                <w:sz w:val="18"/>
                <w:szCs w:val="18"/>
              </w:rPr>
              <w:t>Loire</w:t>
            </w:r>
            <w:proofErr w:type="spellEnd"/>
          </w:p>
        </w:tc>
        <w:tc>
          <w:tcPr>
            <w:tcW w:w="300" w:type="dxa"/>
            <w:tcBorders>
              <w:top w:val="nil"/>
              <w:left w:val="nil"/>
              <w:bottom w:val="nil"/>
              <w:right w:val="nil"/>
            </w:tcBorders>
            <w:shd w:val="clear" w:color="auto" w:fill="auto"/>
            <w:noWrap/>
            <w:vAlign w:val="bottom"/>
            <w:hideMark/>
          </w:tcPr>
          <w:p w14:paraId="02164A2A"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2C27E874" w14:textId="77777777" w:rsidR="00370D59" w:rsidRPr="00504D7E" w:rsidRDefault="00370D59" w:rsidP="00370D59">
            <w:pPr>
              <w:rPr>
                <w:color w:val="000000"/>
                <w:sz w:val="18"/>
                <w:szCs w:val="18"/>
              </w:rPr>
            </w:pPr>
            <w:r w:rsidRPr="00504D7E">
              <w:rPr>
                <w:color w:val="000000"/>
                <w:sz w:val="18"/>
                <w:szCs w:val="18"/>
              </w:rPr>
              <w:t>ITF6</w:t>
            </w:r>
          </w:p>
        </w:tc>
        <w:tc>
          <w:tcPr>
            <w:tcW w:w="3060" w:type="dxa"/>
            <w:tcBorders>
              <w:top w:val="nil"/>
              <w:left w:val="nil"/>
              <w:bottom w:val="nil"/>
              <w:right w:val="nil"/>
            </w:tcBorders>
            <w:shd w:val="clear" w:color="auto" w:fill="auto"/>
            <w:noWrap/>
            <w:vAlign w:val="bottom"/>
            <w:hideMark/>
          </w:tcPr>
          <w:p w14:paraId="120D70A7" w14:textId="77777777" w:rsidR="00370D59" w:rsidRPr="00504D7E" w:rsidRDefault="00370D59" w:rsidP="00370D59">
            <w:pPr>
              <w:rPr>
                <w:color w:val="000000"/>
                <w:sz w:val="18"/>
                <w:szCs w:val="18"/>
              </w:rPr>
            </w:pPr>
            <w:r w:rsidRPr="00504D7E">
              <w:rPr>
                <w:color w:val="000000"/>
                <w:sz w:val="18"/>
                <w:szCs w:val="18"/>
              </w:rPr>
              <w:t>Calabria</w:t>
            </w:r>
          </w:p>
        </w:tc>
      </w:tr>
      <w:tr w:rsidR="00370D59" w:rsidRPr="00504D7E" w14:paraId="67ECD0A1" w14:textId="77777777" w:rsidTr="00370D59">
        <w:trPr>
          <w:trHeight w:val="300"/>
        </w:trPr>
        <w:tc>
          <w:tcPr>
            <w:tcW w:w="960" w:type="dxa"/>
            <w:tcBorders>
              <w:top w:val="nil"/>
              <w:left w:val="nil"/>
              <w:bottom w:val="nil"/>
              <w:right w:val="nil"/>
            </w:tcBorders>
            <w:shd w:val="clear" w:color="auto" w:fill="auto"/>
            <w:noWrap/>
            <w:vAlign w:val="bottom"/>
            <w:hideMark/>
          </w:tcPr>
          <w:p w14:paraId="3CA23C74" w14:textId="77777777" w:rsidR="00370D59" w:rsidRPr="00504D7E" w:rsidRDefault="00370D59" w:rsidP="00370D59">
            <w:pPr>
              <w:rPr>
                <w:color w:val="000000"/>
                <w:sz w:val="18"/>
                <w:szCs w:val="18"/>
              </w:rPr>
            </w:pPr>
            <w:r w:rsidRPr="00504D7E">
              <w:rPr>
                <w:color w:val="000000"/>
                <w:sz w:val="18"/>
                <w:szCs w:val="18"/>
              </w:rPr>
              <w:t>DE13</w:t>
            </w:r>
          </w:p>
        </w:tc>
        <w:tc>
          <w:tcPr>
            <w:tcW w:w="2400" w:type="dxa"/>
            <w:tcBorders>
              <w:top w:val="nil"/>
              <w:left w:val="nil"/>
              <w:bottom w:val="nil"/>
              <w:right w:val="nil"/>
            </w:tcBorders>
            <w:shd w:val="clear" w:color="auto" w:fill="auto"/>
            <w:noWrap/>
            <w:vAlign w:val="bottom"/>
            <w:hideMark/>
          </w:tcPr>
          <w:p w14:paraId="36F60FA0" w14:textId="77777777" w:rsidR="00370D59" w:rsidRPr="00504D7E" w:rsidRDefault="00370D59" w:rsidP="00370D59">
            <w:pPr>
              <w:rPr>
                <w:color w:val="000000"/>
                <w:sz w:val="18"/>
                <w:szCs w:val="18"/>
              </w:rPr>
            </w:pPr>
            <w:r w:rsidRPr="00504D7E">
              <w:rPr>
                <w:color w:val="000000"/>
                <w:sz w:val="18"/>
                <w:szCs w:val="18"/>
              </w:rPr>
              <w:t>Freiburg</w:t>
            </w:r>
          </w:p>
        </w:tc>
        <w:tc>
          <w:tcPr>
            <w:tcW w:w="340" w:type="dxa"/>
            <w:tcBorders>
              <w:top w:val="nil"/>
              <w:left w:val="nil"/>
              <w:bottom w:val="nil"/>
              <w:right w:val="nil"/>
            </w:tcBorders>
            <w:shd w:val="clear" w:color="auto" w:fill="auto"/>
            <w:noWrap/>
            <w:vAlign w:val="bottom"/>
            <w:hideMark/>
          </w:tcPr>
          <w:p w14:paraId="18C22CAB"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6C3850CB" w14:textId="77777777" w:rsidR="00370D59" w:rsidRPr="00504D7E" w:rsidRDefault="00370D59" w:rsidP="00370D59">
            <w:pPr>
              <w:rPr>
                <w:color w:val="000000"/>
                <w:sz w:val="18"/>
                <w:szCs w:val="18"/>
              </w:rPr>
            </w:pPr>
            <w:r w:rsidRPr="00504D7E">
              <w:rPr>
                <w:color w:val="000000"/>
                <w:sz w:val="18"/>
                <w:szCs w:val="18"/>
              </w:rPr>
              <w:t>FR52</w:t>
            </w:r>
          </w:p>
        </w:tc>
        <w:tc>
          <w:tcPr>
            <w:tcW w:w="3780" w:type="dxa"/>
            <w:tcBorders>
              <w:top w:val="nil"/>
              <w:left w:val="nil"/>
              <w:bottom w:val="nil"/>
              <w:right w:val="nil"/>
            </w:tcBorders>
            <w:shd w:val="clear" w:color="auto" w:fill="auto"/>
            <w:noWrap/>
            <w:vAlign w:val="bottom"/>
            <w:hideMark/>
          </w:tcPr>
          <w:p w14:paraId="4780702F" w14:textId="77777777" w:rsidR="00370D59" w:rsidRPr="00504D7E" w:rsidRDefault="00370D59" w:rsidP="00370D59">
            <w:pPr>
              <w:rPr>
                <w:color w:val="000000"/>
                <w:sz w:val="18"/>
                <w:szCs w:val="18"/>
              </w:rPr>
            </w:pPr>
            <w:proofErr w:type="spellStart"/>
            <w:r w:rsidRPr="00504D7E">
              <w:rPr>
                <w:color w:val="000000"/>
                <w:sz w:val="18"/>
                <w:szCs w:val="18"/>
              </w:rPr>
              <w:t>Bretagne</w:t>
            </w:r>
            <w:proofErr w:type="spellEnd"/>
          </w:p>
        </w:tc>
        <w:tc>
          <w:tcPr>
            <w:tcW w:w="300" w:type="dxa"/>
            <w:tcBorders>
              <w:top w:val="nil"/>
              <w:left w:val="nil"/>
              <w:bottom w:val="nil"/>
              <w:right w:val="nil"/>
            </w:tcBorders>
            <w:shd w:val="clear" w:color="auto" w:fill="auto"/>
            <w:noWrap/>
            <w:vAlign w:val="bottom"/>
            <w:hideMark/>
          </w:tcPr>
          <w:p w14:paraId="255C9F68"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6D5C1492" w14:textId="77777777" w:rsidR="00370D59" w:rsidRPr="00504D7E" w:rsidRDefault="00370D59" w:rsidP="00370D59">
            <w:pPr>
              <w:rPr>
                <w:color w:val="000000"/>
                <w:sz w:val="18"/>
                <w:szCs w:val="18"/>
              </w:rPr>
            </w:pPr>
            <w:r w:rsidRPr="00504D7E">
              <w:rPr>
                <w:color w:val="000000"/>
                <w:sz w:val="18"/>
                <w:szCs w:val="18"/>
              </w:rPr>
              <w:t>ITG1</w:t>
            </w:r>
          </w:p>
        </w:tc>
        <w:tc>
          <w:tcPr>
            <w:tcW w:w="3060" w:type="dxa"/>
            <w:tcBorders>
              <w:top w:val="nil"/>
              <w:left w:val="nil"/>
              <w:bottom w:val="nil"/>
              <w:right w:val="nil"/>
            </w:tcBorders>
            <w:shd w:val="clear" w:color="auto" w:fill="auto"/>
            <w:noWrap/>
            <w:vAlign w:val="bottom"/>
            <w:hideMark/>
          </w:tcPr>
          <w:p w14:paraId="008E234C" w14:textId="77777777" w:rsidR="00370D59" w:rsidRPr="00504D7E" w:rsidRDefault="00370D59" w:rsidP="00370D59">
            <w:pPr>
              <w:rPr>
                <w:color w:val="000000"/>
                <w:sz w:val="18"/>
                <w:szCs w:val="18"/>
              </w:rPr>
            </w:pPr>
            <w:r w:rsidRPr="00504D7E">
              <w:rPr>
                <w:color w:val="000000"/>
                <w:sz w:val="18"/>
                <w:szCs w:val="18"/>
              </w:rPr>
              <w:t>Sicilia</w:t>
            </w:r>
          </w:p>
        </w:tc>
      </w:tr>
      <w:tr w:rsidR="00370D59" w:rsidRPr="00504D7E" w14:paraId="4ABFC318" w14:textId="77777777" w:rsidTr="00370D59">
        <w:trPr>
          <w:trHeight w:val="300"/>
        </w:trPr>
        <w:tc>
          <w:tcPr>
            <w:tcW w:w="960" w:type="dxa"/>
            <w:tcBorders>
              <w:top w:val="nil"/>
              <w:left w:val="nil"/>
              <w:bottom w:val="nil"/>
              <w:right w:val="nil"/>
            </w:tcBorders>
            <w:shd w:val="clear" w:color="auto" w:fill="auto"/>
            <w:noWrap/>
            <w:vAlign w:val="bottom"/>
            <w:hideMark/>
          </w:tcPr>
          <w:p w14:paraId="030CAF46" w14:textId="77777777" w:rsidR="00370D59" w:rsidRPr="00504D7E" w:rsidRDefault="00370D59" w:rsidP="00370D59">
            <w:pPr>
              <w:rPr>
                <w:color w:val="000000"/>
                <w:sz w:val="18"/>
                <w:szCs w:val="18"/>
              </w:rPr>
            </w:pPr>
            <w:r w:rsidRPr="00504D7E">
              <w:rPr>
                <w:color w:val="000000"/>
                <w:sz w:val="18"/>
                <w:szCs w:val="18"/>
              </w:rPr>
              <w:t>DE21</w:t>
            </w:r>
          </w:p>
        </w:tc>
        <w:tc>
          <w:tcPr>
            <w:tcW w:w="2400" w:type="dxa"/>
            <w:tcBorders>
              <w:top w:val="nil"/>
              <w:left w:val="nil"/>
              <w:bottom w:val="nil"/>
              <w:right w:val="nil"/>
            </w:tcBorders>
            <w:shd w:val="clear" w:color="auto" w:fill="auto"/>
            <w:noWrap/>
            <w:vAlign w:val="bottom"/>
            <w:hideMark/>
          </w:tcPr>
          <w:p w14:paraId="18ACB5E6" w14:textId="77777777" w:rsidR="00370D59" w:rsidRPr="00504D7E" w:rsidRDefault="00370D59" w:rsidP="00370D59">
            <w:pPr>
              <w:rPr>
                <w:color w:val="000000"/>
                <w:sz w:val="18"/>
                <w:szCs w:val="18"/>
              </w:rPr>
            </w:pPr>
            <w:proofErr w:type="spellStart"/>
            <w:r w:rsidRPr="00504D7E">
              <w:rPr>
                <w:color w:val="000000"/>
                <w:sz w:val="18"/>
                <w:szCs w:val="18"/>
              </w:rPr>
              <w:t>Oberbayern</w:t>
            </w:r>
            <w:proofErr w:type="spellEnd"/>
          </w:p>
        </w:tc>
        <w:tc>
          <w:tcPr>
            <w:tcW w:w="340" w:type="dxa"/>
            <w:tcBorders>
              <w:top w:val="nil"/>
              <w:left w:val="nil"/>
              <w:bottom w:val="nil"/>
              <w:right w:val="nil"/>
            </w:tcBorders>
            <w:shd w:val="clear" w:color="auto" w:fill="auto"/>
            <w:noWrap/>
            <w:vAlign w:val="bottom"/>
            <w:hideMark/>
          </w:tcPr>
          <w:p w14:paraId="34CAE524"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66C5637A" w14:textId="77777777" w:rsidR="00370D59" w:rsidRPr="00504D7E" w:rsidRDefault="00370D59" w:rsidP="00370D59">
            <w:pPr>
              <w:rPr>
                <w:color w:val="000000"/>
                <w:sz w:val="18"/>
                <w:szCs w:val="18"/>
              </w:rPr>
            </w:pPr>
            <w:r w:rsidRPr="00504D7E">
              <w:rPr>
                <w:color w:val="000000"/>
                <w:sz w:val="18"/>
                <w:szCs w:val="18"/>
              </w:rPr>
              <w:t>FR53</w:t>
            </w:r>
          </w:p>
        </w:tc>
        <w:tc>
          <w:tcPr>
            <w:tcW w:w="3780" w:type="dxa"/>
            <w:tcBorders>
              <w:top w:val="nil"/>
              <w:left w:val="nil"/>
              <w:bottom w:val="nil"/>
              <w:right w:val="nil"/>
            </w:tcBorders>
            <w:shd w:val="clear" w:color="auto" w:fill="auto"/>
            <w:noWrap/>
            <w:vAlign w:val="bottom"/>
            <w:hideMark/>
          </w:tcPr>
          <w:p w14:paraId="3D863183" w14:textId="77777777" w:rsidR="00370D59" w:rsidRPr="00504D7E" w:rsidRDefault="00370D59" w:rsidP="00370D59">
            <w:pPr>
              <w:rPr>
                <w:color w:val="000000"/>
                <w:sz w:val="18"/>
                <w:szCs w:val="18"/>
              </w:rPr>
            </w:pPr>
            <w:proofErr w:type="spellStart"/>
            <w:r w:rsidRPr="00504D7E">
              <w:rPr>
                <w:color w:val="000000"/>
                <w:sz w:val="18"/>
                <w:szCs w:val="18"/>
              </w:rPr>
              <w:t>Poitou-Charentes</w:t>
            </w:r>
            <w:proofErr w:type="spellEnd"/>
          </w:p>
        </w:tc>
        <w:tc>
          <w:tcPr>
            <w:tcW w:w="300" w:type="dxa"/>
            <w:tcBorders>
              <w:top w:val="nil"/>
              <w:left w:val="nil"/>
              <w:bottom w:val="nil"/>
              <w:right w:val="nil"/>
            </w:tcBorders>
            <w:shd w:val="clear" w:color="auto" w:fill="auto"/>
            <w:noWrap/>
            <w:vAlign w:val="bottom"/>
            <w:hideMark/>
          </w:tcPr>
          <w:p w14:paraId="60264189"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36AD0188" w14:textId="77777777" w:rsidR="00370D59" w:rsidRPr="00504D7E" w:rsidRDefault="00370D59" w:rsidP="00370D59">
            <w:pPr>
              <w:rPr>
                <w:color w:val="000000"/>
                <w:sz w:val="18"/>
                <w:szCs w:val="18"/>
              </w:rPr>
            </w:pPr>
            <w:r w:rsidRPr="00504D7E">
              <w:rPr>
                <w:color w:val="000000"/>
                <w:sz w:val="18"/>
                <w:szCs w:val="18"/>
              </w:rPr>
              <w:t>ITG2</w:t>
            </w:r>
          </w:p>
        </w:tc>
        <w:tc>
          <w:tcPr>
            <w:tcW w:w="3060" w:type="dxa"/>
            <w:tcBorders>
              <w:top w:val="nil"/>
              <w:left w:val="nil"/>
              <w:bottom w:val="nil"/>
              <w:right w:val="nil"/>
            </w:tcBorders>
            <w:shd w:val="clear" w:color="auto" w:fill="auto"/>
            <w:noWrap/>
            <w:vAlign w:val="bottom"/>
            <w:hideMark/>
          </w:tcPr>
          <w:p w14:paraId="2620934D" w14:textId="77777777" w:rsidR="00370D59" w:rsidRPr="00504D7E" w:rsidRDefault="00370D59" w:rsidP="00370D59">
            <w:pPr>
              <w:rPr>
                <w:color w:val="000000"/>
                <w:sz w:val="18"/>
                <w:szCs w:val="18"/>
              </w:rPr>
            </w:pPr>
            <w:r w:rsidRPr="00504D7E">
              <w:rPr>
                <w:color w:val="000000"/>
                <w:sz w:val="18"/>
                <w:szCs w:val="18"/>
              </w:rPr>
              <w:t>Sardegna</w:t>
            </w:r>
          </w:p>
        </w:tc>
      </w:tr>
      <w:tr w:rsidR="00370D59" w:rsidRPr="00504D7E" w14:paraId="203D6B0E" w14:textId="77777777" w:rsidTr="00370D59">
        <w:trPr>
          <w:trHeight w:val="300"/>
        </w:trPr>
        <w:tc>
          <w:tcPr>
            <w:tcW w:w="960" w:type="dxa"/>
            <w:tcBorders>
              <w:top w:val="nil"/>
              <w:left w:val="nil"/>
              <w:bottom w:val="nil"/>
              <w:right w:val="nil"/>
            </w:tcBorders>
            <w:shd w:val="clear" w:color="auto" w:fill="auto"/>
            <w:noWrap/>
            <w:vAlign w:val="bottom"/>
            <w:hideMark/>
          </w:tcPr>
          <w:p w14:paraId="39AC4C8E" w14:textId="77777777" w:rsidR="00370D59" w:rsidRPr="00504D7E" w:rsidRDefault="00370D59" w:rsidP="00370D59">
            <w:pPr>
              <w:rPr>
                <w:color w:val="000000"/>
                <w:sz w:val="18"/>
                <w:szCs w:val="18"/>
              </w:rPr>
            </w:pPr>
            <w:r w:rsidRPr="00504D7E">
              <w:rPr>
                <w:color w:val="000000"/>
                <w:sz w:val="18"/>
                <w:szCs w:val="18"/>
              </w:rPr>
              <w:t>DE30</w:t>
            </w:r>
          </w:p>
        </w:tc>
        <w:tc>
          <w:tcPr>
            <w:tcW w:w="2400" w:type="dxa"/>
            <w:tcBorders>
              <w:top w:val="nil"/>
              <w:left w:val="nil"/>
              <w:bottom w:val="nil"/>
              <w:right w:val="nil"/>
            </w:tcBorders>
            <w:shd w:val="clear" w:color="auto" w:fill="auto"/>
            <w:noWrap/>
            <w:vAlign w:val="bottom"/>
            <w:hideMark/>
          </w:tcPr>
          <w:p w14:paraId="2201BF73" w14:textId="77777777" w:rsidR="00370D59" w:rsidRPr="00504D7E" w:rsidRDefault="00370D59" w:rsidP="00370D59">
            <w:pPr>
              <w:rPr>
                <w:color w:val="000000"/>
                <w:sz w:val="18"/>
                <w:szCs w:val="18"/>
              </w:rPr>
            </w:pPr>
            <w:proofErr w:type="spellStart"/>
            <w:r w:rsidRPr="00504D7E">
              <w:rPr>
                <w:color w:val="000000"/>
                <w:sz w:val="18"/>
                <w:szCs w:val="18"/>
              </w:rPr>
              <w:t>Berlin</w:t>
            </w:r>
            <w:proofErr w:type="spellEnd"/>
          </w:p>
        </w:tc>
        <w:tc>
          <w:tcPr>
            <w:tcW w:w="340" w:type="dxa"/>
            <w:tcBorders>
              <w:top w:val="nil"/>
              <w:left w:val="nil"/>
              <w:bottom w:val="nil"/>
              <w:right w:val="nil"/>
            </w:tcBorders>
            <w:shd w:val="clear" w:color="auto" w:fill="auto"/>
            <w:noWrap/>
            <w:vAlign w:val="bottom"/>
            <w:hideMark/>
          </w:tcPr>
          <w:p w14:paraId="381A6CC7"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68CBEB80" w14:textId="77777777" w:rsidR="00370D59" w:rsidRPr="00504D7E" w:rsidRDefault="00370D59" w:rsidP="00370D59">
            <w:pPr>
              <w:rPr>
                <w:color w:val="000000"/>
                <w:sz w:val="18"/>
                <w:szCs w:val="18"/>
              </w:rPr>
            </w:pPr>
            <w:r w:rsidRPr="00504D7E">
              <w:rPr>
                <w:color w:val="000000"/>
                <w:sz w:val="18"/>
                <w:szCs w:val="18"/>
              </w:rPr>
              <w:t>FR61</w:t>
            </w:r>
          </w:p>
        </w:tc>
        <w:tc>
          <w:tcPr>
            <w:tcW w:w="3780" w:type="dxa"/>
            <w:tcBorders>
              <w:top w:val="nil"/>
              <w:left w:val="nil"/>
              <w:bottom w:val="nil"/>
              <w:right w:val="nil"/>
            </w:tcBorders>
            <w:shd w:val="clear" w:color="auto" w:fill="auto"/>
            <w:noWrap/>
            <w:vAlign w:val="bottom"/>
            <w:hideMark/>
          </w:tcPr>
          <w:p w14:paraId="72168C33" w14:textId="77777777" w:rsidR="00370D59" w:rsidRPr="00504D7E" w:rsidRDefault="00370D59" w:rsidP="00370D59">
            <w:pPr>
              <w:rPr>
                <w:color w:val="000000"/>
                <w:sz w:val="18"/>
                <w:szCs w:val="18"/>
              </w:rPr>
            </w:pPr>
            <w:r w:rsidRPr="00504D7E">
              <w:rPr>
                <w:color w:val="000000"/>
                <w:sz w:val="18"/>
                <w:szCs w:val="18"/>
              </w:rPr>
              <w:t>Aquitaine</w:t>
            </w:r>
          </w:p>
        </w:tc>
        <w:tc>
          <w:tcPr>
            <w:tcW w:w="300" w:type="dxa"/>
            <w:tcBorders>
              <w:top w:val="nil"/>
              <w:left w:val="nil"/>
              <w:bottom w:val="nil"/>
              <w:right w:val="nil"/>
            </w:tcBorders>
            <w:shd w:val="clear" w:color="auto" w:fill="auto"/>
            <w:noWrap/>
            <w:vAlign w:val="bottom"/>
            <w:hideMark/>
          </w:tcPr>
          <w:p w14:paraId="660D86A6"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2FF36D8A" w14:textId="77777777" w:rsidR="00370D59" w:rsidRPr="00504D7E" w:rsidRDefault="00370D59" w:rsidP="00370D59">
            <w:pPr>
              <w:rPr>
                <w:color w:val="000000"/>
                <w:sz w:val="18"/>
                <w:szCs w:val="18"/>
              </w:rPr>
            </w:pPr>
            <w:r w:rsidRPr="00504D7E">
              <w:rPr>
                <w:color w:val="000000"/>
                <w:sz w:val="18"/>
                <w:szCs w:val="18"/>
              </w:rPr>
              <w:t>HU10</w:t>
            </w:r>
          </w:p>
        </w:tc>
        <w:tc>
          <w:tcPr>
            <w:tcW w:w="3060" w:type="dxa"/>
            <w:tcBorders>
              <w:top w:val="nil"/>
              <w:left w:val="nil"/>
              <w:bottom w:val="nil"/>
              <w:right w:val="nil"/>
            </w:tcBorders>
            <w:shd w:val="clear" w:color="auto" w:fill="auto"/>
            <w:noWrap/>
            <w:vAlign w:val="bottom"/>
            <w:hideMark/>
          </w:tcPr>
          <w:p w14:paraId="28BE1BCE" w14:textId="77777777" w:rsidR="00370D59" w:rsidRPr="00504D7E" w:rsidRDefault="00370D59" w:rsidP="00370D59">
            <w:pPr>
              <w:rPr>
                <w:color w:val="000000"/>
                <w:sz w:val="18"/>
                <w:szCs w:val="18"/>
              </w:rPr>
            </w:pPr>
            <w:proofErr w:type="spellStart"/>
            <w:r w:rsidRPr="00504D7E">
              <w:rPr>
                <w:color w:val="000000"/>
                <w:sz w:val="18"/>
                <w:szCs w:val="18"/>
              </w:rPr>
              <w:t>Közép-Magyarország</w:t>
            </w:r>
            <w:proofErr w:type="spellEnd"/>
          </w:p>
        </w:tc>
      </w:tr>
      <w:tr w:rsidR="00370D59" w:rsidRPr="00504D7E" w14:paraId="090105B2" w14:textId="77777777" w:rsidTr="00370D59">
        <w:trPr>
          <w:trHeight w:val="300"/>
        </w:trPr>
        <w:tc>
          <w:tcPr>
            <w:tcW w:w="960" w:type="dxa"/>
            <w:tcBorders>
              <w:top w:val="nil"/>
              <w:left w:val="nil"/>
              <w:bottom w:val="nil"/>
              <w:right w:val="nil"/>
            </w:tcBorders>
            <w:shd w:val="clear" w:color="auto" w:fill="auto"/>
            <w:noWrap/>
            <w:vAlign w:val="bottom"/>
            <w:hideMark/>
          </w:tcPr>
          <w:p w14:paraId="6F40BAEB" w14:textId="77777777" w:rsidR="00370D59" w:rsidRPr="00504D7E" w:rsidRDefault="00370D59" w:rsidP="00370D59">
            <w:pPr>
              <w:rPr>
                <w:color w:val="000000"/>
                <w:sz w:val="18"/>
                <w:szCs w:val="18"/>
              </w:rPr>
            </w:pPr>
            <w:r w:rsidRPr="00504D7E">
              <w:rPr>
                <w:color w:val="000000"/>
                <w:sz w:val="18"/>
                <w:szCs w:val="18"/>
              </w:rPr>
              <w:t>DEA1</w:t>
            </w:r>
          </w:p>
        </w:tc>
        <w:tc>
          <w:tcPr>
            <w:tcW w:w="2400" w:type="dxa"/>
            <w:tcBorders>
              <w:top w:val="nil"/>
              <w:left w:val="nil"/>
              <w:bottom w:val="nil"/>
              <w:right w:val="nil"/>
            </w:tcBorders>
            <w:shd w:val="clear" w:color="auto" w:fill="auto"/>
            <w:noWrap/>
            <w:vAlign w:val="bottom"/>
            <w:hideMark/>
          </w:tcPr>
          <w:p w14:paraId="214FCA7A" w14:textId="77777777" w:rsidR="00370D59" w:rsidRPr="00504D7E" w:rsidRDefault="00370D59" w:rsidP="00370D59">
            <w:pPr>
              <w:rPr>
                <w:color w:val="000000"/>
                <w:sz w:val="18"/>
                <w:szCs w:val="18"/>
              </w:rPr>
            </w:pPr>
            <w:r w:rsidRPr="00504D7E">
              <w:rPr>
                <w:color w:val="000000"/>
                <w:sz w:val="18"/>
                <w:szCs w:val="18"/>
              </w:rPr>
              <w:t>Düsseldorf</w:t>
            </w:r>
          </w:p>
        </w:tc>
        <w:tc>
          <w:tcPr>
            <w:tcW w:w="340" w:type="dxa"/>
            <w:tcBorders>
              <w:top w:val="nil"/>
              <w:left w:val="nil"/>
              <w:bottom w:val="nil"/>
              <w:right w:val="nil"/>
            </w:tcBorders>
            <w:shd w:val="clear" w:color="auto" w:fill="auto"/>
            <w:noWrap/>
            <w:vAlign w:val="bottom"/>
            <w:hideMark/>
          </w:tcPr>
          <w:p w14:paraId="0D175C9A"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54482ED9" w14:textId="77777777" w:rsidR="00370D59" w:rsidRPr="00504D7E" w:rsidRDefault="00370D59" w:rsidP="00370D59">
            <w:pPr>
              <w:rPr>
                <w:color w:val="000000"/>
                <w:sz w:val="18"/>
                <w:szCs w:val="18"/>
              </w:rPr>
            </w:pPr>
            <w:r w:rsidRPr="00504D7E">
              <w:rPr>
                <w:color w:val="000000"/>
                <w:sz w:val="18"/>
                <w:szCs w:val="18"/>
              </w:rPr>
              <w:t>FR62</w:t>
            </w:r>
          </w:p>
        </w:tc>
        <w:tc>
          <w:tcPr>
            <w:tcW w:w="3780" w:type="dxa"/>
            <w:tcBorders>
              <w:top w:val="nil"/>
              <w:left w:val="nil"/>
              <w:bottom w:val="nil"/>
              <w:right w:val="nil"/>
            </w:tcBorders>
            <w:shd w:val="clear" w:color="auto" w:fill="auto"/>
            <w:noWrap/>
            <w:vAlign w:val="bottom"/>
            <w:hideMark/>
          </w:tcPr>
          <w:p w14:paraId="703A2FCB" w14:textId="77777777" w:rsidR="00370D59" w:rsidRPr="00504D7E" w:rsidRDefault="00370D59" w:rsidP="00370D59">
            <w:pPr>
              <w:rPr>
                <w:color w:val="000000"/>
                <w:sz w:val="18"/>
                <w:szCs w:val="18"/>
              </w:rPr>
            </w:pPr>
            <w:r w:rsidRPr="00504D7E">
              <w:rPr>
                <w:color w:val="000000"/>
                <w:sz w:val="18"/>
                <w:szCs w:val="18"/>
              </w:rPr>
              <w:t>Midi-</w:t>
            </w:r>
            <w:proofErr w:type="spellStart"/>
            <w:r w:rsidRPr="00504D7E">
              <w:rPr>
                <w:color w:val="000000"/>
                <w:sz w:val="18"/>
                <w:szCs w:val="18"/>
              </w:rPr>
              <w:t>Pyrénées</w:t>
            </w:r>
            <w:proofErr w:type="spellEnd"/>
          </w:p>
        </w:tc>
        <w:tc>
          <w:tcPr>
            <w:tcW w:w="300" w:type="dxa"/>
            <w:tcBorders>
              <w:top w:val="nil"/>
              <w:left w:val="nil"/>
              <w:bottom w:val="nil"/>
              <w:right w:val="nil"/>
            </w:tcBorders>
            <w:shd w:val="clear" w:color="auto" w:fill="auto"/>
            <w:noWrap/>
            <w:vAlign w:val="bottom"/>
            <w:hideMark/>
          </w:tcPr>
          <w:p w14:paraId="03486D58"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0C978058" w14:textId="77777777" w:rsidR="00370D59" w:rsidRPr="00504D7E" w:rsidRDefault="00370D59" w:rsidP="00370D59">
            <w:pPr>
              <w:rPr>
                <w:color w:val="000000"/>
                <w:sz w:val="18"/>
                <w:szCs w:val="18"/>
              </w:rPr>
            </w:pPr>
            <w:r w:rsidRPr="00504D7E">
              <w:rPr>
                <w:color w:val="000000"/>
                <w:sz w:val="18"/>
                <w:szCs w:val="18"/>
              </w:rPr>
              <w:t>HU21</w:t>
            </w:r>
          </w:p>
        </w:tc>
        <w:tc>
          <w:tcPr>
            <w:tcW w:w="3060" w:type="dxa"/>
            <w:tcBorders>
              <w:top w:val="nil"/>
              <w:left w:val="nil"/>
              <w:bottom w:val="nil"/>
              <w:right w:val="nil"/>
            </w:tcBorders>
            <w:shd w:val="clear" w:color="auto" w:fill="auto"/>
            <w:noWrap/>
            <w:vAlign w:val="bottom"/>
            <w:hideMark/>
          </w:tcPr>
          <w:p w14:paraId="2B236C5D" w14:textId="77777777" w:rsidR="00370D59" w:rsidRPr="00504D7E" w:rsidRDefault="00370D59" w:rsidP="00370D59">
            <w:pPr>
              <w:rPr>
                <w:color w:val="000000"/>
                <w:sz w:val="18"/>
                <w:szCs w:val="18"/>
              </w:rPr>
            </w:pPr>
            <w:proofErr w:type="spellStart"/>
            <w:r w:rsidRPr="00504D7E">
              <w:rPr>
                <w:color w:val="000000"/>
                <w:sz w:val="18"/>
                <w:szCs w:val="18"/>
              </w:rPr>
              <w:t>Közép-Dunántúl</w:t>
            </w:r>
            <w:proofErr w:type="spellEnd"/>
          </w:p>
        </w:tc>
      </w:tr>
      <w:tr w:rsidR="00370D59" w:rsidRPr="00504D7E" w14:paraId="7310C1DB" w14:textId="77777777" w:rsidTr="00370D59">
        <w:trPr>
          <w:trHeight w:val="300"/>
        </w:trPr>
        <w:tc>
          <w:tcPr>
            <w:tcW w:w="960" w:type="dxa"/>
            <w:tcBorders>
              <w:top w:val="nil"/>
              <w:left w:val="nil"/>
              <w:bottom w:val="nil"/>
              <w:right w:val="nil"/>
            </w:tcBorders>
            <w:shd w:val="clear" w:color="auto" w:fill="auto"/>
            <w:noWrap/>
            <w:vAlign w:val="bottom"/>
            <w:hideMark/>
          </w:tcPr>
          <w:p w14:paraId="074420B2" w14:textId="77777777" w:rsidR="00370D59" w:rsidRPr="00504D7E" w:rsidRDefault="00370D59" w:rsidP="00370D59">
            <w:pPr>
              <w:rPr>
                <w:color w:val="000000"/>
                <w:sz w:val="18"/>
                <w:szCs w:val="18"/>
              </w:rPr>
            </w:pPr>
            <w:r w:rsidRPr="00504D7E">
              <w:rPr>
                <w:color w:val="000000"/>
                <w:sz w:val="18"/>
                <w:szCs w:val="18"/>
              </w:rPr>
              <w:t>DEA2</w:t>
            </w:r>
          </w:p>
        </w:tc>
        <w:tc>
          <w:tcPr>
            <w:tcW w:w="2400" w:type="dxa"/>
            <w:tcBorders>
              <w:top w:val="nil"/>
              <w:left w:val="nil"/>
              <w:bottom w:val="nil"/>
              <w:right w:val="nil"/>
            </w:tcBorders>
            <w:shd w:val="clear" w:color="auto" w:fill="auto"/>
            <w:noWrap/>
            <w:vAlign w:val="bottom"/>
            <w:hideMark/>
          </w:tcPr>
          <w:p w14:paraId="5BA71023" w14:textId="77777777" w:rsidR="00370D59" w:rsidRPr="00504D7E" w:rsidRDefault="00370D59" w:rsidP="00370D59">
            <w:pPr>
              <w:rPr>
                <w:color w:val="000000"/>
                <w:sz w:val="18"/>
                <w:szCs w:val="18"/>
              </w:rPr>
            </w:pPr>
            <w:proofErr w:type="spellStart"/>
            <w:r w:rsidRPr="00504D7E">
              <w:rPr>
                <w:color w:val="000000"/>
                <w:sz w:val="18"/>
                <w:szCs w:val="18"/>
              </w:rPr>
              <w:t>Köln</w:t>
            </w:r>
            <w:proofErr w:type="spellEnd"/>
          </w:p>
        </w:tc>
        <w:tc>
          <w:tcPr>
            <w:tcW w:w="340" w:type="dxa"/>
            <w:tcBorders>
              <w:top w:val="nil"/>
              <w:left w:val="nil"/>
              <w:bottom w:val="nil"/>
              <w:right w:val="nil"/>
            </w:tcBorders>
            <w:shd w:val="clear" w:color="auto" w:fill="auto"/>
            <w:noWrap/>
            <w:vAlign w:val="bottom"/>
            <w:hideMark/>
          </w:tcPr>
          <w:p w14:paraId="3322EB24"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5DA38CC2" w14:textId="77777777" w:rsidR="00370D59" w:rsidRPr="00504D7E" w:rsidRDefault="00370D59" w:rsidP="00370D59">
            <w:pPr>
              <w:rPr>
                <w:color w:val="000000"/>
                <w:sz w:val="18"/>
                <w:szCs w:val="18"/>
              </w:rPr>
            </w:pPr>
            <w:r w:rsidRPr="00504D7E">
              <w:rPr>
                <w:color w:val="000000"/>
                <w:sz w:val="18"/>
                <w:szCs w:val="18"/>
              </w:rPr>
              <w:t>FR63</w:t>
            </w:r>
          </w:p>
        </w:tc>
        <w:tc>
          <w:tcPr>
            <w:tcW w:w="3780" w:type="dxa"/>
            <w:tcBorders>
              <w:top w:val="nil"/>
              <w:left w:val="nil"/>
              <w:bottom w:val="nil"/>
              <w:right w:val="nil"/>
            </w:tcBorders>
            <w:shd w:val="clear" w:color="auto" w:fill="auto"/>
            <w:noWrap/>
            <w:vAlign w:val="bottom"/>
            <w:hideMark/>
          </w:tcPr>
          <w:p w14:paraId="665BCFA8" w14:textId="77777777" w:rsidR="00370D59" w:rsidRPr="00504D7E" w:rsidRDefault="00370D59" w:rsidP="00370D59">
            <w:pPr>
              <w:rPr>
                <w:color w:val="000000"/>
                <w:sz w:val="18"/>
                <w:szCs w:val="18"/>
              </w:rPr>
            </w:pPr>
            <w:proofErr w:type="spellStart"/>
            <w:r w:rsidRPr="00504D7E">
              <w:rPr>
                <w:color w:val="000000"/>
                <w:sz w:val="18"/>
                <w:szCs w:val="18"/>
              </w:rPr>
              <w:t>Limousin</w:t>
            </w:r>
            <w:proofErr w:type="spellEnd"/>
          </w:p>
        </w:tc>
        <w:tc>
          <w:tcPr>
            <w:tcW w:w="300" w:type="dxa"/>
            <w:tcBorders>
              <w:top w:val="nil"/>
              <w:left w:val="nil"/>
              <w:bottom w:val="nil"/>
              <w:right w:val="nil"/>
            </w:tcBorders>
            <w:shd w:val="clear" w:color="auto" w:fill="auto"/>
            <w:noWrap/>
            <w:vAlign w:val="bottom"/>
            <w:hideMark/>
          </w:tcPr>
          <w:p w14:paraId="6B3A506C"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372C2AC2" w14:textId="77777777" w:rsidR="00370D59" w:rsidRPr="00504D7E" w:rsidRDefault="00370D59" w:rsidP="00370D59">
            <w:pPr>
              <w:rPr>
                <w:color w:val="000000"/>
                <w:sz w:val="18"/>
                <w:szCs w:val="18"/>
              </w:rPr>
            </w:pPr>
            <w:r w:rsidRPr="00504D7E">
              <w:rPr>
                <w:color w:val="000000"/>
                <w:sz w:val="18"/>
                <w:szCs w:val="18"/>
              </w:rPr>
              <w:t>HU22</w:t>
            </w:r>
          </w:p>
        </w:tc>
        <w:tc>
          <w:tcPr>
            <w:tcW w:w="3060" w:type="dxa"/>
            <w:tcBorders>
              <w:top w:val="nil"/>
              <w:left w:val="nil"/>
              <w:bottom w:val="nil"/>
              <w:right w:val="nil"/>
            </w:tcBorders>
            <w:shd w:val="clear" w:color="auto" w:fill="auto"/>
            <w:noWrap/>
            <w:vAlign w:val="bottom"/>
            <w:hideMark/>
          </w:tcPr>
          <w:p w14:paraId="34712121" w14:textId="77777777" w:rsidR="00370D59" w:rsidRPr="00504D7E" w:rsidRDefault="00370D59" w:rsidP="00370D59">
            <w:pPr>
              <w:rPr>
                <w:color w:val="000000"/>
                <w:sz w:val="18"/>
                <w:szCs w:val="18"/>
              </w:rPr>
            </w:pPr>
            <w:proofErr w:type="spellStart"/>
            <w:r w:rsidRPr="00504D7E">
              <w:rPr>
                <w:color w:val="000000"/>
                <w:sz w:val="18"/>
                <w:szCs w:val="18"/>
              </w:rPr>
              <w:t>Nyugat-Dunántúl</w:t>
            </w:r>
            <w:proofErr w:type="spellEnd"/>
          </w:p>
        </w:tc>
      </w:tr>
      <w:tr w:rsidR="00370D59" w:rsidRPr="00504D7E" w14:paraId="13818046" w14:textId="77777777" w:rsidTr="00370D59">
        <w:trPr>
          <w:trHeight w:val="300"/>
        </w:trPr>
        <w:tc>
          <w:tcPr>
            <w:tcW w:w="960" w:type="dxa"/>
            <w:tcBorders>
              <w:top w:val="nil"/>
              <w:left w:val="nil"/>
              <w:bottom w:val="nil"/>
              <w:right w:val="nil"/>
            </w:tcBorders>
            <w:shd w:val="clear" w:color="auto" w:fill="auto"/>
            <w:noWrap/>
            <w:vAlign w:val="bottom"/>
            <w:hideMark/>
          </w:tcPr>
          <w:p w14:paraId="64E9EAB6" w14:textId="77777777" w:rsidR="00370D59" w:rsidRPr="00504D7E" w:rsidRDefault="00370D59" w:rsidP="00370D59">
            <w:pPr>
              <w:rPr>
                <w:color w:val="000000"/>
                <w:sz w:val="18"/>
                <w:szCs w:val="18"/>
              </w:rPr>
            </w:pPr>
            <w:r w:rsidRPr="00504D7E">
              <w:rPr>
                <w:color w:val="000000"/>
                <w:sz w:val="18"/>
                <w:szCs w:val="18"/>
              </w:rPr>
              <w:t>DEA5</w:t>
            </w:r>
          </w:p>
        </w:tc>
        <w:tc>
          <w:tcPr>
            <w:tcW w:w="2400" w:type="dxa"/>
            <w:tcBorders>
              <w:top w:val="nil"/>
              <w:left w:val="nil"/>
              <w:bottom w:val="nil"/>
              <w:right w:val="nil"/>
            </w:tcBorders>
            <w:shd w:val="clear" w:color="auto" w:fill="auto"/>
            <w:noWrap/>
            <w:vAlign w:val="bottom"/>
            <w:hideMark/>
          </w:tcPr>
          <w:p w14:paraId="7CDE4791" w14:textId="77777777" w:rsidR="00370D59" w:rsidRPr="00504D7E" w:rsidRDefault="00370D59" w:rsidP="00370D59">
            <w:pPr>
              <w:rPr>
                <w:color w:val="000000"/>
                <w:sz w:val="18"/>
                <w:szCs w:val="18"/>
              </w:rPr>
            </w:pPr>
            <w:proofErr w:type="spellStart"/>
            <w:r w:rsidRPr="00504D7E">
              <w:rPr>
                <w:color w:val="000000"/>
                <w:sz w:val="18"/>
                <w:szCs w:val="18"/>
              </w:rPr>
              <w:t>Arnsberg</w:t>
            </w:r>
            <w:proofErr w:type="spellEnd"/>
          </w:p>
        </w:tc>
        <w:tc>
          <w:tcPr>
            <w:tcW w:w="340" w:type="dxa"/>
            <w:tcBorders>
              <w:top w:val="nil"/>
              <w:left w:val="nil"/>
              <w:bottom w:val="nil"/>
              <w:right w:val="nil"/>
            </w:tcBorders>
            <w:shd w:val="clear" w:color="auto" w:fill="auto"/>
            <w:noWrap/>
            <w:vAlign w:val="bottom"/>
            <w:hideMark/>
          </w:tcPr>
          <w:p w14:paraId="766C84C0"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3C2DBC5A" w14:textId="77777777" w:rsidR="00370D59" w:rsidRPr="00504D7E" w:rsidRDefault="00370D59" w:rsidP="00370D59">
            <w:pPr>
              <w:rPr>
                <w:color w:val="000000"/>
                <w:sz w:val="18"/>
                <w:szCs w:val="18"/>
              </w:rPr>
            </w:pPr>
            <w:r w:rsidRPr="00504D7E">
              <w:rPr>
                <w:color w:val="000000"/>
                <w:sz w:val="18"/>
                <w:szCs w:val="18"/>
              </w:rPr>
              <w:t>FR71</w:t>
            </w:r>
          </w:p>
        </w:tc>
        <w:tc>
          <w:tcPr>
            <w:tcW w:w="3780" w:type="dxa"/>
            <w:tcBorders>
              <w:top w:val="nil"/>
              <w:left w:val="nil"/>
              <w:bottom w:val="nil"/>
              <w:right w:val="nil"/>
            </w:tcBorders>
            <w:shd w:val="clear" w:color="auto" w:fill="auto"/>
            <w:noWrap/>
            <w:vAlign w:val="bottom"/>
            <w:hideMark/>
          </w:tcPr>
          <w:p w14:paraId="419F9340" w14:textId="77777777" w:rsidR="00370D59" w:rsidRPr="00504D7E" w:rsidRDefault="00370D59" w:rsidP="00370D59">
            <w:pPr>
              <w:rPr>
                <w:color w:val="000000"/>
                <w:sz w:val="18"/>
                <w:szCs w:val="18"/>
              </w:rPr>
            </w:pPr>
            <w:proofErr w:type="spellStart"/>
            <w:r w:rsidRPr="00504D7E">
              <w:rPr>
                <w:color w:val="000000"/>
                <w:sz w:val="18"/>
                <w:szCs w:val="18"/>
              </w:rPr>
              <w:t>Rhône</w:t>
            </w:r>
            <w:proofErr w:type="spellEnd"/>
            <w:r w:rsidRPr="00504D7E">
              <w:rPr>
                <w:color w:val="000000"/>
                <w:sz w:val="18"/>
                <w:szCs w:val="18"/>
              </w:rPr>
              <w:t>-Alpes</w:t>
            </w:r>
          </w:p>
        </w:tc>
        <w:tc>
          <w:tcPr>
            <w:tcW w:w="300" w:type="dxa"/>
            <w:tcBorders>
              <w:top w:val="nil"/>
              <w:left w:val="nil"/>
              <w:bottom w:val="nil"/>
              <w:right w:val="nil"/>
            </w:tcBorders>
            <w:shd w:val="clear" w:color="auto" w:fill="auto"/>
            <w:noWrap/>
            <w:vAlign w:val="bottom"/>
            <w:hideMark/>
          </w:tcPr>
          <w:p w14:paraId="21E0CDD3"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4844EDBF" w14:textId="77777777" w:rsidR="00370D59" w:rsidRPr="00504D7E" w:rsidRDefault="00370D59" w:rsidP="00370D59">
            <w:pPr>
              <w:rPr>
                <w:color w:val="000000"/>
                <w:sz w:val="18"/>
                <w:szCs w:val="18"/>
              </w:rPr>
            </w:pPr>
            <w:r w:rsidRPr="00504D7E">
              <w:rPr>
                <w:color w:val="000000"/>
                <w:sz w:val="18"/>
                <w:szCs w:val="18"/>
              </w:rPr>
              <w:t>HU23</w:t>
            </w:r>
          </w:p>
        </w:tc>
        <w:tc>
          <w:tcPr>
            <w:tcW w:w="3060" w:type="dxa"/>
            <w:tcBorders>
              <w:top w:val="nil"/>
              <w:left w:val="nil"/>
              <w:bottom w:val="nil"/>
              <w:right w:val="nil"/>
            </w:tcBorders>
            <w:shd w:val="clear" w:color="auto" w:fill="auto"/>
            <w:noWrap/>
            <w:vAlign w:val="bottom"/>
            <w:hideMark/>
          </w:tcPr>
          <w:p w14:paraId="176186EA" w14:textId="77777777" w:rsidR="00370D59" w:rsidRPr="00504D7E" w:rsidRDefault="00370D59" w:rsidP="00370D59">
            <w:pPr>
              <w:rPr>
                <w:color w:val="000000"/>
                <w:sz w:val="18"/>
                <w:szCs w:val="18"/>
              </w:rPr>
            </w:pPr>
            <w:proofErr w:type="spellStart"/>
            <w:r w:rsidRPr="00504D7E">
              <w:rPr>
                <w:color w:val="000000"/>
                <w:sz w:val="18"/>
                <w:szCs w:val="18"/>
              </w:rPr>
              <w:t>Dél-Dunántúl</w:t>
            </w:r>
            <w:proofErr w:type="spellEnd"/>
          </w:p>
        </w:tc>
      </w:tr>
      <w:tr w:rsidR="00370D59" w:rsidRPr="00504D7E" w14:paraId="3A9BE9B4" w14:textId="77777777" w:rsidTr="00370D59">
        <w:trPr>
          <w:trHeight w:val="300"/>
        </w:trPr>
        <w:tc>
          <w:tcPr>
            <w:tcW w:w="960" w:type="dxa"/>
            <w:tcBorders>
              <w:top w:val="nil"/>
              <w:left w:val="nil"/>
              <w:bottom w:val="nil"/>
              <w:right w:val="nil"/>
            </w:tcBorders>
            <w:shd w:val="clear" w:color="auto" w:fill="auto"/>
            <w:noWrap/>
            <w:vAlign w:val="bottom"/>
            <w:hideMark/>
          </w:tcPr>
          <w:p w14:paraId="6A22B8EC" w14:textId="77777777" w:rsidR="00370D59" w:rsidRPr="00504D7E" w:rsidRDefault="00370D59" w:rsidP="00370D59">
            <w:pPr>
              <w:rPr>
                <w:color w:val="000000"/>
                <w:sz w:val="18"/>
                <w:szCs w:val="18"/>
              </w:rPr>
            </w:pPr>
            <w:r w:rsidRPr="00504D7E">
              <w:rPr>
                <w:color w:val="000000"/>
                <w:sz w:val="18"/>
                <w:szCs w:val="18"/>
              </w:rPr>
              <w:t>DED1</w:t>
            </w:r>
          </w:p>
        </w:tc>
        <w:tc>
          <w:tcPr>
            <w:tcW w:w="2400" w:type="dxa"/>
            <w:tcBorders>
              <w:top w:val="nil"/>
              <w:left w:val="nil"/>
              <w:bottom w:val="nil"/>
              <w:right w:val="nil"/>
            </w:tcBorders>
            <w:shd w:val="clear" w:color="auto" w:fill="auto"/>
            <w:noWrap/>
            <w:vAlign w:val="bottom"/>
            <w:hideMark/>
          </w:tcPr>
          <w:p w14:paraId="511D181D" w14:textId="77777777" w:rsidR="00370D59" w:rsidRPr="00504D7E" w:rsidRDefault="00370D59" w:rsidP="00370D59">
            <w:pPr>
              <w:rPr>
                <w:color w:val="000000"/>
                <w:sz w:val="18"/>
                <w:szCs w:val="18"/>
              </w:rPr>
            </w:pPr>
            <w:r w:rsidRPr="00504D7E">
              <w:rPr>
                <w:color w:val="000000"/>
                <w:sz w:val="18"/>
                <w:szCs w:val="18"/>
              </w:rPr>
              <w:t>Chemnitz (NUTS 2006)</w:t>
            </w:r>
          </w:p>
        </w:tc>
        <w:tc>
          <w:tcPr>
            <w:tcW w:w="340" w:type="dxa"/>
            <w:tcBorders>
              <w:top w:val="nil"/>
              <w:left w:val="nil"/>
              <w:bottom w:val="nil"/>
              <w:right w:val="nil"/>
            </w:tcBorders>
            <w:shd w:val="clear" w:color="auto" w:fill="auto"/>
            <w:noWrap/>
            <w:vAlign w:val="bottom"/>
            <w:hideMark/>
          </w:tcPr>
          <w:p w14:paraId="6432FD54"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132D75D5" w14:textId="77777777" w:rsidR="00370D59" w:rsidRPr="00504D7E" w:rsidRDefault="00370D59" w:rsidP="00370D59">
            <w:pPr>
              <w:rPr>
                <w:color w:val="000000"/>
                <w:sz w:val="18"/>
                <w:szCs w:val="18"/>
              </w:rPr>
            </w:pPr>
            <w:r w:rsidRPr="00504D7E">
              <w:rPr>
                <w:color w:val="000000"/>
                <w:sz w:val="18"/>
                <w:szCs w:val="18"/>
              </w:rPr>
              <w:t>FR72</w:t>
            </w:r>
          </w:p>
        </w:tc>
        <w:tc>
          <w:tcPr>
            <w:tcW w:w="3780" w:type="dxa"/>
            <w:tcBorders>
              <w:top w:val="nil"/>
              <w:left w:val="nil"/>
              <w:bottom w:val="nil"/>
              <w:right w:val="nil"/>
            </w:tcBorders>
            <w:shd w:val="clear" w:color="auto" w:fill="auto"/>
            <w:noWrap/>
            <w:vAlign w:val="bottom"/>
            <w:hideMark/>
          </w:tcPr>
          <w:p w14:paraId="520E1896" w14:textId="77777777" w:rsidR="00370D59" w:rsidRPr="00504D7E" w:rsidRDefault="00370D59" w:rsidP="00370D59">
            <w:pPr>
              <w:rPr>
                <w:color w:val="000000"/>
                <w:sz w:val="18"/>
                <w:szCs w:val="18"/>
              </w:rPr>
            </w:pPr>
            <w:proofErr w:type="spellStart"/>
            <w:r w:rsidRPr="00504D7E">
              <w:rPr>
                <w:color w:val="000000"/>
                <w:sz w:val="18"/>
                <w:szCs w:val="18"/>
              </w:rPr>
              <w:t>Auvergne</w:t>
            </w:r>
            <w:proofErr w:type="spellEnd"/>
          </w:p>
        </w:tc>
        <w:tc>
          <w:tcPr>
            <w:tcW w:w="300" w:type="dxa"/>
            <w:tcBorders>
              <w:top w:val="nil"/>
              <w:left w:val="nil"/>
              <w:bottom w:val="nil"/>
              <w:right w:val="nil"/>
            </w:tcBorders>
            <w:shd w:val="clear" w:color="auto" w:fill="auto"/>
            <w:noWrap/>
            <w:vAlign w:val="bottom"/>
            <w:hideMark/>
          </w:tcPr>
          <w:p w14:paraId="01D212C7"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73271F6D" w14:textId="77777777" w:rsidR="00370D59" w:rsidRPr="00504D7E" w:rsidRDefault="00370D59" w:rsidP="00370D59">
            <w:pPr>
              <w:rPr>
                <w:color w:val="000000"/>
                <w:sz w:val="18"/>
                <w:szCs w:val="18"/>
              </w:rPr>
            </w:pPr>
            <w:r w:rsidRPr="00504D7E">
              <w:rPr>
                <w:color w:val="000000"/>
                <w:sz w:val="18"/>
                <w:szCs w:val="18"/>
              </w:rPr>
              <w:t>HU31</w:t>
            </w:r>
          </w:p>
        </w:tc>
        <w:tc>
          <w:tcPr>
            <w:tcW w:w="3060" w:type="dxa"/>
            <w:tcBorders>
              <w:top w:val="nil"/>
              <w:left w:val="nil"/>
              <w:bottom w:val="nil"/>
              <w:right w:val="nil"/>
            </w:tcBorders>
            <w:shd w:val="clear" w:color="auto" w:fill="auto"/>
            <w:noWrap/>
            <w:vAlign w:val="bottom"/>
            <w:hideMark/>
          </w:tcPr>
          <w:p w14:paraId="3EED8F36" w14:textId="77777777" w:rsidR="00370D59" w:rsidRPr="00504D7E" w:rsidRDefault="00370D59" w:rsidP="00370D59">
            <w:pPr>
              <w:rPr>
                <w:color w:val="000000"/>
                <w:sz w:val="18"/>
                <w:szCs w:val="18"/>
              </w:rPr>
            </w:pPr>
            <w:proofErr w:type="spellStart"/>
            <w:r w:rsidRPr="00504D7E">
              <w:rPr>
                <w:color w:val="000000"/>
                <w:sz w:val="18"/>
                <w:szCs w:val="18"/>
              </w:rPr>
              <w:t>Észak-Magyarország</w:t>
            </w:r>
            <w:proofErr w:type="spellEnd"/>
          </w:p>
        </w:tc>
      </w:tr>
      <w:tr w:rsidR="00370D59" w:rsidRPr="00504D7E" w14:paraId="66641A73" w14:textId="77777777" w:rsidTr="00370D59">
        <w:trPr>
          <w:trHeight w:val="300"/>
        </w:trPr>
        <w:tc>
          <w:tcPr>
            <w:tcW w:w="960" w:type="dxa"/>
            <w:tcBorders>
              <w:top w:val="nil"/>
              <w:left w:val="nil"/>
              <w:bottom w:val="nil"/>
              <w:right w:val="nil"/>
            </w:tcBorders>
            <w:shd w:val="clear" w:color="auto" w:fill="auto"/>
            <w:noWrap/>
            <w:vAlign w:val="bottom"/>
            <w:hideMark/>
          </w:tcPr>
          <w:p w14:paraId="0A616520" w14:textId="77777777" w:rsidR="00370D59" w:rsidRPr="00504D7E" w:rsidRDefault="00370D59" w:rsidP="00370D59">
            <w:pPr>
              <w:rPr>
                <w:color w:val="000000"/>
                <w:sz w:val="18"/>
                <w:szCs w:val="18"/>
              </w:rPr>
            </w:pPr>
            <w:r w:rsidRPr="00504D7E">
              <w:rPr>
                <w:color w:val="000000"/>
                <w:sz w:val="18"/>
                <w:szCs w:val="18"/>
              </w:rPr>
              <w:t>DEG0</w:t>
            </w:r>
          </w:p>
        </w:tc>
        <w:tc>
          <w:tcPr>
            <w:tcW w:w="2400" w:type="dxa"/>
            <w:tcBorders>
              <w:top w:val="nil"/>
              <w:left w:val="nil"/>
              <w:bottom w:val="nil"/>
              <w:right w:val="nil"/>
            </w:tcBorders>
            <w:shd w:val="clear" w:color="auto" w:fill="auto"/>
            <w:noWrap/>
            <w:vAlign w:val="bottom"/>
            <w:hideMark/>
          </w:tcPr>
          <w:p w14:paraId="55714215" w14:textId="77777777" w:rsidR="00370D59" w:rsidRPr="00504D7E" w:rsidRDefault="00370D59" w:rsidP="00370D59">
            <w:pPr>
              <w:rPr>
                <w:color w:val="000000"/>
                <w:sz w:val="18"/>
                <w:szCs w:val="18"/>
              </w:rPr>
            </w:pPr>
            <w:proofErr w:type="spellStart"/>
            <w:r w:rsidRPr="00504D7E">
              <w:rPr>
                <w:color w:val="000000"/>
                <w:sz w:val="18"/>
                <w:szCs w:val="18"/>
              </w:rPr>
              <w:t>Thüringen</w:t>
            </w:r>
            <w:proofErr w:type="spellEnd"/>
          </w:p>
        </w:tc>
        <w:tc>
          <w:tcPr>
            <w:tcW w:w="340" w:type="dxa"/>
            <w:tcBorders>
              <w:top w:val="nil"/>
              <w:left w:val="nil"/>
              <w:bottom w:val="nil"/>
              <w:right w:val="nil"/>
            </w:tcBorders>
            <w:shd w:val="clear" w:color="auto" w:fill="auto"/>
            <w:noWrap/>
            <w:vAlign w:val="bottom"/>
            <w:hideMark/>
          </w:tcPr>
          <w:p w14:paraId="75010813"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439FC90C" w14:textId="77777777" w:rsidR="00370D59" w:rsidRPr="00504D7E" w:rsidRDefault="00370D59" w:rsidP="00370D59">
            <w:pPr>
              <w:rPr>
                <w:color w:val="000000"/>
                <w:sz w:val="18"/>
                <w:szCs w:val="18"/>
              </w:rPr>
            </w:pPr>
            <w:r w:rsidRPr="00504D7E">
              <w:rPr>
                <w:color w:val="000000"/>
                <w:sz w:val="18"/>
                <w:szCs w:val="18"/>
              </w:rPr>
              <w:t>FR82</w:t>
            </w:r>
          </w:p>
        </w:tc>
        <w:tc>
          <w:tcPr>
            <w:tcW w:w="3780" w:type="dxa"/>
            <w:tcBorders>
              <w:top w:val="nil"/>
              <w:left w:val="nil"/>
              <w:bottom w:val="nil"/>
              <w:right w:val="nil"/>
            </w:tcBorders>
            <w:shd w:val="clear" w:color="auto" w:fill="auto"/>
            <w:noWrap/>
            <w:vAlign w:val="bottom"/>
            <w:hideMark/>
          </w:tcPr>
          <w:p w14:paraId="63F0ACD8" w14:textId="77777777" w:rsidR="00370D59" w:rsidRPr="00504D7E" w:rsidRDefault="00370D59" w:rsidP="00370D59">
            <w:pPr>
              <w:rPr>
                <w:color w:val="000000"/>
                <w:sz w:val="18"/>
                <w:szCs w:val="18"/>
              </w:rPr>
            </w:pPr>
            <w:r w:rsidRPr="00504D7E">
              <w:rPr>
                <w:color w:val="000000"/>
                <w:sz w:val="18"/>
                <w:szCs w:val="18"/>
              </w:rPr>
              <w:t>Provence-Alpes-</w:t>
            </w:r>
            <w:proofErr w:type="spellStart"/>
            <w:r w:rsidRPr="00504D7E">
              <w:rPr>
                <w:color w:val="000000"/>
                <w:sz w:val="18"/>
                <w:szCs w:val="18"/>
              </w:rPr>
              <w:t>Côte</w:t>
            </w:r>
            <w:proofErr w:type="spellEnd"/>
            <w:r w:rsidRPr="00504D7E">
              <w:rPr>
                <w:color w:val="000000"/>
                <w:sz w:val="18"/>
                <w:szCs w:val="18"/>
              </w:rPr>
              <w:t xml:space="preserve"> d'</w:t>
            </w:r>
            <w:proofErr w:type="spellStart"/>
            <w:r w:rsidRPr="00504D7E">
              <w:rPr>
                <w:color w:val="000000"/>
                <w:sz w:val="18"/>
                <w:szCs w:val="18"/>
              </w:rPr>
              <w:t>Azur</w:t>
            </w:r>
            <w:proofErr w:type="spellEnd"/>
          </w:p>
        </w:tc>
        <w:tc>
          <w:tcPr>
            <w:tcW w:w="300" w:type="dxa"/>
            <w:tcBorders>
              <w:top w:val="nil"/>
              <w:left w:val="nil"/>
              <w:bottom w:val="nil"/>
              <w:right w:val="nil"/>
            </w:tcBorders>
            <w:shd w:val="clear" w:color="auto" w:fill="auto"/>
            <w:noWrap/>
            <w:vAlign w:val="bottom"/>
            <w:hideMark/>
          </w:tcPr>
          <w:p w14:paraId="2323D25B"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3049B883" w14:textId="77777777" w:rsidR="00370D59" w:rsidRPr="00504D7E" w:rsidRDefault="00370D59" w:rsidP="00370D59">
            <w:pPr>
              <w:rPr>
                <w:color w:val="000000"/>
                <w:sz w:val="18"/>
                <w:szCs w:val="18"/>
              </w:rPr>
            </w:pPr>
            <w:r w:rsidRPr="00504D7E">
              <w:rPr>
                <w:color w:val="000000"/>
                <w:sz w:val="18"/>
                <w:szCs w:val="18"/>
              </w:rPr>
              <w:t>HU32</w:t>
            </w:r>
          </w:p>
        </w:tc>
        <w:tc>
          <w:tcPr>
            <w:tcW w:w="3060" w:type="dxa"/>
            <w:tcBorders>
              <w:top w:val="nil"/>
              <w:left w:val="nil"/>
              <w:bottom w:val="nil"/>
              <w:right w:val="nil"/>
            </w:tcBorders>
            <w:shd w:val="clear" w:color="auto" w:fill="auto"/>
            <w:noWrap/>
            <w:vAlign w:val="bottom"/>
            <w:hideMark/>
          </w:tcPr>
          <w:p w14:paraId="1738500F" w14:textId="77777777" w:rsidR="00370D59" w:rsidRPr="00504D7E" w:rsidRDefault="00370D59" w:rsidP="00370D59">
            <w:pPr>
              <w:rPr>
                <w:color w:val="000000"/>
                <w:sz w:val="18"/>
                <w:szCs w:val="18"/>
              </w:rPr>
            </w:pPr>
            <w:proofErr w:type="spellStart"/>
            <w:r w:rsidRPr="00504D7E">
              <w:rPr>
                <w:color w:val="000000"/>
                <w:sz w:val="18"/>
                <w:szCs w:val="18"/>
              </w:rPr>
              <w:t>Észak-Alföld</w:t>
            </w:r>
            <w:proofErr w:type="spellEnd"/>
          </w:p>
        </w:tc>
      </w:tr>
      <w:tr w:rsidR="00370D59" w:rsidRPr="00504D7E" w14:paraId="213847AE" w14:textId="77777777" w:rsidTr="00370D59">
        <w:trPr>
          <w:trHeight w:val="300"/>
        </w:trPr>
        <w:tc>
          <w:tcPr>
            <w:tcW w:w="960" w:type="dxa"/>
            <w:tcBorders>
              <w:top w:val="nil"/>
              <w:left w:val="nil"/>
              <w:bottom w:val="nil"/>
              <w:right w:val="nil"/>
            </w:tcBorders>
            <w:shd w:val="clear" w:color="auto" w:fill="auto"/>
            <w:noWrap/>
            <w:vAlign w:val="bottom"/>
            <w:hideMark/>
          </w:tcPr>
          <w:p w14:paraId="2957A72A" w14:textId="77777777" w:rsidR="00370D59" w:rsidRPr="00504D7E" w:rsidRDefault="00370D59" w:rsidP="00370D59">
            <w:pPr>
              <w:rPr>
                <w:color w:val="000000"/>
                <w:sz w:val="18"/>
                <w:szCs w:val="18"/>
              </w:rPr>
            </w:pPr>
            <w:r w:rsidRPr="00504D7E">
              <w:rPr>
                <w:color w:val="000000"/>
                <w:sz w:val="18"/>
                <w:szCs w:val="18"/>
              </w:rPr>
              <w:t>ES11</w:t>
            </w:r>
          </w:p>
        </w:tc>
        <w:tc>
          <w:tcPr>
            <w:tcW w:w="2400" w:type="dxa"/>
            <w:tcBorders>
              <w:top w:val="nil"/>
              <w:left w:val="nil"/>
              <w:bottom w:val="nil"/>
              <w:right w:val="nil"/>
            </w:tcBorders>
            <w:shd w:val="clear" w:color="auto" w:fill="auto"/>
            <w:noWrap/>
            <w:vAlign w:val="bottom"/>
            <w:hideMark/>
          </w:tcPr>
          <w:p w14:paraId="22B4B3A0" w14:textId="77777777" w:rsidR="00370D59" w:rsidRPr="00504D7E" w:rsidRDefault="00370D59" w:rsidP="00370D59">
            <w:pPr>
              <w:rPr>
                <w:color w:val="000000"/>
                <w:sz w:val="18"/>
                <w:szCs w:val="18"/>
              </w:rPr>
            </w:pPr>
            <w:proofErr w:type="spellStart"/>
            <w:r w:rsidRPr="00504D7E">
              <w:rPr>
                <w:color w:val="000000"/>
                <w:sz w:val="18"/>
                <w:szCs w:val="18"/>
              </w:rPr>
              <w:t>Galicia</w:t>
            </w:r>
            <w:proofErr w:type="spellEnd"/>
          </w:p>
        </w:tc>
        <w:tc>
          <w:tcPr>
            <w:tcW w:w="340" w:type="dxa"/>
            <w:tcBorders>
              <w:top w:val="nil"/>
              <w:left w:val="nil"/>
              <w:bottom w:val="nil"/>
              <w:right w:val="nil"/>
            </w:tcBorders>
            <w:shd w:val="clear" w:color="auto" w:fill="auto"/>
            <w:noWrap/>
            <w:vAlign w:val="bottom"/>
            <w:hideMark/>
          </w:tcPr>
          <w:p w14:paraId="095BD1E7"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2290370E" w14:textId="77777777" w:rsidR="00370D59" w:rsidRPr="00504D7E" w:rsidRDefault="00370D59" w:rsidP="00370D59">
            <w:pPr>
              <w:rPr>
                <w:color w:val="000000"/>
                <w:sz w:val="18"/>
                <w:szCs w:val="18"/>
              </w:rPr>
            </w:pPr>
            <w:r w:rsidRPr="00504D7E">
              <w:rPr>
                <w:color w:val="000000"/>
                <w:sz w:val="18"/>
                <w:szCs w:val="18"/>
              </w:rPr>
              <w:t>FR92</w:t>
            </w:r>
          </w:p>
        </w:tc>
        <w:tc>
          <w:tcPr>
            <w:tcW w:w="3780" w:type="dxa"/>
            <w:tcBorders>
              <w:top w:val="nil"/>
              <w:left w:val="nil"/>
              <w:bottom w:val="nil"/>
              <w:right w:val="nil"/>
            </w:tcBorders>
            <w:shd w:val="clear" w:color="auto" w:fill="auto"/>
            <w:noWrap/>
            <w:vAlign w:val="bottom"/>
            <w:hideMark/>
          </w:tcPr>
          <w:p w14:paraId="119CC70A" w14:textId="77777777" w:rsidR="00370D59" w:rsidRPr="00504D7E" w:rsidRDefault="00370D59" w:rsidP="00370D59">
            <w:pPr>
              <w:rPr>
                <w:color w:val="000000"/>
                <w:sz w:val="18"/>
                <w:szCs w:val="18"/>
              </w:rPr>
            </w:pPr>
            <w:r w:rsidRPr="00504D7E">
              <w:rPr>
                <w:color w:val="000000"/>
                <w:sz w:val="18"/>
                <w:szCs w:val="18"/>
              </w:rPr>
              <w:t>Martinique (FR)</w:t>
            </w:r>
          </w:p>
        </w:tc>
        <w:tc>
          <w:tcPr>
            <w:tcW w:w="300" w:type="dxa"/>
            <w:tcBorders>
              <w:top w:val="nil"/>
              <w:left w:val="nil"/>
              <w:bottom w:val="nil"/>
              <w:right w:val="nil"/>
            </w:tcBorders>
            <w:shd w:val="clear" w:color="auto" w:fill="auto"/>
            <w:noWrap/>
            <w:vAlign w:val="bottom"/>
            <w:hideMark/>
          </w:tcPr>
          <w:p w14:paraId="468C91E4"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19C5A7B4" w14:textId="77777777" w:rsidR="00370D59" w:rsidRPr="00504D7E" w:rsidRDefault="00370D59" w:rsidP="00370D59">
            <w:pPr>
              <w:rPr>
                <w:color w:val="000000"/>
                <w:sz w:val="18"/>
                <w:szCs w:val="18"/>
              </w:rPr>
            </w:pPr>
            <w:r w:rsidRPr="00504D7E">
              <w:rPr>
                <w:color w:val="000000"/>
                <w:sz w:val="18"/>
                <w:szCs w:val="18"/>
              </w:rPr>
              <w:t>HU33</w:t>
            </w:r>
          </w:p>
        </w:tc>
        <w:tc>
          <w:tcPr>
            <w:tcW w:w="3060" w:type="dxa"/>
            <w:tcBorders>
              <w:top w:val="nil"/>
              <w:left w:val="nil"/>
              <w:bottom w:val="nil"/>
              <w:right w:val="nil"/>
            </w:tcBorders>
            <w:shd w:val="clear" w:color="auto" w:fill="auto"/>
            <w:noWrap/>
            <w:vAlign w:val="bottom"/>
            <w:hideMark/>
          </w:tcPr>
          <w:p w14:paraId="4EBF6FFE" w14:textId="77777777" w:rsidR="00370D59" w:rsidRPr="00504D7E" w:rsidRDefault="00370D59" w:rsidP="00370D59">
            <w:pPr>
              <w:rPr>
                <w:color w:val="000000"/>
                <w:sz w:val="18"/>
                <w:szCs w:val="18"/>
              </w:rPr>
            </w:pPr>
            <w:proofErr w:type="spellStart"/>
            <w:r w:rsidRPr="00504D7E">
              <w:rPr>
                <w:color w:val="000000"/>
                <w:sz w:val="18"/>
                <w:szCs w:val="18"/>
              </w:rPr>
              <w:t>Dél-Alföld</w:t>
            </w:r>
            <w:proofErr w:type="spellEnd"/>
          </w:p>
        </w:tc>
      </w:tr>
      <w:tr w:rsidR="00370D59" w:rsidRPr="00504D7E" w14:paraId="79385325" w14:textId="77777777" w:rsidTr="00370D59">
        <w:trPr>
          <w:trHeight w:val="300"/>
        </w:trPr>
        <w:tc>
          <w:tcPr>
            <w:tcW w:w="960" w:type="dxa"/>
            <w:tcBorders>
              <w:top w:val="nil"/>
              <w:left w:val="nil"/>
              <w:bottom w:val="nil"/>
              <w:right w:val="nil"/>
            </w:tcBorders>
            <w:shd w:val="clear" w:color="auto" w:fill="auto"/>
            <w:noWrap/>
            <w:vAlign w:val="bottom"/>
            <w:hideMark/>
          </w:tcPr>
          <w:p w14:paraId="0722A0FA" w14:textId="77777777" w:rsidR="00370D59" w:rsidRPr="00504D7E" w:rsidRDefault="00370D59" w:rsidP="00370D59">
            <w:pPr>
              <w:rPr>
                <w:color w:val="000000"/>
                <w:sz w:val="18"/>
                <w:szCs w:val="18"/>
              </w:rPr>
            </w:pPr>
            <w:r w:rsidRPr="00504D7E">
              <w:rPr>
                <w:color w:val="000000"/>
                <w:sz w:val="18"/>
                <w:szCs w:val="18"/>
              </w:rPr>
              <w:t>ES12</w:t>
            </w:r>
          </w:p>
        </w:tc>
        <w:tc>
          <w:tcPr>
            <w:tcW w:w="2400" w:type="dxa"/>
            <w:tcBorders>
              <w:top w:val="nil"/>
              <w:left w:val="nil"/>
              <w:bottom w:val="nil"/>
              <w:right w:val="nil"/>
            </w:tcBorders>
            <w:shd w:val="clear" w:color="auto" w:fill="auto"/>
            <w:noWrap/>
            <w:vAlign w:val="bottom"/>
            <w:hideMark/>
          </w:tcPr>
          <w:p w14:paraId="5686443A" w14:textId="77777777" w:rsidR="00370D59" w:rsidRPr="00504D7E" w:rsidRDefault="00370D59" w:rsidP="00370D59">
            <w:pPr>
              <w:rPr>
                <w:color w:val="000000"/>
                <w:sz w:val="18"/>
                <w:szCs w:val="18"/>
              </w:rPr>
            </w:pPr>
            <w:proofErr w:type="spellStart"/>
            <w:r w:rsidRPr="00504D7E">
              <w:rPr>
                <w:color w:val="000000"/>
                <w:sz w:val="18"/>
                <w:szCs w:val="18"/>
              </w:rPr>
              <w:t>Principado</w:t>
            </w:r>
            <w:proofErr w:type="spellEnd"/>
            <w:r w:rsidRPr="00504D7E">
              <w:rPr>
                <w:color w:val="000000"/>
                <w:sz w:val="18"/>
                <w:szCs w:val="18"/>
              </w:rPr>
              <w:t xml:space="preserve"> de Asturias</w:t>
            </w:r>
          </w:p>
        </w:tc>
        <w:tc>
          <w:tcPr>
            <w:tcW w:w="340" w:type="dxa"/>
            <w:tcBorders>
              <w:top w:val="nil"/>
              <w:left w:val="nil"/>
              <w:bottom w:val="nil"/>
              <w:right w:val="nil"/>
            </w:tcBorders>
            <w:shd w:val="clear" w:color="auto" w:fill="auto"/>
            <w:noWrap/>
            <w:vAlign w:val="bottom"/>
            <w:hideMark/>
          </w:tcPr>
          <w:p w14:paraId="77F441C1"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708B7D66" w14:textId="77777777" w:rsidR="00370D59" w:rsidRPr="00504D7E" w:rsidRDefault="00370D59" w:rsidP="00370D59">
            <w:pPr>
              <w:rPr>
                <w:color w:val="000000"/>
                <w:sz w:val="18"/>
                <w:szCs w:val="18"/>
              </w:rPr>
            </w:pPr>
            <w:r w:rsidRPr="00504D7E">
              <w:rPr>
                <w:color w:val="000000"/>
                <w:sz w:val="18"/>
                <w:szCs w:val="18"/>
              </w:rPr>
              <w:t>FR94</w:t>
            </w:r>
          </w:p>
        </w:tc>
        <w:tc>
          <w:tcPr>
            <w:tcW w:w="3780" w:type="dxa"/>
            <w:tcBorders>
              <w:top w:val="nil"/>
              <w:left w:val="nil"/>
              <w:bottom w:val="nil"/>
              <w:right w:val="nil"/>
            </w:tcBorders>
            <w:shd w:val="clear" w:color="auto" w:fill="auto"/>
            <w:noWrap/>
            <w:vAlign w:val="bottom"/>
            <w:hideMark/>
          </w:tcPr>
          <w:p w14:paraId="3256AEA9" w14:textId="77777777" w:rsidR="00370D59" w:rsidRPr="00504D7E" w:rsidRDefault="00370D59" w:rsidP="00370D59">
            <w:pPr>
              <w:rPr>
                <w:color w:val="000000"/>
                <w:sz w:val="18"/>
                <w:szCs w:val="18"/>
              </w:rPr>
            </w:pPr>
            <w:r w:rsidRPr="00504D7E">
              <w:rPr>
                <w:color w:val="000000"/>
                <w:sz w:val="18"/>
                <w:szCs w:val="18"/>
              </w:rPr>
              <w:t>Réunion (FR)</w:t>
            </w:r>
          </w:p>
        </w:tc>
        <w:tc>
          <w:tcPr>
            <w:tcW w:w="300" w:type="dxa"/>
            <w:tcBorders>
              <w:top w:val="nil"/>
              <w:left w:val="nil"/>
              <w:bottom w:val="nil"/>
              <w:right w:val="nil"/>
            </w:tcBorders>
            <w:shd w:val="clear" w:color="auto" w:fill="auto"/>
            <w:noWrap/>
            <w:vAlign w:val="bottom"/>
            <w:hideMark/>
          </w:tcPr>
          <w:p w14:paraId="427765EE"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798E41CF" w14:textId="77777777" w:rsidR="00370D59" w:rsidRPr="00504D7E" w:rsidRDefault="00370D59" w:rsidP="00370D59">
            <w:pPr>
              <w:rPr>
                <w:color w:val="000000"/>
                <w:sz w:val="18"/>
                <w:szCs w:val="18"/>
              </w:rPr>
            </w:pPr>
            <w:r w:rsidRPr="00504D7E">
              <w:rPr>
                <w:color w:val="000000"/>
                <w:sz w:val="18"/>
                <w:szCs w:val="18"/>
              </w:rPr>
              <w:t>AT31</w:t>
            </w:r>
          </w:p>
        </w:tc>
        <w:tc>
          <w:tcPr>
            <w:tcW w:w="3060" w:type="dxa"/>
            <w:tcBorders>
              <w:top w:val="nil"/>
              <w:left w:val="nil"/>
              <w:bottom w:val="nil"/>
              <w:right w:val="nil"/>
            </w:tcBorders>
            <w:shd w:val="clear" w:color="auto" w:fill="auto"/>
            <w:noWrap/>
            <w:vAlign w:val="bottom"/>
            <w:hideMark/>
          </w:tcPr>
          <w:p w14:paraId="617FA70C" w14:textId="77777777" w:rsidR="00370D59" w:rsidRPr="00504D7E" w:rsidRDefault="00370D59" w:rsidP="00370D59">
            <w:pPr>
              <w:rPr>
                <w:color w:val="000000"/>
                <w:sz w:val="18"/>
                <w:szCs w:val="18"/>
              </w:rPr>
            </w:pPr>
            <w:proofErr w:type="spellStart"/>
            <w:r w:rsidRPr="00504D7E">
              <w:rPr>
                <w:color w:val="000000"/>
                <w:sz w:val="18"/>
                <w:szCs w:val="18"/>
              </w:rPr>
              <w:t>Oberösterreich</w:t>
            </w:r>
            <w:proofErr w:type="spellEnd"/>
          </w:p>
        </w:tc>
      </w:tr>
      <w:tr w:rsidR="00370D59" w:rsidRPr="00504D7E" w14:paraId="684B9D96" w14:textId="77777777" w:rsidTr="00370D59">
        <w:trPr>
          <w:trHeight w:val="300"/>
        </w:trPr>
        <w:tc>
          <w:tcPr>
            <w:tcW w:w="960" w:type="dxa"/>
            <w:tcBorders>
              <w:top w:val="nil"/>
              <w:left w:val="nil"/>
              <w:bottom w:val="nil"/>
              <w:right w:val="nil"/>
            </w:tcBorders>
            <w:shd w:val="clear" w:color="auto" w:fill="auto"/>
            <w:noWrap/>
            <w:vAlign w:val="bottom"/>
            <w:hideMark/>
          </w:tcPr>
          <w:p w14:paraId="00DA9FD7" w14:textId="77777777" w:rsidR="00370D59" w:rsidRPr="00504D7E" w:rsidRDefault="00370D59" w:rsidP="00370D59">
            <w:pPr>
              <w:rPr>
                <w:color w:val="000000"/>
                <w:sz w:val="18"/>
                <w:szCs w:val="18"/>
              </w:rPr>
            </w:pPr>
            <w:r w:rsidRPr="00504D7E">
              <w:rPr>
                <w:color w:val="000000"/>
                <w:sz w:val="18"/>
                <w:szCs w:val="18"/>
              </w:rPr>
              <w:t>ES13</w:t>
            </w:r>
          </w:p>
        </w:tc>
        <w:tc>
          <w:tcPr>
            <w:tcW w:w="2400" w:type="dxa"/>
            <w:tcBorders>
              <w:top w:val="nil"/>
              <w:left w:val="nil"/>
              <w:bottom w:val="nil"/>
              <w:right w:val="nil"/>
            </w:tcBorders>
            <w:shd w:val="clear" w:color="auto" w:fill="auto"/>
            <w:noWrap/>
            <w:vAlign w:val="bottom"/>
            <w:hideMark/>
          </w:tcPr>
          <w:p w14:paraId="5E32B613" w14:textId="77777777" w:rsidR="00370D59" w:rsidRPr="00504D7E" w:rsidRDefault="00370D59" w:rsidP="00370D59">
            <w:pPr>
              <w:rPr>
                <w:color w:val="000000"/>
                <w:sz w:val="18"/>
                <w:szCs w:val="18"/>
              </w:rPr>
            </w:pPr>
            <w:proofErr w:type="spellStart"/>
            <w:r w:rsidRPr="00504D7E">
              <w:rPr>
                <w:color w:val="000000"/>
                <w:sz w:val="18"/>
                <w:szCs w:val="18"/>
              </w:rPr>
              <w:t>Cantabria</w:t>
            </w:r>
            <w:proofErr w:type="spellEnd"/>
          </w:p>
        </w:tc>
        <w:tc>
          <w:tcPr>
            <w:tcW w:w="340" w:type="dxa"/>
            <w:tcBorders>
              <w:top w:val="nil"/>
              <w:left w:val="nil"/>
              <w:bottom w:val="nil"/>
              <w:right w:val="nil"/>
            </w:tcBorders>
            <w:shd w:val="clear" w:color="auto" w:fill="auto"/>
            <w:noWrap/>
            <w:vAlign w:val="bottom"/>
            <w:hideMark/>
          </w:tcPr>
          <w:p w14:paraId="5A7FCEDE"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74300964" w14:textId="77777777" w:rsidR="00370D59" w:rsidRPr="00504D7E" w:rsidRDefault="00370D59" w:rsidP="00370D59">
            <w:pPr>
              <w:rPr>
                <w:color w:val="000000"/>
                <w:sz w:val="18"/>
                <w:szCs w:val="18"/>
              </w:rPr>
            </w:pPr>
            <w:r w:rsidRPr="00504D7E">
              <w:rPr>
                <w:color w:val="000000"/>
                <w:sz w:val="18"/>
                <w:szCs w:val="18"/>
              </w:rPr>
              <w:t>ITC1</w:t>
            </w:r>
          </w:p>
        </w:tc>
        <w:tc>
          <w:tcPr>
            <w:tcW w:w="3780" w:type="dxa"/>
            <w:tcBorders>
              <w:top w:val="nil"/>
              <w:left w:val="nil"/>
              <w:bottom w:val="nil"/>
              <w:right w:val="nil"/>
            </w:tcBorders>
            <w:shd w:val="clear" w:color="auto" w:fill="auto"/>
            <w:noWrap/>
            <w:vAlign w:val="bottom"/>
            <w:hideMark/>
          </w:tcPr>
          <w:p w14:paraId="71E52CFF" w14:textId="77777777" w:rsidR="00370D59" w:rsidRPr="00504D7E" w:rsidRDefault="00370D59" w:rsidP="00370D59">
            <w:pPr>
              <w:rPr>
                <w:color w:val="000000"/>
                <w:sz w:val="18"/>
                <w:szCs w:val="18"/>
              </w:rPr>
            </w:pPr>
            <w:r w:rsidRPr="00504D7E">
              <w:rPr>
                <w:color w:val="000000"/>
                <w:sz w:val="18"/>
                <w:szCs w:val="18"/>
              </w:rPr>
              <w:t>Piemonte</w:t>
            </w:r>
          </w:p>
        </w:tc>
        <w:tc>
          <w:tcPr>
            <w:tcW w:w="300" w:type="dxa"/>
            <w:tcBorders>
              <w:top w:val="nil"/>
              <w:left w:val="nil"/>
              <w:bottom w:val="nil"/>
              <w:right w:val="nil"/>
            </w:tcBorders>
            <w:shd w:val="clear" w:color="auto" w:fill="auto"/>
            <w:noWrap/>
            <w:vAlign w:val="bottom"/>
            <w:hideMark/>
          </w:tcPr>
          <w:p w14:paraId="7FFC3396"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0953F290" w14:textId="77777777" w:rsidR="00370D59" w:rsidRPr="00504D7E" w:rsidRDefault="00370D59" w:rsidP="00370D59">
            <w:pPr>
              <w:rPr>
                <w:color w:val="000000"/>
                <w:sz w:val="18"/>
                <w:szCs w:val="18"/>
              </w:rPr>
            </w:pPr>
            <w:r w:rsidRPr="00504D7E">
              <w:rPr>
                <w:color w:val="000000"/>
                <w:sz w:val="18"/>
                <w:szCs w:val="18"/>
              </w:rPr>
              <w:t>AT32</w:t>
            </w:r>
          </w:p>
        </w:tc>
        <w:tc>
          <w:tcPr>
            <w:tcW w:w="3060" w:type="dxa"/>
            <w:tcBorders>
              <w:top w:val="nil"/>
              <w:left w:val="nil"/>
              <w:bottom w:val="nil"/>
              <w:right w:val="nil"/>
            </w:tcBorders>
            <w:shd w:val="clear" w:color="auto" w:fill="auto"/>
            <w:noWrap/>
            <w:vAlign w:val="bottom"/>
            <w:hideMark/>
          </w:tcPr>
          <w:p w14:paraId="748D3588" w14:textId="77777777" w:rsidR="00370D59" w:rsidRPr="00504D7E" w:rsidRDefault="00370D59" w:rsidP="00370D59">
            <w:pPr>
              <w:rPr>
                <w:color w:val="000000"/>
                <w:sz w:val="18"/>
                <w:szCs w:val="18"/>
              </w:rPr>
            </w:pPr>
            <w:proofErr w:type="spellStart"/>
            <w:r w:rsidRPr="00504D7E">
              <w:rPr>
                <w:color w:val="000000"/>
                <w:sz w:val="18"/>
                <w:szCs w:val="18"/>
              </w:rPr>
              <w:t>Salzburg</w:t>
            </w:r>
            <w:proofErr w:type="spellEnd"/>
          </w:p>
        </w:tc>
      </w:tr>
      <w:tr w:rsidR="00370D59" w:rsidRPr="00504D7E" w14:paraId="4EC6D6FF" w14:textId="77777777" w:rsidTr="00370D59">
        <w:trPr>
          <w:trHeight w:val="300"/>
        </w:trPr>
        <w:tc>
          <w:tcPr>
            <w:tcW w:w="960" w:type="dxa"/>
            <w:tcBorders>
              <w:top w:val="nil"/>
              <w:left w:val="nil"/>
              <w:bottom w:val="nil"/>
              <w:right w:val="nil"/>
            </w:tcBorders>
            <w:shd w:val="clear" w:color="auto" w:fill="auto"/>
            <w:noWrap/>
            <w:vAlign w:val="bottom"/>
            <w:hideMark/>
          </w:tcPr>
          <w:p w14:paraId="37E97502" w14:textId="77777777" w:rsidR="00370D59" w:rsidRPr="00504D7E" w:rsidRDefault="00370D59" w:rsidP="00370D59">
            <w:pPr>
              <w:rPr>
                <w:color w:val="000000"/>
                <w:sz w:val="18"/>
                <w:szCs w:val="18"/>
              </w:rPr>
            </w:pPr>
            <w:r w:rsidRPr="00504D7E">
              <w:rPr>
                <w:color w:val="000000"/>
                <w:sz w:val="18"/>
                <w:szCs w:val="18"/>
              </w:rPr>
              <w:t>ES21</w:t>
            </w:r>
          </w:p>
        </w:tc>
        <w:tc>
          <w:tcPr>
            <w:tcW w:w="2400" w:type="dxa"/>
            <w:tcBorders>
              <w:top w:val="nil"/>
              <w:left w:val="nil"/>
              <w:bottom w:val="nil"/>
              <w:right w:val="nil"/>
            </w:tcBorders>
            <w:shd w:val="clear" w:color="auto" w:fill="auto"/>
            <w:noWrap/>
            <w:vAlign w:val="bottom"/>
            <w:hideMark/>
          </w:tcPr>
          <w:p w14:paraId="123AAEB0" w14:textId="77777777" w:rsidR="00370D59" w:rsidRPr="00504D7E" w:rsidRDefault="00370D59" w:rsidP="00370D59">
            <w:pPr>
              <w:rPr>
                <w:color w:val="000000"/>
                <w:sz w:val="18"/>
                <w:szCs w:val="18"/>
              </w:rPr>
            </w:pPr>
            <w:proofErr w:type="spellStart"/>
            <w:r w:rsidRPr="00504D7E">
              <w:rPr>
                <w:color w:val="000000"/>
                <w:sz w:val="18"/>
                <w:szCs w:val="18"/>
              </w:rPr>
              <w:t>País</w:t>
            </w:r>
            <w:proofErr w:type="spellEnd"/>
            <w:r w:rsidRPr="00504D7E">
              <w:rPr>
                <w:color w:val="000000"/>
                <w:sz w:val="18"/>
                <w:szCs w:val="18"/>
              </w:rPr>
              <w:t xml:space="preserve"> Vasco</w:t>
            </w:r>
          </w:p>
        </w:tc>
        <w:tc>
          <w:tcPr>
            <w:tcW w:w="340" w:type="dxa"/>
            <w:tcBorders>
              <w:top w:val="nil"/>
              <w:left w:val="nil"/>
              <w:bottom w:val="nil"/>
              <w:right w:val="nil"/>
            </w:tcBorders>
            <w:shd w:val="clear" w:color="auto" w:fill="auto"/>
            <w:noWrap/>
            <w:vAlign w:val="bottom"/>
            <w:hideMark/>
          </w:tcPr>
          <w:p w14:paraId="704C4B0F" w14:textId="77777777" w:rsidR="00370D59" w:rsidRPr="00504D7E" w:rsidRDefault="00370D59" w:rsidP="00370D59">
            <w:pPr>
              <w:rPr>
                <w:color w:val="000000"/>
                <w:sz w:val="18"/>
                <w:szCs w:val="18"/>
              </w:rPr>
            </w:pPr>
          </w:p>
        </w:tc>
        <w:tc>
          <w:tcPr>
            <w:tcW w:w="700" w:type="dxa"/>
            <w:tcBorders>
              <w:top w:val="nil"/>
              <w:left w:val="nil"/>
              <w:bottom w:val="nil"/>
              <w:right w:val="nil"/>
            </w:tcBorders>
            <w:shd w:val="clear" w:color="auto" w:fill="auto"/>
            <w:noWrap/>
            <w:vAlign w:val="bottom"/>
            <w:hideMark/>
          </w:tcPr>
          <w:p w14:paraId="39E87656" w14:textId="77777777" w:rsidR="00370D59" w:rsidRPr="00504D7E" w:rsidRDefault="00370D59" w:rsidP="00370D59">
            <w:pPr>
              <w:rPr>
                <w:color w:val="000000"/>
                <w:sz w:val="18"/>
                <w:szCs w:val="18"/>
              </w:rPr>
            </w:pPr>
            <w:r w:rsidRPr="00504D7E">
              <w:rPr>
                <w:color w:val="000000"/>
                <w:sz w:val="18"/>
                <w:szCs w:val="18"/>
              </w:rPr>
              <w:t>ITC4</w:t>
            </w:r>
          </w:p>
        </w:tc>
        <w:tc>
          <w:tcPr>
            <w:tcW w:w="3780" w:type="dxa"/>
            <w:tcBorders>
              <w:top w:val="nil"/>
              <w:left w:val="nil"/>
              <w:bottom w:val="nil"/>
              <w:right w:val="nil"/>
            </w:tcBorders>
            <w:shd w:val="clear" w:color="auto" w:fill="auto"/>
            <w:noWrap/>
            <w:vAlign w:val="bottom"/>
            <w:hideMark/>
          </w:tcPr>
          <w:p w14:paraId="26108CB2" w14:textId="77777777" w:rsidR="00370D59" w:rsidRPr="00504D7E" w:rsidRDefault="00370D59" w:rsidP="00370D59">
            <w:pPr>
              <w:rPr>
                <w:color w:val="000000"/>
                <w:sz w:val="18"/>
                <w:szCs w:val="18"/>
              </w:rPr>
            </w:pPr>
            <w:r w:rsidRPr="00504D7E">
              <w:rPr>
                <w:color w:val="000000"/>
                <w:sz w:val="18"/>
                <w:szCs w:val="18"/>
              </w:rPr>
              <w:t>Lombardia</w:t>
            </w:r>
          </w:p>
        </w:tc>
        <w:tc>
          <w:tcPr>
            <w:tcW w:w="300" w:type="dxa"/>
            <w:tcBorders>
              <w:top w:val="nil"/>
              <w:left w:val="nil"/>
              <w:bottom w:val="nil"/>
              <w:right w:val="nil"/>
            </w:tcBorders>
            <w:shd w:val="clear" w:color="auto" w:fill="auto"/>
            <w:noWrap/>
            <w:vAlign w:val="bottom"/>
            <w:hideMark/>
          </w:tcPr>
          <w:p w14:paraId="63F25F21" w14:textId="77777777" w:rsidR="00370D59" w:rsidRPr="00504D7E" w:rsidRDefault="00370D59" w:rsidP="00370D59">
            <w:pPr>
              <w:rPr>
                <w:color w:val="000000"/>
              </w:rPr>
            </w:pPr>
          </w:p>
        </w:tc>
        <w:tc>
          <w:tcPr>
            <w:tcW w:w="760" w:type="dxa"/>
            <w:tcBorders>
              <w:top w:val="nil"/>
              <w:left w:val="nil"/>
              <w:bottom w:val="nil"/>
              <w:right w:val="nil"/>
            </w:tcBorders>
            <w:shd w:val="clear" w:color="auto" w:fill="auto"/>
            <w:noWrap/>
            <w:vAlign w:val="bottom"/>
            <w:hideMark/>
          </w:tcPr>
          <w:p w14:paraId="6438665A" w14:textId="77777777" w:rsidR="00370D59" w:rsidRPr="00504D7E" w:rsidRDefault="00370D59" w:rsidP="00370D59">
            <w:pPr>
              <w:rPr>
                <w:color w:val="000000"/>
                <w:sz w:val="18"/>
                <w:szCs w:val="18"/>
              </w:rPr>
            </w:pPr>
            <w:r w:rsidRPr="00504D7E">
              <w:rPr>
                <w:color w:val="000000"/>
                <w:sz w:val="18"/>
                <w:szCs w:val="18"/>
              </w:rPr>
              <w:t>PL11</w:t>
            </w:r>
          </w:p>
        </w:tc>
        <w:tc>
          <w:tcPr>
            <w:tcW w:w="3060" w:type="dxa"/>
            <w:tcBorders>
              <w:top w:val="nil"/>
              <w:left w:val="nil"/>
              <w:bottom w:val="nil"/>
              <w:right w:val="nil"/>
            </w:tcBorders>
            <w:shd w:val="clear" w:color="auto" w:fill="auto"/>
            <w:noWrap/>
            <w:vAlign w:val="bottom"/>
            <w:hideMark/>
          </w:tcPr>
          <w:p w14:paraId="62BB8414" w14:textId="77777777" w:rsidR="00370D59" w:rsidRPr="00504D7E" w:rsidRDefault="00370D59" w:rsidP="00370D59">
            <w:pPr>
              <w:rPr>
                <w:color w:val="000000"/>
                <w:sz w:val="18"/>
                <w:szCs w:val="18"/>
              </w:rPr>
            </w:pPr>
            <w:proofErr w:type="spellStart"/>
            <w:r w:rsidRPr="00504D7E">
              <w:rPr>
                <w:color w:val="000000"/>
                <w:sz w:val="18"/>
                <w:szCs w:val="18"/>
              </w:rPr>
              <w:t>Lódzkie</w:t>
            </w:r>
            <w:proofErr w:type="spellEnd"/>
          </w:p>
        </w:tc>
      </w:tr>
      <w:tr w:rsidR="00370D59" w:rsidRPr="00504D7E" w14:paraId="53B6F19D" w14:textId="77777777" w:rsidTr="00370D59">
        <w:trPr>
          <w:trHeight w:val="300"/>
        </w:trPr>
        <w:tc>
          <w:tcPr>
            <w:tcW w:w="960" w:type="dxa"/>
            <w:tcBorders>
              <w:top w:val="nil"/>
              <w:left w:val="nil"/>
              <w:bottom w:val="single" w:sz="4" w:space="0" w:color="auto"/>
              <w:right w:val="nil"/>
            </w:tcBorders>
            <w:shd w:val="clear" w:color="auto" w:fill="auto"/>
            <w:noWrap/>
            <w:vAlign w:val="bottom"/>
            <w:hideMark/>
          </w:tcPr>
          <w:p w14:paraId="3D32C569" w14:textId="77777777" w:rsidR="00370D59" w:rsidRPr="00504D7E" w:rsidRDefault="00370D59" w:rsidP="00370D59">
            <w:pPr>
              <w:rPr>
                <w:color w:val="000000"/>
                <w:sz w:val="18"/>
                <w:szCs w:val="18"/>
              </w:rPr>
            </w:pPr>
            <w:r w:rsidRPr="00504D7E">
              <w:rPr>
                <w:color w:val="000000"/>
                <w:sz w:val="18"/>
                <w:szCs w:val="18"/>
              </w:rPr>
              <w:t>ES24</w:t>
            </w:r>
          </w:p>
        </w:tc>
        <w:tc>
          <w:tcPr>
            <w:tcW w:w="2400" w:type="dxa"/>
            <w:tcBorders>
              <w:top w:val="nil"/>
              <w:left w:val="nil"/>
              <w:bottom w:val="single" w:sz="4" w:space="0" w:color="auto"/>
              <w:right w:val="nil"/>
            </w:tcBorders>
            <w:shd w:val="clear" w:color="auto" w:fill="auto"/>
            <w:noWrap/>
            <w:vAlign w:val="bottom"/>
            <w:hideMark/>
          </w:tcPr>
          <w:p w14:paraId="5FCC1FA4" w14:textId="77777777" w:rsidR="00370D59" w:rsidRPr="00504D7E" w:rsidRDefault="00370D59" w:rsidP="00370D59">
            <w:pPr>
              <w:rPr>
                <w:color w:val="000000"/>
                <w:sz w:val="18"/>
                <w:szCs w:val="18"/>
              </w:rPr>
            </w:pPr>
            <w:proofErr w:type="spellStart"/>
            <w:r w:rsidRPr="00504D7E">
              <w:rPr>
                <w:color w:val="000000"/>
                <w:sz w:val="18"/>
                <w:szCs w:val="18"/>
              </w:rPr>
              <w:t>Aragón</w:t>
            </w:r>
            <w:proofErr w:type="spellEnd"/>
          </w:p>
        </w:tc>
        <w:tc>
          <w:tcPr>
            <w:tcW w:w="340" w:type="dxa"/>
            <w:tcBorders>
              <w:top w:val="nil"/>
              <w:left w:val="nil"/>
              <w:bottom w:val="single" w:sz="4" w:space="0" w:color="auto"/>
              <w:right w:val="nil"/>
            </w:tcBorders>
            <w:shd w:val="clear" w:color="auto" w:fill="auto"/>
            <w:noWrap/>
            <w:vAlign w:val="bottom"/>
            <w:hideMark/>
          </w:tcPr>
          <w:p w14:paraId="34E6AFE5" w14:textId="77777777" w:rsidR="00370D59" w:rsidRPr="00504D7E" w:rsidRDefault="00370D59" w:rsidP="00370D59">
            <w:pPr>
              <w:rPr>
                <w:color w:val="000000"/>
                <w:sz w:val="18"/>
                <w:szCs w:val="18"/>
              </w:rPr>
            </w:pPr>
            <w:r w:rsidRPr="00504D7E">
              <w:rPr>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0F6AB74" w14:textId="77777777" w:rsidR="00370D59" w:rsidRPr="00504D7E" w:rsidRDefault="00370D59" w:rsidP="00370D59">
            <w:pPr>
              <w:rPr>
                <w:color w:val="000000"/>
                <w:sz w:val="18"/>
                <w:szCs w:val="18"/>
              </w:rPr>
            </w:pPr>
            <w:r w:rsidRPr="00504D7E">
              <w:rPr>
                <w:color w:val="000000"/>
                <w:sz w:val="18"/>
                <w:szCs w:val="18"/>
              </w:rPr>
              <w:t>ITD1</w:t>
            </w:r>
          </w:p>
        </w:tc>
        <w:tc>
          <w:tcPr>
            <w:tcW w:w="3780" w:type="dxa"/>
            <w:tcBorders>
              <w:top w:val="nil"/>
              <w:left w:val="nil"/>
              <w:bottom w:val="single" w:sz="4" w:space="0" w:color="auto"/>
              <w:right w:val="nil"/>
            </w:tcBorders>
            <w:shd w:val="clear" w:color="auto" w:fill="auto"/>
            <w:noWrap/>
            <w:vAlign w:val="bottom"/>
            <w:hideMark/>
          </w:tcPr>
          <w:p w14:paraId="621C2AA6" w14:textId="77777777" w:rsidR="00370D59" w:rsidRPr="00504D7E" w:rsidRDefault="00370D59" w:rsidP="00370D59">
            <w:pPr>
              <w:rPr>
                <w:color w:val="000000"/>
                <w:sz w:val="18"/>
                <w:szCs w:val="18"/>
              </w:rPr>
            </w:pPr>
            <w:r w:rsidRPr="00504D7E">
              <w:rPr>
                <w:color w:val="000000"/>
                <w:sz w:val="18"/>
                <w:szCs w:val="18"/>
              </w:rPr>
              <w:t>Provincia Autonoma Bolzano/Bozen (NUTS 2006)</w:t>
            </w:r>
          </w:p>
        </w:tc>
        <w:tc>
          <w:tcPr>
            <w:tcW w:w="300" w:type="dxa"/>
            <w:tcBorders>
              <w:top w:val="nil"/>
              <w:left w:val="nil"/>
              <w:bottom w:val="single" w:sz="4" w:space="0" w:color="auto"/>
              <w:right w:val="nil"/>
            </w:tcBorders>
            <w:shd w:val="clear" w:color="auto" w:fill="auto"/>
            <w:noWrap/>
            <w:vAlign w:val="bottom"/>
            <w:hideMark/>
          </w:tcPr>
          <w:p w14:paraId="6D9D1445" w14:textId="77777777" w:rsidR="00370D59" w:rsidRPr="00504D7E" w:rsidRDefault="00370D59" w:rsidP="00370D59">
            <w:pPr>
              <w:rPr>
                <w:color w:val="000000"/>
              </w:rPr>
            </w:pPr>
            <w:r w:rsidRPr="00504D7E">
              <w:rPr>
                <w:color w:val="000000"/>
              </w:rPr>
              <w:t> </w:t>
            </w:r>
          </w:p>
        </w:tc>
        <w:tc>
          <w:tcPr>
            <w:tcW w:w="760" w:type="dxa"/>
            <w:tcBorders>
              <w:top w:val="nil"/>
              <w:left w:val="nil"/>
              <w:bottom w:val="single" w:sz="4" w:space="0" w:color="auto"/>
              <w:right w:val="nil"/>
            </w:tcBorders>
            <w:shd w:val="clear" w:color="auto" w:fill="auto"/>
            <w:noWrap/>
            <w:vAlign w:val="bottom"/>
            <w:hideMark/>
          </w:tcPr>
          <w:p w14:paraId="3E1F7F79" w14:textId="77777777" w:rsidR="00370D59" w:rsidRPr="00504D7E" w:rsidRDefault="00370D59" w:rsidP="00370D59">
            <w:pPr>
              <w:rPr>
                <w:color w:val="000000"/>
                <w:sz w:val="18"/>
                <w:szCs w:val="18"/>
              </w:rPr>
            </w:pPr>
            <w:r w:rsidRPr="00504D7E">
              <w:rPr>
                <w:color w:val="000000"/>
                <w:sz w:val="18"/>
                <w:szCs w:val="18"/>
              </w:rPr>
              <w:t>PL12</w:t>
            </w:r>
          </w:p>
        </w:tc>
        <w:tc>
          <w:tcPr>
            <w:tcW w:w="3060" w:type="dxa"/>
            <w:tcBorders>
              <w:top w:val="nil"/>
              <w:left w:val="nil"/>
              <w:bottom w:val="single" w:sz="4" w:space="0" w:color="auto"/>
              <w:right w:val="nil"/>
            </w:tcBorders>
            <w:shd w:val="clear" w:color="auto" w:fill="auto"/>
            <w:noWrap/>
            <w:vAlign w:val="bottom"/>
            <w:hideMark/>
          </w:tcPr>
          <w:p w14:paraId="596A07B8" w14:textId="77777777" w:rsidR="00370D59" w:rsidRPr="00504D7E" w:rsidRDefault="00370D59" w:rsidP="00370D59">
            <w:pPr>
              <w:rPr>
                <w:color w:val="000000"/>
                <w:sz w:val="18"/>
                <w:szCs w:val="18"/>
              </w:rPr>
            </w:pPr>
            <w:proofErr w:type="spellStart"/>
            <w:r w:rsidRPr="00504D7E">
              <w:rPr>
                <w:color w:val="000000"/>
                <w:sz w:val="18"/>
                <w:szCs w:val="18"/>
              </w:rPr>
              <w:t>Mazowieckie</w:t>
            </w:r>
            <w:proofErr w:type="spellEnd"/>
          </w:p>
        </w:tc>
      </w:tr>
    </w:tbl>
    <w:p w14:paraId="2C5FF0B9" w14:textId="77777777" w:rsidR="00E779E9" w:rsidRPr="00504D7E" w:rsidRDefault="00E779E9" w:rsidP="00E779E9"/>
    <w:tbl>
      <w:tblPr>
        <w:tblW w:w="10740" w:type="dxa"/>
        <w:tblInd w:w="55" w:type="dxa"/>
        <w:tblCellMar>
          <w:left w:w="70" w:type="dxa"/>
          <w:right w:w="70" w:type="dxa"/>
        </w:tblCellMar>
        <w:tblLook w:val="04A0" w:firstRow="1" w:lastRow="0" w:firstColumn="1" w:lastColumn="0" w:noHBand="0" w:noVBand="1"/>
      </w:tblPr>
      <w:tblGrid>
        <w:gridCol w:w="731"/>
        <w:gridCol w:w="2040"/>
        <w:gridCol w:w="340"/>
        <w:gridCol w:w="820"/>
        <w:gridCol w:w="3820"/>
        <w:gridCol w:w="460"/>
        <w:gridCol w:w="920"/>
        <w:gridCol w:w="1640"/>
      </w:tblGrid>
      <w:tr w:rsidR="00370D59" w:rsidRPr="00504D7E" w14:paraId="1C879546" w14:textId="77777777" w:rsidTr="00370D59">
        <w:trPr>
          <w:trHeight w:val="300"/>
        </w:trPr>
        <w:tc>
          <w:tcPr>
            <w:tcW w:w="700" w:type="dxa"/>
            <w:tcBorders>
              <w:top w:val="nil"/>
              <w:left w:val="nil"/>
              <w:bottom w:val="single" w:sz="4" w:space="0" w:color="auto"/>
              <w:right w:val="nil"/>
            </w:tcBorders>
            <w:shd w:val="clear" w:color="auto" w:fill="auto"/>
            <w:noWrap/>
            <w:vAlign w:val="bottom"/>
            <w:hideMark/>
          </w:tcPr>
          <w:p w14:paraId="77A2B721" w14:textId="664B60C1" w:rsidR="00370D59" w:rsidRPr="00504D7E" w:rsidRDefault="00370D59" w:rsidP="00370D59">
            <w:pPr>
              <w:rPr>
                <w:rFonts w:ascii="Arial" w:hAnsi="Arial"/>
                <w:sz w:val="18"/>
                <w:szCs w:val="18"/>
              </w:rPr>
            </w:pPr>
            <w:r w:rsidRPr="00504D7E">
              <w:rPr>
                <w:rFonts w:ascii="Arial" w:hAnsi="Arial"/>
                <w:sz w:val="18"/>
                <w:szCs w:val="18"/>
              </w:rPr>
              <w:lastRenderedPageBreak/>
              <w:t>NUTS</w:t>
            </w:r>
            <w:r w:rsidR="00E45FD2" w:rsidRPr="00504D7E">
              <w:rPr>
                <w:rFonts w:ascii="Arial" w:hAnsi="Arial"/>
                <w:sz w:val="18"/>
                <w:szCs w:val="18"/>
              </w:rPr>
              <w:t>2</w:t>
            </w:r>
          </w:p>
        </w:tc>
        <w:tc>
          <w:tcPr>
            <w:tcW w:w="2040" w:type="dxa"/>
            <w:tcBorders>
              <w:top w:val="nil"/>
              <w:left w:val="nil"/>
              <w:bottom w:val="single" w:sz="4" w:space="0" w:color="auto"/>
              <w:right w:val="nil"/>
            </w:tcBorders>
            <w:shd w:val="clear" w:color="auto" w:fill="auto"/>
            <w:noWrap/>
            <w:vAlign w:val="bottom"/>
            <w:hideMark/>
          </w:tcPr>
          <w:p w14:paraId="38586998" w14:textId="6A53320D" w:rsidR="00370D59" w:rsidRPr="00504D7E" w:rsidRDefault="00855074" w:rsidP="00370D59">
            <w:pPr>
              <w:rPr>
                <w:color w:val="000000"/>
                <w:sz w:val="18"/>
                <w:szCs w:val="18"/>
              </w:rPr>
            </w:pPr>
            <w:proofErr w:type="spellStart"/>
            <w:r w:rsidRPr="00504D7E">
              <w:rPr>
                <w:color w:val="000000"/>
                <w:sz w:val="18"/>
                <w:szCs w:val="18"/>
              </w:rPr>
              <w:t>R</w:t>
            </w:r>
            <w:r w:rsidR="00370D59" w:rsidRPr="00504D7E">
              <w:rPr>
                <w:color w:val="000000"/>
                <w:sz w:val="18"/>
                <w:szCs w:val="18"/>
              </w:rPr>
              <w:t>egion</w:t>
            </w:r>
            <w:proofErr w:type="spellEnd"/>
          </w:p>
        </w:tc>
        <w:tc>
          <w:tcPr>
            <w:tcW w:w="340" w:type="dxa"/>
            <w:tcBorders>
              <w:top w:val="nil"/>
              <w:left w:val="nil"/>
              <w:bottom w:val="single" w:sz="4" w:space="0" w:color="auto"/>
              <w:right w:val="nil"/>
            </w:tcBorders>
            <w:shd w:val="clear" w:color="auto" w:fill="auto"/>
            <w:noWrap/>
            <w:vAlign w:val="bottom"/>
            <w:hideMark/>
          </w:tcPr>
          <w:p w14:paraId="32D7C8C2" w14:textId="77777777" w:rsidR="00370D59" w:rsidRPr="00504D7E" w:rsidRDefault="00370D59" w:rsidP="00370D59">
            <w:pPr>
              <w:rPr>
                <w:color w:val="000000"/>
              </w:rPr>
            </w:pPr>
            <w:r w:rsidRPr="00504D7E">
              <w:rPr>
                <w:color w:val="000000"/>
              </w:rPr>
              <w:t> </w:t>
            </w:r>
          </w:p>
        </w:tc>
        <w:tc>
          <w:tcPr>
            <w:tcW w:w="820" w:type="dxa"/>
            <w:tcBorders>
              <w:top w:val="nil"/>
              <w:left w:val="nil"/>
              <w:bottom w:val="single" w:sz="4" w:space="0" w:color="auto"/>
              <w:right w:val="nil"/>
            </w:tcBorders>
            <w:shd w:val="clear" w:color="auto" w:fill="auto"/>
            <w:noWrap/>
            <w:vAlign w:val="bottom"/>
            <w:hideMark/>
          </w:tcPr>
          <w:p w14:paraId="1B3D7A78" w14:textId="74CBAECA" w:rsidR="00370D59" w:rsidRPr="00504D7E" w:rsidRDefault="00370D59" w:rsidP="00370D59">
            <w:pPr>
              <w:rPr>
                <w:rFonts w:ascii="Arial" w:hAnsi="Arial"/>
                <w:sz w:val="18"/>
                <w:szCs w:val="18"/>
              </w:rPr>
            </w:pPr>
            <w:r w:rsidRPr="00504D7E">
              <w:rPr>
                <w:rFonts w:ascii="Arial" w:hAnsi="Arial"/>
                <w:sz w:val="18"/>
                <w:szCs w:val="18"/>
              </w:rPr>
              <w:t>NUTS</w:t>
            </w:r>
            <w:r w:rsidR="00E45FD2" w:rsidRPr="00504D7E">
              <w:rPr>
                <w:rFonts w:ascii="Arial" w:hAnsi="Arial"/>
                <w:sz w:val="18"/>
                <w:szCs w:val="18"/>
              </w:rPr>
              <w:t>2</w:t>
            </w:r>
            <w:r w:rsidRPr="00504D7E">
              <w:rPr>
                <w:rFonts w:ascii="Arial" w:hAnsi="Arial"/>
                <w:sz w:val="18"/>
                <w:szCs w:val="18"/>
              </w:rPr>
              <w:t xml:space="preserve"> </w:t>
            </w:r>
          </w:p>
        </w:tc>
        <w:tc>
          <w:tcPr>
            <w:tcW w:w="3820" w:type="dxa"/>
            <w:tcBorders>
              <w:top w:val="nil"/>
              <w:left w:val="nil"/>
              <w:bottom w:val="single" w:sz="4" w:space="0" w:color="auto"/>
              <w:right w:val="nil"/>
            </w:tcBorders>
            <w:shd w:val="clear" w:color="auto" w:fill="auto"/>
            <w:noWrap/>
            <w:vAlign w:val="bottom"/>
            <w:hideMark/>
          </w:tcPr>
          <w:p w14:paraId="209005B8" w14:textId="77777777" w:rsidR="00370D59" w:rsidRPr="00504D7E" w:rsidRDefault="00370D59" w:rsidP="00370D59">
            <w:pPr>
              <w:rPr>
                <w:color w:val="000000"/>
                <w:sz w:val="18"/>
                <w:szCs w:val="18"/>
              </w:rPr>
            </w:pPr>
            <w:proofErr w:type="spellStart"/>
            <w:r w:rsidRPr="00504D7E">
              <w:rPr>
                <w:color w:val="000000"/>
                <w:sz w:val="18"/>
                <w:szCs w:val="18"/>
              </w:rPr>
              <w:t>region</w:t>
            </w:r>
            <w:proofErr w:type="spellEnd"/>
          </w:p>
        </w:tc>
        <w:tc>
          <w:tcPr>
            <w:tcW w:w="460" w:type="dxa"/>
            <w:tcBorders>
              <w:top w:val="nil"/>
              <w:left w:val="nil"/>
              <w:bottom w:val="single" w:sz="4" w:space="0" w:color="auto"/>
              <w:right w:val="nil"/>
            </w:tcBorders>
            <w:shd w:val="clear" w:color="auto" w:fill="auto"/>
            <w:noWrap/>
            <w:vAlign w:val="bottom"/>
            <w:hideMark/>
          </w:tcPr>
          <w:p w14:paraId="50381931" w14:textId="77777777" w:rsidR="00370D59" w:rsidRPr="00504D7E" w:rsidRDefault="00370D59" w:rsidP="00370D59">
            <w:pPr>
              <w:rPr>
                <w:color w:val="000000"/>
              </w:rPr>
            </w:pPr>
            <w:r w:rsidRPr="00504D7E">
              <w:rPr>
                <w:color w:val="000000"/>
              </w:rPr>
              <w:t> </w:t>
            </w:r>
          </w:p>
        </w:tc>
        <w:tc>
          <w:tcPr>
            <w:tcW w:w="920" w:type="dxa"/>
            <w:tcBorders>
              <w:top w:val="nil"/>
              <w:left w:val="nil"/>
              <w:bottom w:val="single" w:sz="4" w:space="0" w:color="auto"/>
              <w:right w:val="nil"/>
            </w:tcBorders>
            <w:shd w:val="clear" w:color="auto" w:fill="auto"/>
            <w:noWrap/>
            <w:vAlign w:val="bottom"/>
            <w:hideMark/>
          </w:tcPr>
          <w:p w14:paraId="132B533B" w14:textId="44FD840D" w:rsidR="00370D59" w:rsidRPr="00504D7E" w:rsidRDefault="00370D59" w:rsidP="00370D59">
            <w:pPr>
              <w:rPr>
                <w:rFonts w:ascii="Arial" w:hAnsi="Arial"/>
                <w:sz w:val="18"/>
                <w:szCs w:val="18"/>
              </w:rPr>
            </w:pPr>
            <w:r w:rsidRPr="00504D7E">
              <w:rPr>
                <w:rFonts w:ascii="Arial" w:hAnsi="Arial"/>
                <w:sz w:val="18"/>
                <w:szCs w:val="18"/>
              </w:rPr>
              <w:t>NUTS</w:t>
            </w:r>
            <w:r w:rsidR="00E45FD2" w:rsidRPr="00504D7E">
              <w:rPr>
                <w:rFonts w:ascii="Arial" w:hAnsi="Arial"/>
                <w:sz w:val="18"/>
                <w:szCs w:val="18"/>
              </w:rPr>
              <w:t>2</w:t>
            </w:r>
            <w:r w:rsidRPr="00504D7E">
              <w:rPr>
                <w:rFonts w:ascii="Arial" w:hAnsi="Arial"/>
                <w:sz w:val="18"/>
                <w:szCs w:val="18"/>
              </w:rPr>
              <w:t xml:space="preserve"> </w:t>
            </w:r>
          </w:p>
        </w:tc>
        <w:tc>
          <w:tcPr>
            <w:tcW w:w="1640" w:type="dxa"/>
            <w:tcBorders>
              <w:top w:val="nil"/>
              <w:left w:val="nil"/>
              <w:bottom w:val="single" w:sz="4" w:space="0" w:color="auto"/>
              <w:right w:val="nil"/>
            </w:tcBorders>
            <w:shd w:val="clear" w:color="auto" w:fill="auto"/>
            <w:noWrap/>
            <w:vAlign w:val="bottom"/>
            <w:hideMark/>
          </w:tcPr>
          <w:p w14:paraId="0024BD87" w14:textId="77777777" w:rsidR="00370D59" w:rsidRPr="00504D7E" w:rsidRDefault="00370D59" w:rsidP="00370D59">
            <w:pPr>
              <w:rPr>
                <w:color w:val="000000"/>
                <w:sz w:val="18"/>
                <w:szCs w:val="18"/>
              </w:rPr>
            </w:pPr>
            <w:proofErr w:type="spellStart"/>
            <w:r w:rsidRPr="00504D7E">
              <w:rPr>
                <w:color w:val="000000"/>
                <w:sz w:val="18"/>
                <w:szCs w:val="18"/>
              </w:rPr>
              <w:t>region</w:t>
            </w:r>
            <w:proofErr w:type="spellEnd"/>
          </w:p>
        </w:tc>
      </w:tr>
      <w:tr w:rsidR="00370D59" w:rsidRPr="00504D7E" w14:paraId="79C10396" w14:textId="77777777" w:rsidTr="00370D59">
        <w:trPr>
          <w:trHeight w:val="300"/>
        </w:trPr>
        <w:tc>
          <w:tcPr>
            <w:tcW w:w="700" w:type="dxa"/>
            <w:tcBorders>
              <w:top w:val="nil"/>
              <w:left w:val="nil"/>
              <w:bottom w:val="nil"/>
              <w:right w:val="nil"/>
            </w:tcBorders>
            <w:shd w:val="clear" w:color="auto" w:fill="auto"/>
            <w:noWrap/>
            <w:vAlign w:val="bottom"/>
            <w:hideMark/>
          </w:tcPr>
          <w:p w14:paraId="18765EDF" w14:textId="77777777" w:rsidR="00370D59" w:rsidRPr="00504D7E" w:rsidRDefault="00370D59" w:rsidP="00370D59">
            <w:pPr>
              <w:rPr>
                <w:color w:val="000000"/>
                <w:sz w:val="18"/>
                <w:szCs w:val="18"/>
              </w:rPr>
            </w:pPr>
            <w:r w:rsidRPr="00504D7E">
              <w:rPr>
                <w:color w:val="000000"/>
                <w:sz w:val="18"/>
                <w:szCs w:val="18"/>
              </w:rPr>
              <w:t>PL21</w:t>
            </w:r>
          </w:p>
        </w:tc>
        <w:tc>
          <w:tcPr>
            <w:tcW w:w="2040" w:type="dxa"/>
            <w:tcBorders>
              <w:top w:val="nil"/>
              <w:left w:val="nil"/>
              <w:bottom w:val="nil"/>
              <w:right w:val="nil"/>
            </w:tcBorders>
            <w:shd w:val="clear" w:color="auto" w:fill="auto"/>
            <w:noWrap/>
            <w:vAlign w:val="bottom"/>
            <w:hideMark/>
          </w:tcPr>
          <w:p w14:paraId="10225AF8" w14:textId="77777777" w:rsidR="00370D59" w:rsidRPr="00504D7E" w:rsidRDefault="00370D59" w:rsidP="00370D59">
            <w:pPr>
              <w:rPr>
                <w:color w:val="000000"/>
                <w:sz w:val="18"/>
                <w:szCs w:val="18"/>
              </w:rPr>
            </w:pPr>
            <w:proofErr w:type="spellStart"/>
            <w:r w:rsidRPr="00504D7E">
              <w:rPr>
                <w:color w:val="000000"/>
                <w:sz w:val="18"/>
                <w:szCs w:val="18"/>
              </w:rPr>
              <w:t>Malopolskie</w:t>
            </w:r>
            <w:proofErr w:type="spellEnd"/>
          </w:p>
        </w:tc>
        <w:tc>
          <w:tcPr>
            <w:tcW w:w="340" w:type="dxa"/>
            <w:tcBorders>
              <w:top w:val="nil"/>
              <w:left w:val="nil"/>
              <w:bottom w:val="nil"/>
              <w:right w:val="nil"/>
            </w:tcBorders>
            <w:shd w:val="clear" w:color="auto" w:fill="auto"/>
            <w:noWrap/>
            <w:vAlign w:val="bottom"/>
            <w:hideMark/>
          </w:tcPr>
          <w:p w14:paraId="11089A4A"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1213B338" w14:textId="77777777" w:rsidR="00370D59" w:rsidRPr="00504D7E" w:rsidRDefault="00370D59" w:rsidP="00370D59">
            <w:pPr>
              <w:rPr>
                <w:color w:val="000000"/>
                <w:sz w:val="18"/>
                <w:szCs w:val="18"/>
              </w:rPr>
            </w:pPr>
            <w:r w:rsidRPr="00504D7E">
              <w:rPr>
                <w:color w:val="000000"/>
                <w:sz w:val="18"/>
                <w:szCs w:val="18"/>
              </w:rPr>
              <w:t>UKD5</w:t>
            </w:r>
          </w:p>
        </w:tc>
        <w:tc>
          <w:tcPr>
            <w:tcW w:w="3820" w:type="dxa"/>
            <w:tcBorders>
              <w:top w:val="nil"/>
              <w:left w:val="nil"/>
              <w:bottom w:val="nil"/>
              <w:right w:val="nil"/>
            </w:tcBorders>
            <w:shd w:val="clear" w:color="auto" w:fill="auto"/>
            <w:noWrap/>
            <w:vAlign w:val="bottom"/>
            <w:hideMark/>
          </w:tcPr>
          <w:p w14:paraId="18CF36E0" w14:textId="77777777" w:rsidR="00370D59" w:rsidRPr="00504D7E" w:rsidRDefault="00370D59" w:rsidP="00370D59">
            <w:pPr>
              <w:rPr>
                <w:color w:val="000000"/>
                <w:sz w:val="18"/>
                <w:szCs w:val="18"/>
              </w:rPr>
            </w:pPr>
            <w:proofErr w:type="spellStart"/>
            <w:r w:rsidRPr="00504D7E">
              <w:rPr>
                <w:color w:val="000000"/>
                <w:sz w:val="18"/>
                <w:szCs w:val="18"/>
              </w:rPr>
              <w:t>Merseyside</w:t>
            </w:r>
            <w:proofErr w:type="spellEnd"/>
            <w:r w:rsidRPr="00504D7E">
              <w:rPr>
                <w:color w:val="000000"/>
                <w:sz w:val="18"/>
                <w:szCs w:val="18"/>
              </w:rPr>
              <w:t xml:space="preserve"> (NUTS 2006)</w:t>
            </w:r>
          </w:p>
        </w:tc>
        <w:tc>
          <w:tcPr>
            <w:tcW w:w="460" w:type="dxa"/>
            <w:tcBorders>
              <w:top w:val="nil"/>
              <w:left w:val="nil"/>
              <w:bottom w:val="nil"/>
              <w:right w:val="nil"/>
            </w:tcBorders>
            <w:shd w:val="clear" w:color="auto" w:fill="auto"/>
            <w:noWrap/>
            <w:vAlign w:val="bottom"/>
            <w:hideMark/>
          </w:tcPr>
          <w:p w14:paraId="6078E672"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192D90AA" w14:textId="77777777" w:rsidR="00370D59" w:rsidRPr="00504D7E" w:rsidRDefault="00370D59" w:rsidP="00370D59">
            <w:pPr>
              <w:rPr>
                <w:color w:val="000000"/>
                <w:sz w:val="18"/>
                <w:szCs w:val="18"/>
              </w:rPr>
            </w:pPr>
            <w:r w:rsidRPr="00504D7E">
              <w:rPr>
                <w:color w:val="000000"/>
                <w:sz w:val="18"/>
                <w:szCs w:val="18"/>
              </w:rPr>
              <w:t>NO04</w:t>
            </w:r>
          </w:p>
        </w:tc>
        <w:tc>
          <w:tcPr>
            <w:tcW w:w="1640" w:type="dxa"/>
            <w:tcBorders>
              <w:top w:val="nil"/>
              <w:left w:val="nil"/>
              <w:bottom w:val="nil"/>
              <w:right w:val="nil"/>
            </w:tcBorders>
            <w:shd w:val="clear" w:color="auto" w:fill="auto"/>
            <w:noWrap/>
            <w:vAlign w:val="bottom"/>
            <w:hideMark/>
          </w:tcPr>
          <w:p w14:paraId="041376CB" w14:textId="77777777" w:rsidR="00370D59" w:rsidRPr="00504D7E" w:rsidRDefault="00370D59" w:rsidP="00370D59">
            <w:pPr>
              <w:rPr>
                <w:color w:val="000000"/>
                <w:sz w:val="18"/>
                <w:szCs w:val="18"/>
              </w:rPr>
            </w:pPr>
            <w:proofErr w:type="spellStart"/>
            <w:r w:rsidRPr="00504D7E">
              <w:rPr>
                <w:color w:val="000000"/>
                <w:sz w:val="18"/>
                <w:szCs w:val="18"/>
              </w:rPr>
              <w:t>Agder</w:t>
            </w:r>
            <w:proofErr w:type="spellEnd"/>
            <w:r w:rsidRPr="00504D7E">
              <w:rPr>
                <w:color w:val="000000"/>
                <w:sz w:val="18"/>
                <w:szCs w:val="18"/>
              </w:rPr>
              <w:t xml:space="preserve"> </w:t>
            </w:r>
            <w:proofErr w:type="spellStart"/>
            <w:r w:rsidRPr="00504D7E">
              <w:rPr>
                <w:color w:val="000000"/>
                <w:sz w:val="18"/>
                <w:szCs w:val="18"/>
              </w:rPr>
              <w:t>og</w:t>
            </w:r>
            <w:proofErr w:type="spellEnd"/>
            <w:r w:rsidRPr="00504D7E">
              <w:rPr>
                <w:color w:val="000000"/>
                <w:sz w:val="18"/>
                <w:szCs w:val="18"/>
              </w:rPr>
              <w:t xml:space="preserve"> </w:t>
            </w:r>
            <w:proofErr w:type="spellStart"/>
            <w:r w:rsidRPr="00504D7E">
              <w:rPr>
                <w:color w:val="000000"/>
                <w:sz w:val="18"/>
                <w:szCs w:val="18"/>
              </w:rPr>
              <w:t>Rogaland</w:t>
            </w:r>
            <w:proofErr w:type="spellEnd"/>
          </w:p>
        </w:tc>
      </w:tr>
      <w:tr w:rsidR="00370D59" w:rsidRPr="00504D7E" w14:paraId="7047D1BB" w14:textId="77777777" w:rsidTr="00370D59">
        <w:trPr>
          <w:trHeight w:val="300"/>
        </w:trPr>
        <w:tc>
          <w:tcPr>
            <w:tcW w:w="700" w:type="dxa"/>
            <w:tcBorders>
              <w:top w:val="nil"/>
              <w:left w:val="nil"/>
              <w:bottom w:val="nil"/>
              <w:right w:val="nil"/>
            </w:tcBorders>
            <w:shd w:val="clear" w:color="auto" w:fill="auto"/>
            <w:noWrap/>
            <w:vAlign w:val="bottom"/>
            <w:hideMark/>
          </w:tcPr>
          <w:p w14:paraId="7CB39A62" w14:textId="77777777" w:rsidR="00370D59" w:rsidRPr="00504D7E" w:rsidRDefault="00370D59" w:rsidP="00370D59">
            <w:pPr>
              <w:rPr>
                <w:color w:val="000000"/>
                <w:sz w:val="18"/>
                <w:szCs w:val="18"/>
              </w:rPr>
            </w:pPr>
            <w:r w:rsidRPr="00504D7E">
              <w:rPr>
                <w:color w:val="000000"/>
                <w:sz w:val="18"/>
                <w:szCs w:val="18"/>
              </w:rPr>
              <w:t>PL22</w:t>
            </w:r>
          </w:p>
        </w:tc>
        <w:tc>
          <w:tcPr>
            <w:tcW w:w="2040" w:type="dxa"/>
            <w:tcBorders>
              <w:top w:val="nil"/>
              <w:left w:val="nil"/>
              <w:bottom w:val="nil"/>
              <w:right w:val="nil"/>
            </w:tcBorders>
            <w:shd w:val="clear" w:color="auto" w:fill="auto"/>
            <w:noWrap/>
            <w:vAlign w:val="bottom"/>
            <w:hideMark/>
          </w:tcPr>
          <w:p w14:paraId="11369C6A" w14:textId="77777777" w:rsidR="00370D59" w:rsidRPr="00504D7E" w:rsidRDefault="00370D59" w:rsidP="00370D59">
            <w:pPr>
              <w:rPr>
                <w:color w:val="000000"/>
                <w:sz w:val="18"/>
                <w:szCs w:val="18"/>
              </w:rPr>
            </w:pPr>
            <w:proofErr w:type="spellStart"/>
            <w:r w:rsidRPr="00504D7E">
              <w:rPr>
                <w:color w:val="000000"/>
                <w:sz w:val="18"/>
                <w:szCs w:val="18"/>
              </w:rPr>
              <w:t>Slaskie</w:t>
            </w:r>
            <w:proofErr w:type="spellEnd"/>
          </w:p>
        </w:tc>
        <w:tc>
          <w:tcPr>
            <w:tcW w:w="340" w:type="dxa"/>
            <w:tcBorders>
              <w:top w:val="nil"/>
              <w:left w:val="nil"/>
              <w:bottom w:val="nil"/>
              <w:right w:val="nil"/>
            </w:tcBorders>
            <w:shd w:val="clear" w:color="auto" w:fill="auto"/>
            <w:noWrap/>
            <w:vAlign w:val="bottom"/>
            <w:hideMark/>
          </w:tcPr>
          <w:p w14:paraId="771B36E4"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6A15C55B" w14:textId="77777777" w:rsidR="00370D59" w:rsidRPr="00504D7E" w:rsidRDefault="00370D59" w:rsidP="00370D59">
            <w:pPr>
              <w:rPr>
                <w:color w:val="000000"/>
                <w:sz w:val="18"/>
                <w:szCs w:val="18"/>
              </w:rPr>
            </w:pPr>
            <w:r w:rsidRPr="00504D7E">
              <w:rPr>
                <w:color w:val="000000"/>
                <w:sz w:val="18"/>
                <w:szCs w:val="18"/>
              </w:rPr>
              <w:t>UKE3</w:t>
            </w:r>
          </w:p>
        </w:tc>
        <w:tc>
          <w:tcPr>
            <w:tcW w:w="3820" w:type="dxa"/>
            <w:tcBorders>
              <w:top w:val="nil"/>
              <w:left w:val="nil"/>
              <w:bottom w:val="nil"/>
              <w:right w:val="nil"/>
            </w:tcBorders>
            <w:shd w:val="clear" w:color="auto" w:fill="auto"/>
            <w:noWrap/>
            <w:vAlign w:val="bottom"/>
            <w:hideMark/>
          </w:tcPr>
          <w:p w14:paraId="60413010" w14:textId="77777777" w:rsidR="00370D59" w:rsidRPr="00504D7E" w:rsidRDefault="00370D59" w:rsidP="00370D59">
            <w:pPr>
              <w:rPr>
                <w:color w:val="000000"/>
                <w:sz w:val="18"/>
                <w:szCs w:val="18"/>
              </w:rPr>
            </w:pPr>
            <w:r w:rsidRPr="00504D7E">
              <w:rPr>
                <w:color w:val="000000"/>
                <w:sz w:val="18"/>
                <w:szCs w:val="18"/>
              </w:rPr>
              <w:t>South Yorkshire</w:t>
            </w:r>
          </w:p>
        </w:tc>
        <w:tc>
          <w:tcPr>
            <w:tcW w:w="460" w:type="dxa"/>
            <w:tcBorders>
              <w:top w:val="nil"/>
              <w:left w:val="nil"/>
              <w:bottom w:val="nil"/>
              <w:right w:val="nil"/>
            </w:tcBorders>
            <w:shd w:val="clear" w:color="auto" w:fill="auto"/>
            <w:noWrap/>
            <w:vAlign w:val="bottom"/>
            <w:hideMark/>
          </w:tcPr>
          <w:p w14:paraId="3FDDC741"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3A31E29A" w14:textId="77777777" w:rsidR="00370D59" w:rsidRPr="00504D7E" w:rsidRDefault="00370D59" w:rsidP="00370D59">
            <w:pPr>
              <w:rPr>
                <w:color w:val="000000"/>
                <w:sz w:val="18"/>
                <w:szCs w:val="18"/>
              </w:rPr>
            </w:pPr>
            <w:r w:rsidRPr="00504D7E">
              <w:rPr>
                <w:color w:val="000000"/>
                <w:sz w:val="18"/>
                <w:szCs w:val="18"/>
              </w:rPr>
              <w:t>NO05</w:t>
            </w:r>
          </w:p>
        </w:tc>
        <w:tc>
          <w:tcPr>
            <w:tcW w:w="1640" w:type="dxa"/>
            <w:tcBorders>
              <w:top w:val="nil"/>
              <w:left w:val="nil"/>
              <w:bottom w:val="nil"/>
              <w:right w:val="nil"/>
            </w:tcBorders>
            <w:shd w:val="clear" w:color="auto" w:fill="auto"/>
            <w:noWrap/>
            <w:vAlign w:val="bottom"/>
            <w:hideMark/>
          </w:tcPr>
          <w:p w14:paraId="26CF0D8E" w14:textId="77777777" w:rsidR="00370D59" w:rsidRPr="00504D7E" w:rsidRDefault="00370D59" w:rsidP="00370D59">
            <w:pPr>
              <w:rPr>
                <w:color w:val="000000"/>
                <w:sz w:val="18"/>
                <w:szCs w:val="18"/>
              </w:rPr>
            </w:pPr>
            <w:proofErr w:type="spellStart"/>
            <w:r w:rsidRPr="00504D7E">
              <w:rPr>
                <w:color w:val="000000"/>
                <w:sz w:val="18"/>
                <w:szCs w:val="18"/>
              </w:rPr>
              <w:t>Vestlandet</w:t>
            </w:r>
            <w:proofErr w:type="spellEnd"/>
          </w:p>
        </w:tc>
      </w:tr>
      <w:tr w:rsidR="00370D59" w:rsidRPr="00504D7E" w14:paraId="6920D0A3" w14:textId="77777777" w:rsidTr="00370D59">
        <w:trPr>
          <w:trHeight w:val="300"/>
        </w:trPr>
        <w:tc>
          <w:tcPr>
            <w:tcW w:w="700" w:type="dxa"/>
            <w:tcBorders>
              <w:top w:val="nil"/>
              <w:left w:val="nil"/>
              <w:bottom w:val="nil"/>
              <w:right w:val="nil"/>
            </w:tcBorders>
            <w:shd w:val="clear" w:color="auto" w:fill="auto"/>
            <w:noWrap/>
            <w:vAlign w:val="bottom"/>
            <w:hideMark/>
          </w:tcPr>
          <w:p w14:paraId="0E45E846" w14:textId="77777777" w:rsidR="00370D59" w:rsidRPr="00504D7E" w:rsidRDefault="00370D59" w:rsidP="00370D59">
            <w:pPr>
              <w:rPr>
                <w:color w:val="000000"/>
                <w:sz w:val="18"/>
                <w:szCs w:val="18"/>
              </w:rPr>
            </w:pPr>
            <w:r w:rsidRPr="00504D7E">
              <w:rPr>
                <w:color w:val="000000"/>
                <w:sz w:val="18"/>
                <w:szCs w:val="18"/>
              </w:rPr>
              <w:t>PL32</w:t>
            </w:r>
          </w:p>
        </w:tc>
        <w:tc>
          <w:tcPr>
            <w:tcW w:w="2040" w:type="dxa"/>
            <w:tcBorders>
              <w:top w:val="nil"/>
              <w:left w:val="nil"/>
              <w:bottom w:val="nil"/>
              <w:right w:val="nil"/>
            </w:tcBorders>
            <w:shd w:val="clear" w:color="auto" w:fill="auto"/>
            <w:noWrap/>
            <w:vAlign w:val="bottom"/>
            <w:hideMark/>
          </w:tcPr>
          <w:p w14:paraId="2AEC8A4A" w14:textId="77777777" w:rsidR="00370D59" w:rsidRPr="00504D7E" w:rsidRDefault="00370D59" w:rsidP="00370D59">
            <w:pPr>
              <w:rPr>
                <w:color w:val="000000"/>
                <w:sz w:val="18"/>
                <w:szCs w:val="18"/>
              </w:rPr>
            </w:pPr>
            <w:proofErr w:type="spellStart"/>
            <w:r w:rsidRPr="00504D7E">
              <w:rPr>
                <w:color w:val="000000"/>
                <w:sz w:val="18"/>
                <w:szCs w:val="18"/>
              </w:rPr>
              <w:t>Podkarpackie</w:t>
            </w:r>
            <w:proofErr w:type="spellEnd"/>
          </w:p>
        </w:tc>
        <w:tc>
          <w:tcPr>
            <w:tcW w:w="340" w:type="dxa"/>
            <w:tcBorders>
              <w:top w:val="nil"/>
              <w:left w:val="nil"/>
              <w:bottom w:val="nil"/>
              <w:right w:val="nil"/>
            </w:tcBorders>
            <w:shd w:val="clear" w:color="auto" w:fill="auto"/>
            <w:noWrap/>
            <w:vAlign w:val="bottom"/>
            <w:hideMark/>
          </w:tcPr>
          <w:p w14:paraId="4F820FF3"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4BAAB9AA" w14:textId="77777777" w:rsidR="00370D59" w:rsidRPr="00504D7E" w:rsidRDefault="00370D59" w:rsidP="00370D59">
            <w:pPr>
              <w:rPr>
                <w:color w:val="000000"/>
                <w:sz w:val="18"/>
                <w:szCs w:val="18"/>
              </w:rPr>
            </w:pPr>
            <w:r w:rsidRPr="00504D7E">
              <w:rPr>
                <w:color w:val="000000"/>
                <w:sz w:val="18"/>
                <w:szCs w:val="18"/>
              </w:rPr>
              <w:t>UKE4</w:t>
            </w:r>
          </w:p>
        </w:tc>
        <w:tc>
          <w:tcPr>
            <w:tcW w:w="3820" w:type="dxa"/>
            <w:tcBorders>
              <w:top w:val="nil"/>
              <w:left w:val="nil"/>
              <w:bottom w:val="nil"/>
              <w:right w:val="nil"/>
            </w:tcBorders>
            <w:shd w:val="clear" w:color="auto" w:fill="auto"/>
            <w:noWrap/>
            <w:vAlign w:val="bottom"/>
            <w:hideMark/>
          </w:tcPr>
          <w:p w14:paraId="6FA1872C" w14:textId="77777777" w:rsidR="00370D59" w:rsidRPr="00504D7E" w:rsidRDefault="00370D59" w:rsidP="00370D59">
            <w:pPr>
              <w:rPr>
                <w:color w:val="000000"/>
                <w:sz w:val="18"/>
                <w:szCs w:val="18"/>
              </w:rPr>
            </w:pPr>
            <w:r w:rsidRPr="00504D7E">
              <w:rPr>
                <w:color w:val="000000"/>
                <w:sz w:val="18"/>
                <w:szCs w:val="18"/>
              </w:rPr>
              <w:t>West Yorkshire</w:t>
            </w:r>
          </w:p>
        </w:tc>
        <w:tc>
          <w:tcPr>
            <w:tcW w:w="460" w:type="dxa"/>
            <w:tcBorders>
              <w:top w:val="nil"/>
              <w:left w:val="nil"/>
              <w:bottom w:val="nil"/>
              <w:right w:val="nil"/>
            </w:tcBorders>
            <w:shd w:val="clear" w:color="auto" w:fill="auto"/>
            <w:noWrap/>
            <w:vAlign w:val="bottom"/>
            <w:hideMark/>
          </w:tcPr>
          <w:p w14:paraId="22CB89B7"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756EE627" w14:textId="77777777" w:rsidR="00370D59" w:rsidRPr="00504D7E" w:rsidRDefault="00370D59" w:rsidP="00370D59">
            <w:pPr>
              <w:rPr>
                <w:color w:val="000000"/>
                <w:sz w:val="18"/>
                <w:szCs w:val="18"/>
              </w:rPr>
            </w:pPr>
            <w:r w:rsidRPr="00504D7E">
              <w:rPr>
                <w:color w:val="000000"/>
                <w:sz w:val="18"/>
                <w:szCs w:val="18"/>
              </w:rPr>
              <w:t>NO06</w:t>
            </w:r>
          </w:p>
        </w:tc>
        <w:tc>
          <w:tcPr>
            <w:tcW w:w="1640" w:type="dxa"/>
            <w:tcBorders>
              <w:top w:val="nil"/>
              <w:left w:val="nil"/>
              <w:bottom w:val="nil"/>
              <w:right w:val="nil"/>
            </w:tcBorders>
            <w:shd w:val="clear" w:color="auto" w:fill="auto"/>
            <w:noWrap/>
            <w:vAlign w:val="bottom"/>
            <w:hideMark/>
          </w:tcPr>
          <w:p w14:paraId="3A805A9B" w14:textId="77777777" w:rsidR="00370D59" w:rsidRPr="00504D7E" w:rsidRDefault="00370D59" w:rsidP="00370D59">
            <w:pPr>
              <w:rPr>
                <w:color w:val="000000"/>
                <w:sz w:val="18"/>
                <w:szCs w:val="18"/>
              </w:rPr>
            </w:pPr>
            <w:proofErr w:type="spellStart"/>
            <w:r w:rsidRPr="00504D7E">
              <w:rPr>
                <w:color w:val="000000"/>
                <w:sz w:val="18"/>
                <w:szCs w:val="18"/>
              </w:rPr>
              <w:t>Trøndelag</w:t>
            </w:r>
            <w:proofErr w:type="spellEnd"/>
          </w:p>
        </w:tc>
      </w:tr>
      <w:tr w:rsidR="00370D59" w:rsidRPr="00504D7E" w14:paraId="2B1B77CA" w14:textId="77777777" w:rsidTr="00370D59">
        <w:trPr>
          <w:trHeight w:val="300"/>
        </w:trPr>
        <w:tc>
          <w:tcPr>
            <w:tcW w:w="700" w:type="dxa"/>
            <w:tcBorders>
              <w:top w:val="nil"/>
              <w:left w:val="nil"/>
              <w:bottom w:val="nil"/>
              <w:right w:val="nil"/>
            </w:tcBorders>
            <w:shd w:val="clear" w:color="auto" w:fill="auto"/>
            <w:noWrap/>
            <w:vAlign w:val="bottom"/>
            <w:hideMark/>
          </w:tcPr>
          <w:p w14:paraId="2AF0DF5F" w14:textId="77777777" w:rsidR="00370D59" w:rsidRPr="00504D7E" w:rsidRDefault="00370D59" w:rsidP="00370D59">
            <w:pPr>
              <w:rPr>
                <w:color w:val="000000"/>
                <w:sz w:val="18"/>
                <w:szCs w:val="18"/>
              </w:rPr>
            </w:pPr>
            <w:r w:rsidRPr="00504D7E">
              <w:rPr>
                <w:color w:val="000000"/>
                <w:sz w:val="18"/>
                <w:szCs w:val="18"/>
              </w:rPr>
              <w:t>PL34</w:t>
            </w:r>
          </w:p>
        </w:tc>
        <w:tc>
          <w:tcPr>
            <w:tcW w:w="2040" w:type="dxa"/>
            <w:tcBorders>
              <w:top w:val="nil"/>
              <w:left w:val="nil"/>
              <w:bottom w:val="nil"/>
              <w:right w:val="nil"/>
            </w:tcBorders>
            <w:shd w:val="clear" w:color="auto" w:fill="auto"/>
            <w:noWrap/>
            <w:vAlign w:val="bottom"/>
            <w:hideMark/>
          </w:tcPr>
          <w:p w14:paraId="75B61766" w14:textId="77777777" w:rsidR="00370D59" w:rsidRPr="00504D7E" w:rsidRDefault="00370D59" w:rsidP="00370D59">
            <w:pPr>
              <w:rPr>
                <w:color w:val="000000"/>
                <w:sz w:val="18"/>
                <w:szCs w:val="18"/>
              </w:rPr>
            </w:pPr>
            <w:proofErr w:type="spellStart"/>
            <w:r w:rsidRPr="00504D7E">
              <w:rPr>
                <w:color w:val="000000"/>
                <w:sz w:val="18"/>
                <w:szCs w:val="18"/>
              </w:rPr>
              <w:t>Podlaskie</w:t>
            </w:r>
            <w:proofErr w:type="spellEnd"/>
          </w:p>
        </w:tc>
        <w:tc>
          <w:tcPr>
            <w:tcW w:w="340" w:type="dxa"/>
            <w:tcBorders>
              <w:top w:val="nil"/>
              <w:left w:val="nil"/>
              <w:bottom w:val="nil"/>
              <w:right w:val="nil"/>
            </w:tcBorders>
            <w:shd w:val="clear" w:color="auto" w:fill="auto"/>
            <w:noWrap/>
            <w:vAlign w:val="bottom"/>
            <w:hideMark/>
          </w:tcPr>
          <w:p w14:paraId="65ACA6BA"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2B852562" w14:textId="77777777" w:rsidR="00370D59" w:rsidRPr="00504D7E" w:rsidRDefault="00370D59" w:rsidP="00370D59">
            <w:pPr>
              <w:rPr>
                <w:color w:val="000000"/>
                <w:sz w:val="18"/>
                <w:szCs w:val="18"/>
              </w:rPr>
            </w:pPr>
            <w:r w:rsidRPr="00504D7E">
              <w:rPr>
                <w:color w:val="000000"/>
                <w:sz w:val="18"/>
                <w:szCs w:val="18"/>
              </w:rPr>
              <w:t>UKF2</w:t>
            </w:r>
          </w:p>
        </w:tc>
        <w:tc>
          <w:tcPr>
            <w:tcW w:w="3820" w:type="dxa"/>
            <w:tcBorders>
              <w:top w:val="nil"/>
              <w:left w:val="nil"/>
              <w:bottom w:val="nil"/>
              <w:right w:val="nil"/>
            </w:tcBorders>
            <w:shd w:val="clear" w:color="auto" w:fill="auto"/>
            <w:noWrap/>
            <w:vAlign w:val="bottom"/>
            <w:hideMark/>
          </w:tcPr>
          <w:p w14:paraId="2DF7E516" w14:textId="77777777" w:rsidR="00370D59" w:rsidRPr="00504D7E" w:rsidRDefault="00370D59" w:rsidP="00370D59">
            <w:pPr>
              <w:rPr>
                <w:color w:val="000000"/>
                <w:sz w:val="18"/>
                <w:szCs w:val="18"/>
              </w:rPr>
            </w:pPr>
            <w:proofErr w:type="spellStart"/>
            <w:r w:rsidRPr="00504D7E">
              <w:rPr>
                <w:color w:val="000000"/>
                <w:sz w:val="18"/>
                <w:szCs w:val="18"/>
              </w:rPr>
              <w:t>Leicestershire</w:t>
            </w:r>
            <w:proofErr w:type="spellEnd"/>
            <w:r w:rsidRPr="00504D7E">
              <w:rPr>
                <w:color w:val="000000"/>
                <w:sz w:val="18"/>
                <w:szCs w:val="18"/>
              </w:rPr>
              <w:t xml:space="preserve">, </w:t>
            </w:r>
            <w:proofErr w:type="spellStart"/>
            <w:r w:rsidRPr="00504D7E">
              <w:rPr>
                <w:color w:val="000000"/>
                <w:sz w:val="18"/>
                <w:szCs w:val="18"/>
              </w:rPr>
              <w:t>Rutland</w:t>
            </w:r>
            <w:proofErr w:type="spellEnd"/>
            <w:r w:rsidRPr="00504D7E">
              <w:rPr>
                <w:color w:val="000000"/>
                <w:sz w:val="18"/>
                <w:szCs w:val="18"/>
              </w:rPr>
              <w:t xml:space="preserve"> and </w:t>
            </w:r>
            <w:proofErr w:type="spellStart"/>
            <w:r w:rsidRPr="00504D7E">
              <w:rPr>
                <w:color w:val="000000"/>
                <w:sz w:val="18"/>
                <w:szCs w:val="18"/>
              </w:rPr>
              <w:t>Northamptonshire</w:t>
            </w:r>
            <w:proofErr w:type="spellEnd"/>
          </w:p>
        </w:tc>
        <w:tc>
          <w:tcPr>
            <w:tcW w:w="460" w:type="dxa"/>
            <w:tcBorders>
              <w:top w:val="nil"/>
              <w:left w:val="nil"/>
              <w:bottom w:val="nil"/>
              <w:right w:val="nil"/>
            </w:tcBorders>
            <w:shd w:val="clear" w:color="auto" w:fill="auto"/>
            <w:noWrap/>
            <w:vAlign w:val="bottom"/>
            <w:hideMark/>
          </w:tcPr>
          <w:p w14:paraId="1A1C5795"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4C58B9C2"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02DB1E06" w14:textId="77777777" w:rsidR="00370D59" w:rsidRPr="00504D7E" w:rsidRDefault="00370D59" w:rsidP="00370D59">
            <w:pPr>
              <w:rPr>
                <w:color w:val="000000"/>
              </w:rPr>
            </w:pPr>
          </w:p>
        </w:tc>
      </w:tr>
      <w:tr w:rsidR="00370D59" w:rsidRPr="00504D7E" w14:paraId="7F34EB2E" w14:textId="77777777" w:rsidTr="00370D59">
        <w:trPr>
          <w:trHeight w:val="300"/>
        </w:trPr>
        <w:tc>
          <w:tcPr>
            <w:tcW w:w="700" w:type="dxa"/>
            <w:tcBorders>
              <w:top w:val="nil"/>
              <w:left w:val="nil"/>
              <w:bottom w:val="nil"/>
              <w:right w:val="nil"/>
            </w:tcBorders>
            <w:shd w:val="clear" w:color="auto" w:fill="auto"/>
            <w:noWrap/>
            <w:vAlign w:val="bottom"/>
            <w:hideMark/>
          </w:tcPr>
          <w:p w14:paraId="57CF4F49" w14:textId="77777777" w:rsidR="00370D59" w:rsidRPr="00504D7E" w:rsidRDefault="00370D59" w:rsidP="00370D59">
            <w:pPr>
              <w:rPr>
                <w:color w:val="000000"/>
                <w:sz w:val="18"/>
                <w:szCs w:val="18"/>
              </w:rPr>
            </w:pPr>
            <w:r w:rsidRPr="00504D7E">
              <w:rPr>
                <w:color w:val="000000"/>
                <w:sz w:val="18"/>
                <w:szCs w:val="18"/>
              </w:rPr>
              <w:t>PL41</w:t>
            </w:r>
          </w:p>
        </w:tc>
        <w:tc>
          <w:tcPr>
            <w:tcW w:w="2040" w:type="dxa"/>
            <w:tcBorders>
              <w:top w:val="nil"/>
              <w:left w:val="nil"/>
              <w:bottom w:val="nil"/>
              <w:right w:val="nil"/>
            </w:tcBorders>
            <w:shd w:val="clear" w:color="auto" w:fill="auto"/>
            <w:noWrap/>
            <w:vAlign w:val="bottom"/>
            <w:hideMark/>
          </w:tcPr>
          <w:p w14:paraId="47217843" w14:textId="77777777" w:rsidR="00370D59" w:rsidRPr="00504D7E" w:rsidRDefault="00370D59" w:rsidP="00370D59">
            <w:pPr>
              <w:rPr>
                <w:color w:val="000000"/>
                <w:sz w:val="18"/>
                <w:szCs w:val="18"/>
              </w:rPr>
            </w:pPr>
            <w:proofErr w:type="spellStart"/>
            <w:r w:rsidRPr="00504D7E">
              <w:rPr>
                <w:color w:val="000000"/>
                <w:sz w:val="18"/>
                <w:szCs w:val="18"/>
              </w:rPr>
              <w:t>Wielkopolskie</w:t>
            </w:r>
            <w:proofErr w:type="spellEnd"/>
          </w:p>
        </w:tc>
        <w:tc>
          <w:tcPr>
            <w:tcW w:w="340" w:type="dxa"/>
            <w:tcBorders>
              <w:top w:val="nil"/>
              <w:left w:val="nil"/>
              <w:bottom w:val="nil"/>
              <w:right w:val="nil"/>
            </w:tcBorders>
            <w:shd w:val="clear" w:color="auto" w:fill="auto"/>
            <w:noWrap/>
            <w:vAlign w:val="bottom"/>
            <w:hideMark/>
          </w:tcPr>
          <w:p w14:paraId="6A0F8CE3"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719CC58A" w14:textId="77777777" w:rsidR="00370D59" w:rsidRPr="00504D7E" w:rsidRDefault="00370D59" w:rsidP="00370D59">
            <w:pPr>
              <w:rPr>
                <w:color w:val="000000"/>
                <w:sz w:val="18"/>
                <w:szCs w:val="18"/>
              </w:rPr>
            </w:pPr>
            <w:r w:rsidRPr="00504D7E">
              <w:rPr>
                <w:color w:val="000000"/>
                <w:sz w:val="18"/>
                <w:szCs w:val="18"/>
              </w:rPr>
              <w:t>UKG1</w:t>
            </w:r>
          </w:p>
        </w:tc>
        <w:tc>
          <w:tcPr>
            <w:tcW w:w="3820" w:type="dxa"/>
            <w:tcBorders>
              <w:top w:val="nil"/>
              <w:left w:val="nil"/>
              <w:bottom w:val="nil"/>
              <w:right w:val="nil"/>
            </w:tcBorders>
            <w:shd w:val="clear" w:color="auto" w:fill="auto"/>
            <w:noWrap/>
            <w:vAlign w:val="bottom"/>
            <w:hideMark/>
          </w:tcPr>
          <w:p w14:paraId="2653409C" w14:textId="77777777" w:rsidR="00370D59" w:rsidRPr="00504D7E" w:rsidRDefault="00370D59" w:rsidP="00370D59">
            <w:pPr>
              <w:rPr>
                <w:color w:val="000000"/>
                <w:sz w:val="18"/>
                <w:szCs w:val="18"/>
              </w:rPr>
            </w:pPr>
            <w:proofErr w:type="spellStart"/>
            <w:r w:rsidRPr="00504D7E">
              <w:rPr>
                <w:color w:val="000000"/>
                <w:sz w:val="18"/>
                <w:szCs w:val="18"/>
              </w:rPr>
              <w:t>Herefordshire</w:t>
            </w:r>
            <w:proofErr w:type="spellEnd"/>
            <w:r w:rsidRPr="00504D7E">
              <w:rPr>
                <w:color w:val="000000"/>
                <w:sz w:val="18"/>
                <w:szCs w:val="18"/>
              </w:rPr>
              <w:t xml:space="preserve">, </w:t>
            </w:r>
            <w:proofErr w:type="spellStart"/>
            <w:r w:rsidRPr="00504D7E">
              <w:rPr>
                <w:color w:val="000000"/>
                <w:sz w:val="18"/>
                <w:szCs w:val="18"/>
              </w:rPr>
              <w:t>Worcestershire</w:t>
            </w:r>
            <w:proofErr w:type="spellEnd"/>
            <w:r w:rsidRPr="00504D7E">
              <w:rPr>
                <w:color w:val="000000"/>
                <w:sz w:val="18"/>
                <w:szCs w:val="18"/>
              </w:rPr>
              <w:t xml:space="preserve"> and </w:t>
            </w:r>
            <w:proofErr w:type="spellStart"/>
            <w:r w:rsidRPr="00504D7E">
              <w:rPr>
                <w:color w:val="000000"/>
                <w:sz w:val="18"/>
                <w:szCs w:val="18"/>
              </w:rPr>
              <w:t>Warwickshire</w:t>
            </w:r>
            <w:proofErr w:type="spellEnd"/>
          </w:p>
        </w:tc>
        <w:tc>
          <w:tcPr>
            <w:tcW w:w="460" w:type="dxa"/>
            <w:tcBorders>
              <w:top w:val="nil"/>
              <w:left w:val="nil"/>
              <w:bottom w:val="nil"/>
              <w:right w:val="nil"/>
            </w:tcBorders>
            <w:shd w:val="clear" w:color="auto" w:fill="auto"/>
            <w:noWrap/>
            <w:vAlign w:val="bottom"/>
            <w:hideMark/>
          </w:tcPr>
          <w:p w14:paraId="62E275B7"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24CACD8A"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133BFBBB" w14:textId="77777777" w:rsidR="00370D59" w:rsidRPr="00504D7E" w:rsidRDefault="00370D59" w:rsidP="00370D59">
            <w:pPr>
              <w:rPr>
                <w:color w:val="000000"/>
              </w:rPr>
            </w:pPr>
          </w:p>
        </w:tc>
      </w:tr>
      <w:tr w:rsidR="00370D59" w:rsidRPr="00504D7E" w14:paraId="5B096275" w14:textId="77777777" w:rsidTr="00370D59">
        <w:trPr>
          <w:trHeight w:val="300"/>
        </w:trPr>
        <w:tc>
          <w:tcPr>
            <w:tcW w:w="700" w:type="dxa"/>
            <w:tcBorders>
              <w:top w:val="nil"/>
              <w:left w:val="nil"/>
              <w:bottom w:val="nil"/>
              <w:right w:val="nil"/>
            </w:tcBorders>
            <w:shd w:val="clear" w:color="auto" w:fill="auto"/>
            <w:noWrap/>
            <w:vAlign w:val="bottom"/>
            <w:hideMark/>
          </w:tcPr>
          <w:p w14:paraId="2C2F3108" w14:textId="77777777" w:rsidR="00370D59" w:rsidRPr="00504D7E" w:rsidRDefault="00370D59" w:rsidP="00370D59">
            <w:pPr>
              <w:rPr>
                <w:color w:val="000000"/>
                <w:sz w:val="18"/>
                <w:szCs w:val="18"/>
              </w:rPr>
            </w:pPr>
            <w:r w:rsidRPr="00504D7E">
              <w:rPr>
                <w:color w:val="000000"/>
                <w:sz w:val="18"/>
                <w:szCs w:val="18"/>
              </w:rPr>
              <w:t>PL42</w:t>
            </w:r>
          </w:p>
        </w:tc>
        <w:tc>
          <w:tcPr>
            <w:tcW w:w="2040" w:type="dxa"/>
            <w:tcBorders>
              <w:top w:val="nil"/>
              <w:left w:val="nil"/>
              <w:bottom w:val="nil"/>
              <w:right w:val="nil"/>
            </w:tcBorders>
            <w:shd w:val="clear" w:color="auto" w:fill="auto"/>
            <w:noWrap/>
            <w:vAlign w:val="bottom"/>
            <w:hideMark/>
          </w:tcPr>
          <w:p w14:paraId="2978DA59" w14:textId="77777777" w:rsidR="00370D59" w:rsidRPr="00504D7E" w:rsidRDefault="00370D59" w:rsidP="00370D59">
            <w:pPr>
              <w:rPr>
                <w:color w:val="000000"/>
                <w:sz w:val="18"/>
                <w:szCs w:val="18"/>
              </w:rPr>
            </w:pPr>
            <w:proofErr w:type="spellStart"/>
            <w:r w:rsidRPr="00504D7E">
              <w:rPr>
                <w:color w:val="000000"/>
                <w:sz w:val="18"/>
                <w:szCs w:val="18"/>
              </w:rPr>
              <w:t>Zachodniopomorskie</w:t>
            </w:r>
            <w:proofErr w:type="spellEnd"/>
          </w:p>
        </w:tc>
        <w:tc>
          <w:tcPr>
            <w:tcW w:w="340" w:type="dxa"/>
            <w:tcBorders>
              <w:top w:val="nil"/>
              <w:left w:val="nil"/>
              <w:bottom w:val="nil"/>
              <w:right w:val="nil"/>
            </w:tcBorders>
            <w:shd w:val="clear" w:color="auto" w:fill="auto"/>
            <w:noWrap/>
            <w:vAlign w:val="bottom"/>
            <w:hideMark/>
          </w:tcPr>
          <w:p w14:paraId="1C5D4507"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412DD5F7" w14:textId="77777777" w:rsidR="00370D59" w:rsidRPr="00504D7E" w:rsidRDefault="00370D59" w:rsidP="00370D59">
            <w:pPr>
              <w:rPr>
                <w:color w:val="000000"/>
                <w:sz w:val="18"/>
                <w:szCs w:val="18"/>
              </w:rPr>
            </w:pPr>
            <w:r w:rsidRPr="00504D7E">
              <w:rPr>
                <w:color w:val="000000"/>
                <w:sz w:val="18"/>
                <w:szCs w:val="18"/>
              </w:rPr>
              <w:t>UKG2</w:t>
            </w:r>
          </w:p>
        </w:tc>
        <w:tc>
          <w:tcPr>
            <w:tcW w:w="3820" w:type="dxa"/>
            <w:tcBorders>
              <w:top w:val="nil"/>
              <w:left w:val="nil"/>
              <w:bottom w:val="nil"/>
              <w:right w:val="nil"/>
            </w:tcBorders>
            <w:shd w:val="clear" w:color="auto" w:fill="auto"/>
            <w:noWrap/>
            <w:vAlign w:val="bottom"/>
            <w:hideMark/>
          </w:tcPr>
          <w:p w14:paraId="167635F5" w14:textId="77777777" w:rsidR="00370D59" w:rsidRPr="00504D7E" w:rsidRDefault="00370D59" w:rsidP="00370D59">
            <w:pPr>
              <w:rPr>
                <w:color w:val="000000"/>
                <w:sz w:val="18"/>
                <w:szCs w:val="18"/>
              </w:rPr>
            </w:pPr>
            <w:proofErr w:type="spellStart"/>
            <w:r w:rsidRPr="00504D7E">
              <w:rPr>
                <w:color w:val="000000"/>
                <w:sz w:val="18"/>
                <w:szCs w:val="18"/>
              </w:rPr>
              <w:t>Shropshire</w:t>
            </w:r>
            <w:proofErr w:type="spellEnd"/>
            <w:r w:rsidRPr="00504D7E">
              <w:rPr>
                <w:color w:val="000000"/>
                <w:sz w:val="18"/>
                <w:szCs w:val="18"/>
              </w:rPr>
              <w:t xml:space="preserve"> and </w:t>
            </w:r>
            <w:proofErr w:type="spellStart"/>
            <w:r w:rsidRPr="00504D7E">
              <w:rPr>
                <w:color w:val="000000"/>
                <w:sz w:val="18"/>
                <w:szCs w:val="18"/>
              </w:rPr>
              <w:t>Staffordshire</w:t>
            </w:r>
            <w:proofErr w:type="spellEnd"/>
          </w:p>
        </w:tc>
        <w:tc>
          <w:tcPr>
            <w:tcW w:w="460" w:type="dxa"/>
            <w:tcBorders>
              <w:top w:val="nil"/>
              <w:left w:val="nil"/>
              <w:bottom w:val="nil"/>
              <w:right w:val="nil"/>
            </w:tcBorders>
            <w:shd w:val="clear" w:color="auto" w:fill="auto"/>
            <w:noWrap/>
            <w:vAlign w:val="bottom"/>
            <w:hideMark/>
          </w:tcPr>
          <w:p w14:paraId="5000A795"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4429E615"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166C7D23" w14:textId="77777777" w:rsidR="00370D59" w:rsidRPr="00504D7E" w:rsidRDefault="00370D59" w:rsidP="00370D59">
            <w:pPr>
              <w:rPr>
                <w:color w:val="000000"/>
              </w:rPr>
            </w:pPr>
          </w:p>
        </w:tc>
      </w:tr>
      <w:tr w:rsidR="00370D59" w:rsidRPr="00504D7E" w14:paraId="475EB09F" w14:textId="77777777" w:rsidTr="00370D59">
        <w:trPr>
          <w:trHeight w:val="300"/>
        </w:trPr>
        <w:tc>
          <w:tcPr>
            <w:tcW w:w="700" w:type="dxa"/>
            <w:tcBorders>
              <w:top w:val="nil"/>
              <w:left w:val="nil"/>
              <w:bottom w:val="nil"/>
              <w:right w:val="nil"/>
            </w:tcBorders>
            <w:shd w:val="clear" w:color="auto" w:fill="auto"/>
            <w:noWrap/>
            <w:vAlign w:val="bottom"/>
            <w:hideMark/>
          </w:tcPr>
          <w:p w14:paraId="12130BEE" w14:textId="77777777" w:rsidR="00370D59" w:rsidRPr="00504D7E" w:rsidRDefault="00370D59" w:rsidP="00370D59">
            <w:pPr>
              <w:rPr>
                <w:color w:val="000000"/>
                <w:sz w:val="18"/>
                <w:szCs w:val="18"/>
              </w:rPr>
            </w:pPr>
            <w:r w:rsidRPr="00504D7E">
              <w:rPr>
                <w:color w:val="000000"/>
                <w:sz w:val="18"/>
                <w:szCs w:val="18"/>
              </w:rPr>
              <w:t>PL43</w:t>
            </w:r>
          </w:p>
        </w:tc>
        <w:tc>
          <w:tcPr>
            <w:tcW w:w="2040" w:type="dxa"/>
            <w:tcBorders>
              <w:top w:val="nil"/>
              <w:left w:val="nil"/>
              <w:bottom w:val="nil"/>
              <w:right w:val="nil"/>
            </w:tcBorders>
            <w:shd w:val="clear" w:color="auto" w:fill="auto"/>
            <w:noWrap/>
            <w:vAlign w:val="bottom"/>
            <w:hideMark/>
          </w:tcPr>
          <w:p w14:paraId="7FBD72BD" w14:textId="77777777" w:rsidR="00370D59" w:rsidRPr="00504D7E" w:rsidRDefault="00370D59" w:rsidP="00370D59">
            <w:pPr>
              <w:rPr>
                <w:color w:val="000000"/>
                <w:sz w:val="18"/>
                <w:szCs w:val="18"/>
              </w:rPr>
            </w:pPr>
            <w:proofErr w:type="spellStart"/>
            <w:r w:rsidRPr="00504D7E">
              <w:rPr>
                <w:color w:val="000000"/>
                <w:sz w:val="18"/>
                <w:szCs w:val="18"/>
              </w:rPr>
              <w:t>Lubuskie</w:t>
            </w:r>
            <w:proofErr w:type="spellEnd"/>
          </w:p>
        </w:tc>
        <w:tc>
          <w:tcPr>
            <w:tcW w:w="340" w:type="dxa"/>
            <w:tcBorders>
              <w:top w:val="nil"/>
              <w:left w:val="nil"/>
              <w:bottom w:val="nil"/>
              <w:right w:val="nil"/>
            </w:tcBorders>
            <w:shd w:val="clear" w:color="auto" w:fill="auto"/>
            <w:noWrap/>
            <w:vAlign w:val="bottom"/>
            <w:hideMark/>
          </w:tcPr>
          <w:p w14:paraId="21E7AF3A"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503A1392" w14:textId="77777777" w:rsidR="00370D59" w:rsidRPr="00504D7E" w:rsidRDefault="00370D59" w:rsidP="00370D59">
            <w:pPr>
              <w:rPr>
                <w:color w:val="000000"/>
                <w:sz w:val="18"/>
                <w:szCs w:val="18"/>
              </w:rPr>
            </w:pPr>
            <w:r w:rsidRPr="00504D7E">
              <w:rPr>
                <w:color w:val="000000"/>
                <w:sz w:val="18"/>
                <w:szCs w:val="18"/>
              </w:rPr>
              <w:t>UKG3</w:t>
            </w:r>
          </w:p>
        </w:tc>
        <w:tc>
          <w:tcPr>
            <w:tcW w:w="3820" w:type="dxa"/>
            <w:tcBorders>
              <w:top w:val="nil"/>
              <w:left w:val="nil"/>
              <w:bottom w:val="nil"/>
              <w:right w:val="nil"/>
            </w:tcBorders>
            <w:shd w:val="clear" w:color="auto" w:fill="auto"/>
            <w:noWrap/>
            <w:vAlign w:val="bottom"/>
            <w:hideMark/>
          </w:tcPr>
          <w:p w14:paraId="5F0D9729" w14:textId="77777777" w:rsidR="00370D59" w:rsidRPr="00504D7E" w:rsidRDefault="00370D59" w:rsidP="00370D59">
            <w:pPr>
              <w:rPr>
                <w:color w:val="000000"/>
                <w:sz w:val="18"/>
                <w:szCs w:val="18"/>
              </w:rPr>
            </w:pPr>
            <w:r w:rsidRPr="00504D7E">
              <w:rPr>
                <w:color w:val="000000"/>
                <w:sz w:val="18"/>
                <w:szCs w:val="18"/>
              </w:rPr>
              <w:t xml:space="preserve">West </w:t>
            </w:r>
            <w:proofErr w:type="spellStart"/>
            <w:r w:rsidRPr="00504D7E">
              <w:rPr>
                <w:color w:val="000000"/>
                <w:sz w:val="18"/>
                <w:szCs w:val="18"/>
              </w:rPr>
              <w:t>Midlands</w:t>
            </w:r>
            <w:proofErr w:type="spellEnd"/>
          </w:p>
        </w:tc>
        <w:tc>
          <w:tcPr>
            <w:tcW w:w="460" w:type="dxa"/>
            <w:tcBorders>
              <w:top w:val="nil"/>
              <w:left w:val="nil"/>
              <w:bottom w:val="nil"/>
              <w:right w:val="nil"/>
            </w:tcBorders>
            <w:shd w:val="clear" w:color="auto" w:fill="auto"/>
            <w:noWrap/>
            <w:vAlign w:val="bottom"/>
            <w:hideMark/>
          </w:tcPr>
          <w:p w14:paraId="276CF8E8"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1A959D2C"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78BB5FFF" w14:textId="77777777" w:rsidR="00370D59" w:rsidRPr="00504D7E" w:rsidRDefault="00370D59" w:rsidP="00370D59">
            <w:pPr>
              <w:rPr>
                <w:color w:val="000000"/>
              </w:rPr>
            </w:pPr>
          </w:p>
        </w:tc>
      </w:tr>
      <w:tr w:rsidR="00370D59" w:rsidRPr="00504D7E" w14:paraId="47987C2E" w14:textId="77777777" w:rsidTr="00370D59">
        <w:trPr>
          <w:trHeight w:val="300"/>
        </w:trPr>
        <w:tc>
          <w:tcPr>
            <w:tcW w:w="700" w:type="dxa"/>
            <w:tcBorders>
              <w:top w:val="nil"/>
              <w:left w:val="nil"/>
              <w:bottom w:val="nil"/>
              <w:right w:val="nil"/>
            </w:tcBorders>
            <w:shd w:val="clear" w:color="auto" w:fill="auto"/>
            <w:noWrap/>
            <w:vAlign w:val="bottom"/>
            <w:hideMark/>
          </w:tcPr>
          <w:p w14:paraId="16AAAEB0" w14:textId="77777777" w:rsidR="00370D59" w:rsidRPr="00504D7E" w:rsidRDefault="00370D59" w:rsidP="00370D59">
            <w:pPr>
              <w:rPr>
                <w:color w:val="000000"/>
                <w:sz w:val="18"/>
                <w:szCs w:val="18"/>
              </w:rPr>
            </w:pPr>
            <w:r w:rsidRPr="00504D7E">
              <w:rPr>
                <w:color w:val="000000"/>
                <w:sz w:val="18"/>
                <w:szCs w:val="18"/>
              </w:rPr>
              <w:t>PL51</w:t>
            </w:r>
          </w:p>
        </w:tc>
        <w:tc>
          <w:tcPr>
            <w:tcW w:w="2040" w:type="dxa"/>
            <w:tcBorders>
              <w:top w:val="nil"/>
              <w:left w:val="nil"/>
              <w:bottom w:val="nil"/>
              <w:right w:val="nil"/>
            </w:tcBorders>
            <w:shd w:val="clear" w:color="auto" w:fill="auto"/>
            <w:noWrap/>
            <w:vAlign w:val="bottom"/>
            <w:hideMark/>
          </w:tcPr>
          <w:p w14:paraId="2CFC5122" w14:textId="77777777" w:rsidR="00370D59" w:rsidRPr="00504D7E" w:rsidRDefault="00370D59" w:rsidP="00370D59">
            <w:pPr>
              <w:rPr>
                <w:color w:val="000000"/>
                <w:sz w:val="18"/>
                <w:szCs w:val="18"/>
              </w:rPr>
            </w:pPr>
            <w:proofErr w:type="spellStart"/>
            <w:r w:rsidRPr="00504D7E">
              <w:rPr>
                <w:color w:val="000000"/>
                <w:sz w:val="18"/>
                <w:szCs w:val="18"/>
              </w:rPr>
              <w:t>Dolnoslaskie</w:t>
            </w:r>
            <w:proofErr w:type="spellEnd"/>
          </w:p>
        </w:tc>
        <w:tc>
          <w:tcPr>
            <w:tcW w:w="340" w:type="dxa"/>
            <w:tcBorders>
              <w:top w:val="nil"/>
              <w:left w:val="nil"/>
              <w:bottom w:val="nil"/>
              <w:right w:val="nil"/>
            </w:tcBorders>
            <w:shd w:val="clear" w:color="auto" w:fill="auto"/>
            <w:noWrap/>
            <w:vAlign w:val="bottom"/>
            <w:hideMark/>
          </w:tcPr>
          <w:p w14:paraId="66C14BDB"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20880DD7" w14:textId="77777777" w:rsidR="00370D59" w:rsidRPr="00504D7E" w:rsidRDefault="00370D59" w:rsidP="00370D59">
            <w:pPr>
              <w:rPr>
                <w:color w:val="000000"/>
                <w:sz w:val="18"/>
                <w:szCs w:val="18"/>
              </w:rPr>
            </w:pPr>
            <w:r w:rsidRPr="00504D7E">
              <w:rPr>
                <w:color w:val="000000"/>
                <w:sz w:val="18"/>
                <w:szCs w:val="18"/>
              </w:rPr>
              <w:t>UKH1</w:t>
            </w:r>
          </w:p>
        </w:tc>
        <w:tc>
          <w:tcPr>
            <w:tcW w:w="3820" w:type="dxa"/>
            <w:tcBorders>
              <w:top w:val="nil"/>
              <w:left w:val="nil"/>
              <w:bottom w:val="nil"/>
              <w:right w:val="nil"/>
            </w:tcBorders>
            <w:shd w:val="clear" w:color="auto" w:fill="auto"/>
            <w:noWrap/>
            <w:vAlign w:val="bottom"/>
            <w:hideMark/>
          </w:tcPr>
          <w:p w14:paraId="1E87BF8F" w14:textId="77777777" w:rsidR="00370D59" w:rsidRPr="00504D7E" w:rsidRDefault="00370D59" w:rsidP="00370D59">
            <w:pPr>
              <w:rPr>
                <w:color w:val="000000"/>
                <w:sz w:val="18"/>
                <w:szCs w:val="18"/>
              </w:rPr>
            </w:pPr>
            <w:r w:rsidRPr="00504D7E">
              <w:rPr>
                <w:color w:val="000000"/>
                <w:sz w:val="18"/>
                <w:szCs w:val="18"/>
              </w:rPr>
              <w:t xml:space="preserve">East </w:t>
            </w:r>
            <w:proofErr w:type="spellStart"/>
            <w:r w:rsidRPr="00504D7E">
              <w:rPr>
                <w:color w:val="000000"/>
                <w:sz w:val="18"/>
                <w:szCs w:val="18"/>
              </w:rPr>
              <w:t>Anglia</w:t>
            </w:r>
            <w:proofErr w:type="spellEnd"/>
          </w:p>
        </w:tc>
        <w:tc>
          <w:tcPr>
            <w:tcW w:w="460" w:type="dxa"/>
            <w:tcBorders>
              <w:top w:val="nil"/>
              <w:left w:val="nil"/>
              <w:bottom w:val="nil"/>
              <w:right w:val="nil"/>
            </w:tcBorders>
            <w:shd w:val="clear" w:color="auto" w:fill="auto"/>
            <w:noWrap/>
            <w:vAlign w:val="bottom"/>
            <w:hideMark/>
          </w:tcPr>
          <w:p w14:paraId="58CC8B3E"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3A06AF80"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2D87A382" w14:textId="77777777" w:rsidR="00370D59" w:rsidRPr="00504D7E" w:rsidRDefault="00370D59" w:rsidP="00370D59">
            <w:pPr>
              <w:rPr>
                <w:color w:val="000000"/>
              </w:rPr>
            </w:pPr>
          </w:p>
        </w:tc>
      </w:tr>
      <w:tr w:rsidR="00370D59" w:rsidRPr="00504D7E" w14:paraId="65DE336D" w14:textId="77777777" w:rsidTr="00370D59">
        <w:trPr>
          <w:trHeight w:val="300"/>
        </w:trPr>
        <w:tc>
          <w:tcPr>
            <w:tcW w:w="700" w:type="dxa"/>
            <w:tcBorders>
              <w:top w:val="nil"/>
              <w:left w:val="nil"/>
              <w:bottom w:val="nil"/>
              <w:right w:val="nil"/>
            </w:tcBorders>
            <w:shd w:val="clear" w:color="auto" w:fill="auto"/>
            <w:noWrap/>
            <w:vAlign w:val="bottom"/>
            <w:hideMark/>
          </w:tcPr>
          <w:p w14:paraId="3FE0D544" w14:textId="77777777" w:rsidR="00370D59" w:rsidRPr="00504D7E" w:rsidRDefault="00370D59" w:rsidP="00370D59">
            <w:pPr>
              <w:rPr>
                <w:color w:val="000000"/>
                <w:sz w:val="18"/>
                <w:szCs w:val="18"/>
              </w:rPr>
            </w:pPr>
            <w:r w:rsidRPr="00504D7E">
              <w:rPr>
                <w:color w:val="000000"/>
                <w:sz w:val="18"/>
                <w:szCs w:val="18"/>
              </w:rPr>
              <w:t>PL52</w:t>
            </w:r>
          </w:p>
        </w:tc>
        <w:tc>
          <w:tcPr>
            <w:tcW w:w="2040" w:type="dxa"/>
            <w:tcBorders>
              <w:top w:val="nil"/>
              <w:left w:val="nil"/>
              <w:bottom w:val="nil"/>
              <w:right w:val="nil"/>
            </w:tcBorders>
            <w:shd w:val="clear" w:color="auto" w:fill="auto"/>
            <w:noWrap/>
            <w:vAlign w:val="bottom"/>
            <w:hideMark/>
          </w:tcPr>
          <w:p w14:paraId="2F626267" w14:textId="77777777" w:rsidR="00370D59" w:rsidRPr="00504D7E" w:rsidRDefault="00370D59" w:rsidP="00370D59">
            <w:pPr>
              <w:rPr>
                <w:color w:val="000000"/>
                <w:sz w:val="18"/>
                <w:szCs w:val="18"/>
              </w:rPr>
            </w:pPr>
            <w:proofErr w:type="spellStart"/>
            <w:r w:rsidRPr="00504D7E">
              <w:rPr>
                <w:color w:val="000000"/>
                <w:sz w:val="18"/>
                <w:szCs w:val="18"/>
              </w:rPr>
              <w:t>Opolskie</w:t>
            </w:r>
            <w:proofErr w:type="spellEnd"/>
          </w:p>
        </w:tc>
        <w:tc>
          <w:tcPr>
            <w:tcW w:w="340" w:type="dxa"/>
            <w:tcBorders>
              <w:top w:val="nil"/>
              <w:left w:val="nil"/>
              <w:bottom w:val="nil"/>
              <w:right w:val="nil"/>
            </w:tcBorders>
            <w:shd w:val="clear" w:color="auto" w:fill="auto"/>
            <w:noWrap/>
            <w:vAlign w:val="bottom"/>
            <w:hideMark/>
          </w:tcPr>
          <w:p w14:paraId="6C65D4F1"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19A7255A" w14:textId="77777777" w:rsidR="00370D59" w:rsidRPr="00504D7E" w:rsidRDefault="00370D59" w:rsidP="00370D59">
            <w:pPr>
              <w:rPr>
                <w:color w:val="000000"/>
                <w:sz w:val="18"/>
                <w:szCs w:val="18"/>
              </w:rPr>
            </w:pPr>
            <w:r w:rsidRPr="00504D7E">
              <w:rPr>
                <w:color w:val="000000"/>
                <w:sz w:val="18"/>
                <w:szCs w:val="18"/>
              </w:rPr>
              <w:t>UKH2</w:t>
            </w:r>
          </w:p>
        </w:tc>
        <w:tc>
          <w:tcPr>
            <w:tcW w:w="3820" w:type="dxa"/>
            <w:tcBorders>
              <w:top w:val="nil"/>
              <w:left w:val="nil"/>
              <w:bottom w:val="nil"/>
              <w:right w:val="nil"/>
            </w:tcBorders>
            <w:shd w:val="clear" w:color="auto" w:fill="auto"/>
            <w:noWrap/>
            <w:vAlign w:val="bottom"/>
            <w:hideMark/>
          </w:tcPr>
          <w:p w14:paraId="3C50B4A7" w14:textId="77777777" w:rsidR="00370D59" w:rsidRPr="00504D7E" w:rsidRDefault="00370D59" w:rsidP="00370D59">
            <w:pPr>
              <w:rPr>
                <w:color w:val="000000"/>
                <w:sz w:val="18"/>
                <w:szCs w:val="18"/>
              </w:rPr>
            </w:pPr>
            <w:proofErr w:type="spellStart"/>
            <w:r w:rsidRPr="00504D7E">
              <w:rPr>
                <w:color w:val="000000"/>
                <w:sz w:val="18"/>
                <w:szCs w:val="18"/>
              </w:rPr>
              <w:t>Bedfordshire</w:t>
            </w:r>
            <w:proofErr w:type="spellEnd"/>
            <w:r w:rsidRPr="00504D7E">
              <w:rPr>
                <w:color w:val="000000"/>
                <w:sz w:val="18"/>
                <w:szCs w:val="18"/>
              </w:rPr>
              <w:t xml:space="preserve"> and </w:t>
            </w:r>
            <w:proofErr w:type="spellStart"/>
            <w:r w:rsidRPr="00504D7E">
              <w:rPr>
                <w:color w:val="000000"/>
                <w:sz w:val="18"/>
                <w:szCs w:val="18"/>
              </w:rPr>
              <w:t>Hertfordshire</w:t>
            </w:r>
            <w:proofErr w:type="spellEnd"/>
          </w:p>
        </w:tc>
        <w:tc>
          <w:tcPr>
            <w:tcW w:w="460" w:type="dxa"/>
            <w:tcBorders>
              <w:top w:val="nil"/>
              <w:left w:val="nil"/>
              <w:bottom w:val="nil"/>
              <w:right w:val="nil"/>
            </w:tcBorders>
            <w:shd w:val="clear" w:color="auto" w:fill="auto"/>
            <w:noWrap/>
            <w:vAlign w:val="bottom"/>
            <w:hideMark/>
          </w:tcPr>
          <w:p w14:paraId="7F2F4507"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53781FFE"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42703641" w14:textId="77777777" w:rsidR="00370D59" w:rsidRPr="00504D7E" w:rsidRDefault="00370D59" w:rsidP="00370D59">
            <w:pPr>
              <w:rPr>
                <w:color w:val="000000"/>
              </w:rPr>
            </w:pPr>
          </w:p>
        </w:tc>
      </w:tr>
      <w:tr w:rsidR="00370D59" w:rsidRPr="00504D7E" w14:paraId="4BE089B1" w14:textId="77777777" w:rsidTr="00370D59">
        <w:trPr>
          <w:trHeight w:val="300"/>
        </w:trPr>
        <w:tc>
          <w:tcPr>
            <w:tcW w:w="700" w:type="dxa"/>
            <w:tcBorders>
              <w:top w:val="nil"/>
              <w:left w:val="nil"/>
              <w:bottom w:val="nil"/>
              <w:right w:val="nil"/>
            </w:tcBorders>
            <w:shd w:val="clear" w:color="auto" w:fill="auto"/>
            <w:noWrap/>
            <w:vAlign w:val="bottom"/>
            <w:hideMark/>
          </w:tcPr>
          <w:p w14:paraId="1867D84F" w14:textId="77777777" w:rsidR="00370D59" w:rsidRPr="00504D7E" w:rsidRDefault="00370D59" w:rsidP="00370D59">
            <w:pPr>
              <w:rPr>
                <w:color w:val="000000"/>
                <w:sz w:val="18"/>
                <w:szCs w:val="18"/>
              </w:rPr>
            </w:pPr>
            <w:r w:rsidRPr="00504D7E">
              <w:rPr>
                <w:color w:val="000000"/>
                <w:sz w:val="18"/>
                <w:szCs w:val="18"/>
              </w:rPr>
              <w:t>PT11</w:t>
            </w:r>
          </w:p>
        </w:tc>
        <w:tc>
          <w:tcPr>
            <w:tcW w:w="2040" w:type="dxa"/>
            <w:tcBorders>
              <w:top w:val="nil"/>
              <w:left w:val="nil"/>
              <w:bottom w:val="nil"/>
              <w:right w:val="nil"/>
            </w:tcBorders>
            <w:shd w:val="clear" w:color="auto" w:fill="auto"/>
            <w:noWrap/>
            <w:vAlign w:val="bottom"/>
            <w:hideMark/>
          </w:tcPr>
          <w:p w14:paraId="62E1FDE7" w14:textId="77777777" w:rsidR="00370D59" w:rsidRPr="00504D7E" w:rsidRDefault="00370D59" w:rsidP="00370D59">
            <w:pPr>
              <w:rPr>
                <w:color w:val="000000"/>
                <w:sz w:val="18"/>
                <w:szCs w:val="18"/>
              </w:rPr>
            </w:pPr>
            <w:proofErr w:type="spellStart"/>
            <w:r w:rsidRPr="00504D7E">
              <w:rPr>
                <w:color w:val="000000"/>
                <w:sz w:val="18"/>
                <w:szCs w:val="18"/>
              </w:rPr>
              <w:t>Norte</w:t>
            </w:r>
            <w:proofErr w:type="spellEnd"/>
          </w:p>
        </w:tc>
        <w:tc>
          <w:tcPr>
            <w:tcW w:w="340" w:type="dxa"/>
            <w:tcBorders>
              <w:top w:val="nil"/>
              <w:left w:val="nil"/>
              <w:bottom w:val="nil"/>
              <w:right w:val="nil"/>
            </w:tcBorders>
            <w:shd w:val="clear" w:color="auto" w:fill="auto"/>
            <w:noWrap/>
            <w:vAlign w:val="bottom"/>
            <w:hideMark/>
          </w:tcPr>
          <w:p w14:paraId="12D67165"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47C8E770" w14:textId="77777777" w:rsidR="00370D59" w:rsidRPr="00504D7E" w:rsidRDefault="00370D59" w:rsidP="00370D59">
            <w:pPr>
              <w:rPr>
                <w:color w:val="000000"/>
                <w:sz w:val="18"/>
                <w:szCs w:val="18"/>
              </w:rPr>
            </w:pPr>
            <w:r w:rsidRPr="00504D7E">
              <w:rPr>
                <w:color w:val="000000"/>
                <w:sz w:val="18"/>
                <w:szCs w:val="18"/>
              </w:rPr>
              <w:t>UKH3</w:t>
            </w:r>
          </w:p>
        </w:tc>
        <w:tc>
          <w:tcPr>
            <w:tcW w:w="3820" w:type="dxa"/>
            <w:tcBorders>
              <w:top w:val="nil"/>
              <w:left w:val="nil"/>
              <w:bottom w:val="nil"/>
              <w:right w:val="nil"/>
            </w:tcBorders>
            <w:shd w:val="clear" w:color="auto" w:fill="auto"/>
            <w:noWrap/>
            <w:vAlign w:val="bottom"/>
            <w:hideMark/>
          </w:tcPr>
          <w:p w14:paraId="016392ED" w14:textId="77777777" w:rsidR="00370D59" w:rsidRPr="00504D7E" w:rsidRDefault="00370D59" w:rsidP="00370D59">
            <w:pPr>
              <w:rPr>
                <w:color w:val="000000"/>
                <w:sz w:val="18"/>
                <w:szCs w:val="18"/>
              </w:rPr>
            </w:pPr>
            <w:proofErr w:type="spellStart"/>
            <w:r w:rsidRPr="00504D7E">
              <w:rPr>
                <w:color w:val="000000"/>
                <w:sz w:val="18"/>
                <w:szCs w:val="18"/>
              </w:rPr>
              <w:t>Essex</w:t>
            </w:r>
            <w:proofErr w:type="spellEnd"/>
          </w:p>
        </w:tc>
        <w:tc>
          <w:tcPr>
            <w:tcW w:w="460" w:type="dxa"/>
            <w:tcBorders>
              <w:top w:val="nil"/>
              <w:left w:val="nil"/>
              <w:bottom w:val="nil"/>
              <w:right w:val="nil"/>
            </w:tcBorders>
            <w:shd w:val="clear" w:color="auto" w:fill="auto"/>
            <w:noWrap/>
            <w:vAlign w:val="bottom"/>
            <w:hideMark/>
          </w:tcPr>
          <w:p w14:paraId="64083C67"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2B021F00"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0B6C114E" w14:textId="77777777" w:rsidR="00370D59" w:rsidRPr="00504D7E" w:rsidRDefault="00370D59" w:rsidP="00370D59">
            <w:pPr>
              <w:rPr>
                <w:color w:val="000000"/>
              </w:rPr>
            </w:pPr>
          </w:p>
        </w:tc>
      </w:tr>
      <w:tr w:rsidR="00370D59" w:rsidRPr="00504D7E" w14:paraId="631F8A3F" w14:textId="77777777" w:rsidTr="00370D59">
        <w:trPr>
          <w:trHeight w:val="300"/>
        </w:trPr>
        <w:tc>
          <w:tcPr>
            <w:tcW w:w="700" w:type="dxa"/>
            <w:tcBorders>
              <w:top w:val="nil"/>
              <w:left w:val="nil"/>
              <w:bottom w:val="nil"/>
              <w:right w:val="nil"/>
            </w:tcBorders>
            <w:shd w:val="clear" w:color="auto" w:fill="auto"/>
            <w:noWrap/>
            <w:vAlign w:val="bottom"/>
            <w:hideMark/>
          </w:tcPr>
          <w:p w14:paraId="000F3986" w14:textId="77777777" w:rsidR="00370D59" w:rsidRPr="00504D7E" w:rsidRDefault="00370D59" w:rsidP="00370D59">
            <w:pPr>
              <w:rPr>
                <w:color w:val="000000"/>
                <w:sz w:val="18"/>
                <w:szCs w:val="18"/>
              </w:rPr>
            </w:pPr>
            <w:r w:rsidRPr="00504D7E">
              <w:rPr>
                <w:color w:val="000000"/>
                <w:sz w:val="18"/>
                <w:szCs w:val="18"/>
              </w:rPr>
              <w:t>PT16</w:t>
            </w:r>
          </w:p>
        </w:tc>
        <w:tc>
          <w:tcPr>
            <w:tcW w:w="2040" w:type="dxa"/>
            <w:tcBorders>
              <w:top w:val="nil"/>
              <w:left w:val="nil"/>
              <w:bottom w:val="nil"/>
              <w:right w:val="nil"/>
            </w:tcBorders>
            <w:shd w:val="clear" w:color="auto" w:fill="auto"/>
            <w:noWrap/>
            <w:vAlign w:val="bottom"/>
            <w:hideMark/>
          </w:tcPr>
          <w:p w14:paraId="631E8492" w14:textId="77777777" w:rsidR="00370D59" w:rsidRPr="00504D7E" w:rsidRDefault="00370D59" w:rsidP="00370D59">
            <w:pPr>
              <w:rPr>
                <w:color w:val="000000"/>
                <w:sz w:val="18"/>
                <w:szCs w:val="18"/>
              </w:rPr>
            </w:pPr>
            <w:r w:rsidRPr="00504D7E">
              <w:rPr>
                <w:color w:val="000000"/>
                <w:sz w:val="18"/>
                <w:szCs w:val="18"/>
              </w:rPr>
              <w:t>Centro (PT)</w:t>
            </w:r>
          </w:p>
        </w:tc>
        <w:tc>
          <w:tcPr>
            <w:tcW w:w="340" w:type="dxa"/>
            <w:tcBorders>
              <w:top w:val="nil"/>
              <w:left w:val="nil"/>
              <w:bottom w:val="nil"/>
              <w:right w:val="nil"/>
            </w:tcBorders>
            <w:shd w:val="clear" w:color="auto" w:fill="auto"/>
            <w:noWrap/>
            <w:vAlign w:val="bottom"/>
            <w:hideMark/>
          </w:tcPr>
          <w:p w14:paraId="24D0CC67"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793E5A17" w14:textId="77777777" w:rsidR="00370D59" w:rsidRPr="00504D7E" w:rsidRDefault="00370D59" w:rsidP="00370D59">
            <w:pPr>
              <w:rPr>
                <w:color w:val="000000"/>
                <w:sz w:val="18"/>
                <w:szCs w:val="18"/>
              </w:rPr>
            </w:pPr>
            <w:r w:rsidRPr="00504D7E">
              <w:rPr>
                <w:color w:val="000000"/>
                <w:sz w:val="18"/>
                <w:szCs w:val="18"/>
              </w:rPr>
              <w:t>UKI1</w:t>
            </w:r>
          </w:p>
        </w:tc>
        <w:tc>
          <w:tcPr>
            <w:tcW w:w="3820" w:type="dxa"/>
            <w:tcBorders>
              <w:top w:val="nil"/>
              <w:left w:val="nil"/>
              <w:bottom w:val="nil"/>
              <w:right w:val="nil"/>
            </w:tcBorders>
            <w:shd w:val="clear" w:color="auto" w:fill="auto"/>
            <w:noWrap/>
            <w:vAlign w:val="bottom"/>
            <w:hideMark/>
          </w:tcPr>
          <w:p w14:paraId="681319EA" w14:textId="77777777" w:rsidR="00370D59" w:rsidRPr="00504D7E" w:rsidRDefault="00370D59" w:rsidP="00370D59">
            <w:pPr>
              <w:rPr>
                <w:color w:val="000000"/>
                <w:sz w:val="18"/>
                <w:szCs w:val="18"/>
              </w:rPr>
            </w:pPr>
            <w:r w:rsidRPr="00504D7E">
              <w:rPr>
                <w:color w:val="000000"/>
                <w:sz w:val="18"/>
                <w:szCs w:val="18"/>
              </w:rPr>
              <w:t xml:space="preserve">Inner </w:t>
            </w:r>
            <w:proofErr w:type="spellStart"/>
            <w:r w:rsidRPr="00504D7E">
              <w:rPr>
                <w:color w:val="000000"/>
                <w:sz w:val="18"/>
                <w:szCs w:val="18"/>
              </w:rPr>
              <w:t>London</w:t>
            </w:r>
            <w:proofErr w:type="spellEnd"/>
          </w:p>
        </w:tc>
        <w:tc>
          <w:tcPr>
            <w:tcW w:w="460" w:type="dxa"/>
            <w:tcBorders>
              <w:top w:val="nil"/>
              <w:left w:val="nil"/>
              <w:bottom w:val="nil"/>
              <w:right w:val="nil"/>
            </w:tcBorders>
            <w:shd w:val="clear" w:color="auto" w:fill="auto"/>
            <w:noWrap/>
            <w:vAlign w:val="bottom"/>
            <w:hideMark/>
          </w:tcPr>
          <w:p w14:paraId="3FD62610"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157EF78D"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42EB977E" w14:textId="77777777" w:rsidR="00370D59" w:rsidRPr="00504D7E" w:rsidRDefault="00370D59" w:rsidP="00370D59">
            <w:pPr>
              <w:rPr>
                <w:color w:val="000000"/>
              </w:rPr>
            </w:pPr>
          </w:p>
        </w:tc>
      </w:tr>
      <w:tr w:rsidR="00370D59" w:rsidRPr="00504D7E" w14:paraId="1CCC4CE5" w14:textId="77777777" w:rsidTr="00370D59">
        <w:trPr>
          <w:trHeight w:val="300"/>
        </w:trPr>
        <w:tc>
          <w:tcPr>
            <w:tcW w:w="700" w:type="dxa"/>
            <w:tcBorders>
              <w:top w:val="nil"/>
              <w:left w:val="nil"/>
              <w:bottom w:val="nil"/>
              <w:right w:val="nil"/>
            </w:tcBorders>
            <w:shd w:val="clear" w:color="auto" w:fill="auto"/>
            <w:noWrap/>
            <w:vAlign w:val="bottom"/>
            <w:hideMark/>
          </w:tcPr>
          <w:p w14:paraId="4C078C0C" w14:textId="77777777" w:rsidR="00370D59" w:rsidRPr="00504D7E" w:rsidRDefault="00370D59" w:rsidP="00370D59">
            <w:pPr>
              <w:rPr>
                <w:color w:val="000000"/>
                <w:sz w:val="18"/>
                <w:szCs w:val="18"/>
              </w:rPr>
            </w:pPr>
            <w:r w:rsidRPr="00504D7E">
              <w:rPr>
                <w:color w:val="000000"/>
                <w:sz w:val="18"/>
                <w:szCs w:val="18"/>
              </w:rPr>
              <w:t>RO11</w:t>
            </w:r>
          </w:p>
        </w:tc>
        <w:tc>
          <w:tcPr>
            <w:tcW w:w="2040" w:type="dxa"/>
            <w:tcBorders>
              <w:top w:val="nil"/>
              <w:left w:val="nil"/>
              <w:bottom w:val="nil"/>
              <w:right w:val="nil"/>
            </w:tcBorders>
            <w:shd w:val="clear" w:color="auto" w:fill="auto"/>
            <w:noWrap/>
            <w:vAlign w:val="bottom"/>
            <w:hideMark/>
          </w:tcPr>
          <w:p w14:paraId="5894772F" w14:textId="77777777" w:rsidR="00370D59" w:rsidRPr="00504D7E" w:rsidRDefault="00370D59" w:rsidP="00370D59">
            <w:pPr>
              <w:rPr>
                <w:color w:val="000000"/>
                <w:sz w:val="18"/>
                <w:szCs w:val="18"/>
              </w:rPr>
            </w:pPr>
            <w:proofErr w:type="spellStart"/>
            <w:r w:rsidRPr="00504D7E">
              <w:rPr>
                <w:color w:val="000000"/>
                <w:sz w:val="18"/>
                <w:szCs w:val="18"/>
              </w:rPr>
              <w:t>Nord-Vest</w:t>
            </w:r>
            <w:proofErr w:type="spellEnd"/>
          </w:p>
        </w:tc>
        <w:tc>
          <w:tcPr>
            <w:tcW w:w="340" w:type="dxa"/>
            <w:tcBorders>
              <w:top w:val="nil"/>
              <w:left w:val="nil"/>
              <w:bottom w:val="nil"/>
              <w:right w:val="nil"/>
            </w:tcBorders>
            <w:shd w:val="clear" w:color="auto" w:fill="auto"/>
            <w:noWrap/>
            <w:vAlign w:val="bottom"/>
            <w:hideMark/>
          </w:tcPr>
          <w:p w14:paraId="52AD2336"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572C9FFD" w14:textId="77777777" w:rsidR="00370D59" w:rsidRPr="00504D7E" w:rsidRDefault="00370D59" w:rsidP="00370D59">
            <w:pPr>
              <w:rPr>
                <w:color w:val="000000"/>
                <w:sz w:val="18"/>
                <w:szCs w:val="18"/>
              </w:rPr>
            </w:pPr>
            <w:r w:rsidRPr="00504D7E">
              <w:rPr>
                <w:color w:val="000000"/>
                <w:sz w:val="18"/>
                <w:szCs w:val="18"/>
              </w:rPr>
              <w:t>UKI2</w:t>
            </w:r>
          </w:p>
        </w:tc>
        <w:tc>
          <w:tcPr>
            <w:tcW w:w="3820" w:type="dxa"/>
            <w:tcBorders>
              <w:top w:val="nil"/>
              <w:left w:val="nil"/>
              <w:bottom w:val="nil"/>
              <w:right w:val="nil"/>
            </w:tcBorders>
            <w:shd w:val="clear" w:color="auto" w:fill="auto"/>
            <w:noWrap/>
            <w:vAlign w:val="bottom"/>
            <w:hideMark/>
          </w:tcPr>
          <w:p w14:paraId="660290CA" w14:textId="77777777" w:rsidR="00370D59" w:rsidRPr="00504D7E" w:rsidRDefault="00370D59" w:rsidP="00370D59">
            <w:pPr>
              <w:rPr>
                <w:color w:val="000000"/>
                <w:sz w:val="18"/>
                <w:szCs w:val="18"/>
              </w:rPr>
            </w:pPr>
            <w:r w:rsidRPr="00504D7E">
              <w:rPr>
                <w:color w:val="000000"/>
                <w:sz w:val="18"/>
                <w:szCs w:val="18"/>
              </w:rPr>
              <w:t xml:space="preserve">Outer </w:t>
            </w:r>
            <w:proofErr w:type="spellStart"/>
            <w:r w:rsidRPr="00504D7E">
              <w:rPr>
                <w:color w:val="000000"/>
                <w:sz w:val="18"/>
                <w:szCs w:val="18"/>
              </w:rPr>
              <w:t>London</w:t>
            </w:r>
            <w:proofErr w:type="spellEnd"/>
          </w:p>
        </w:tc>
        <w:tc>
          <w:tcPr>
            <w:tcW w:w="460" w:type="dxa"/>
            <w:tcBorders>
              <w:top w:val="nil"/>
              <w:left w:val="nil"/>
              <w:bottom w:val="nil"/>
              <w:right w:val="nil"/>
            </w:tcBorders>
            <w:shd w:val="clear" w:color="auto" w:fill="auto"/>
            <w:noWrap/>
            <w:vAlign w:val="bottom"/>
            <w:hideMark/>
          </w:tcPr>
          <w:p w14:paraId="0B797419"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4D6786F9"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17B1D886" w14:textId="77777777" w:rsidR="00370D59" w:rsidRPr="00504D7E" w:rsidRDefault="00370D59" w:rsidP="00370D59">
            <w:pPr>
              <w:rPr>
                <w:color w:val="000000"/>
              </w:rPr>
            </w:pPr>
          </w:p>
        </w:tc>
      </w:tr>
      <w:tr w:rsidR="00370D59" w:rsidRPr="00504D7E" w14:paraId="1B9F3108" w14:textId="77777777" w:rsidTr="00370D59">
        <w:trPr>
          <w:trHeight w:val="300"/>
        </w:trPr>
        <w:tc>
          <w:tcPr>
            <w:tcW w:w="700" w:type="dxa"/>
            <w:tcBorders>
              <w:top w:val="nil"/>
              <w:left w:val="nil"/>
              <w:bottom w:val="nil"/>
              <w:right w:val="nil"/>
            </w:tcBorders>
            <w:shd w:val="clear" w:color="auto" w:fill="auto"/>
            <w:noWrap/>
            <w:vAlign w:val="bottom"/>
            <w:hideMark/>
          </w:tcPr>
          <w:p w14:paraId="64AEBA37" w14:textId="77777777" w:rsidR="00370D59" w:rsidRPr="00504D7E" w:rsidRDefault="00370D59" w:rsidP="00370D59">
            <w:pPr>
              <w:rPr>
                <w:color w:val="000000"/>
                <w:sz w:val="18"/>
                <w:szCs w:val="18"/>
              </w:rPr>
            </w:pPr>
            <w:r w:rsidRPr="00504D7E">
              <w:rPr>
                <w:color w:val="000000"/>
                <w:sz w:val="18"/>
                <w:szCs w:val="18"/>
              </w:rPr>
              <w:t>RO12</w:t>
            </w:r>
          </w:p>
        </w:tc>
        <w:tc>
          <w:tcPr>
            <w:tcW w:w="2040" w:type="dxa"/>
            <w:tcBorders>
              <w:top w:val="nil"/>
              <w:left w:val="nil"/>
              <w:bottom w:val="nil"/>
              <w:right w:val="nil"/>
            </w:tcBorders>
            <w:shd w:val="clear" w:color="auto" w:fill="auto"/>
            <w:noWrap/>
            <w:vAlign w:val="bottom"/>
            <w:hideMark/>
          </w:tcPr>
          <w:p w14:paraId="1E2AC5B2" w14:textId="77777777" w:rsidR="00370D59" w:rsidRPr="00504D7E" w:rsidRDefault="00370D59" w:rsidP="00370D59">
            <w:pPr>
              <w:rPr>
                <w:color w:val="000000"/>
                <w:sz w:val="18"/>
                <w:szCs w:val="18"/>
              </w:rPr>
            </w:pPr>
            <w:proofErr w:type="spellStart"/>
            <w:r w:rsidRPr="00504D7E">
              <w:rPr>
                <w:color w:val="000000"/>
                <w:sz w:val="18"/>
                <w:szCs w:val="18"/>
              </w:rPr>
              <w:t>Centru</w:t>
            </w:r>
            <w:proofErr w:type="spellEnd"/>
          </w:p>
        </w:tc>
        <w:tc>
          <w:tcPr>
            <w:tcW w:w="340" w:type="dxa"/>
            <w:tcBorders>
              <w:top w:val="nil"/>
              <w:left w:val="nil"/>
              <w:bottom w:val="nil"/>
              <w:right w:val="nil"/>
            </w:tcBorders>
            <w:shd w:val="clear" w:color="auto" w:fill="auto"/>
            <w:noWrap/>
            <w:vAlign w:val="bottom"/>
            <w:hideMark/>
          </w:tcPr>
          <w:p w14:paraId="69EEFED9"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10B3CC16" w14:textId="77777777" w:rsidR="00370D59" w:rsidRPr="00504D7E" w:rsidRDefault="00370D59" w:rsidP="00370D59">
            <w:pPr>
              <w:rPr>
                <w:color w:val="000000"/>
                <w:sz w:val="18"/>
                <w:szCs w:val="18"/>
              </w:rPr>
            </w:pPr>
            <w:r w:rsidRPr="00504D7E">
              <w:rPr>
                <w:color w:val="000000"/>
                <w:sz w:val="18"/>
                <w:szCs w:val="18"/>
              </w:rPr>
              <w:t>UKJ1</w:t>
            </w:r>
          </w:p>
        </w:tc>
        <w:tc>
          <w:tcPr>
            <w:tcW w:w="3820" w:type="dxa"/>
            <w:tcBorders>
              <w:top w:val="nil"/>
              <w:left w:val="nil"/>
              <w:bottom w:val="nil"/>
              <w:right w:val="nil"/>
            </w:tcBorders>
            <w:shd w:val="clear" w:color="auto" w:fill="auto"/>
            <w:noWrap/>
            <w:vAlign w:val="bottom"/>
            <w:hideMark/>
          </w:tcPr>
          <w:p w14:paraId="5CA92821" w14:textId="77777777" w:rsidR="00370D59" w:rsidRPr="00504D7E" w:rsidRDefault="00370D59" w:rsidP="00370D59">
            <w:pPr>
              <w:rPr>
                <w:color w:val="000000"/>
                <w:sz w:val="18"/>
                <w:szCs w:val="18"/>
              </w:rPr>
            </w:pPr>
            <w:proofErr w:type="spellStart"/>
            <w:r w:rsidRPr="00504D7E">
              <w:rPr>
                <w:color w:val="000000"/>
                <w:sz w:val="18"/>
                <w:szCs w:val="18"/>
              </w:rPr>
              <w:t>Berkshire</w:t>
            </w:r>
            <w:proofErr w:type="spellEnd"/>
            <w:r w:rsidRPr="00504D7E">
              <w:rPr>
                <w:color w:val="000000"/>
                <w:sz w:val="18"/>
                <w:szCs w:val="18"/>
              </w:rPr>
              <w:t xml:space="preserve">, </w:t>
            </w:r>
            <w:proofErr w:type="spellStart"/>
            <w:r w:rsidRPr="00504D7E">
              <w:rPr>
                <w:color w:val="000000"/>
                <w:sz w:val="18"/>
                <w:szCs w:val="18"/>
              </w:rPr>
              <w:t>Buckinghamshire</w:t>
            </w:r>
            <w:proofErr w:type="spellEnd"/>
            <w:r w:rsidRPr="00504D7E">
              <w:rPr>
                <w:color w:val="000000"/>
                <w:sz w:val="18"/>
                <w:szCs w:val="18"/>
              </w:rPr>
              <w:t xml:space="preserve"> and </w:t>
            </w:r>
            <w:proofErr w:type="spellStart"/>
            <w:r w:rsidRPr="00504D7E">
              <w:rPr>
                <w:color w:val="000000"/>
                <w:sz w:val="18"/>
                <w:szCs w:val="18"/>
              </w:rPr>
              <w:t>Oxfordshire</w:t>
            </w:r>
            <w:proofErr w:type="spellEnd"/>
          </w:p>
        </w:tc>
        <w:tc>
          <w:tcPr>
            <w:tcW w:w="460" w:type="dxa"/>
            <w:tcBorders>
              <w:top w:val="nil"/>
              <w:left w:val="nil"/>
              <w:bottom w:val="nil"/>
              <w:right w:val="nil"/>
            </w:tcBorders>
            <w:shd w:val="clear" w:color="auto" w:fill="auto"/>
            <w:noWrap/>
            <w:vAlign w:val="bottom"/>
            <w:hideMark/>
          </w:tcPr>
          <w:p w14:paraId="60756668"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12E69D9E"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34397736" w14:textId="77777777" w:rsidR="00370D59" w:rsidRPr="00504D7E" w:rsidRDefault="00370D59" w:rsidP="00370D59">
            <w:pPr>
              <w:rPr>
                <w:color w:val="000000"/>
              </w:rPr>
            </w:pPr>
          </w:p>
        </w:tc>
      </w:tr>
      <w:tr w:rsidR="00370D59" w:rsidRPr="006630B8" w14:paraId="081B0706" w14:textId="77777777" w:rsidTr="00370D59">
        <w:trPr>
          <w:trHeight w:val="300"/>
        </w:trPr>
        <w:tc>
          <w:tcPr>
            <w:tcW w:w="700" w:type="dxa"/>
            <w:tcBorders>
              <w:top w:val="nil"/>
              <w:left w:val="nil"/>
              <w:bottom w:val="nil"/>
              <w:right w:val="nil"/>
            </w:tcBorders>
            <w:shd w:val="clear" w:color="auto" w:fill="auto"/>
            <w:noWrap/>
            <w:vAlign w:val="bottom"/>
            <w:hideMark/>
          </w:tcPr>
          <w:p w14:paraId="4528AE49" w14:textId="77777777" w:rsidR="00370D59" w:rsidRPr="00504D7E" w:rsidRDefault="00370D59" w:rsidP="00370D59">
            <w:pPr>
              <w:rPr>
                <w:color w:val="000000"/>
                <w:sz w:val="18"/>
                <w:szCs w:val="18"/>
              </w:rPr>
            </w:pPr>
            <w:r w:rsidRPr="00504D7E">
              <w:rPr>
                <w:color w:val="000000"/>
                <w:sz w:val="18"/>
                <w:szCs w:val="18"/>
              </w:rPr>
              <w:t>RO21</w:t>
            </w:r>
          </w:p>
        </w:tc>
        <w:tc>
          <w:tcPr>
            <w:tcW w:w="2040" w:type="dxa"/>
            <w:tcBorders>
              <w:top w:val="nil"/>
              <w:left w:val="nil"/>
              <w:bottom w:val="nil"/>
              <w:right w:val="nil"/>
            </w:tcBorders>
            <w:shd w:val="clear" w:color="auto" w:fill="auto"/>
            <w:noWrap/>
            <w:vAlign w:val="bottom"/>
            <w:hideMark/>
          </w:tcPr>
          <w:p w14:paraId="44B31111" w14:textId="77777777" w:rsidR="00370D59" w:rsidRPr="00504D7E" w:rsidRDefault="00370D59" w:rsidP="00370D59">
            <w:pPr>
              <w:rPr>
                <w:color w:val="000000"/>
                <w:sz w:val="18"/>
                <w:szCs w:val="18"/>
              </w:rPr>
            </w:pPr>
            <w:r w:rsidRPr="00504D7E">
              <w:rPr>
                <w:color w:val="000000"/>
                <w:sz w:val="18"/>
                <w:szCs w:val="18"/>
              </w:rPr>
              <w:t>Nord-Est</w:t>
            </w:r>
          </w:p>
        </w:tc>
        <w:tc>
          <w:tcPr>
            <w:tcW w:w="340" w:type="dxa"/>
            <w:tcBorders>
              <w:top w:val="nil"/>
              <w:left w:val="nil"/>
              <w:bottom w:val="nil"/>
              <w:right w:val="nil"/>
            </w:tcBorders>
            <w:shd w:val="clear" w:color="auto" w:fill="auto"/>
            <w:noWrap/>
            <w:vAlign w:val="bottom"/>
            <w:hideMark/>
          </w:tcPr>
          <w:p w14:paraId="24A29E42"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0D9DFEBB" w14:textId="77777777" w:rsidR="00370D59" w:rsidRPr="00504D7E" w:rsidRDefault="00370D59" w:rsidP="00370D59">
            <w:pPr>
              <w:rPr>
                <w:color w:val="000000"/>
                <w:sz w:val="18"/>
                <w:szCs w:val="18"/>
              </w:rPr>
            </w:pPr>
            <w:r w:rsidRPr="00504D7E">
              <w:rPr>
                <w:color w:val="000000"/>
                <w:sz w:val="18"/>
                <w:szCs w:val="18"/>
              </w:rPr>
              <w:t>UKJ2</w:t>
            </w:r>
          </w:p>
        </w:tc>
        <w:tc>
          <w:tcPr>
            <w:tcW w:w="3820" w:type="dxa"/>
            <w:tcBorders>
              <w:top w:val="nil"/>
              <w:left w:val="nil"/>
              <w:bottom w:val="nil"/>
              <w:right w:val="nil"/>
            </w:tcBorders>
            <w:shd w:val="clear" w:color="auto" w:fill="auto"/>
            <w:noWrap/>
            <w:vAlign w:val="bottom"/>
            <w:hideMark/>
          </w:tcPr>
          <w:p w14:paraId="0141FA9E" w14:textId="77777777" w:rsidR="00370D59" w:rsidRPr="00504D7E" w:rsidRDefault="00370D59" w:rsidP="00370D59">
            <w:pPr>
              <w:rPr>
                <w:color w:val="000000"/>
                <w:sz w:val="18"/>
                <w:szCs w:val="18"/>
                <w:lang w:val="en-US"/>
              </w:rPr>
            </w:pPr>
            <w:r w:rsidRPr="00504D7E">
              <w:rPr>
                <w:color w:val="000000"/>
                <w:sz w:val="18"/>
                <w:szCs w:val="18"/>
                <w:lang w:val="en-US"/>
              </w:rPr>
              <w:t>Surrey, East and West Sussex</w:t>
            </w:r>
          </w:p>
        </w:tc>
        <w:tc>
          <w:tcPr>
            <w:tcW w:w="460" w:type="dxa"/>
            <w:tcBorders>
              <w:top w:val="nil"/>
              <w:left w:val="nil"/>
              <w:bottom w:val="nil"/>
              <w:right w:val="nil"/>
            </w:tcBorders>
            <w:shd w:val="clear" w:color="auto" w:fill="auto"/>
            <w:noWrap/>
            <w:vAlign w:val="bottom"/>
            <w:hideMark/>
          </w:tcPr>
          <w:p w14:paraId="5B383918" w14:textId="77777777" w:rsidR="00370D59" w:rsidRPr="00504D7E" w:rsidRDefault="00370D59" w:rsidP="00370D59">
            <w:pPr>
              <w:rPr>
                <w:color w:val="000000"/>
                <w:lang w:val="en-US"/>
              </w:rPr>
            </w:pPr>
          </w:p>
        </w:tc>
        <w:tc>
          <w:tcPr>
            <w:tcW w:w="920" w:type="dxa"/>
            <w:tcBorders>
              <w:top w:val="nil"/>
              <w:left w:val="nil"/>
              <w:bottom w:val="nil"/>
              <w:right w:val="nil"/>
            </w:tcBorders>
            <w:shd w:val="clear" w:color="auto" w:fill="auto"/>
            <w:noWrap/>
            <w:vAlign w:val="bottom"/>
            <w:hideMark/>
          </w:tcPr>
          <w:p w14:paraId="16F32251" w14:textId="77777777" w:rsidR="00370D59" w:rsidRPr="00504D7E" w:rsidRDefault="00370D59" w:rsidP="00370D59">
            <w:pPr>
              <w:rPr>
                <w:color w:val="000000"/>
                <w:lang w:val="en-US"/>
              </w:rPr>
            </w:pPr>
          </w:p>
        </w:tc>
        <w:tc>
          <w:tcPr>
            <w:tcW w:w="1640" w:type="dxa"/>
            <w:tcBorders>
              <w:top w:val="nil"/>
              <w:left w:val="nil"/>
              <w:bottom w:val="nil"/>
              <w:right w:val="nil"/>
            </w:tcBorders>
            <w:shd w:val="clear" w:color="auto" w:fill="auto"/>
            <w:noWrap/>
            <w:vAlign w:val="bottom"/>
            <w:hideMark/>
          </w:tcPr>
          <w:p w14:paraId="08783F24" w14:textId="77777777" w:rsidR="00370D59" w:rsidRPr="00504D7E" w:rsidRDefault="00370D59" w:rsidP="00370D59">
            <w:pPr>
              <w:rPr>
                <w:color w:val="000000"/>
                <w:lang w:val="en-US"/>
              </w:rPr>
            </w:pPr>
          </w:p>
        </w:tc>
      </w:tr>
      <w:tr w:rsidR="00370D59" w:rsidRPr="006630B8" w14:paraId="654B5A8B" w14:textId="77777777" w:rsidTr="00370D59">
        <w:trPr>
          <w:trHeight w:val="300"/>
        </w:trPr>
        <w:tc>
          <w:tcPr>
            <w:tcW w:w="700" w:type="dxa"/>
            <w:tcBorders>
              <w:top w:val="nil"/>
              <w:left w:val="nil"/>
              <w:bottom w:val="nil"/>
              <w:right w:val="nil"/>
            </w:tcBorders>
            <w:shd w:val="clear" w:color="auto" w:fill="auto"/>
            <w:noWrap/>
            <w:vAlign w:val="bottom"/>
            <w:hideMark/>
          </w:tcPr>
          <w:p w14:paraId="0FE91479" w14:textId="77777777" w:rsidR="00370D59" w:rsidRPr="00504D7E" w:rsidRDefault="00370D59" w:rsidP="00370D59">
            <w:pPr>
              <w:rPr>
                <w:color w:val="000000"/>
                <w:sz w:val="18"/>
                <w:szCs w:val="18"/>
              </w:rPr>
            </w:pPr>
            <w:r w:rsidRPr="00504D7E">
              <w:rPr>
                <w:color w:val="000000"/>
                <w:sz w:val="18"/>
                <w:szCs w:val="18"/>
              </w:rPr>
              <w:t>RO22</w:t>
            </w:r>
          </w:p>
        </w:tc>
        <w:tc>
          <w:tcPr>
            <w:tcW w:w="2040" w:type="dxa"/>
            <w:tcBorders>
              <w:top w:val="nil"/>
              <w:left w:val="nil"/>
              <w:bottom w:val="nil"/>
              <w:right w:val="nil"/>
            </w:tcBorders>
            <w:shd w:val="clear" w:color="auto" w:fill="auto"/>
            <w:noWrap/>
            <w:vAlign w:val="bottom"/>
            <w:hideMark/>
          </w:tcPr>
          <w:p w14:paraId="7BC32EA2" w14:textId="77777777" w:rsidR="00370D59" w:rsidRPr="00504D7E" w:rsidRDefault="00370D59" w:rsidP="00370D59">
            <w:pPr>
              <w:rPr>
                <w:color w:val="000000"/>
                <w:sz w:val="18"/>
                <w:szCs w:val="18"/>
              </w:rPr>
            </w:pPr>
            <w:r w:rsidRPr="00504D7E">
              <w:rPr>
                <w:color w:val="000000"/>
                <w:sz w:val="18"/>
                <w:szCs w:val="18"/>
              </w:rPr>
              <w:t>Sud-Est</w:t>
            </w:r>
          </w:p>
        </w:tc>
        <w:tc>
          <w:tcPr>
            <w:tcW w:w="340" w:type="dxa"/>
            <w:tcBorders>
              <w:top w:val="nil"/>
              <w:left w:val="nil"/>
              <w:bottom w:val="nil"/>
              <w:right w:val="nil"/>
            </w:tcBorders>
            <w:shd w:val="clear" w:color="auto" w:fill="auto"/>
            <w:noWrap/>
            <w:vAlign w:val="bottom"/>
            <w:hideMark/>
          </w:tcPr>
          <w:p w14:paraId="09E10467"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18728729" w14:textId="77777777" w:rsidR="00370D59" w:rsidRPr="00504D7E" w:rsidRDefault="00370D59" w:rsidP="00370D59">
            <w:pPr>
              <w:rPr>
                <w:color w:val="000000"/>
                <w:sz w:val="18"/>
                <w:szCs w:val="18"/>
              </w:rPr>
            </w:pPr>
            <w:r w:rsidRPr="00504D7E">
              <w:rPr>
                <w:color w:val="000000"/>
                <w:sz w:val="18"/>
                <w:szCs w:val="18"/>
              </w:rPr>
              <w:t>UKJ3</w:t>
            </w:r>
          </w:p>
        </w:tc>
        <w:tc>
          <w:tcPr>
            <w:tcW w:w="3820" w:type="dxa"/>
            <w:tcBorders>
              <w:top w:val="nil"/>
              <w:left w:val="nil"/>
              <w:bottom w:val="nil"/>
              <w:right w:val="nil"/>
            </w:tcBorders>
            <w:shd w:val="clear" w:color="auto" w:fill="auto"/>
            <w:noWrap/>
            <w:vAlign w:val="bottom"/>
            <w:hideMark/>
          </w:tcPr>
          <w:p w14:paraId="7CB7FC05" w14:textId="77777777" w:rsidR="00370D59" w:rsidRPr="00504D7E" w:rsidRDefault="00370D59" w:rsidP="00370D59">
            <w:pPr>
              <w:rPr>
                <w:color w:val="000000"/>
                <w:sz w:val="18"/>
                <w:szCs w:val="18"/>
                <w:lang w:val="en-US"/>
              </w:rPr>
            </w:pPr>
            <w:r w:rsidRPr="00504D7E">
              <w:rPr>
                <w:color w:val="000000"/>
                <w:sz w:val="18"/>
                <w:szCs w:val="18"/>
                <w:lang w:val="en-US"/>
              </w:rPr>
              <w:t>Hampshire and Isle of Wight</w:t>
            </w:r>
          </w:p>
        </w:tc>
        <w:tc>
          <w:tcPr>
            <w:tcW w:w="460" w:type="dxa"/>
            <w:tcBorders>
              <w:top w:val="nil"/>
              <w:left w:val="nil"/>
              <w:bottom w:val="nil"/>
              <w:right w:val="nil"/>
            </w:tcBorders>
            <w:shd w:val="clear" w:color="auto" w:fill="auto"/>
            <w:noWrap/>
            <w:vAlign w:val="bottom"/>
            <w:hideMark/>
          </w:tcPr>
          <w:p w14:paraId="394C3AA3" w14:textId="77777777" w:rsidR="00370D59" w:rsidRPr="00504D7E" w:rsidRDefault="00370D59" w:rsidP="00370D59">
            <w:pPr>
              <w:rPr>
                <w:color w:val="000000"/>
                <w:lang w:val="en-US"/>
              </w:rPr>
            </w:pPr>
          </w:p>
        </w:tc>
        <w:tc>
          <w:tcPr>
            <w:tcW w:w="920" w:type="dxa"/>
            <w:tcBorders>
              <w:top w:val="nil"/>
              <w:left w:val="nil"/>
              <w:bottom w:val="nil"/>
              <w:right w:val="nil"/>
            </w:tcBorders>
            <w:shd w:val="clear" w:color="auto" w:fill="auto"/>
            <w:noWrap/>
            <w:vAlign w:val="bottom"/>
            <w:hideMark/>
          </w:tcPr>
          <w:p w14:paraId="3C724B91" w14:textId="77777777" w:rsidR="00370D59" w:rsidRPr="00504D7E" w:rsidRDefault="00370D59" w:rsidP="00370D59">
            <w:pPr>
              <w:rPr>
                <w:color w:val="000000"/>
                <w:lang w:val="en-US"/>
              </w:rPr>
            </w:pPr>
          </w:p>
        </w:tc>
        <w:tc>
          <w:tcPr>
            <w:tcW w:w="1640" w:type="dxa"/>
            <w:tcBorders>
              <w:top w:val="nil"/>
              <w:left w:val="nil"/>
              <w:bottom w:val="nil"/>
              <w:right w:val="nil"/>
            </w:tcBorders>
            <w:shd w:val="clear" w:color="auto" w:fill="auto"/>
            <w:noWrap/>
            <w:vAlign w:val="bottom"/>
            <w:hideMark/>
          </w:tcPr>
          <w:p w14:paraId="07C9D70A" w14:textId="77777777" w:rsidR="00370D59" w:rsidRPr="00504D7E" w:rsidRDefault="00370D59" w:rsidP="00370D59">
            <w:pPr>
              <w:rPr>
                <w:color w:val="000000"/>
                <w:lang w:val="en-US"/>
              </w:rPr>
            </w:pPr>
          </w:p>
        </w:tc>
      </w:tr>
      <w:tr w:rsidR="00370D59" w:rsidRPr="00504D7E" w14:paraId="4DA26681" w14:textId="77777777" w:rsidTr="00370D59">
        <w:trPr>
          <w:trHeight w:val="300"/>
        </w:trPr>
        <w:tc>
          <w:tcPr>
            <w:tcW w:w="700" w:type="dxa"/>
            <w:tcBorders>
              <w:top w:val="nil"/>
              <w:left w:val="nil"/>
              <w:bottom w:val="nil"/>
              <w:right w:val="nil"/>
            </w:tcBorders>
            <w:shd w:val="clear" w:color="auto" w:fill="auto"/>
            <w:noWrap/>
            <w:vAlign w:val="bottom"/>
            <w:hideMark/>
          </w:tcPr>
          <w:p w14:paraId="16DD8461" w14:textId="77777777" w:rsidR="00370D59" w:rsidRPr="00504D7E" w:rsidRDefault="00370D59" w:rsidP="00370D59">
            <w:pPr>
              <w:rPr>
                <w:color w:val="000000"/>
                <w:sz w:val="18"/>
                <w:szCs w:val="18"/>
              </w:rPr>
            </w:pPr>
            <w:r w:rsidRPr="00504D7E">
              <w:rPr>
                <w:color w:val="000000"/>
                <w:sz w:val="18"/>
                <w:szCs w:val="18"/>
              </w:rPr>
              <w:t>RO31</w:t>
            </w:r>
          </w:p>
        </w:tc>
        <w:tc>
          <w:tcPr>
            <w:tcW w:w="2040" w:type="dxa"/>
            <w:tcBorders>
              <w:top w:val="nil"/>
              <w:left w:val="nil"/>
              <w:bottom w:val="nil"/>
              <w:right w:val="nil"/>
            </w:tcBorders>
            <w:shd w:val="clear" w:color="auto" w:fill="auto"/>
            <w:noWrap/>
            <w:vAlign w:val="bottom"/>
            <w:hideMark/>
          </w:tcPr>
          <w:p w14:paraId="4B2C36B5" w14:textId="3AF8662B" w:rsidR="00370D59" w:rsidRPr="00504D7E" w:rsidRDefault="00370D59" w:rsidP="00370D59">
            <w:pPr>
              <w:rPr>
                <w:color w:val="000000"/>
                <w:sz w:val="18"/>
                <w:szCs w:val="18"/>
              </w:rPr>
            </w:pPr>
            <w:r w:rsidRPr="00504D7E">
              <w:rPr>
                <w:color w:val="000000"/>
                <w:sz w:val="18"/>
                <w:szCs w:val="18"/>
              </w:rPr>
              <w:t xml:space="preserve">Sud </w:t>
            </w:r>
            <w:r w:rsidR="00855074">
              <w:rPr>
                <w:color w:val="000000"/>
                <w:sz w:val="18"/>
                <w:szCs w:val="18"/>
              </w:rPr>
              <w:t>–</w:t>
            </w:r>
            <w:r w:rsidRPr="00504D7E">
              <w:rPr>
                <w:color w:val="000000"/>
                <w:sz w:val="18"/>
                <w:szCs w:val="18"/>
              </w:rPr>
              <w:t xml:space="preserve"> </w:t>
            </w:r>
            <w:proofErr w:type="spellStart"/>
            <w:r w:rsidRPr="00504D7E">
              <w:rPr>
                <w:color w:val="000000"/>
                <w:sz w:val="18"/>
                <w:szCs w:val="18"/>
              </w:rPr>
              <w:t>Muntenia</w:t>
            </w:r>
            <w:proofErr w:type="spellEnd"/>
          </w:p>
        </w:tc>
        <w:tc>
          <w:tcPr>
            <w:tcW w:w="340" w:type="dxa"/>
            <w:tcBorders>
              <w:top w:val="nil"/>
              <w:left w:val="nil"/>
              <w:bottom w:val="nil"/>
              <w:right w:val="nil"/>
            </w:tcBorders>
            <w:shd w:val="clear" w:color="auto" w:fill="auto"/>
            <w:noWrap/>
            <w:vAlign w:val="bottom"/>
            <w:hideMark/>
          </w:tcPr>
          <w:p w14:paraId="7A3BA3CE"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5D07FECF" w14:textId="77777777" w:rsidR="00370D59" w:rsidRPr="00504D7E" w:rsidRDefault="00370D59" w:rsidP="00370D59">
            <w:pPr>
              <w:rPr>
                <w:color w:val="000000"/>
                <w:sz w:val="18"/>
                <w:szCs w:val="18"/>
              </w:rPr>
            </w:pPr>
            <w:r w:rsidRPr="00504D7E">
              <w:rPr>
                <w:color w:val="000000"/>
                <w:sz w:val="18"/>
                <w:szCs w:val="18"/>
              </w:rPr>
              <w:t>UKJ4</w:t>
            </w:r>
          </w:p>
        </w:tc>
        <w:tc>
          <w:tcPr>
            <w:tcW w:w="3820" w:type="dxa"/>
            <w:tcBorders>
              <w:top w:val="nil"/>
              <w:left w:val="nil"/>
              <w:bottom w:val="nil"/>
              <w:right w:val="nil"/>
            </w:tcBorders>
            <w:shd w:val="clear" w:color="auto" w:fill="auto"/>
            <w:noWrap/>
            <w:vAlign w:val="bottom"/>
            <w:hideMark/>
          </w:tcPr>
          <w:p w14:paraId="16C73779" w14:textId="77777777" w:rsidR="00370D59" w:rsidRPr="00504D7E" w:rsidRDefault="00370D59" w:rsidP="00370D59">
            <w:pPr>
              <w:rPr>
                <w:color w:val="000000"/>
                <w:sz w:val="18"/>
                <w:szCs w:val="18"/>
              </w:rPr>
            </w:pPr>
            <w:r w:rsidRPr="00504D7E">
              <w:rPr>
                <w:color w:val="000000"/>
                <w:sz w:val="18"/>
                <w:szCs w:val="18"/>
              </w:rPr>
              <w:t>Kent</w:t>
            </w:r>
          </w:p>
        </w:tc>
        <w:tc>
          <w:tcPr>
            <w:tcW w:w="460" w:type="dxa"/>
            <w:tcBorders>
              <w:top w:val="nil"/>
              <w:left w:val="nil"/>
              <w:bottom w:val="nil"/>
              <w:right w:val="nil"/>
            </w:tcBorders>
            <w:shd w:val="clear" w:color="auto" w:fill="auto"/>
            <w:noWrap/>
            <w:vAlign w:val="bottom"/>
            <w:hideMark/>
          </w:tcPr>
          <w:p w14:paraId="73A7E27D"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0AA8C4D5"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0793D6C1" w14:textId="77777777" w:rsidR="00370D59" w:rsidRPr="00504D7E" w:rsidRDefault="00370D59" w:rsidP="00370D59">
            <w:pPr>
              <w:rPr>
                <w:color w:val="000000"/>
              </w:rPr>
            </w:pPr>
          </w:p>
        </w:tc>
      </w:tr>
      <w:tr w:rsidR="00370D59" w:rsidRPr="00055A77" w14:paraId="0C226AB9" w14:textId="77777777" w:rsidTr="00370D59">
        <w:trPr>
          <w:trHeight w:val="300"/>
        </w:trPr>
        <w:tc>
          <w:tcPr>
            <w:tcW w:w="700" w:type="dxa"/>
            <w:tcBorders>
              <w:top w:val="nil"/>
              <w:left w:val="nil"/>
              <w:bottom w:val="nil"/>
              <w:right w:val="nil"/>
            </w:tcBorders>
            <w:shd w:val="clear" w:color="auto" w:fill="auto"/>
            <w:noWrap/>
            <w:vAlign w:val="bottom"/>
            <w:hideMark/>
          </w:tcPr>
          <w:p w14:paraId="6A434C23" w14:textId="77777777" w:rsidR="00370D59" w:rsidRPr="00504D7E" w:rsidRDefault="00370D59" w:rsidP="00370D59">
            <w:pPr>
              <w:rPr>
                <w:color w:val="000000"/>
                <w:sz w:val="18"/>
                <w:szCs w:val="18"/>
              </w:rPr>
            </w:pPr>
            <w:r w:rsidRPr="00504D7E">
              <w:rPr>
                <w:color w:val="000000"/>
                <w:sz w:val="18"/>
                <w:szCs w:val="18"/>
              </w:rPr>
              <w:t>RO32</w:t>
            </w:r>
          </w:p>
        </w:tc>
        <w:tc>
          <w:tcPr>
            <w:tcW w:w="2040" w:type="dxa"/>
            <w:tcBorders>
              <w:top w:val="nil"/>
              <w:left w:val="nil"/>
              <w:bottom w:val="nil"/>
              <w:right w:val="nil"/>
            </w:tcBorders>
            <w:shd w:val="clear" w:color="auto" w:fill="auto"/>
            <w:noWrap/>
            <w:vAlign w:val="bottom"/>
            <w:hideMark/>
          </w:tcPr>
          <w:p w14:paraId="32CCBC6C" w14:textId="3F0A2FA7" w:rsidR="00370D59" w:rsidRPr="00504D7E" w:rsidRDefault="00370D59" w:rsidP="00370D59">
            <w:pPr>
              <w:rPr>
                <w:color w:val="000000"/>
                <w:sz w:val="18"/>
                <w:szCs w:val="18"/>
              </w:rPr>
            </w:pPr>
            <w:r w:rsidRPr="00504D7E">
              <w:rPr>
                <w:color w:val="000000"/>
                <w:sz w:val="18"/>
                <w:szCs w:val="18"/>
              </w:rPr>
              <w:t xml:space="preserve">Bucuresti </w:t>
            </w:r>
            <w:r w:rsidR="00855074">
              <w:rPr>
                <w:color w:val="000000"/>
                <w:sz w:val="18"/>
                <w:szCs w:val="18"/>
              </w:rPr>
              <w:t>–</w:t>
            </w:r>
            <w:r w:rsidRPr="00504D7E">
              <w:rPr>
                <w:color w:val="000000"/>
                <w:sz w:val="18"/>
                <w:szCs w:val="18"/>
              </w:rPr>
              <w:t xml:space="preserve"> </w:t>
            </w:r>
            <w:proofErr w:type="spellStart"/>
            <w:r w:rsidRPr="00504D7E">
              <w:rPr>
                <w:color w:val="000000"/>
                <w:sz w:val="18"/>
                <w:szCs w:val="18"/>
              </w:rPr>
              <w:t>Ilfov</w:t>
            </w:r>
            <w:proofErr w:type="spellEnd"/>
          </w:p>
        </w:tc>
        <w:tc>
          <w:tcPr>
            <w:tcW w:w="340" w:type="dxa"/>
            <w:tcBorders>
              <w:top w:val="nil"/>
              <w:left w:val="nil"/>
              <w:bottom w:val="nil"/>
              <w:right w:val="nil"/>
            </w:tcBorders>
            <w:shd w:val="clear" w:color="auto" w:fill="auto"/>
            <w:noWrap/>
            <w:vAlign w:val="bottom"/>
            <w:hideMark/>
          </w:tcPr>
          <w:p w14:paraId="73654FAD"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10AE94E4" w14:textId="77777777" w:rsidR="00370D59" w:rsidRPr="00504D7E" w:rsidRDefault="00370D59" w:rsidP="00370D59">
            <w:pPr>
              <w:rPr>
                <w:color w:val="000000"/>
                <w:sz w:val="18"/>
                <w:szCs w:val="18"/>
              </w:rPr>
            </w:pPr>
            <w:r w:rsidRPr="00504D7E">
              <w:rPr>
                <w:color w:val="000000"/>
                <w:sz w:val="18"/>
                <w:szCs w:val="18"/>
              </w:rPr>
              <w:t>UKK1</w:t>
            </w:r>
          </w:p>
        </w:tc>
        <w:tc>
          <w:tcPr>
            <w:tcW w:w="3820" w:type="dxa"/>
            <w:tcBorders>
              <w:top w:val="nil"/>
              <w:left w:val="nil"/>
              <w:bottom w:val="nil"/>
              <w:right w:val="nil"/>
            </w:tcBorders>
            <w:shd w:val="clear" w:color="auto" w:fill="auto"/>
            <w:noWrap/>
            <w:vAlign w:val="bottom"/>
            <w:hideMark/>
          </w:tcPr>
          <w:p w14:paraId="149297D1" w14:textId="77777777" w:rsidR="00370D59" w:rsidRPr="00504D7E" w:rsidRDefault="00370D59" w:rsidP="00370D59">
            <w:pPr>
              <w:rPr>
                <w:color w:val="000000"/>
                <w:sz w:val="18"/>
                <w:szCs w:val="18"/>
                <w:lang w:val="en-US"/>
              </w:rPr>
            </w:pPr>
            <w:r w:rsidRPr="00504D7E">
              <w:rPr>
                <w:color w:val="000000"/>
                <w:sz w:val="18"/>
                <w:szCs w:val="18"/>
                <w:lang w:val="en-US"/>
              </w:rPr>
              <w:t>Gloucestershire, Wiltshire and Bristol/Bath area</w:t>
            </w:r>
          </w:p>
        </w:tc>
        <w:tc>
          <w:tcPr>
            <w:tcW w:w="460" w:type="dxa"/>
            <w:tcBorders>
              <w:top w:val="nil"/>
              <w:left w:val="nil"/>
              <w:bottom w:val="nil"/>
              <w:right w:val="nil"/>
            </w:tcBorders>
            <w:shd w:val="clear" w:color="auto" w:fill="auto"/>
            <w:noWrap/>
            <w:vAlign w:val="bottom"/>
            <w:hideMark/>
          </w:tcPr>
          <w:p w14:paraId="56D6EE1D" w14:textId="77777777" w:rsidR="00370D59" w:rsidRPr="00504D7E" w:rsidRDefault="00370D59" w:rsidP="00370D59">
            <w:pPr>
              <w:rPr>
                <w:color w:val="000000"/>
                <w:lang w:val="en-US"/>
              </w:rPr>
            </w:pPr>
          </w:p>
        </w:tc>
        <w:tc>
          <w:tcPr>
            <w:tcW w:w="920" w:type="dxa"/>
            <w:tcBorders>
              <w:top w:val="nil"/>
              <w:left w:val="nil"/>
              <w:bottom w:val="nil"/>
              <w:right w:val="nil"/>
            </w:tcBorders>
            <w:shd w:val="clear" w:color="auto" w:fill="auto"/>
            <w:noWrap/>
            <w:vAlign w:val="bottom"/>
            <w:hideMark/>
          </w:tcPr>
          <w:p w14:paraId="0E79A96D" w14:textId="77777777" w:rsidR="00370D59" w:rsidRPr="00504D7E" w:rsidRDefault="00370D59" w:rsidP="00370D59">
            <w:pPr>
              <w:rPr>
                <w:color w:val="000000"/>
                <w:lang w:val="en-US"/>
              </w:rPr>
            </w:pPr>
          </w:p>
        </w:tc>
        <w:tc>
          <w:tcPr>
            <w:tcW w:w="1640" w:type="dxa"/>
            <w:tcBorders>
              <w:top w:val="nil"/>
              <w:left w:val="nil"/>
              <w:bottom w:val="nil"/>
              <w:right w:val="nil"/>
            </w:tcBorders>
            <w:shd w:val="clear" w:color="auto" w:fill="auto"/>
            <w:noWrap/>
            <w:vAlign w:val="bottom"/>
            <w:hideMark/>
          </w:tcPr>
          <w:p w14:paraId="6C657ABC" w14:textId="77777777" w:rsidR="00370D59" w:rsidRPr="00504D7E" w:rsidRDefault="00370D59" w:rsidP="00370D59">
            <w:pPr>
              <w:rPr>
                <w:color w:val="000000"/>
                <w:lang w:val="en-US"/>
              </w:rPr>
            </w:pPr>
          </w:p>
        </w:tc>
      </w:tr>
      <w:tr w:rsidR="00370D59" w:rsidRPr="00504D7E" w14:paraId="4BAA645F" w14:textId="77777777" w:rsidTr="00370D59">
        <w:trPr>
          <w:trHeight w:val="300"/>
        </w:trPr>
        <w:tc>
          <w:tcPr>
            <w:tcW w:w="700" w:type="dxa"/>
            <w:tcBorders>
              <w:top w:val="nil"/>
              <w:left w:val="nil"/>
              <w:bottom w:val="nil"/>
              <w:right w:val="nil"/>
            </w:tcBorders>
            <w:shd w:val="clear" w:color="auto" w:fill="auto"/>
            <w:noWrap/>
            <w:vAlign w:val="bottom"/>
            <w:hideMark/>
          </w:tcPr>
          <w:p w14:paraId="1F64E864" w14:textId="77777777" w:rsidR="00370D59" w:rsidRPr="00504D7E" w:rsidRDefault="00370D59" w:rsidP="00370D59">
            <w:pPr>
              <w:rPr>
                <w:color w:val="000000"/>
                <w:sz w:val="18"/>
                <w:szCs w:val="18"/>
              </w:rPr>
            </w:pPr>
            <w:r w:rsidRPr="00504D7E">
              <w:rPr>
                <w:color w:val="000000"/>
                <w:sz w:val="18"/>
                <w:szCs w:val="18"/>
              </w:rPr>
              <w:t>RO41</w:t>
            </w:r>
          </w:p>
        </w:tc>
        <w:tc>
          <w:tcPr>
            <w:tcW w:w="2040" w:type="dxa"/>
            <w:tcBorders>
              <w:top w:val="nil"/>
              <w:left w:val="nil"/>
              <w:bottom w:val="nil"/>
              <w:right w:val="nil"/>
            </w:tcBorders>
            <w:shd w:val="clear" w:color="auto" w:fill="auto"/>
            <w:noWrap/>
            <w:vAlign w:val="bottom"/>
            <w:hideMark/>
          </w:tcPr>
          <w:p w14:paraId="7D340C1B" w14:textId="77777777" w:rsidR="00370D59" w:rsidRPr="00504D7E" w:rsidRDefault="00370D59" w:rsidP="00370D59">
            <w:pPr>
              <w:rPr>
                <w:color w:val="000000"/>
                <w:sz w:val="18"/>
                <w:szCs w:val="18"/>
              </w:rPr>
            </w:pPr>
            <w:proofErr w:type="spellStart"/>
            <w:r w:rsidRPr="00504D7E">
              <w:rPr>
                <w:color w:val="000000"/>
                <w:sz w:val="18"/>
                <w:szCs w:val="18"/>
              </w:rPr>
              <w:t>Sud-Vest</w:t>
            </w:r>
            <w:proofErr w:type="spellEnd"/>
            <w:r w:rsidRPr="00504D7E">
              <w:rPr>
                <w:color w:val="000000"/>
                <w:sz w:val="18"/>
                <w:szCs w:val="18"/>
              </w:rPr>
              <w:t xml:space="preserve"> </w:t>
            </w:r>
            <w:proofErr w:type="spellStart"/>
            <w:r w:rsidRPr="00504D7E">
              <w:rPr>
                <w:color w:val="000000"/>
                <w:sz w:val="18"/>
                <w:szCs w:val="18"/>
              </w:rPr>
              <w:t>Oltenia</w:t>
            </w:r>
            <w:proofErr w:type="spellEnd"/>
          </w:p>
        </w:tc>
        <w:tc>
          <w:tcPr>
            <w:tcW w:w="340" w:type="dxa"/>
            <w:tcBorders>
              <w:top w:val="nil"/>
              <w:left w:val="nil"/>
              <w:bottom w:val="nil"/>
              <w:right w:val="nil"/>
            </w:tcBorders>
            <w:shd w:val="clear" w:color="auto" w:fill="auto"/>
            <w:noWrap/>
            <w:vAlign w:val="bottom"/>
            <w:hideMark/>
          </w:tcPr>
          <w:p w14:paraId="50C16876"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26D14C10" w14:textId="77777777" w:rsidR="00370D59" w:rsidRPr="00504D7E" w:rsidRDefault="00370D59" w:rsidP="00370D59">
            <w:pPr>
              <w:rPr>
                <w:color w:val="000000"/>
                <w:sz w:val="18"/>
                <w:szCs w:val="18"/>
              </w:rPr>
            </w:pPr>
            <w:r w:rsidRPr="00504D7E">
              <w:rPr>
                <w:color w:val="000000"/>
                <w:sz w:val="18"/>
                <w:szCs w:val="18"/>
              </w:rPr>
              <w:t>UKK2</w:t>
            </w:r>
          </w:p>
        </w:tc>
        <w:tc>
          <w:tcPr>
            <w:tcW w:w="3820" w:type="dxa"/>
            <w:tcBorders>
              <w:top w:val="nil"/>
              <w:left w:val="nil"/>
              <w:bottom w:val="nil"/>
              <w:right w:val="nil"/>
            </w:tcBorders>
            <w:shd w:val="clear" w:color="auto" w:fill="auto"/>
            <w:noWrap/>
            <w:vAlign w:val="bottom"/>
            <w:hideMark/>
          </w:tcPr>
          <w:p w14:paraId="465FC972" w14:textId="77777777" w:rsidR="00370D59" w:rsidRPr="00504D7E" w:rsidRDefault="00370D59" w:rsidP="00370D59">
            <w:pPr>
              <w:rPr>
                <w:color w:val="000000"/>
                <w:sz w:val="18"/>
                <w:szCs w:val="18"/>
              </w:rPr>
            </w:pPr>
            <w:proofErr w:type="spellStart"/>
            <w:r w:rsidRPr="00504D7E">
              <w:rPr>
                <w:color w:val="000000"/>
                <w:sz w:val="18"/>
                <w:szCs w:val="18"/>
              </w:rPr>
              <w:t>Dorset</w:t>
            </w:r>
            <w:proofErr w:type="spellEnd"/>
            <w:r w:rsidRPr="00504D7E">
              <w:rPr>
                <w:color w:val="000000"/>
                <w:sz w:val="18"/>
                <w:szCs w:val="18"/>
              </w:rPr>
              <w:t xml:space="preserve"> and </w:t>
            </w:r>
            <w:proofErr w:type="spellStart"/>
            <w:r w:rsidRPr="00504D7E">
              <w:rPr>
                <w:color w:val="000000"/>
                <w:sz w:val="18"/>
                <w:szCs w:val="18"/>
              </w:rPr>
              <w:t>Somerset</w:t>
            </w:r>
            <w:proofErr w:type="spellEnd"/>
          </w:p>
        </w:tc>
        <w:tc>
          <w:tcPr>
            <w:tcW w:w="460" w:type="dxa"/>
            <w:tcBorders>
              <w:top w:val="nil"/>
              <w:left w:val="nil"/>
              <w:bottom w:val="nil"/>
              <w:right w:val="nil"/>
            </w:tcBorders>
            <w:shd w:val="clear" w:color="auto" w:fill="auto"/>
            <w:noWrap/>
            <w:vAlign w:val="bottom"/>
            <w:hideMark/>
          </w:tcPr>
          <w:p w14:paraId="63BFE6C4"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5404CA90"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56DBDC97" w14:textId="77777777" w:rsidR="00370D59" w:rsidRPr="00504D7E" w:rsidRDefault="00370D59" w:rsidP="00370D59">
            <w:pPr>
              <w:rPr>
                <w:color w:val="000000"/>
              </w:rPr>
            </w:pPr>
          </w:p>
        </w:tc>
      </w:tr>
      <w:tr w:rsidR="00370D59" w:rsidRPr="006630B8" w14:paraId="06D466DB" w14:textId="77777777" w:rsidTr="00370D59">
        <w:trPr>
          <w:trHeight w:val="300"/>
        </w:trPr>
        <w:tc>
          <w:tcPr>
            <w:tcW w:w="700" w:type="dxa"/>
            <w:tcBorders>
              <w:top w:val="nil"/>
              <w:left w:val="nil"/>
              <w:bottom w:val="nil"/>
              <w:right w:val="nil"/>
            </w:tcBorders>
            <w:shd w:val="clear" w:color="auto" w:fill="auto"/>
            <w:noWrap/>
            <w:vAlign w:val="bottom"/>
            <w:hideMark/>
          </w:tcPr>
          <w:p w14:paraId="62D97058" w14:textId="77777777" w:rsidR="00370D59" w:rsidRPr="00504D7E" w:rsidRDefault="00370D59" w:rsidP="00370D59">
            <w:pPr>
              <w:rPr>
                <w:color w:val="000000"/>
                <w:sz w:val="18"/>
                <w:szCs w:val="18"/>
              </w:rPr>
            </w:pPr>
            <w:r w:rsidRPr="00504D7E">
              <w:rPr>
                <w:color w:val="000000"/>
                <w:sz w:val="18"/>
                <w:szCs w:val="18"/>
              </w:rPr>
              <w:t>RO42</w:t>
            </w:r>
          </w:p>
        </w:tc>
        <w:tc>
          <w:tcPr>
            <w:tcW w:w="2040" w:type="dxa"/>
            <w:tcBorders>
              <w:top w:val="nil"/>
              <w:left w:val="nil"/>
              <w:bottom w:val="nil"/>
              <w:right w:val="nil"/>
            </w:tcBorders>
            <w:shd w:val="clear" w:color="auto" w:fill="auto"/>
            <w:noWrap/>
            <w:vAlign w:val="bottom"/>
            <w:hideMark/>
          </w:tcPr>
          <w:p w14:paraId="4AB7C605" w14:textId="77777777" w:rsidR="00370D59" w:rsidRPr="00504D7E" w:rsidRDefault="00370D59" w:rsidP="00370D59">
            <w:pPr>
              <w:rPr>
                <w:color w:val="000000"/>
                <w:sz w:val="18"/>
                <w:szCs w:val="18"/>
              </w:rPr>
            </w:pPr>
            <w:r w:rsidRPr="00504D7E">
              <w:rPr>
                <w:color w:val="000000"/>
                <w:sz w:val="18"/>
                <w:szCs w:val="18"/>
              </w:rPr>
              <w:t>Vest</w:t>
            </w:r>
          </w:p>
        </w:tc>
        <w:tc>
          <w:tcPr>
            <w:tcW w:w="340" w:type="dxa"/>
            <w:tcBorders>
              <w:top w:val="nil"/>
              <w:left w:val="nil"/>
              <w:bottom w:val="nil"/>
              <w:right w:val="nil"/>
            </w:tcBorders>
            <w:shd w:val="clear" w:color="auto" w:fill="auto"/>
            <w:noWrap/>
            <w:vAlign w:val="bottom"/>
            <w:hideMark/>
          </w:tcPr>
          <w:p w14:paraId="073496CB"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0789AF95" w14:textId="77777777" w:rsidR="00370D59" w:rsidRPr="00504D7E" w:rsidRDefault="00370D59" w:rsidP="00370D59">
            <w:pPr>
              <w:rPr>
                <w:color w:val="000000"/>
                <w:sz w:val="18"/>
                <w:szCs w:val="18"/>
              </w:rPr>
            </w:pPr>
            <w:r w:rsidRPr="00504D7E">
              <w:rPr>
                <w:color w:val="000000"/>
                <w:sz w:val="18"/>
                <w:szCs w:val="18"/>
              </w:rPr>
              <w:t>UKK3</w:t>
            </w:r>
          </w:p>
        </w:tc>
        <w:tc>
          <w:tcPr>
            <w:tcW w:w="3820" w:type="dxa"/>
            <w:tcBorders>
              <w:top w:val="nil"/>
              <w:left w:val="nil"/>
              <w:bottom w:val="nil"/>
              <w:right w:val="nil"/>
            </w:tcBorders>
            <w:shd w:val="clear" w:color="auto" w:fill="auto"/>
            <w:noWrap/>
            <w:vAlign w:val="bottom"/>
            <w:hideMark/>
          </w:tcPr>
          <w:p w14:paraId="4821A5B2" w14:textId="77777777" w:rsidR="00370D59" w:rsidRPr="00504D7E" w:rsidRDefault="00370D59" w:rsidP="00370D59">
            <w:pPr>
              <w:rPr>
                <w:color w:val="000000"/>
                <w:sz w:val="18"/>
                <w:szCs w:val="18"/>
                <w:lang w:val="en-US"/>
              </w:rPr>
            </w:pPr>
            <w:r w:rsidRPr="00504D7E">
              <w:rPr>
                <w:color w:val="000000"/>
                <w:sz w:val="18"/>
                <w:szCs w:val="18"/>
                <w:lang w:val="en-US"/>
              </w:rPr>
              <w:t xml:space="preserve">Cornwall and Isles of </w:t>
            </w:r>
            <w:proofErr w:type="spellStart"/>
            <w:r w:rsidRPr="00504D7E">
              <w:rPr>
                <w:color w:val="000000"/>
                <w:sz w:val="18"/>
                <w:szCs w:val="18"/>
                <w:lang w:val="en-US"/>
              </w:rPr>
              <w:t>Scilly</w:t>
            </w:r>
            <w:proofErr w:type="spellEnd"/>
          </w:p>
        </w:tc>
        <w:tc>
          <w:tcPr>
            <w:tcW w:w="460" w:type="dxa"/>
            <w:tcBorders>
              <w:top w:val="nil"/>
              <w:left w:val="nil"/>
              <w:bottom w:val="nil"/>
              <w:right w:val="nil"/>
            </w:tcBorders>
            <w:shd w:val="clear" w:color="auto" w:fill="auto"/>
            <w:noWrap/>
            <w:vAlign w:val="bottom"/>
            <w:hideMark/>
          </w:tcPr>
          <w:p w14:paraId="4DDE6AD7" w14:textId="77777777" w:rsidR="00370D59" w:rsidRPr="00504D7E" w:rsidRDefault="00370D59" w:rsidP="00370D59">
            <w:pPr>
              <w:rPr>
                <w:color w:val="000000"/>
                <w:lang w:val="en-US"/>
              </w:rPr>
            </w:pPr>
          </w:p>
        </w:tc>
        <w:tc>
          <w:tcPr>
            <w:tcW w:w="920" w:type="dxa"/>
            <w:tcBorders>
              <w:top w:val="nil"/>
              <w:left w:val="nil"/>
              <w:bottom w:val="nil"/>
              <w:right w:val="nil"/>
            </w:tcBorders>
            <w:shd w:val="clear" w:color="auto" w:fill="auto"/>
            <w:noWrap/>
            <w:vAlign w:val="bottom"/>
            <w:hideMark/>
          </w:tcPr>
          <w:p w14:paraId="68B59764" w14:textId="77777777" w:rsidR="00370D59" w:rsidRPr="00504D7E" w:rsidRDefault="00370D59" w:rsidP="00370D59">
            <w:pPr>
              <w:rPr>
                <w:color w:val="000000"/>
                <w:lang w:val="en-US"/>
              </w:rPr>
            </w:pPr>
          </w:p>
        </w:tc>
        <w:tc>
          <w:tcPr>
            <w:tcW w:w="1640" w:type="dxa"/>
            <w:tcBorders>
              <w:top w:val="nil"/>
              <w:left w:val="nil"/>
              <w:bottom w:val="nil"/>
              <w:right w:val="nil"/>
            </w:tcBorders>
            <w:shd w:val="clear" w:color="auto" w:fill="auto"/>
            <w:noWrap/>
            <w:vAlign w:val="bottom"/>
            <w:hideMark/>
          </w:tcPr>
          <w:p w14:paraId="197DB6A4" w14:textId="77777777" w:rsidR="00370D59" w:rsidRPr="00504D7E" w:rsidRDefault="00370D59" w:rsidP="00370D59">
            <w:pPr>
              <w:rPr>
                <w:color w:val="000000"/>
                <w:lang w:val="en-US"/>
              </w:rPr>
            </w:pPr>
          </w:p>
        </w:tc>
      </w:tr>
      <w:tr w:rsidR="00370D59" w:rsidRPr="006630B8" w14:paraId="2F6B6E35" w14:textId="77777777" w:rsidTr="00370D59">
        <w:trPr>
          <w:trHeight w:val="300"/>
        </w:trPr>
        <w:tc>
          <w:tcPr>
            <w:tcW w:w="700" w:type="dxa"/>
            <w:tcBorders>
              <w:top w:val="nil"/>
              <w:left w:val="nil"/>
              <w:bottom w:val="nil"/>
              <w:right w:val="nil"/>
            </w:tcBorders>
            <w:shd w:val="clear" w:color="auto" w:fill="auto"/>
            <w:noWrap/>
            <w:vAlign w:val="bottom"/>
            <w:hideMark/>
          </w:tcPr>
          <w:p w14:paraId="1D7A98A8" w14:textId="77777777" w:rsidR="00370D59" w:rsidRPr="00504D7E" w:rsidRDefault="00370D59" w:rsidP="00370D59">
            <w:pPr>
              <w:rPr>
                <w:color w:val="000000"/>
                <w:sz w:val="18"/>
                <w:szCs w:val="18"/>
              </w:rPr>
            </w:pPr>
            <w:r w:rsidRPr="00504D7E">
              <w:rPr>
                <w:color w:val="000000"/>
                <w:sz w:val="18"/>
                <w:szCs w:val="18"/>
              </w:rPr>
              <w:t>FI13</w:t>
            </w:r>
          </w:p>
        </w:tc>
        <w:tc>
          <w:tcPr>
            <w:tcW w:w="2040" w:type="dxa"/>
            <w:tcBorders>
              <w:top w:val="nil"/>
              <w:left w:val="nil"/>
              <w:bottom w:val="nil"/>
              <w:right w:val="nil"/>
            </w:tcBorders>
            <w:shd w:val="clear" w:color="auto" w:fill="auto"/>
            <w:noWrap/>
            <w:vAlign w:val="bottom"/>
            <w:hideMark/>
          </w:tcPr>
          <w:p w14:paraId="033F283F" w14:textId="77777777" w:rsidR="00370D59" w:rsidRPr="00504D7E" w:rsidRDefault="00370D59" w:rsidP="00370D59">
            <w:pPr>
              <w:rPr>
                <w:color w:val="000000"/>
                <w:sz w:val="18"/>
                <w:szCs w:val="18"/>
              </w:rPr>
            </w:pPr>
            <w:proofErr w:type="spellStart"/>
            <w:r w:rsidRPr="00504D7E">
              <w:rPr>
                <w:color w:val="000000"/>
                <w:sz w:val="18"/>
                <w:szCs w:val="18"/>
              </w:rPr>
              <w:t>Itä-Suomi</w:t>
            </w:r>
            <w:proofErr w:type="spellEnd"/>
            <w:r w:rsidRPr="00504D7E">
              <w:rPr>
                <w:color w:val="000000"/>
                <w:sz w:val="18"/>
                <w:szCs w:val="18"/>
              </w:rPr>
              <w:t xml:space="preserve"> (NUTS 2006)</w:t>
            </w:r>
          </w:p>
        </w:tc>
        <w:tc>
          <w:tcPr>
            <w:tcW w:w="340" w:type="dxa"/>
            <w:tcBorders>
              <w:top w:val="nil"/>
              <w:left w:val="nil"/>
              <w:bottom w:val="nil"/>
              <w:right w:val="nil"/>
            </w:tcBorders>
            <w:shd w:val="clear" w:color="auto" w:fill="auto"/>
            <w:noWrap/>
            <w:vAlign w:val="bottom"/>
            <w:hideMark/>
          </w:tcPr>
          <w:p w14:paraId="28F7A9BE"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4037A1FC" w14:textId="77777777" w:rsidR="00370D59" w:rsidRPr="00504D7E" w:rsidRDefault="00370D59" w:rsidP="00370D59">
            <w:pPr>
              <w:rPr>
                <w:color w:val="000000"/>
                <w:sz w:val="18"/>
                <w:szCs w:val="18"/>
              </w:rPr>
            </w:pPr>
            <w:r w:rsidRPr="00504D7E">
              <w:rPr>
                <w:color w:val="000000"/>
                <w:sz w:val="18"/>
                <w:szCs w:val="18"/>
              </w:rPr>
              <w:t>UKL1</w:t>
            </w:r>
          </w:p>
        </w:tc>
        <w:tc>
          <w:tcPr>
            <w:tcW w:w="3820" w:type="dxa"/>
            <w:tcBorders>
              <w:top w:val="nil"/>
              <w:left w:val="nil"/>
              <w:bottom w:val="nil"/>
              <w:right w:val="nil"/>
            </w:tcBorders>
            <w:shd w:val="clear" w:color="auto" w:fill="auto"/>
            <w:noWrap/>
            <w:vAlign w:val="bottom"/>
            <w:hideMark/>
          </w:tcPr>
          <w:p w14:paraId="314E27B9" w14:textId="77777777" w:rsidR="00370D59" w:rsidRPr="00504D7E" w:rsidRDefault="00370D59" w:rsidP="00370D59">
            <w:pPr>
              <w:rPr>
                <w:color w:val="000000"/>
                <w:sz w:val="18"/>
                <w:szCs w:val="18"/>
                <w:lang w:val="en-US"/>
              </w:rPr>
            </w:pPr>
            <w:r w:rsidRPr="00504D7E">
              <w:rPr>
                <w:color w:val="000000"/>
                <w:sz w:val="18"/>
                <w:szCs w:val="18"/>
                <w:lang w:val="en-US"/>
              </w:rPr>
              <w:t>West Wales and The Valleys</w:t>
            </w:r>
          </w:p>
        </w:tc>
        <w:tc>
          <w:tcPr>
            <w:tcW w:w="460" w:type="dxa"/>
            <w:tcBorders>
              <w:top w:val="nil"/>
              <w:left w:val="nil"/>
              <w:bottom w:val="nil"/>
              <w:right w:val="nil"/>
            </w:tcBorders>
            <w:shd w:val="clear" w:color="auto" w:fill="auto"/>
            <w:noWrap/>
            <w:vAlign w:val="bottom"/>
            <w:hideMark/>
          </w:tcPr>
          <w:p w14:paraId="1E56C29E" w14:textId="77777777" w:rsidR="00370D59" w:rsidRPr="00504D7E" w:rsidRDefault="00370D59" w:rsidP="00370D59">
            <w:pPr>
              <w:rPr>
                <w:color w:val="000000"/>
                <w:lang w:val="en-US"/>
              </w:rPr>
            </w:pPr>
          </w:p>
        </w:tc>
        <w:tc>
          <w:tcPr>
            <w:tcW w:w="920" w:type="dxa"/>
            <w:tcBorders>
              <w:top w:val="nil"/>
              <w:left w:val="nil"/>
              <w:bottom w:val="nil"/>
              <w:right w:val="nil"/>
            </w:tcBorders>
            <w:shd w:val="clear" w:color="auto" w:fill="auto"/>
            <w:noWrap/>
            <w:vAlign w:val="bottom"/>
            <w:hideMark/>
          </w:tcPr>
          <w:p w14:paraId="0174FC25" w14:textId="77777777" w:rsidR="00370D59" w:rsidRPr="00504D7E" w:rsidRDefault="00370D59" w:rsidP="00370D59">
            <w:pPr>
              <w:rPr>
                <w:color w:val="000000"/>
                <w:lang w:val="en-US"/>
              </w:rPr>
            </w:pPr>
          </w:p>
        </w:tc>
        <w:tc>
          <w:tcPr>
            <w:tcW w:w="1640" w:type="dxa"/>
            <w:tcBorders>
              <w:top w:val="nil"/>
              <w:left w:val="nil"/>
              <w:bottom w:val="nil"/>
              <w:right w:val="nil"/>
            </w:tcBorders>
            <w:shd w:val="clear" w:color="auto" w:fill="auto"/>
            <w:noWrap/>
            <w:vAlign w:val="bottom"/>
            <w:hideMark/>
          </w:tcPr>
          <w:p w14:paraId="7FF9DB9F" w14:textId="77777777" w:rsidR="00370D59" w:rsidRPr="00504D7E" w:rsidRDefault="00370D59" w:rsidP="00370D59">
            <w:pPr>
              <w:rPr>
                <w:color w:val="000000"/>
                <w:lang w:val="en-US"/>
              </w:rPr>
            </w:pPr>
          </w:p>
        </w:tc>
      </w:tr>
      <w:tr w:rsidR="00370D59" w:rsidRPr="00504D7E" w14:paraId="536AD0C2" w14:textId="77777777" w:rsidTr="00370D59">
        <w:trPr>
          <w:trHeight w:val="300"/>
        </w:trPr>
        <w:tc>
          <w:tcPr>
            <w:tcW w:w="700" w:type="dxa"/>
            <w:tcBorders>
              <w:top w:val="nil"/>
              <w:left w:val="nil"/>
              <w:bottom w:val="nil"/>
              <w:right w:val="nil"/>
            </w:tcBorders>
            <w:shd w:val="clear" w:color="auto" w:fill="auto"/>
            <w:noWrap/>
            <w:vAlign w:val="bottom"/>
            <w:hideMark/>
          </w:tcPr>
          <w:p w14:paraId="476FA79E" w14:textId="77777777" w:rsidR="00370D59" w:rsidRPr="00504D7E" w:rsidRDefault="00370D59" w:rsidP="00370D59">
            <w:pPr>
              <w:rPr>
                <w:color w:val="000000"/>
                <w:sz w:val="18"/>
                <w:szCs w:val="18"/>
              </w:rPr>
            </w:pPr>
            <w:r w:rsidRPr="00504D7E">
              <w:rPr>
                <w:color w:val="000000"/>
                <w:sz w:val="18"/>
                <w:szCs w:val="18"/>
              </w:rPr>
              <w:t>FI18</w:t>
            </w:r>
          </w:p>
        </w:tc>
        <w:tc>
          <w:tcPr>
            <w:tcW w:w="2040" w:type="dxa"/>
            <w:tcBorders>
              <w:top w:val="nil"/>
              <w:left w:val="nil"/>
              <w:bottom w:val="nil"/>
              <w:right w:val="nil"/>
            </w:tcBorders>
            <w:shd w:val="clear" w:color="auto" w:fill="auto"/>
            <w:noWrap/>
            <w:vAlign w:val="bottom"/>
            <w:hideMark/>
          </w:tcPr>
          <w:p w14:paraId="217E335D" w14:textId="77777777" w:rsidR="00370D59" w:rsidRPr="00504D7E" w:rsidRDefault="00370D59" w:rsidP="00370D59">
            <w:pPr>
              <w:rPr>
                <w:color w:val="000000"/>
                <w:sz w:val="18"/>
                <w:szCs w:val="18"/>
              </w:rPr>
            </w:pPr>
            <w:proofErr w:type="spellStart"/>
            <w:r w:rsidRPr="00504D7E">
              <w:rPr>
                <w:color w:val="000000"/>
                <w:sz w:val="18"/>
                <w:szCs w:val="18"/>
              </w:rPr>
              <w:t>Etelä-Suomi</w:t>
            </w:r>
            <w:proofErr w:type="spellEnd"/>
            <w:r w:rsidRPr="00504D7E">
              <w:rPr>
                <w:color w:val="000000"/>
                <w:sz w:val="18"/>
                <w:szCs w:val="18"/>
              </w:rPr>
              <w:t xml:space="preserve"> (NUTS 2006)</w:t>
            </w:r>
          </w:p>
        </w:tc>
        <w:tc>
          <w:tcPr>
            <w:tcW w:w="340" w:type="dxa"/>
            <w:tcBorders>
              <w:top w:val="nil"/>
              <w:left w:val="nil"/>
              <w:bottom w:val="nil"/>
              <w:right w:val="nil"/>
            </w:tcBorders>
            <w:shd w:val="clear" w:color="auto" w:fill="auto"/>
            <w:noWrap/>
            <w:vAlign w:val="bottom"/>
            <w:hideMark/>
          </w:tcPr>
          <w:p w14:paraId="01853DE5"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6FA43C20" w14:textId="77777777" w:rsidR="00370D59" w:rsidRPr="00504D7E" w:rsidRDefault="00370D59" w:rsidP="00370D59">
            <w:pPr>
              <w:rPr>
                <w:color w:val="000000"/>
                <w:sz w:val="18"/>
                <w:szCs w:val="18"/>
              </w:rPr>
            </w:pPr>
            <w:r w:rsidRPr="00504D7E">
              <w:rPr>
                <w:color w:val="000000"/>
                <w:sz w:val="18"/>
                <w:szCs w:val="18"/>
              </w:rPr>
              <w:t>UKL2</w:t>
            </w:r>
          </w:p>
        </w:tc>
        <w:tc>
          <w:tcPr>
            <w:tcW w:w="3820" w:type="dxa"/>
            <w:tcBorders>
              <w:top w:val="nil"/>
              <w:left w:val="nil"/>
              <w:bottom w:val="nil"/>
              <w:right w:val="nil"/>
            </w:tcBorders>
            <w:shd w:val="clear" w:color="auto" w:fill="auto"/>
            <w:noWrap/>
            <w:vAlign w:val="bottom"/>
            <w:hideMark/>
          </w:tcPr>
          <w:p w14:paraId="0AA391D6" w14:textId="77777777" w:rsidR="00370D59" w:rsidRPr="00504D7E" w:rsidRDefault="00370D59" w:rsidP="00370D59">
            <w:pPr>
              <w:rPr>
                <w:color w:val="000000"/>
                <w:sz w:val="18"/>
                <w:szCs w:val="18"/>
              </w:rPr>
            </w:pPr>
            <w:r w:rsidRPr="00504D7E">
              <w:rPr>
                <w:color w:val="000000"/>
                <w:sz w:val="18"/>
                <w:szCs w:val="18"/>
              </w:rPr>
              <w:t>East Wales</w:t>
            </w:r>
          </w:p>
        </w:tc>
        <w:tc>
          <w:tcPr>
            <w:tcW w:w="460" w:type="dxa"/>
            <w:tcBorders>
              <w:top w:val="nil"/>
              <w:left w:val="nil"/>
              <w:bottom w:val="nil"/>
              <w:right w:val="nil"/>
            </w:tcBorders>
            <w:shd w:val="clear" w:color="auto" w:fill="auto"/>
            <w:noWrap/>
            <w:vAlign w:val="bottom"/>
            <w:hideMark/>
          </w:tcPr>
          <w:p w14:paraId="401E87A6"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6E46BB07"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2A81DF93" w14:textId="77777777" w:rsidR="00370D59" w:rsidRPr="00504D7E" w:rsidRDefault="00370D59" w:rsidP="00370D59">
            <w:pPr>
              <w:rPr>
                <w:color w:val="000000"/>
              </w:rPr>
            </w:pPr>
          </w:p>
        </w:tc>
      </w:tr>
      <w:tr w:rsidR="00370D59" w:rsidRPr="00504D7E" w14:paraId="35A1F5CA" w14:textId="77777777" w:rsidTr="00370D59">
        <w:trPr>
          <w:trHeight w:val="300"/>
        </w:trPr>
        <w:tc>
          <w:tcPr>
            <w:tcW w:w="700" w:type="dxa"/>
            <w:tcBorders>
              <w:top w:val="nil"/>
              <w:left w:val="nil"/>
              <w:bottom w:val="nil"/>
              <w:right w:val="nil"/>
            </w:tcBorders>
            <w:shd w:val="clear" w:color="auto" w:fill="auto"/>
            <w:noWrap/>
            <w:vAlign w:val="bottom"/>
            <w:hideMark/>
          </w:tcPr>
          <w:p w14:paraId="43D791D2" w14:textId="77777777" w:rsidR="00370D59" w:rsidRPr="00504D7E" w:rsidRDefault="00370D59" w:rsidP="00370D59">
            <w:pPr>
              <w:rPr>
                <w:color w:val="000000"/>
                <w:sz w:val="18"/>
                <w:szCs w:val="18"/>
              </w:rPr>
            </w:pPr>
            <w:r w:rsidRPr="00504D7E">
              <w:rPr>
                <w:color w:val="000000"/>
                <w:sz w:val="18"/>
                <w:szCs w:val="18"/>
              </w:rPr>
              <w:t>FI19</w:t>
            </w:r>
          </w:p>
        </w:tc>
        <w:tc>
          <w:tcPr>
            <w:tcW w:w="2040" w:type="dxa"/>
            <w:tcBorders>
              <w:top w:val="nil"/>
              <w:left w:val="nil"/>
              <w:bottom w:val="nil"/>
              <w:right w:val="nil"/>
            </w:tcBorders>
            <w:shd w:val="clear" w:color="auto" w:fill="auto"/>
            <w:noWrap/>
            <w:vAlign w:val="bottom"/>
            <w:hideMark/>
          </w:tcPr>
          <w:p w14:paraId="4001FBFB" w14:textId="77777777" w:rsidR="00370D59" w:rsidRPr="00504D7E" w:rsidRDefault="00370D59" w:rsidP="00370D59">
            <w:pPr>
              <w:rPr>
                <w:color w:val="000000"/>
                <w:sz w:val="18"/>
                <w:szCs w:val="18"/>
              </w:rPr>
            </w:pPr>
            <w:proofErr w:type="spellStart"/>
            <w:r w:rsidRPr="00504D7E">
              <w:rPr>
                <w:color w:val="000000"/>
                <w:sz w:val="18"/>
                <w:szCs w:val="18"/>
              </w:rPr>
              <w:t>Länsi-Suomi</w:t>
            </w:r>
            <w:proofErr w:type="spellEnd"/>
          </w:p>
        </w:tc>
        <w:tc>
          <w:tcPr>
            <w:tcW w:w="340" w:type="dxa"/>
            <w:tcBorders>
              <w:top w:val="nil"/>
              <w:left w:val="nil"/>
              <w:bottom w:val="nil"/>
              <w:right w:val="nil"/>
            </w:tcBorders>
            <w:shd w:val="clear" w:color="auto" w:fill="auto"/>
            <w:noWrap/>
            <w:vAlign w:val="bottom"/>
            <w:hideMark/>
          </w:tcPr>
          <w:p w14:paraId="272CAC18"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77D2DB60" w14:textId="77777777" w:rsidR="00370D59" w:rsidRPr="00504D7E" w:rsidRDefault="00370D59" w:rsidP="00370D59">
            <w:pPr>
              <w:rPr>
                <w:color w:val="000000"/>
                <w:sz w:val="18"/>
                <w:szCs w:val="18"/>
              </w:rPr>
            </w:pPr>
            <w:r w:rsidRPr="00504D7E">
              <w:rPr>
                <w:color w:val="000000"/>
                <w:sz w:val="18"/>
                <w:szCs w:val="18"/>
              </w:rPr>
              <w:t>UKM2</w:t>
            </w:r>
          </w:p>
        </w:tc>
        <w:tc>
          <w:tcPr>
            <w:tcW w:w="3820" w:type="dxa"/>
            <w:tcBorders>
              <w:top w:val="nil"/>
              <w:left w:val="nil"/>
              <w:bottom w:val="nil"/>
              <w:right w:val="nil"/>
            </w:tcBorders>
            <w:shd w:val="clear" w:color="auto" w:fill="auto"/>
            <w:noWrap/>
            <w:vAlign w:val="bottom"/>
            <w:hideMark/>
          </w:tcPr>
          <w:p w14:paraId="6F36D6BA" w14:textId="77777777" w:rsidR="00370D59" w:rsidRPr="00504D7E" w:rsidRDefault="00370D59" w:rsidP="00370D59">
            <w:pPr>
              <w:rPr>
                <w:color w:val="000000"/>
                <w:sz w:val="18"/>
                <w:szCs w:val="18"/>
              </w:rPr>
            </w:pPr>
            <w:proofErr w:type="spellStart"/>
            <w:r w:rsidRPr="00504D7E">
              <w:rPr>
                <w:color w:val="000000"/>
                <w:sz w:val="18"/>
                <w:szCs w:val="18"/>
              </w:rPr>
              <w:t>Eastern</w:t>
            </w:r>
            <w:proofErr w:type="spellEnd"/>
            <w:r w:rsidRPr="00504D7E">
              <w:rPr>
                <w:color w:val="000000"/>
                <w:sz w:val="18"/>
                <w:szCs w:val="18"/>
              </w:rPr>
              <w:t xml:space="preserve"> Scotland</w:t>
            </w:r>
          </w:p>
        </w:tc>
        <w:tc>
          <w:tcPr>
            <w:tcW w:w="460" w:type="dxa"/>
            <w:tcBorders>
              <w:top w:val="nil"/>
              <w:left w:val="nil"/>
              <w:bottom w:val="nil"/>
              <w:right w:val="nil"/>
            </w:tcBorders>
            <w:shd w:val="clear" w:color="auto" w:fill="auto"/>
            <w:noWrap/>
            <w:vAlign w:val="bottom"/>
            <w:hideMark/>
          </w:tcPr>
          <w:p w14:paraId="25D88A4B"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7F3E284C"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0E9CEFA3" w14:textId="77777777" w:rsidR="00370D59" w:rsidRPr="00504D7E" w:rsidRDefault="00370D59" w:rsidP="00370D59">
            <w:pPr>
              <w:rPr>
                <w:color w:val="000000"/>
              </w:rPr>
            </w:pPr>
          </w:p>
        </w:tc>
      </w:tr>
      <w:tr w:rsidR="00370D59" w:rsidRPr="00504D7E" w14:paraId="7C76728F" w14:textId="77777777" w:rsidTr="00370D59">
        <w:trPr>
          <w:trHeight w:val="300"/>
        </w:trPr>
        <w:tc>
          <w:tcPr>
            <w:tcW w:w="700" w:type="dxa"/>
            <w:tcBorders>
              <w:top w:val="nil"/>
              <w:left w:val="nil"/>
              <w:bottom w:val="nil"/>
              <w:right w:val="nil"/>
            </w:tcBorders>
            <w:shd w:val="clear" w:color="auto" w:fill="auto"/>
            <w:noWrap/>
            <w:vAlign w:val="bottom"/>
            <w:hideMark/>
          </w:tcPr>
          <w:p w14:paraId="215F1B5B" w14:textId="77777777" w:rsidR="00370D59" w:rsidRPr="00504D7E" w:rsidRDefault="00370D59" w:rsidP="00370D59">
            <w:pPr>
              <w:rPr>
                <w:color w:val="000000"/>
                <w:sz w:val="18"/>
                <w:szCs w:val="18"/>
              </w:rPr>
            </w:pPr>
            <w:r w:rsidRPr="00504D7E">
              <w:rPr>
                <w:color w:val="000000"/>
                <w:sz w:val="18"/>
                <w:szCs w:val="18"/>
              </w:rPr>
              <w:t>SE22</w:t>
            </w:r>
          </w:p>
        </w:tc>
        <w:tc>
          <w:tcPr>
            <w:tcW w:w="2040" w:type="dxa"/>
            <w:tcBorders>
              <w:top w:val="nil"/>
              <w:left w:val="nil"/>
              <w:bottom w:val="nil"/>
              <w:right w:val="nil"/>
            </w:tcBorders>
            <w:shd w:val="clear" w:color="auto" w:fill="auto"/>
            <w:noWrap/>
            <w:vAlign w:val="bottom"/>
            <w:hideMark/>
          </w:tcPr>
          <w:p w14:paraId="58A924C9" w14:textId="77777777" w:rsidR="00370D59" w:rsidRPr="00504D7E" w:rsidRDefault="00370D59" w:rsidP="00370D59">
            <w:pPr>
              <w:rPr>
                <w:color w:val="000000"/>
                <w:sz w:val="18"/>
                <w:szCs w:val="18"/>
              </w:rPr>
            </w:pPr>
            <w:proofErr w:type="spellStart"/>
            <w:r w:rsidRPr="00504D7E">
              <w:rPr>
                <w:color w:val="000000"/>
                <w:sz w:val="18"/>
                <w:szCs w:val="18"/>
              </w:rPr>
              <w:t>Sydsverige</w:t>
            </w:r>
            <w:proofErr w:type="spellEnd"/>
          </w:p>
        </w:tc>
        <w:tc>
          <w:tcPr>
            <w:tcW w:w="340" w:type="dxa"/>
            <w:tcBorders>
              <w:top w:val="nil"/>
              <w:left w:val="nil"/>
              <w:bottom w:val="nil"/>
              <w:right w:val="nil"/>
            </w:tcBorders>
            <w:shd w:val="clear" w:color="auto" w:fill="auto"/>
            <w:noWrap/>
            <w:vAlign w:val="bottom"/>
            <w:hideMark/>
          </w:tcPr>
          <w:p w14:paraId="6BF50BBB"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32D00789" w14:textId="77777777" w:rsidR="00370D59" w:rsidRPr="00504D7E" w:rsidRDefault="00370D59" w:rsidP="00370D59">
            <w:pPr>
              <w:rPr>
                <w:color w:val="000000"/>
                <w:sz w:val="18"/>
                <w:szCs w:val="18"/>
              </w:rPr>
            </w:pPr>
            <w:r w:rsidRPr="00504D7E">
              <w:rPr>
                <w:color w:val="000000"/>
                <w:sz w:val="18"/>
                <w:szCs w:val="18"/>
              </w:rPr>
              <w:t>UKM3</w:t>
            </w:r>
          </w:p>
        </w:tc>
        <w:tc>
          <w:tcPr>
            <w:tcW w:w="3820" w:type="dxa"/>
            <w:tcBorders>
              <w:top w:val="nil"/>
              <w:left w:val="nil"/>
              <w:bottom w:val="nil"/>
              <w:right w:val="nil"/>
            </w:tcBorders>
            <w:shd w:val="clear" w:color="auto" w:fill="auto"/>
            <w:noWrap/>
            <w:vAlign w:val="bottom"/>
            <w:hideMark/>
          </w:tcPr>
          <w:p w14:paraId="71BDDD52" w14:textId="77777777" w:rsidR="00370D59" w:rsidRPr="00504D7E" w:rsidRDefault="00370D59" w:rsidP="00370D59">
            <w:pPr>
              <w:rPr>
                <w:color w:val="000000"/>
                <w:sz w:val="18"/>
                <w:szCs w:val="18"/>
              </w:rPr>
            </w:pPr>
            <w:r w:rsidRPr="00504D7E">
              <w:rPr>
                <w:color w:val="000000"/>
                <w:sz w:val="18"/>
                <w:szCs w:val="18"/>
              </w:rPr>
              <w:t>South Western Scotland</w:t>
            </w:r>
          </w:p>
        </w:tc>
        <w:tc>
          <w:tcPr>
            <w:tcW w:w="460" w:type="dxa"/>
            <w:tcBorders>
              <w:top w:val="nil"/>
              <w:left w:val="nil"/>
              <w:bottom w:val="nil"/>
              <w:right w:val="nil"/>
            </w:tcBorders>
            <w:shd w:val="clear" w:color="auto" w:fill="auto"/>
            <w:noWrap/>
            <w:vAlign w:val="bottom"/>
            <w:hideMark/>
          </w:tcPr>
          <w:p w14:paraId="1BE088BB"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0FEA1DD1"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23869107" w14:textId="77777777" w:rsidR="00370D59" w:rsidRPr="00504D7E" w:rsidRDefault="00370D59" w:rsidP="00370D59">
            <w:pPr>
              <w:rPr>
                <w:color w:val="000000"/>
              </w:rPr>
            </w:pPr>
          </w:p>
        </w:tc>
      </w:tr>
      <w:tr w:rsidR="00370D59" w:rsidRPr="00504D7E" w14:paraId="322CA34C" w14:textId="77777777" w:rsidTr="00370D59">
        <w:trPr>
          <w:trHeight w:val="300"/>
        </w:trPr>
        <w:tc>
          <w:tcPr>
            <w:tcW w:w="700" w:type="dxa"/>
            <w:tcBorders>
              <w:top w:val="nil"/>
              <w:left w:val="nil"/>
              <w:bottom w:val="nil"/>
              <w:right w:val="nil"/>
            </w:tcBorders>
            <w:shd w:val="clear" w:color="auto" w:fill="auto"/>
            <w:noWrap/>
            <w:vAlign w:val="bottom"/>
            <w:hideMark/>
          </w:tcPr>
          <w:p w14:paraId="6715E0EB" w14:textId="77777777" w:rsidR="00370D59" w:rsidRPr="00504D7E" w:rsidRDefault="00370D59" w:rsidP="00370D59">
            <w:pPr>
              <w:rPr>
                <w:color w:val="000000"/>
                <w:sz w:val="18"/>
                <w:szCs w:val="18"/>
              </w:rPr>
            </w:pPr>
            <w:r w:rsidRPr="00504D7E">
              <w:rPr>
                <w:color w:val="000000"/>
                <w:sz w:val="18"/>
                <w:szCs w:val="18"/>
              </w:rPr>
              <w:t>SE31</w:t>
            </w:r>
          </w:p>
        </w:tc>
        <w:tc>
          <w:tcPr>
            <w:tcW w:w="2040" w:type="dxa"/>
            <w:tcBorders>
              <w:top w:val="nil"/>
              <w:left w:val="nil"/>
              <w:bottom w:val="nil"/>
              <w:right w:val="nil"/>
            </w:tcBorders>
            <w:shd w:val="clear" w:color="auto" w:fill="auto"/>
            <w:noWrap/>
            <w:vAlign w:val="bottom"/>
            <w:hideMark/>
          </w:tcPr>
          <w:p w14:paraId="4D6272B5" w14:textId="77777777" w:rsidR="00370D59" w:rsidRPr="00504D7E" w:rsidRDefault="00370D59" w:rsidP="00370D59">
            <w:pPr>
              <w:rPr>
                <w:color w:val="000000"/>
                <w:sz w:val="18"/>
                <w:szCs w:val="18"/>
              </w:rPr>
            </w:pPr>
            <w:proofErr w:type="spellStart"/>
            <w:r w:rsidRPr="00504D7E">
              <w:rPr>
                <w:color w:val="000000"/>
                <w:sz w:val="18"/>
                <w:szCs w:val="18"/>
              </w:rPr>
              <w:t>Norra</w:t>
            </w:r>
            <w:proofErr w:type="spellEnd"/>
            <w:r w:rsidRPr="00504D7E">
              <w:rPr>
                <w:color w:val="000000"/>
                <w:sz w:val="18"/>
                <w:szCs w:val="18"/>
              </w:rPr>
              <w:t xml:space="preserve"> </w:t>
            </w:r>
            <w:proofErr w:type="spellStart"/>
            <w:r w:rsidRPr="00504D7E">
              <w:rPr>
                <w:color w:val="000000"/>
                <w:sz w:val="18"/>
                <w:szCs w:val="18"/>
              </w:rPr>
              <w:t>Mellansverige</w:t>
            </w:r>
            <w:proofErr w:type="spellEnd"/>
          </w:p>
        </w:tc>
        <w:tc>
          <w:tcPr>
            <w:tcW w:w="340" w:type="dxa"/>
            <w:tcBorders>
              <w:top w:val="nil"/>
              <w:left w:val="nil"/>
              <w:bottom w:val="nil"/>
              <w:right w:val="nil"/>
            </w:tcBorders>
            <w:shd w:val="clear" w:color="auto" w:fill="auto"/>
            <w:noWrap/>
            <w:vAlign w:val="bottom"/>
            <w:hideMark/>
          </w:tcPr>
          <w:p w14:paraId="54D773B4"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687E9415" w14:textId="77777777" w:rsidR="00370D59" w:rsidRPr="00504D7E" w:rsidRDefault="00370D59" w:rsidP="00370D59">
            <w:pPr>
              <w:rPr>
                <w:color w:val="000000"/>
                <w:sz w:val="18"/>
                <w:szCs w:val="18"/>
              </w:rPr>
            </w:pPr>
            <w:r w:rsidRPr="00504D7E">
              <w:rPr>
                <w:color w:val="000000"/>
                <w:sz w:val="18"/>
                <w:szCs w:val="18"/>
              </w:rPr>
              <w:t>UKN0</w:t>
            </w:r>
          </w:p>
        </w:tc>
        <w:tc>
          <w:tcPr>
            <w:tcW w:w="3820" w:type="dxa"/>
            <w:tcBorders>
              <w:top w:val="nil"/>
              <w:left w:val="nil"/>
              <w:bottom w:val="nil"/>
              <w:right w:val="nil"/>
            </w:tcBorders>
            <w:shd w:val="clear" w:color="auto" w:fill="auto"/>
            <w:noWrap/>
            <w:vAlign w:val="bottom"/>
            <w:hideMark/>
          </w:tcPr>
          <w:p w14:paraId="5B03E5B5" w14:textId="77777777" w:rsidR="00370D59" w:rsidRPr="00504D7E" w:rsidRDefault="00370D59" w:rsidP="00370D59">
            <w:pPr>
              <w:rPr>
                <w:color w:val="000000"/>
                <w:sz w:val="18"/>
                <w:szCs w:val="18"/>
              </w:rPr>
            </w:pPr>
            <w:proofErr w:type="spellStart"/>
            <w:r w:rsidRPr="00504D7E">
              <w:rPr>
                <w:color w:val="000000"/>
                <w:sz w:val="18"/>
                <w:szCs w:val="18"/>
              </w:rPr>
              <w:t>Northern</w:t>
            </w:r>
            <w:proofErr w:type="spellEnd"/>
            <w:r w:rsidRPr="00504D7E">
              <w:rPr>
                <w:color w:val="000000"/>
                <w:sz w:val="18"/>
                <w:szCs w:val="18"/>
              </w:rPr>
              <w:t xml:space="preserve"> </w:t>
            </w:r>
            <w:proofErr w:type="spellStart"/>
            <w:r w:rsidRPr="00504D7E">
              <w:rPr>
                <w:color w:val="000000"/>
                <w:sz w:val="18"/>
                <w:szCs w:val="18"/>
              </w:rPr>
              <w:t>Ireland</w:t>
            </w:r>
            <w:proofErr w:type="spellEnd"/>
            <w:r w:rsidRPr="00504D7E">
              <w:rPr>
                <w:color w:val="000000"/>
                <w:sz w:val="18"/>
                <w:szCs w:val="18"/>
              </w:rPr>
              <w:t xml:space="preserve"> (UK)</w:t>
            </w:r>
          </w:p>
        </w:tc>
        <w:tc>
          <w:tcPr>
            <w:tcW w:w="460" w:type="dxa"/>
            <w:tcBorders>
              <w:top w:val="nil"/>
              <w:left w:val="nil"/>
              <w:bottom w:val="nil"/>
              <w:right w:val="nil"/>
            </w:tcBorders>
            <w:shd w:val="clear" w:color="auto" w:fill="auto"/>
            <w:noWrap/>
            <w:vAlign w:val="bottom"/>
            <w:hideMark/>
          </w:tcPr>
          <w:p w14:paraId="3F90492A"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1D53A621"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2D18F99C" w14:textId="77777777" w:rsidR="00370D59" w:rsidRPr="00504D7E" w:rsidRDefault="00370D59" w:rsidP="00370D59">
            <w:pPr>
              <w:rPr>
                <w:color w:val="000000"/>
              </w:rPr>
            </w:pPr>
          </w:p>
        </w:tc>
      </w:tr>
      <w:tr w:rsidR="00370D59" w:rsidRPr="00504D7E" w14:paraId="190BA0FB" w14:textId="77777777" w:rsidTr="00370D59">
        <w:trPr>
          <w:trHeight w:val="300"/>
        </w:trPr>
        <w:tc>
          <w:tcPr>
            <w:tcW w:w="700" w:type="dxa"/>
            <w:tcBorders>
              <w:top w:val="nil"/>
              <w:left w:val="nil"/>
              <w:bottom w:val="nil"/>
              <w:right w:val="nil"/>
            </w:tcBorders>
            <w:shd w:val="clear" w:color="auto" w:fill="auto"/>
            <w:noWrap/>
            <w:vAlign w:val="bottom"/>
            <w:hideMark/>
          </w:tcPr>
          <w:p w14:paraId="75817B57" w14:textId="77777777" w:rsidR="00370D59" w:rsidRPr="00504D7E" w:rsidRDefault="00370D59" w:rsidP="00370D59">
            <w:pPr>
              <w:rPr>
                <w:color w:val="000000"/>
                <w:sz w:val="18"/>
                <w:szCs w:val="18"/>
              </w:rPr>
            </w:pPr>
            <w:r w:rsidRPr="00504D7E">
              <w:rPr>
                <w:color w:val="000000"/>
                <w:sz w:val="18"/>
                <w:szCs w:val="18"/>
              </w:rPr>
              <w:t>UKD2</w:t>
            </w:r>
          </w:p>
        </w:tc>
        <w:tc>
          <w:tcPr>
            <w:tcW w:w="2040" w:type="dxa"/>
            <w:tcBorders>
              <w:top w:val="nil"/>
              <w:left w:val="nil"/>
              <w:bottom w:val="nil"/>
              <w:right w:val="nil"/>
            </w:tcBorders>
            <w:shd w:val="clear" w:color="auto" w:fill="auto"/>
            <w:noWrap/>
            <w:vAlign w:val="bottom"/>
            <w:hideMark/>
          </w:tcPr>
          <w:p w14:paraId="0365A58E" w14:textId="77777777" w:rsidR="00370D59" w:rsidRPr="00504D7E" w:rsidRDefault="00370D59" w:rsidP="00370D59">
            <w:pPr>
              <w:rPr>
                <w:color w:val="000000"/>
                <w:sz w:val="18"/>
                <w:szCs w:val="18"/>
              </w:rPr>
            </w:pPr>
            <w:r w:rsidRPr="00504D7E">
              <w:rPr>
                <w:color w:val="000000"/>
                <w:sz w:val="18"/>
                <w:szCs w:val="18"/>
              </w:rPr>
              <w:t>Cheshire (NUTS 2006)</w:t>
            </w:r>
          </w:p>
        </w:tc>
        <w:tc>
          <w:tcPr>
            <w:tcW w:w="340" w:type="dxa"/>
            <w:tcBorders>
              <w:top w:val="nil"/>
              <w:left w:val="nil"/>
              <w:bottom w:val="nil"/>
              <w:right w:val="nil"/>
            </w:tcBorders>
            <w:shd w:val="clear" w:color="auto" w:fill="auto"/>
            <w:noWrap/>
            <w:vAlign w:val="bottom"/>
            <w:hideMark/>
          </w:tcPr>
          <w:p w14:paraId="6D8CF041" w14:textId="77777777" w:rsidR="00370D59" w:rsidRPr="00504D7E" w:rsidRDefault="00370D59" w:rsidP="00370D59">
            <w:pPr>
              <w:rPr>
                <w:color w:val="000000"/>
              </w:rPr>
            </w:pPr>
          </w:p>
        </w:tc>
        <w:tc>
          <w:tcPr>
            <w:tcW w:w="820" w:type="dxa"/>
            <w:tcBorders>
              <w:top w:val="nil"/>
              <w:left w:val="nil"/>
              <w:bottom w:val="nil"/>
              <w:right w:val="nil"/>
            </w:tcBorders>
            <w:shd w:val="clear" w:color="auto" w:fill="auto"/>
            <w:noWrap/>
            <w:vAlign w:val="bottom"/>
            <w:hideMark/>
          </w:tcPr>
          <w:p w14:paraId="52E9EC3E" w14:textId="77777777" w:rsidR="00370D59" w:rsidRPr="00504D7E" w:rsidRDefault="00370D59" w:rsidP="00370D59">
            <w:pPr>
              <w:rPr>
                <w:color w:val="000000"/>
                <w:sz w:val="18"/>
                <w:szCs w:val="18"/>
              </w:rPr>
            </w:pPr>
            <w:r w:rsidRPr="00504D7E">
              <w:rPr>
                <w:color w:val="000000"/>
                <w:sz w:val="18"/>
                <w:szCs w:val="18"/>
              </w:rPr>
              <w:t>NO01</w:t>
            </w:r>
          </w:p>
        </w:tc>
        <w:tc>
          <w:tcPr>
            <w:tcW w:w="3820" w:type="dxa"/>
            <w:tcBorders>
              <w:top w:val="nil"/>
              <w:left w:val="nil"/>
              <w:bottom w:val="nil"/>
              <w:right w:val="nil"/>
            </w:tcBorders>
            <w:shd w:val="clear" w:color="auto" w:fill="auto"/>
            <w:noWrap/>
            <w:vAlign w:val="bottom"/>
            <w:hideMark/>
          </w:tcPr>
          <w:p w14:paraId="7318DF76" w14:textId="77777777" w:rsidR="00370D59" w:rsidRPr="00504D7E" w:rsidRDefault="00370D59" w:rsidP="00370D59">
            <w:pPr>
              <w:rPr>
                <w:color w:val="000000"/>
                <w:sz w:val="18"/>
                <w:szCs w:val="18"/>
              </w:rPr>
            </w:pPr>
            <w:r w:rsidRPr="00504D7E">
              <w:rPr>
                <w:color w:val="000000"/>
                <w:sz w:val="18"/>
                <w:szCs w:val="18"/>
              </w:rPr>
              <w:t xml:space="preserve">Oslo </w:t>
            </w:r>
            <w:proofErr w:type="spellStart"/>
            <w:r w:rsidRPr="00504D7E">
              <w:rPr>
                <w:color w:val="000000"/>
                <w:sz w:val="18"/>
                <w:szCs w:val="18"/>
              </w:rPr>
              <w:t>og</w:t>
            </w:r>
            <w:proofErr w:type="spellEnd"/>
            <w:r w:rsidRPr="00504D7E">
              <w:rPr>
                <w:color w:val="000000"/>
                <w:sz w:val="18"/>
                <w:szCs w:val="18"/>
              </w:rPr>
              <w:t xml:space="preserve"> </w:t>
            </w:r>
            <w:proofErr w:type="spellStart"/>
            <w:r w:rsidRPr="00504D7E">
              <w:rPr>
                <w:color w:val="000000"/>
                <w:sz w:val="18"/>
                <w:szCs w:val="18"/>
              </w:rPr>
              <w:t>Akershus</w:t>
            </w:r>
            <w:proofErr w:type="spellEnd"/>
          </w:p>
        </w:tc>
        <w:tc>
          <w:tcPr>
            <w:tcW w:w="460" w:type="dxa"/>
            <w:tcBorders>
              <w:top w:val="nil"/>
              <w:left w:val="nil"/>
              <w:bottom w:val="nil"/>
              <w:right w:val="nil"/>
            </w:tcBorders>
            <w:shd w:val="clear" w:color="auto" w:fill="auto"/>
            <w:noWrap/>
            <w:vAlign w:val="bottom"/>
            <w:hideMark/>
          </w:tcPr>
          <w:p w14:paraId="1C41A303" w14:textId="77777777" w:rsidR="00370D59" w:rsidRPr="00504D7E" w:rsidRDefault="00370D59" w:rsidP="00370D59">
            <w:pPr>
              <w:rPr>
                <w:color w:val="000000"/>
              </w:rPr>
            </w:pPr>
          </w:p>
        </w:tc>
        <w:tc>
          <w:tcPr>
            <w:tcW w:w="920" w:type="dxa"/>
            <w:tcBorders>
              <w:top w:val="nil"/>
              <w:left w:val="nil"/>
              <w:bottom w:val="nil"/>
              <w:right w:val="nil"/>
            </w:tcBorders>
            <w:shd w:val="clear" w:color="auto" w:fill="auto"/>
            <w:noWrap/>
            <w:vAlign w:val="bottom"/>
            <w:hideMark/>
          </w:tcPr>
          <w:p w14:paraId="1D17685C" w14:textId="77777777" w:rsidR="00370D59" w:rsidRPr="00504D7E" w:rsidRDefault="00370D59" w:rsidP="00370D59">
            <w:pPr>
              <w:rPr>
                <w:color w:val="000000"/>
              </w:rPr>
            </w:pPr>
          </w:p>
        </w:tc>
        <w:tc>
          <w:tcPr>
            <w:tcW w:w="1640" w:type="dxa"/>
            <w:tcBorders>
              <w:top w:val="nil"/>
              <w:left w:val="nil"/>
              <w:bottom w:val="nil"/>
              <w:right w:val="nil"/>
            </w:tcBorders>
            <w:shd w:val="clear" w:color="auto" w:fill="auto"/>
            <w:noWrap/>
            <w:vAlign w:val="bottom"/>
            <w:hideMark/>
          </w:tcPr>
          <w:p w14:paraId="260B42BA" w14:textId="77777777" w:rsidR="00370D59" w:rsidRPr="00504D7E" w:rsidRDefault="00370D59" w:rsidP="00370D59">
            <w:pPr>
              <w:rPr>
                <w:color w:val="000000"/>
              </w:rPr>
            </w:pPr>
          </w:p>
        </w:tc>
      </w:tr>
      <w:tr w:rsidR="00370D59" w:rsidRPr="006341F5" w14:paraId="067C8A4D" w14:textId="77777777" w:rsidTr="00370D59">
        <w:trPr>
          <w:trHeight w:val="300"/>
        </w:trPr>
        <w:tc>
          <w:tcPr>
            <w:tcW w:w="700" w:type="dxa"/>
            <w:tcBorders>
              <w:top w:val="nil"/>
              <w:left w:val="nil"/>
              <w:bottom w:val="single" w:sz="4" w:space="0" w:color="auto"/>
              <w:right w:val="nil"/>
            </w:tcBorders>
            <w:shd w:val="clear" w:color="auto" w:fill="auto"/>
            <w:noWrap/>
            <w:vAlign w:val="bottom"/>
            <w:hideMark/>
          </w:tcPr>
          <w:p w14:paraId="6E2B74A1" w14:textId="77777777" w:rsidR="00370D59" w:rsidRPr="00504D7E" w:rsidRDefault="00370D59" w:rsidP="00370D59">
            <w:pPr>
              <w:rPr>
                <w:color w:val="000000"/>
                <w:sz w:val="18"/>
                <w:szCs w:val="18"/>
              </w:rPr>
            </w:pPr>
            <w:r w:rsidRPr="00504D7E">
              <w:rPr>
                <w:color w:val="000000"/>
                <w:sz w:val="18"/>
                <w:szCs w:val="18"/>
              </w:rPr>
              <w:t>UKD3</w:t>
            </w:r>
          </w:p>
        </w:tc>
        <w:tc>
          <w:tcPr>
            <w:tcW w:w="2040" w:type="dxa"/>
            <w:tcBorders>
              <w:top w:val="nil"/>
              <w:left w:val="nil"/>
              <w:bottom w:val="single" w:sz="4" w:space="0" w:color="auto"/>
              <w:right w:val="nil"/>
            </w:tcBorders>
            <w:shd w:val="clear" w:color="auto" w:fill="auto"/>
            <w:noWrap/>
            <w:vAlign w:val="bottom"/>
            <w:hideMark/>
          </w:tcPr>
          <w:p w14:paraId="14262E37" w14:textId="77777777" w:rsidR="00370D59" w:rsidRPr="00504D7E" w:rsidRDefault="00370D59" w:rsidP="00370D59">
            <w:pPr>
              <w:rPr>
                <w:color w:val="000000"/>
                <w:sz w:val="18"/>
                <w:szCs w:val="18"/>
              </w:rPr>
            </w:pPr>
            <w:r w:rsidRPr="00504D7E">
              <w:rPr>
                <w:color w:val="000000"/>
                <w:sz w:val="18"/>
                <w:szCs w:val="18"/>
              </w:rPr>
              <w:t>Greater Manchester</w:t>
            </w:r>
          </w:p>
        </w:tc>
        <w:tc>
          <w:tcPr>
            <w:tcW w:w="340" w:type="dxa"/>
            <w:tcBorders>
              <w:top w:val="nil"/>
              <w:left w:val="nil"/>
              <w:bottom w:val="single" w:sz="4" w:space="0" w:color="auto"/>
              <w:right w:val="nil"/>
            </w:tcBorders>
            <w:shd w:val="clear" w:color="auto" w:fill="auto"/>
            <w:noWrap/>
            <w:vAlign w:val="bottom"/>
            <w:hideMark/>
          </w:tcPr>
          <w:p w14:paraId="17C7B2D9" w14:textId="77777777" w:rsidR="00370D59" w:rsidRPr="00504D7E" w:rsidRDefault="00370D59" w:rsidP="00370D59">
            <w:pPr>
              <w:rPr>
                <w:color w:val="000000"/>
              </w:rPr>
            </w:pPr>
            <w:r w:rsidRPr="00504D7E">
              <w:rPr>
                <w:color w:val="000000"/>
              </w:rPr>
              <w:t> </w:t>
            </w:r>
          </w:p>
        </w:tc>
        <w:tc>
          <w:tcPr>
            <w:tcW w:w="820" w:type="dxa"/>
            <w:tcBorders>
              <w:top w:val="nil"/>
              <w:left w:val="nil"/>
              <w:bottom w:val="single" w:sz="4" w:space="0" w:color="auto"/>
              <w:right w:val="nil"/>
            </w:tcBorders>
            <w:shd w:val="clear" w:color="auto" w:fill="auto"/>
            <w:noWrap/>
            <w:vAlign w:val="bottom"/>
            <w:hideMark/>
          </w:tcPr>
          <w:p w14:paraId="6324F184" w14:textId="77777777" w:rsidR="00370D59" w:rsidRPr="00504D7E" w:rsidRDefault="00370D59" w:rsidP="00370D59">
            <w:pPr>
              <w:rPr>
                <w:color w:val="000000"/>
                <w:sz w:val="18"/>
                <w:szCs w:val="18"/>
              </w:rPr>
            </w:pPr>
            <w:r w:rsidRPr="00504D7E">
              <w:rPr>
                <w:color w:val="000000"/>
                <w:sz w:val="18"/>
                <w:szCs w:val="18"/>
              </w:rPr>
              <w:t>NO03</w:t>
            </w:r>
          </w:p>
        </w:tc>
        <w:tc>
          <w:tcPr>
            <w:tcW w:w="3820" w:type="dxa"/>
            <w:tcBorders>
              <w:top w:val="nil"/>
              <w:left w:val="nil"/>
              <w:bottom w:val="single" w:sz="4" w:space="0" w:color="auto"/>
              <w:right w:val="nil"/>
            </w:tcBorders>
            <w:shd w:val="clear" w:color="auto" w:fill="auto"/>
            <w:noWrap/>
            <w:vAlign w:val="bottom"/>
            <w:hideMark/>
          </w:tcPr>
          <w:p w14:paraId="1B52481F" w14:textId="77777777" w:rsidR="00370D59" w:rsidRPr="006341F5" w:rsidRDefault="00370D59" w:rsidP="00370D59">
            <w:pPr>
              <w:rPr>
                <w:color w:val="000000"/>
                <w:sz w:val="18"/>
                <w:szCs w:val="18"/>
              </w:rPr>
            </w:pPr>
            <w:proofErr w:type="spellStart"/>
            <w:r w:rsidRPr="00504D7E">
              <w:rPr>
                <w:color w:val="000000"/>
                <w:sz w:val="18"/>
                <w:szCs w:val="18"/>
              </w:rPr>
              <w:t>Sør-Østlandet</w:t>
            </w:r>
            <w:proofErr w:type="spellEnd"/>
          </w:p>
        </w:tc>
        <w:tc>
          <w:tcPr>
            <w:tcW w:w="460" w:type="dxa"/>
            <w:tcBorders>
              <w:top w:val="nil"/>
              <w:left w:val="nil"/>
              <w:bottom w:val="single" w:sz="4" w:space="0" w:color="auto"/>
              <w:right w:val="nil"/>
            </w:tcBorders>
            <w:shd w:val="clear" w:color="auto" w:fill="auto"/>
            <w:noWrap/>
            <w:vAlign w:val="bottom"/>
            <w:hideMark/>
          </w:tcPr>
          <w:p w14:paraId="3EA587B5" w14:textId="77777777" w:rsidR="00370D59" w:rsidRPr="006341F5" w:rsidRDefault="00370D59" w:rsidP="00370D59">
            <w:pPr>
              <w:rPr>
                <w:color w:val="000000"/>
              </w:rPr>
            </w:pPr>
            <w:r w:rsidRPr="006341F5">
              <w:rPr>
                <w:color w:val="000000"/>
              </w:rPr>
              <w:t> </w:t>
            </w:r>
          </w:p>
        </w:tc>
        <w:tc>
          <w:tcPr>
            <w:tcW w:w="920" w:type="dxa"/>
            <w:tcBorders>
              <w:top w:val="nil"/>
              <w:left w:val="nil"/>
              <w:bottom w:val="single" w:sz="4" w:space="0" w:color="auto"/>
              <w:right w:val="nil"/>
            </w:tcBorders>
            <w:shd w:val="clear" w:color="auto" w:fill="auto"/>
            <w:noWrap/>
            <w:vAlign w:val="bottom"/>
            <w:hideMark/>
          </w:tcPr>
          <w:p w14:paraId="6F53F84D" w14:textId="77777777" w:rsidR="00370D59" w:rsidRPr="006341F5" w:rsidRDefault="00370D59" w:rsidP="00370D59">
            <w:pPr>
              <w:rPr>
                <w:color w:val="000000"/>
              </w:rPr>
            </w:pPr>
            <w:r w:rsidRPr="006341F5">
              <w:rPr>
                <w:color w:val="000000"/>
              </w:rPr>
              <w:t> </w:t>
            </w:r>
          </w:p>
        </w:tc>
        <w:tc>
          <w:tcPr>
            <w:tcW w:w="1640" w:type="dxa"/>
            <w:tcBorders>
              <w:top w:val="nil"/>
              <w:left w:val="nil"/>
              <w:bottom w:val="single" w:sz="4" w:space="0" w:color="auto"/>
              <w:right w:val="nil"/>
            </w:tcBorders>
            <w:shd w:val="clear" w:color="auto" w:fill="auto"/>
            <w:noWrap/>
            <w:vAlign w:val="bottom"/>
            <w:hideMark/>
          </w:tcPr>
          <w:p w14:paraId="0369A21B" w14:textId="77777777" w:rsidR="00370D59" w:rsidRPr="006341F5" w:rsidRDefault="00370D59" w:rsidP="00370D59">
            <w:pPr>
              <w:rPr>
                <w:color w:val="000000"/>
              </w:rPr>
            </w:pPr>
            <w:r w:rsidRPr="006341F5">
              <w:rPr>
                <w:color w:val="000000"/>
              </w:rPr>
              <w:t> </w:t>
            </w:r>
          </w:p>
        </w:tc>
      </w:tr>
    </w:tbl>
    <w:p w14:paraId="348C81B0" w14:textId="77777777" w:rsidR="00001C38" w:rsidRPr="006341F5" w:rsidRDefault="00001C38">
      <w:pPr>
        <w:sectPr w:rsidR="00001C38" w:rsidRPr="006341F5" w:rsidSect="00F70153">
          <w:pgSz w:w="16838" w:h="11906" w:orient="landscape"/>
          <w:pgMar w:top="1134" w:right="1417" w:bottom="1134" w:left="1134" w:header="708" w:footer="708" w:gutter="0"/>
          <w:cols w:space="708"/>
          <w:docGrid w:linePitch="360"/>
        </w:sectPr>
      </w:pPr>
    </w:p>
    <w:p w14:paraId="30797C79" w14:textId="5A30C72E" w:rsidR="00632B1F" w:rsidRPr="005E29AE" w:rsidRDefault="00632B1F" w:rsidP="00877111">
      <w:pPr>
        <w:rPr>
          <w:lang w:val="en-US"/>
        </w:rPr>
      </w:pPr>
    </w:p>
    <w:sectPr w:rsidR="00632B1F" w:rsidRPr="005E29AE" w:rsidSect="004B7568">
      <w:pgSz w:w="11900" w:h="16820"/>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D94F" w14:textId="77777777" w:rsidR="0011125F" w:rsidRDefault="0011125F" w:rsidP="00E779E9">
      <w:r>
        <w:separator/>
      </w:r>
    </w:p>
  </w:endnote>
  <w:endnote w:type="continuationSeparator" w:id="0">
    <w:p w14:paraId="5C8D0CDE" w14:textId="77777777" w:rsidR="0011125F" w:rsidRDefault="0011125F" w:rsidP="00E7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0BE5" w14:textId="77777777" w:rsidR="008A4429" w:rsidRDefault="008A4429" w:rsidP="00F701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191E1F" w14:textId="77777777" w:rsidR="008A4429" w:rsidRDefault="008A44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08B" w14:textId="772D2DA7" w:rsidR="008A4429" w:rsidRDefault="008A4429" w:rsidP="00F701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7A49">
      <w:rPr>
        <w:rStyle w:val="Numeropagina"/>
        <w:noProof/>
      </w:rPr>
      <w:t>26</w:t>
    </w:r>
    <w:r>
      <w:rPr>
        <w:rStyle w:val="Numeropagina"/>
      </w:rPr>
      <w:fldChar w:fldCharType="end"/>
    </w:r>
  </w:p>
  <w:p w14:paraId="2EB37D85" w14:textId="77777777" w:rsidR="008A4429" w:rsidRDefault="008A44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3049" w14:textId="77777777" w:rsidR="008A4429" w:rsidRDefault="008A4429" w:rsidP="00F701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B34A77" w14:textId="77777777" w:rsidR="008A4429" w:rsidRDefault="008A442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39AE" w14:textId="3B77EB16" w:rsidR="008A4429" w:rsidRDefault="008A4429" w:rsidP="00F701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7A49">
      <w:rPr>
        <w:rStyle w:val="Numeropagina"/>
        <w:noProof/>
      </w:rPr>
      <w:t>30</w:t>
    </w:r>
    <w:r>
      <w:rPr>
        <w:rStyle w:val="Numeropagina"/>
      </w:rPr>
      <w:fldChar w:fldCharType="end"/>
    </w:r>
  </w:p>
  <w:p w14:paraId="61337ADC" w14:textId="77777777" w:rsidR="008A4429" w:rsidRDefault="008A44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8DE7" w14:textId="77777777" w:rsidR="0011125F" w:rsidRDefault="0011125F" w:rsidP="00E779E9">
      <w:r>
        <w:separator/>
      </w:r>
    </w:p>
  </w:footnote>
  <w:footnote w:type="continuationSeparator" w:id="0">
    <w:p w14:paraId="7F0A40E4" w14:textId="77777777" w:rsidR="0011125F" w:rsidRDefault="0011125F" w:rsidP="00E779E9">
      <w:r>
        <w:continuationSeparator/>
      </w:r>
    </w:p>
  </w:footnote>
  <w:footnote w:id="1">
    <w:p w14:paraId="3736D854" w14:textId="5157E569" w:rsidR="008A4429" w:rsidRPr="003C2DC5" w:rsidRDefault="008A4429" w:rsidP="00A56D61">
      <w:pPr>
        <w:autoSpaceDE w:val="0"/>
        <w:autoSpaceDN w:val="0"/>
        <w:adjustRightInd w:val="0"/>
        <w:jc w:val="both"/>
        <w:rPr>
          <w:sz w:val="20"/>
          <w:szCs w:val="20"/>
          <w:lang w:val="en-GB"/>
        </w:rPr>
      </w:pPr>
      <w:r w:rsidRPr="00F7295C">
        <w:rPr>
          <w:rStyle w:val="Rimandonotaapidipagina"/>
        </w:rPr>
        <w:footnoteRef/>
      </w:r>
      <w:r w:rsidRPr="00F7295C">
        <w:rPr>
          <w:lang w:val="en-GB"/>
        </w:rPr>
        <w:t xml:space="preserve"> </w:t>
      </w:r>
      <w:r w:rsidRPr="00F7295C">
        <w:rPr>
          <w:sz w:val="20"/>
          <w:szCs w:val="20"/>
          <w:lang w:val="en-GB"/>
        </w:rPr>
        <w:t xml:space="preserve">It is worth noting that the version of the index proposed by </w:t>
      </w:r>
      <w:r w:rsidRPr="00477233">
        <w:rPr>
          <w:sz w:val="20"/>
          <w:szCs w:val="20"/>
          <w:lang w:val="en-GB"/>
        </w:rPr>
        <w:t>Maurel and Sédillot (1999)</w:t>
      </w:r>
      <w:r w:rsidRPr="00F7295C">
        <w:rPr>
          <w:sz w:val="20"/>
          <w:szCs w:val="20"/>
          <w:lang w:val="en-GB"/>
        </w:rPr>
        <w:t xml:space="preserve"> does not allow to control for</w:t>
      </w:r>
      <w:r>
        <w:rPr>
          <w:sz w:val="20"/>
          <w:szCs w:val="20"/>
          <w:lang w:val="en-GB"/>
        </w:rPr>
        <w:t xml:space="preserve"> </w:t>
      </w:r>
      <w:r w:rsidRPr="00F7295C">
        <w:rPr>
          <w:sz w:val="20"/>
          <w:szCs w:val="20"/>
          <w:lang w:val="en-GB"/>
        </w:rPr>
        <w:t>the economic size of each region since they simply calculate G as a difference between the spatial concentration of the industry and the spatial concentration of the aggregate</w:t>
      </w:r>
      <w:r>
        <w:rPr>
          <w:sz w:val="20"/>
          <w:szCs w:val="20"/>
          <w:lang w:val="en-GB"/>
        </w:rPr>
        <w:t xml:space="preserve"> sector</w:t>
      </w:r>
      <w:r w:rsidRPr="00F7295C">
        <w:rPr>
          <w:sz w:val="20"/>
          <w:szCs w:val="20"/>
          <w:lang w:val="en-GB"/>
        </w:rPr>
        <w:t>. Therefor</w:t>
      </w:r>
      <w:r>
        <w:rPr>
          <w:sz w:val="20"/>
          <w:szCs w:val="20"/>
          <w:lang w:val="en-GB"/>
        </w:rPr>
        <w:t xml:space="preserve">e in Maurel and Sédillot (1999), </w:t>
      </w:r>
      <w:r w:rsidRPr="00F7295C">
        <w:rPr>
          <w:sz w:val="20"/>
          <w:szCs w:val="20"/>
          <w:lang w:val="en-GB"/>
        </w:rPr>
        <w:t xml:space="preserve">G </w:t>
      </w:r>
      <w:r>
        <w:rPr>
          <w:sz w:val="20"/>
          <w:szCs w:val="20"/>
          <w:lang w:val="en-GB"/>
        </w:rPr>
        <w:t>measures the</w:t>
      </w:r>
      <w:r w:rsidRPr="00F7295C">
        <w:rPr>
          <w:sz w:val="20"/>
          <w:szCs w:val="20"/>
          <w:lang w:val="en-GB"/>
        </w:rPr>
        <w:t xml:space="preserve"> difference between two level</w:t>
      </w:r>
      <w:r>
        <w:rPr>
          <w:sz w:val="20"/>
          <w:szCs w:val="20"/>
          <w:lang w:val="en-GB"/>
        </w:rPr>
        <w:t>s</w:t>
      </w:r>
      <w:r w:rsidRPr="00F7295C">
        <w:rPr>
          <w:sz w:val="20"/>
          <w:szCs w:val="20"/>
          <w:lang w:val="en-GB"/>
        </w:rPr>
        <w:t xml:space="preserve"> of absolute concentration (and do not measure relative concentration which is instead the G in Ellison and Glaeser). In this way they cannot </w:t>
      </w:r>
      <w:r>
        <w:rPr>
          <w:sz w:val="20"/>
          <w:szCs w:val="20"/>
          <w:lang w:val="en-GB"/>
        </w:rPr>
        <w:t>grasp</w:t>
      </w:r>
      <w:r w:rsidRPr="00F7295C">
        <w:rPr>
          <w:sz w:val="20"/>
          <w:szCs w:val="20"/>
          <w:lang w:val="en-GB"/>
        </w:rPr>
        <w:t xml:space="preserve"> the dissimilarity in the spatial distribution of the two economic activities. Therefore, comparison across industries may lead to awkward interpretations from the standpoint of localisation, since in Maurel and Sedillot </w:t>
      </w:r>
      <w:r>
        <w:rPr>
          <w:sz w:val="20"/>
          <w:szCs w:val="20"/>
          <w:lang w:val="en-GB"/>
        </w:rPr>
        <w:t>(1999)</w:t>
      </w:r>
      <w:r w:rsidRPr="00F7295C">
        <w:rPr>
          <w:sz w:val="20"/>
          <w:szCs w:val="20"/>
          <w:lang w:val="en-GB"/>
        </w:rPr>
        <w:t xml:space="preserve"> it may occur that two industries A and B (with the same industrial structure) have the same degree of geogr</w:t>
      </w:r>
      <w:r w:rsidRPr="00786D60">
        <w:rPr>
          <w:sz w:val="20"/>
          <w:szCs w:val="20"/>
          <w:lang w:val="en-GB"/>
        </w:rPr>
        <w:t xml:space="preserve">aphical concentration even if the </w:t>
      </w:r>
      <w:r>
        <w:rPr>
          <w:sz w:val="20"/>
          <w:szCs w:val="20"/>
          <w:lang w:val="en-GB"/>
        </w:rPr>
        <w:t>spatial distribution of</w:t>
      </w:r>
      <w:r w:rsidRPr="00786D60">
        <w:rPr>
          <w:sz w:val="20"/>
          <w:szCs w:val="20"/>
          <w:lang w:val="en-GB"/>
        </w:rPr>
        <w:t xml:space="preserve"> employ</w:t>
      </w:r>
      <w:r>
        <w:rPr>
          <w:sz w:val="20"/>
          <w:szCs w:val="20"/>
          <w:lang w:val="en-GB"/>
        </w:rPr>
        <w:t>ees</w:t>
      </w:r>
      <w:r w:rsidRPr="00786D60">
        <w:rPr>
          <w:sz w:val="20"/>
          <w:szCs w:val="20"/>
          <w:lang w:val="en-GB"/>
        </w:rPr>
        <w:t xml:space="preserve"> across regions in industry A span exactly proportionally to total employ</w:t>
      </w:r>
      <w:r>
        <w:rPr>
          <w:sz w:val="20"/>
          <w:szCs w:val="20"/>
          <w:lang w:val="en-GB"/>
        </w:rPr>
        <w:t>ees</w:t>
      </w:r>
      <w:r w:rsidRPr="00786D60">
        <w:rPr>
          <w:sz w:val="20"/>
          <w:szCs w:val="20"/>
          <w:lang w:val="en-GB"/>
        </w:rPr>
        <w:t xml:space="preserve"> while industry B is mostly located in the less economically advanced regions</w:t>
      </w:r>
      <w:r>
        <w:rPr>
          <w:sz w:val="20"/>
          <w:szCs w:val="20"/>
          <w:lang w:val="en-GB"/>
        </w:rPr>
        <w:t xml:space="preserve">. </w:t>
      </w:r>
      <w:r w:rsidRPr="0087294D">
        <w:rPr>
          <w:i/>
          <w:sz w:val="20"/>
          <w:szCs w:val="20"/>
          <w:highlight w:val="green"/>
          <w:lang w:val="en-GB"/>
        </w:rPr>
        <w:t xml:space="preserve">  </w:t>
      </w:r>
    </w:p>
  </w:footnote>
  <w:footnote w:id="2">
    <w:p w14:paraId="4E15D6F9" w14:textId="305C59A7" w:rsidR="008A4429" w:rsidRPr="00A6073C" w:rsidRDefault="008A4429" w:rsidP="00107E38">
      <w:pPr>
        <w:jc w:val="both"/>
        <w:rPr>
          <w:sz w:val="20"/>
          <w:szCs w:val="20"/>
          <w:lang w:val="en-GB"/>
        </w:rPr>
      </w:pPr>
      <w:r w:rsidRPr="00107E38">
        <w:rPr>
          <w:rStyle w:val="Rimandonotaapidipagina"/>
          <w:sz w:val="20"/>
          <w:szCs w:val="20"/>
        </w:rPr>
        <w:footnoteRef/>
      </w:r>
      <w:r w:rsidRPr="00107E38">
        <w:rPr>
          <w:sz w:val="20"/>
          <w:szCs w:val="20"/>
          <w:lang w:val="en-GB"/>
        </w:rPr>
        <w:t xml:space="preserve"> </w:t>
      </w:r>
      <w:r w:rsidRPr="00A6073C">
        <w:rPr>
          <w:sz w:val="20"/>
          <w:szCs w:val="20"/>
          <w:lang w:val="en-GB"/>
        </w:rPr>
        <w:t>Concentration of a sector is detected comparing the Kernel density function of bilateral distances between pairs of establishment</w:t>
      </w:r>
      <w:r>
        <w:rPr>
          <w:sz w:val="20"/>
          <w:szCs w:val="20"/>
          <w:lang w:val="en-GB"/>
        </w:rPr>
        <w:t>s</w:t>
      </w:r>
      <w:r w:rsidRPr="00A6073C">
        <w:rPr>
          <w:sz w:val="20"/>
          <w:szCs w:val="20"/>
          <w:lang w:val="en-GB"/>
        </w:rPr>
        <w:t xml:space="preserve"> to a “theoretical” random distribution of an equivalent set of firms over a wider space, namely all sites (postcode level) where at least one manufacturing establishment is located. They simply reshuffle locations where at least one establishment of the aggregate economic activity exists.</w:t>
      </w:r>
    </w:p>
  </w:footnote>
  <w:footnote w:id="3">
    <w:p w14:paraId="37501437" w14:textId="26CE751F" w:rsidR="008A4429" w:rsidRPr="008A4429" w:rsidRDefault="008A4429">
      <w:pPr>
        <w:pStyle w:val="Testonotaapidipagina"/>
        <w:rPr>
          <w:lang w:val="en-US"/>
        </w:rPr>
      </w:pPr>
      <w:r>
        <w:rPr>
          <w:rStyle w:val="Rimandonotaapidipagina"/>
        </w:rPr>
        <w:footnoteRef/>
      </w:r>
      <w:r w:rsidRPr="008A4429">
        <w:rPr>
          <w:lang w:val="en-US"/>
        </w:rPr>
        <w:t xml:space="preserve"> See https://ec.europa.eu/eurostat/web/structural-business-statistics.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E60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3255"/>
    <w:multiLevelType w:val="multilevel"/>
    <w:tmpl w:val="3F8EB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63619"/>
    <w:multiLevelType w:val="hybridMultilevel"/>
    <w:tmpl w:val="CEE4B9F6"/>
    <w:lvl w:ilvl="0" w:tplc="D972869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24C08"/>
    <w:multiLevelType w:val="hybridMultilevel"/>
    <w:tmpl w:val="6D26D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24A60"/>
    <w:multiLevelType w:val="hybridMultilevel"/>
    <w:tmpl w:val="6D26D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AF7A1F"/>
    <w:multiLevelType w:val="multilevel"/>
    <w:tmpl w:val="0F3CB6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57282D"/>
    <w:multiLevelType w:val="hybridMultilevel"/>
    <w:tmpl w:val="218AED7C"/>
    <w:lvl w:ilvl="0" w:tplc="3F5E81BA">
      <w:start w:val="3"/>
      <w:numFmt w:val="decimal"/>
      <w:lvlText w:val="%1"/>
      <w:lvlJc w:val="left"/>
      <w:pPr>
        <w:tabs>
          <w:tab w:val="num" w:pos="720"/>
        </w:tabs>
        <w:ind w:left="720" w:hanging="360"/>
      </w:pPr>
      <w:rPr>
        <w:rFonts w:hint="default"/>
      </w:rPr>
    </w:lvl>
    <w:lvl w:ilvl="1" w:tplc="422E60E4">
      <w:numFmt w:val="none"/>
      <w:lvlText w:val=""/>
      <w:lvlJc w:val="left"/>
      <w:pPr>
        <w:tabs>
          <w:tab w:val="num" w:pos="360"/>
        </w:tabs>
      </w:pPr>
    </w:lvl>
    <w:lvl w:ilvl="2" w:tplc="6CD0F498">
      <w:numFmt w:val="none"/>
      <w:lvlText w:val=""/>
      <w:lvlJc w:val="left"/>
      <w:pPr>
        <w:tabs>
          <w:tab w:val="num" w:pos="360"/>
        </w:tabs>
      </w:pPr>
    </w:lvl>
    <w:lvl w:ilvl="3" w:tplc="1D56D5FA">
      <w:numFmt w:val="none"/>
      <w:lvlText w:val=""/>
      <w:lvlJc w:val="left"/>
      <w:pPr>
        <w:tabs>
          <w:tab w:val="num" w:pos="360"/>
        </w:tabs>
      </w:pPr>
    </w:lvl>
    <w:lvl w:ilvl="4" w:tplc="8AC07A0A">
      <w:numFmt w:val="none"/>
      <w:lvlText w:val=""/>
      <w:lvlJc w:val="left"/>
      <w:pPr>
        <w:tabs>
          <w:tab w:val="num" w:pos="360"/>
        </w:tabs>
      </w:pPr>
    </w:lvl>
    <w:lvl w:ilvl="5" w:tplc="3E50EA48">
      <w:numFmt w:val="none"/>
      <w:lvlText w:val=""/>
      <w:lvlJc w:val="left"/>
      <w:pPr>
        <w:tabs>
          <w:tab w:val="num" w:pos="360"/>
        </w:tabs>
      </w:pPr>
    </w:lvl>
    <w:lvl w:ilvl="6" w:tplc="68421A86">
      <w:numFmt w:val="none"/>
      <w:lvlText w:val=""/>
      <w:lvlJc w:val="left"/>
      <w:pPr>
        <w:tabs>
          <w:tab w:val="num" w:pos="360"/>
        </w:tabs>
      </w:pPr>
    </w:lvl>
    <w:lvl w:ilvl="7" w:tplc="C63A4EB2">
      <w:numFmt w:val="none"/>
      <w:lvlText w:val=""/>
      <w:lvlJc w:val="left"/>
      <w:pPr>
        <w:tabs>
          <w:tab w:val="num" w:pos="360"/>
        </w:tabs>
      </w:pPr>
    </w:lvl>
    <w:lvl w:ilvl="8" w:tplc="9AA2ACA2">
      <w:numFmt w:val="none"/>
      <w:lvlText w:val=""/>
      <w:lvlJc w:val="left"/>
      <w:pPr>
        <w:tabs>
          <w:tab w:val="num" w:pos="360"/>
        </w:tabs>
      </w:pPr>
    </w:lvl>
  </w:abstractNum>
  <w:abstractNum w:abstractNumId="7" w15:restartNumberingAfterBreak="0">
    <w:nsid w:val="124B717A"/>
    <w:multiLevelType w:val="hybridMultilevel"/>
    <w:tmpl w:val="6D26D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618"/>
    <w:multiLevelType w:val="hybridMultilevel"/>
    <w:tmpl w:val="75B62964"/>
    <w:lvl w:ilvl="0" w:tplc="4F20E166">
      <w:start w:val="1"/>
      <w:numFmt w:val="bullet"/>
      <w:lvlText w:val="•"/>
      <w:lvlJc w:val="left"/>
      <w:pPr>
        <w:tabs>
          <w:tab w:val="num" w:pos="720"/>
        </w:tabs>
        <w:ind w:left="720" w:hanging="360"/>
      </w:pPr>
      <w:rPr>
        <w:rFonts w:ascii="Arial" w:hAnsi="Arial" w:hint="default"/>
      </w:rPr>
    </w:lvl>
    <w:lvl w:ilvl="1" w:tplc="B7D62998" w:tentative="1">
      <w:start w:val="1"/>
      <w:numFmt w:val="bullet"/>
      <w:lvlText w:val="•"/>
      <w:lvlJc w:val="left"/>
      <w:pPr>
        <w:tabs>
          <w:tab w:val="num" w:pos="1440"/>
        </w:tabs>
        <w:ind w:left="1440" w:hanging="360"/>
      </w:pPr>
      <w:rPr>
        <w:rFonts w:ascii="Arial" w:hAnsi="Arial" w:hint="default"/>
      </w:rPr>
    </w:lvl>
    <w:lvl w:ilvl="2" w:tplc="046E2A4A" w:tentative="1">
      <w:start w:val="1"/>
      <w:numFmt w:val="bullet"/>
      <w:lvlText w:val="•"/>
      <w:lvlJc w:val="left"/>
      <w:pPr>
        <w:tabs>
          <w:tab w:val="num" w:pos="2160"/>
        </w:tabs>
        <w:ind w:left="2160" w:hanging="360"/>
      </w:pPr>
      <w:rPr>
        <w:rFonts w:ascii="Arial" w:hAnsi="Arial" w:hint="default"/>
      </w:rPr>
    </w:lvl>
    <w:lvl w:ilvl="3" w:tplc="D7A4550E" w:tentative="1">
      <w:start w:val="1"/>
      <w:numFmt w:val="bullet"/>
      <w:lvlText w:val="•"/>
      <w:lvlJc w:val="left"/>
      <w:pPr>
        <w:tabs>
          <w:tab w:val="num" w:pos="2880"/>
        </w:tabs>
        <w:ind w:left="2880" w:hanging="360"/>
      </w:pPr>
      <w:rPr>
        <w:rFonts w:ascii="Arial" w:hAnsi="Arial" w:hint="default"/>
      </w:rPr>
    </w:lvl>
    <w:lvl w:ilvl="4" w:tplc="9366491E" w:tentative="1">
      <w:start w:val="1"/>
      <w:numFmt w:val="bullet"/>
      <w:lvlText w:val="•"/>
      <w:lvlJc w:val="left"/>
      <w:pPr>
        <w:tabs>
          <w:tab w:val="num" w:pos="3600"/>
        </w:tabs>
        <w:ind w:left="3600" w:hanging="360"/>
      </w:pPr>
      <w:rPr>
        <w:rFonts w:ascii="Arial" w:hAnsi="Arial" w:hint="default"/>
      </w:rPr>
    </w:lvl>
    <w:lvl w:ilvl="5" w:tplc="5E38F93C" w:tentative="1">
      <w:start w:val="1"/>
      <w:numFmt w:val="bullet"/>
      <w:lvlText w:val="•"/>
      <w:lvlJc w:val="left"/>
      <w:pPr>
        <w:tabs>
          <w:tab w:val="num" w:pos="4320"/>
        </w:tabs>
        <w:ind w:left="4320" w:hanging="360"/>
      </w:pPr>
      <w:rPr>
        <w:rFonts w:ascii="Arial" w:hAnsi="Arial" w:hint="default"/>
      </w:rPr>
    </w:lvl>
    <w:lvl w:ilvl="6" w:tplc="386E56B4" w:tentative="1">
      <w:start w:val="1"/>
      <w:numFmt w:val="bullet"/>
      <w:lvlText w:val="•"/>
      <w:lvlJc w:val="left"/>
      <w:pPr>
        <w:tabs>
          <w:tab w:val="num" w:pos="5040"/>
        </w:tabs>
        <w:ind w:left="5040" w:hanging="360"/>
      </w:pPr>
      <w:rPr>
        <w:rFonts w:ascii="Arial" w:hAnsi="Arial" w:hint="default"/>
      </w:rPr>
    </w:lvl>
    <w:lvl w:ilvl="7" w:tplc="B2C4B578" w:tentative="1">
      <w:start w:val="1"/>
      <w:numFmt w:val="bullet"/>
      <w:lvlText w:val="•"/>
      <w:lvlJc w:val="left"/>
      <w:pPr>
        <w:tabs>
          <w:tab w:val="num" w:pos="5760"/>
        </w:tabs>
        <w:ind w:left="5760" w:hanging="360"/>
      </w:pPr>
      <w:rPr>
        <w:rFonts w:ascii="Arial" w:hAnsi="Arial" w:hint="default"/>
      </w:rPr>
    </w:lvl>
    <w:lvl w:ilvl="8" w:tplc="7382DA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2D3863"/>
    <w:multiLevelType w:val="multilevel"/>
    <w:tmpl w:val="409A9F7C"/>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1BB94AE3"/>
    <w:multiLevelType w:val="hybridMultilevel"/>
    <w:tmpl w:val="2DF697AA"/>
    <w:lvl w:ilvl="0" w:tplc="E830F6A2">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DC5F2F"/>
    <w:multiLevelType w:val="hybridMultilevel"/>
    <w:tmpl w:val="94724A06"/>
    <w:lvl w:ilvl="0" w:tplc="6C742F0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2BD69E7"/>
    <w:multiLevelType w:val="hybridMultilevel"/>
    <w:tmpl w:val="F3E41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4830EF"/>
    <w:multiLevelType w:val="hybridMultilevel"/>
    <w:tmpl w:val="05C236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334B13"/>
    <w:multiLevelType w:val="hybridMultilevel"/>
    <w:tmpl w:val="38D6DA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E81F74"/>
    <w:multiLevelType w:val="multilevel"/>
    <w:tmpl w:val="BF0221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8753E6"/>
    <w:multiLevelType w:val="hybridMultilevel"/>
    <w:tmpl w:val="B07E659E"/>
    <w:lvl w:ilvl="0" w:tplc="F9F011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A3351F"/>
    <w:multiLevelType w:val="hybridMultilevel"/>
    <w:tmpl w:val="252C7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66190F"/>
    <w:multiLevelType w:val="hybridMultilevel"/>
    <w:tmpl w:val="F1981C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38716A"/>
    <w:multiLevelType w:val="multilevel"/>
    <w:tmpl w:val="5EE863F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732032"/>
    <w:multiLevelType w:val="hybridMultilevel"/>
    <w:tmpl w:val="6D26D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E47835"/>
    <w:multiLevelType w:val="hybridMultilevel"/>
    <w:tmpl w:val="5BD0C724"/>
    <w:lvl w:ilvl="0" w:tplc="B94631D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B37BBE"/>
    <w:multiLevelType w:val="hybridMultilevel"/>
    <w:tmpl w:val="3BB87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D56F01"/>
    <w:multiLevelType w:val="multilevel"/>
    <w:tmpl w:val="3F8EB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635AF3"/>
    <w:multiLevelType w:val="multilevel"/>
    <w:tmpl w:val="1BFCE032"/>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7"/>
  </w:num>
  <w:num w:numId="4">
    <w:abstractNumId w:val="6"/>
  </w:num>
  <w:num w:numId="5">
    <w:abstractNumId w:val="16"/>
  </w:num>
  <w:num w:numId="6">
    <w:abstractNumId w:val="18"/>
  </w:num>
  <w:num w:numId="7">
    <w:abstractNumId w:val="11"/>
  </w:num>
  <w:num w:numId="8">
    <w:abstractNumId w:val="0"/>
  </w:num>
  <w:num w:numId="9">
    <w:abstractNumId w:val="20"/>
  </w:num>
  <w:num w:numId="10">
    <w:abstractNumId w:val="10"/>
  </w:num>
  <w:num w:numId="11">
    <w:abstractNumId w:val="22"/>
  </w:num>
  <w:num w:numId="12">
    <w:abstractNumId w:val="9"/>
  </w:num>
  <w:num w:numId="13">
    <w:abstractNumId w:val="8"/>
  </w:num>
  <w:num w:numId="14">
    <w:abstractNumId w:val="17"/>
  </w:num>
  <w:num w:numId="15">
    <w:abstractNumId w:val="24"/>
  </w:num>
  <w:num w:numId="16">
    <w:abstractNumId w:val="5"/>
  </w:num>
  <w:num w:numId="17">
    <w:abstractNumId w:val="12"/>
  </w:num>
  <w:num w:numId="18">
    <w:abstractNumId w:val="2"/>
  </w:num>
  <w:num w:numId="19">
    <w:abstractNumId w:val="14"/>
  </w:num>
  <w:num w:numId="20">
    <w:abstractNumId w:val="1"/>
  </w:num>
  <w:num w:numId="21">
    <w:abstractNumId w:val="23"/>
  </w:num>
  <w:num w:numId="22">
    <w:abstractNumId w:val="19"/>
  </w:num>
  <w:num w:numId="23">
    <w:abstractNumId w:val="15"/>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E9"/>
    <w:rsid w:val="000008C6"/>
    <w:rsid w:val="00001C38"/>
    <w:rsid w:val="00001CCC"/>
    <w:rsid w:val="00002041"/>
    <w:rsid w:val="00003D57"/>
    <w:rsid w:val="00005514"/>
    <w:rsid w:val="0000651B"/>
    <w:rsid w:val="00006BA2"/>
    <w:rsid w:val="000127AF"/>
    <w:rsid w:val="00013A84"/>
    <w:rsid w:val="00013B17"/>
    <w:rsid w:val="000174A3"/>
    <w:rsid w:val="000176A0"/>
    <w:rsid w:val="00025BFC"/>
    <w:rsid w:val="00025C61"/>
    <w:rsid w:val="00030582"/>
    <w:rsid w:val="00030621"/>
    <w:rsid w:val="00032AD8"/>
    <w:rsid w:val="00032B66"/>
    <w:rsid w:val="00037994"/>
    <w:rsid w:val="00037E4F"/>
    <w:rsid w:val="00040E91"/>
    <w:rsid w:val="00045259"/>
    <w:rsid w:val="00055A77"/>
    <w:rsid w:val="00060569"/>
    <w:rsid w:val="00060AE2"/>
    <w:rsid w:val="00060EB2"/>
    <w:rsid w:val="000617FF"/>
    <w:rsid w:val="00063C83"/>
    <w:rsid w:val="00064036"/>
    <w:rsid w:val="00070086"/>
    <w:rsid w:val="00072010"/>
    <w:rsid w:val="00073572"/>
    <w:rsid w:val="00076157"/>
    <w:rsid w:val="0007616E"/>
    <w:rsid w:val="000770A7"/>
    <w:rsid w:val="00077BE9"/>
    <w:rsid w:val="000800B2"/>
    <w:rsid w:val="00080461"/>
    <w:rsid w:val="0008231F"/>
    <w:rsid w:val="0008288B"/>
    <w:rsid w:val="00085EEE"/>
    <w:rsid w:val="000921B9"/>
    <w:rsid w:val="00092229"/>
    <w:rsid w:val="00093C9F"/>
    <w:rsid w:val="00093DD7"/>
    <w:rsid w:val="00094CFA"/>
    <w:rsid w:val="0009508E"/>
    <w:rsid w:val="000A65A3"/>
    <w:rsid w:val="000A7628"/>
    <w:rsid w:val="000A79A4"/>
    <w:rsid w:val="000B0347"/>
    <w:rsid w:val="000B045D"/>
    <w:rsid w:val="000B76BB"/>
    <w:rsid w:val="000C1783"/>
    <w:rsid w:val="000C435F"/>
    <w:rsid w:val="000C60AD"/>
    <w:rsid w:val="000D0456"/>
    <w:rsid w:val="000D1712"/>
    <w:rsid w:val="000D31EA"/>
    <w:rsid w:val="000D4D14"/>
    <w:rsid w:val="000D7E45"/>
    <w:rsid w:val="000E0D66"/>
    <w:rsid w:val="000E1F7B"/>
    <w:rsid w:val="000E562E"/>
    <w:rsid w:val="000E63DD"/>
    <w:rsid w:val="000F23BD"/>
    <w:rsid w:val="000F2403"/>
    <w:rsid w:val="000F243B"/>
    <w:rsid w:val="000F3E40"/>
    <w:rsid w:val="000F3FA2"/>
    <w:rsid w:val="00102A9D"/>
    <w:rsid w:val="00105419"/>
    <w:rsid w:val="001059E0"/>
    <w:rsid w:val="00107167"/>
    <w:rsid w:val="00107A49"/>
    <w:rsid w:val="00107E38"/>
    <w:rsid w:val="0011125F"/>
    <w:rsid w:val="0011240E"/>
    <w:rsid w:val="00114307"/>
    <w:rsid w:val="00114424"/>
    <w:rsid w:val="001152EA"/>
    <w:rsid w:val="0011560A"/>
    <w:rsid w:val="00120F0D"/>
    <w:rsid w:val="00121638"/>
    <w:rsid w:val="00122BAA"/>
    <w:rsid w:val="00123A94"/>
    <w:rsid w:val="00123F07"/>
    <w:rsid w:val="00124B84"/>
    <w:rsid w:val="00126C8E"/>
    <w:rsid w:val="0013310F"/>
    <w:rsid w:val="0013423F"/>
    <w:rsid w:val="0013511D"/>
    <w:rsid w:val="00135213"/>
    <w:rsid w:val="001354C6"/>
    <w:rsid w:val="001402BB"/>
    <w:rsid w:val="001417C4"/>
    <w:rsid w:val="001418CB"/>
    <w:rsid w:val="001429B6"/>
    <w:rsid w:val="00143298"/>
    <w:rsid w:val="00143CDF"/>
    <w:rsid w:val="0015023B"/>
    <w:rsid w:val="001526C0"/>
    <w:rsid w:val="0015271C"/>
    <w:rsid w:val="00152DFD"/>
    <w:rsid w:val="00152FB0"/>
    <w:rsid w:val="00154F14"/>
    <w:rsid w:val="00160019"/>
    <w:rsid w:val="00160505"/>
    <w:rsid w:val="00161CC5"/>
    <w:rsid w:val="00162460"/>
    <w:rsid w:val="00163096"/>
    <w:rsid w:val="00172E99"/>
    <w:rsid w:val="00175685"/>
    <w:rsid w:val="001770ED"/>
    <w:rsid w:val="00180212"/>
    <w:rsid w:val="0018127A"/>
    <w:rsid w:val="00181519"/>
    <w:rsid w:val="00181CF4"/>
    <w:rsid w:val="00182B5E"/>
    <w:rsid w:val="00182D59"/>
    <w:rsid w:val="00184674"/>
    <w:rsid w:val="00187108"/>
    <w:rsid w:val="00192362"/>
    <w:rsid w:val="001968B1"/>
    <w:rsid w:val="001A065B"/>
    <w:rsid w:val="001A1092"/>
    <w:rsid w:val="001A113D"/>
    <w:rsid w:val="001A15EF"/>
    <w:rsid w:val="001A33E3"/>
    <w:rsid w:val="001A4CFC"/>
    <w:rsid w:val="001A6CE7"/>
    <w:rsid w:val="001B1416"/>
    <w:rsid w:val="001B1B51"/>
    <w:rsid w:val="001B6664"/>
    <w:rsid w:val="001C0764"/>
    <w:rsid w:val="001C3547"/>
    <w:rsid w:val="001C3EA7"/>
    <w:rsid w:val="001C4AEC"/>
    <w:rsid w:val="001D2779"/>
    <w:rsid w:val="001D33D3"/>
    <w:rsid w:val="001D49C9"/>
    <w:rsid w:val="001D555E"/>
    <w:rsid w:val="001E0530"/>
    <w:rsid w:val="001E1EAF"/>
    <w:rsid w:val="001E3F2F"/>
    <w:rsid w:val="001E759C"/>
    <w:rsid w:val="001F0E99"/>
    <w:rsid w:val="001F6446"/>
    <w:rsid w:val="001F76C9"/>
    <w:rsid w:val="00205997"/>
    <w:rsid w:val="0020610C"/>
    <w:rsid w:val="002105F7"/>
    <w:rsid w:val="002141D5"/>
    <w:rsid w:val="00216D9C"/>
    <w:rsid w:val="00217376"/>
    <w:rsid w:val="00221237"/>
    <w:rsid w:val="0022174F"/>
    <w:rsid w:val="00221A5A"/>
    <w:rsid w:val="0022248E"/>
    <w:rsid w:val="00224225"/>
    <w:rsid w:val="0022429B"/>
    <w:rsid w:val="002246AC"/>
    <w:rsid w:val="002279A7"/>
    <w:rsid w:val="00227F15"/>
    <w:rsid w:val="00234F9F"/>
    <w:rsid w:val="002368DD"/>
    <w:rsid w:val="00236DB8"/>
    <w:rsid w:val="00242295"/>
    <w:rsid w:val="002431FB"/>
    <w:rsid w:val="002435EA"/>
    <w:rsid w:val="00244223"/>
    <w:rsid w:val="00244755"/>
    <w:rsid w:val="00246CA3"/>
    <w:rsid w:val="00247E55"/>
    <w:rsid w:val="00250A05"/>
    <w:rsid w:val="00252FB2"/>
    <w:rsid w:val="00256822"/>
    <w:rsid w:val="002569FA"/>
    <w:rsid w:val="00260B1A"/>
    <w:rsid w:val="002639A9"/>
    <w:rsid w:val="0026456B"/>
    <w:rsid w:val="0026474A"/>
    <w:rsid w:val="0026497C"/>
    <w:rsid w:val="00264DCA"/>
    <w:rsid w:val="00265234"/>
    <w:rsid w:val="00265406"/>
    <w:rsid w:val="00265438"/>
    <w:rsid w:val="00267864"/>
    <w:rsid w:val="00270211"/>
    <w:rsid w:val="00270CEF"/>
    <w:rsid w:val="0027160C"/>
    <w:rsid w:val="0027186D"/>
    <w:rsid w:val="00271AF8"/>
    <w:rsid w:val="002720C8"/>
    <w:rsid w:val="00273035"/>
    <w:rsid w:val="0027304E"/>
    <w:rsid w:val="00275DC9"/>
    <w:rsid w:val="002801F6"/>
    <w:rsid w:val="00283412"/>
    <w:rsid w:val="00283433"/>
    <w:rsid w:val="002858E9"/>
    <w:rsid w:val="00287D77"/>
    <w:rsid w:val="00292EF0"/>
    <w:rsid w:val="002931D4"/>
    <w:rsid w:val="002957DA"/>
    <w:rsid w:val="0029583D"/>
    <w:rsid w:val="00295AF7"/>
    <w:rsid w:val="002A061B"/>
    <w:rsid w:val="002A4F35"/>
    <w:rsid w:val="002A7F9D"/>
    <w:rsid w:val="002B25F9"/>
    <w:rsid w:val="002B3AD7"/>
    <w:rsid w:val="002C18C9"/>
    <w:rsid w:val="002C3B92"/>
    <w:rsid w:val="002C3D65"/>
    <w:rsid w:val="002C71FB"/>
    <w:rsid w:val="002D09CA"/>
    <w:rsid w:val="002D0E9C"/>
    <w:rsid w:val="002D1E17"/>
    <w:rsid w:val="002D1E8D"/>
    <w:rsid w:val="002D2588"/>
    <w:rsid w:val="002D269B"/>
    <w:rsid w:val="002D39C5"/>
    <w:rsid w:val="002D69B4"/>
    <w:rsid w:val="002D7ED4"/>
    <w:rsid w:val="002E05C9"/>
    <w:rsid w:val="002E4544"/>
    <w:rsid w:val="002E6864"/>
    <w:rsid w:val="002F0148"/>
    <w:rsid w:val="002F1431"/>
    <w:rsid w:val="002F22C3"/>
    <w:rsid w:val="002F310D"/>
    <w:rsid w:val="002F5023"/>
    <w:rsid w:val="002F7FC3"/>
    <w:rsid w:val="003008C4"/>
    <w:rsid w:val="00302705"/>
    <w:rsid w:val="00303770"/>
    <w:rsid w:val="00305F4F"/>
    <w:rsid w:val="00306D64"/>
    <w:rsid w:val="003074A1"/>
    <w:rsid w:val="0031601A"/>
    <w:rsid w:val="00321B06"/>
    <w:rsid w:val="00321FA9"/>
    <w:rsid w:val="003251FF"/>
    <w:rsid w:val="0032715D"/>
    <w:rsid w:val="00334C6E"/>
    <w:rsid w:val="00335669"/>
    <w:rsid w:val="00340154"/>
    <w:rsid w:val="00344E70"/>
    <w:rsid w:val="003455AD"/>
    <w:rsid w:val="00345BB6"/>
    <w:rsid w:val="003467B5"/>
    <w:rsid w:val="0035238E"/>
    <w:rsid w:val="003525E1"/>
    <w:rsid w:val="00355928"/>
    <w:rsid w:val="003606E7"/>
    <w:rsid w:val="0036333F"/>
    <w:rsid w:val="003641CE"/>
    <w:rsid w:val="00364B95"/>
    <w:rsid w:val="00364F37"/>
    <w:rsid w:val="0036646D"/>
    <w:rsid w:val="003675FF"/>
    <w:rsid w:val="00370D28"/>
    <w:rsid w:val="00370D59"/>
    <w:rsid w:val="00371F23"/>
    <w:rsid w:val="003746BF"/>
    <w:rsid w:val="00380E9A"/>
    <w:rsid w:val="00382B6D"/>
    <w:rsid w:val="00384CA6"/>
    <w:rsid w:val="00386243"/>
    <w:rsid w:val="00386BDD"/>
    <w:rsid w:val="00386C8B"/>
    <w:rsid w:val="003878D1"/>
    <w:rsid w:val="00390234"/>
    <w:rsid w:val="00391B59"/>
    <w:rsid w:val="00392431"/>
    <w:rsid w:val="00393625"/>
    <w:rsid w:val="0039394A"/>
    <w:rsid w:val="00393B79"/>
    <w:rsid w:val="00395608"/>
    <w:rsid w:val="003A00F8"/>
    <w:rsid w:val="003A01FB"/>
    <w:rsid w:val="003A21D6"/>
    <w:rsid w:val="003A5688"/>
    <w:rsid w:val="003A5EC9"/>
    <w:rsid w:val="003A7D56"/>
    <w:rsid w:val="003B17EC"/>
    <w:rsid w:val="003B336C"/>
    <w:rsid w:val="003B5A0C"/>
    <w:rsid w:val="003B7AF9"/>
    <w:rsid w:val="003B7D12"/>
    <w:rsid w:val="003C104E"/>
    <w:rsid w:val="003C258A"/>
    <w:rsid w:val="003C25DF"/>
    <w:rsid w:val="003C2BB9"/>
    <w:rsid w:val="003C2DC5"/>
    <w:rsid w:val="003C3A40"/>
    <w:rsid w:val="003C4E70"/>
    <w:rsid w:val="003C5B67"/>
    <w:rsid w:val="003C5C73"/>
    <w:rsid w:val="003C65BF"/>
    <w:rsid w:val="003C75D7"/>
    <w:rsid w:val="003D16F7"/>
    <w:rsid w:val="003D1897"/>
    <w:rsid w:val="003D2123"/>
    <w:rsid w:val="003D2955"/>
    <w:rsid w:val="003D4328"/>
    <w:rsid w:val="003D5328"/>
    <w:rsid w:val="003D73B8"/>
    <w:rsid w:val="003D7DA9"/>
    <w:rsid w:val="003E6DD2"/>
    <w:rsid w:val="003E7CFF"/>
    <w:rsid w:val="003F02E3"/>
    <w:rsid w:val="003F104F"/>
    <w:rsid w:val="003F76AB"/>
    <w:rsid w:val="003F77BD"/>
    <w:rsid w:val="00401243"/>
    <w:rsid w:val="004039DF"/>
    <w:rsid w:val="00403FB8"/>
    <w:rsid w:val="00406D45"/>
    <w:rsid w:val="004074D9"/>
    <w:rsid w:val="00410779"/>
    <w:rsid w:val="0041433F"/>
    <w:rsid w:val="004169ED"/>
    <w:rsid w:val="00417BC8"/>
    <w:rsid w:val="0042337A"/>
    <w:rsid w:val="00423603"/>
    <w:rsid w:val="0042760E"/>
    <w:rsid w:val="0043126A"/>
    <w:rsid w:val="00432E1A"/>
    <w:rsid w:val="00435529"/>
    <w:rsid w:val="00435C2F"/>
    <w:rsid w:val="00437C27"/>
    <w:rsid w:val="004431CA"/>
    <w:rsid w:val="004446F4"/>
    <w:rsid w:val="00444D13"/>
    <w:rsid w:val="00453172"/>
    <w:rsid w:val="00453BD6"/>
    <w:rsid w:val="004567EF"/>
    <w:rsid w:val="00457065"/>
    <w:rsid w:val="00457C29"/>
    <w:rsid w:val="00460077"/>
    <w:rsid w:val="00461EF0"/>
    <w:rsid w:val="004635F8"/>
    <w:rsid w:val="0046392E"/>
    <w:rsid w:val="00463EBC"/>
    <w:rsid w:val="004646C1"/>
    <w:rsid w:val="004651B2"/>
    <w:rsid w:val="00467913"/>
    <w:rsid w:val="00470CB1"/>
    <w:rsid w:val="004713A9"/>
    <w:rsid w:val="00473F4F"/>
    <w:rsid w:val="0047667D"/>
    <w:rsid w:val="00481FDB"/>
    <w:rsid w:val="0048246A"/>
    <w:rsid w:val="0049043F"/>
    <w:rsid w:val="00491AE8"/>
    <w:rsid w:val="00491F12"/>
    <w:rsid w:val="004934B5"/>
    <w:rsid w:val="00495599"/>
    <w:rsid w:val="004961B6"/>
    <w:rsid w:val="0049711D"/>
    <w:rsid w:val="004A1050"/>
    <w:rsid w:val="004A2066"/>
    <w:rsid w:val="004A2E10"/>
    <w:rsid w:val="004A3746"/>
    <w:rsid w:val="004A41E6"/>
    <w:rsid w:val="004A6040"/>
    <w:rsid w:val="004A64AD"/>
    <w:rsid w:val="004A652B"/>
    <w:rsid w:val="004A6F94"/>
    <w:rsid w:val="004A792E"/>
    <w:rsid w:val="004B133B"/>
    <w:rsid w:val="004B2854"/>
    <w:rsid w:val="004B3342"/>
    <w:rsid w:val="004B3433"/>
    <w:rsid w:val="004B3969"/>
    <w:rsid w:val="004B5037"/>
    <w:rsid w:val="004B7533"/>
    <w:rsid w:val="004B7568"/>
    <w:rsid w:val="004C116A"/>
    <w:rsid w:val="004C1D39"/>
    <w:rsid w:val="004C25D6"/>
    <w:rsid w:val="004C4E60"/>
    <w:rsid w:val="004D18A8"/>
    <w:rsid w:val="004D4DCB"/>
    <w:rsid w:val="004D506E"/>
    <w:rsid w:val="004D5F77"/>
    <w:rsid w:val="004D6397"/>
    <w:rsid w:val="004E3B0A"/>
    <w:rsid w:val="004E687F"/>
    <w:rsid w:val="004E6947"/>
    <w:rsid w:val="004E72FE"/>
    <w:rsid w:val="004F0231"/>
    <w:rsid w:val="004F5B91"/>
    <w:rsid w:val="0050085C"/>
    <w:rsid w:val="00504C3F"/>
    <w:rsid w:val="00504D7E"/>
    <w:rsid w:val="005063A5"/>
    <w:rsid w:val="0050689C"/>
    <w:rsid w:val="00507169"/>
    <w:rsid w:val="0051443A"/>
    <w:rsid w:val="0051545A"/>
    <w:rsid w:val="005179E9"/>
    <w:rsid w:val="00521CFE"/>
    <w:rsid w:val="00526C1C"/>
    <w:rsid w:val="005325F7"/>
    <w:rsid w:val="00535493"/>
    <w:rsid w:val="005361EC"/>
    <w:rsid w:val="00537772"/>
    <w:rsid w:val="00537C50"/>
    <w:rsid w:val="00541E35"/>
    <w:rsid w:val="00542E2F"/>
    <w:rsid w:val="005442DB"/>
    <w:rsid w:val="00550D9C"/>
    <w:rsid w:val="00552BF0"/>
    <w:rsid w:val="00554D33"/>
    <w:rsid w:val="0055570B"/>
    <w:rsid w:val="00557D90"/>
    <w:rsid w:val="005601BD"/>
    <w:rsid w:val="00560F44"/>
    <w:rsid w:val="0056376D"/>
    <w:rsid w:val="00564486"/>
    <w:rsid w:val="00565C77"/>
    <w:rsid w:val="00567E80"/>
    <w:rsid w:val="0057188D"/>
    <w:rsid w:val="00577A66"/>
    <w:rsid w:val="0058174D"/>
    <w:rsid w:val="005827B0"/>
    <w:rsid w:val="00583A40"/>
    <w:rsid w:val="005847B0"/>
    <w:rsid w:val="00585345"/>
    <w:rsid w:val="005864BD"/>
    <w:rsid w:val="00590F33"/>
    <w:rsid w:val="00592CBA"/>
    <w:rsid w:val="0059513E"/>
    <w:rsid w:val="005A1F3D"/>
    <w:rsid w:val="005A77B3"/>
    <w:rsid w:val="005B0066"/>
    <w:rsid w:val="005B357F"/>
    <w:rsid w:val="005B4F78"/>
    <w:rsid w:val="005C0E7F"/>
    <w:rsid w:val="005C15C6"/>
    <w:rsid w:val="005C1954"/>
    <w:rsid w:val="005C1AA6"/>
    <w:rsid w:val="005C2118"/>
    <w:rsid w:val="005C2C5F"/>
    <w:rsid w:val="005C3579"/>
    <w:rsid w:val="005C4AF4"/>
    <w:rsid w:val="005C52AA"/>
    <w:rsid w:val="005C5845"/>
    <w:rsid w:val="005C6416"/>
    <w:rsid w:val="005C68AB"/>
    <w:rsid w:val="005C775D"/>
    <w:rsid w:val="005D133B"/>
    <w:rsid w:val="005D1C6C"/>
    <w:rsid w:val="005D27AD"/>
    <w:rsid w:val="005D2ADB"/>
    <w:rsid w:val="005D48C3"/>
    <w:rsid w:val="005D673A"/>
    <w:rsid w:val="005E1AC7"/>
    <w:rsid w:val="005E29AE"/>
    <w:rsid w:val="005E35E0"/>
    <w:rsid w:val="005E4150"/>
    <w:rsid w:val="005E4FAD"/>
    <w:rsid w:val="005E5266"/>
    <w:rsid w:val="005E5748"/>
    <w:rsid w:val="005E7122"/>
    <w:rsid w:val="005E7DD5"/>
    <w:rsid w:val="005F1385"/>
    <w:rsid w:val="005F3DAD"/>
    <w:rsid w:val="005F500B"/>
    <w:rsid w:val="005F5468"/>
    <w:rsid w:val="005F59C6"/>
    <w:rsid w:val="005F6A79"/>
    <w:rsid w:val="00600BF7"/>
    <w:rsid w:val="0060259E"/>
    <w:rsid w:val="00607837"/>
    <w:rsid w:val="00607DAD"/>
    <w:rsid w:val="00612B5A"/>
    <w:rsid w:val="00614D2C"/>
    <w:rsid w:val="006200E2"/>
    <w:rsid w:val="00620B07"/>
    <w:rsid w:val="00621DAE"/>
    <w:rsid w:val="00622B6F"/>
    <w:rsid w:val="00622F9F"/>
    <w:rsid w:val="00632B1F"/>
    <w:rsid w:val="006341F5"/>
    <w:rsid w:val="00636226"/>
    <w:rsid w:val="00637653"/>
    <w:rsid w:val="006377AB"/>
    <w:rsid w:val="0064075B"/>
    <w:rsid w:val="00640ADE"/>
    <w:rsid w:val="0064167A"/>
    <w:rsid w:val="006436F8"/>
    <w:rsid w:val="00644219"/>
    <w:rsid w:val="00644D66"/>
    <w:rsid w:val="006507EC"/>
    <w:rsid w:val="00654740"/>
    <w:rsid w:val="006561ED"/>
    <w:rsid w:val="006630B8"/>
    <w:rsid w:val="00666F55"/>
    <w:rsid w:val="00671914"/>
    <w:rsid w:val="00673FB3"/>
    <w:rsid w:val="006742A2"/>
    <w:rsid w:val="0067530F"/>
    <w:rsid w:val="00675CB9"/>
    <w:rsid w:val="00675D88"/>
    <w:rsid w:val="00680008"/>
    <w:rsid w:val="006829B7"/>
    <w:rsid w:val="00683F2C"/>
    <w:rsid w:val="0068464F"/>
    <w:rsid w:val="006849EA"/>
    <w:rsid w:val="00686B5C"/>
    <w:rsid w:val="00686FBD"/>
    <w:rsid w:val="00690659"/>
    <w:rsid w:val="0069353A"/>
    <w:rsid w:val="00693750"/>
    <w:rsid w:val="00694765"/>
    <w:rsid w:val="0069502D"/>
    <w:rsid w:val="00695A7E"/>
    <w:rsid w:val="006979FD"/>
    <w:rsid w:val="006A0810"/>
    <w:rsid w:val="006A1615"/>
    <w:rsid w:val="006A180E"/>
    <w:rsid w:val="006A2E4A"/>
    <w:rsid w:val="006A380C"/>
    <w:rsid w:val="006A6CCF"/>
    <w:rsid w:val="006A7C36"/>
    <w:rsid w:val="006B1529"/>
    <w:rsid w:val="006B17C5"/>
    <w:rsid w:val="006B33F3"/>
    <w:rsid w:val="006B52F0"/>
    <w:rsid w:val="006B7DD2"/>
    <w:rsid w:val="006C7EC8"/>
    <w:rsid w:val="006D1EEB"/>
    <w:rsid w:val="006D3661"/>
    <w:rsid w:val="006D5FD3"/>
    <w:rsid w:val="006D6CC7"/>
    <w:rsid w:val="006D768C"/>
    <w:rsid w:val="006D7AE5"/>
    <w:rsid w:val="006E23F1"/>
    <w:rsid w:val="006E542C"/>
    <w:rsid w:val="006E591A"/>
    <w:rsid w:val="006E6A34"/>
    <w:rsid w:val="006F0BD7"/>
    <w:rsid w:val="006F4D56"/>
    <w:rsid w:val="006F5037"/>
    <w:rsid w:val="006F5762"/>
    <w:rsid w:val="006F7686"/>
    <w:rsid w:val="006F7BA5"/>
    <w:rsid w:val="00702723"/>
    <w:rsid w:val="007030B7"/>
    <w:rsid w:val="00707A4D"/>
    <w:rsid w:val="00711120"/>
    <w:rsid w:val="0071206A"/>
    <w:rsid w:val="00712BAF"/>
    <w:rsid w:val="00713551"/>
    <w:rsid w:val="00716A45"/>
    <w:rsid w:val="00716BEE"/>
    <w:rsid w:val="007211C0"/>
    <w:rsid w:val="007214E5"/>
    <w:rsid w:val="00722152"/>
    <w:rsid w:val="007228D5"/>
    <w:rsid w:val="00724B9D"/>
    <w:rsid w:val="007251A2"/>
    <w:rsid w:val="007379FD"/>
    <w:rsid w:val="00742D96"/>
    <w:rsid w:val="007448BC"/>
    <w:rsid w:val="00745F07"/>
    <w:rsid w:val="007502EE"/>
    <w:rsid w:val="00751BE9"/>
    <w:rsid w:val="00752F98"/>
    <w:rsid w:val="00753112"/>
    <w:rsid w:val="007535B5"/>
    <w:rsid w:val="00753687"/>
    <w:rsid w:val="007542FC"/>
    <w:rsid w:val="007572F6"/>
    <w:rsid w:val="007574F4"/>
    <w:rsid w:val="00764451"/>
    <w:rsid w:val="00765FF7"/>
    <w:rsid w:val="00770282"/>
    <w:rsid w:val="007720E5"/>
    <w:rsid w:val="00772513"/>
    <w:rsid w:val="0077425D"/>
    <w:rsid w:val="00774903"/>
    <w:rsid w:val="00774F38"/>
    <w:rsid w:val="00776C55"/>
    <w:rsid w:val="00776F37"/>
    <w:rsid w:val="007812C7"/>
    <w:rsid w:val="007841EF"/>
    <w:rsid w:val="0078598B"/>
    <w:rsid w:val="00790A5E"/>
    <w:rsid w:val="00790B7D"/>
    <w:rsid w:val="0079123D"/>
    <w:rsid w:val="00791508"/>
    <w:rsid w:val="00791E3F"/>
    <w:rsid w:val="00796162"/>
    <w:rsid w:val="00797544"/>
    <w:rsid w:val="007A0020"/>
    <w:rsid w:val="007A3720"/>
    <w:rsid w:val="007A492F"/>
    <w:rsid w:val="007A6AAF"/>
    <w:rsid w:val="007A6FB6"/>
    <w:rsid w:val="007A7252"/>
    <w:rsid w:val="007A79DA"/>
    <w:rsid w:val="007A79E0"/>
    <w:rsid w:val="007B07E2"/>
    <w:rsid w:val="007B3421"/>
    <w:rsid w:val="007B430F"/>
    <w:rsid w:val="007B4EB8"/>
    <w:rsid w:val="007B78BC"/>
    <w:rsid w:val="007C103E"/>
    <w:rsid w:val="007C2CFA"/>
    <w:rsid w:val="007C4B49"/>
    <w:rsid w:val="007C50BF"/>
    <w:rsid w:val="007C5B8E"/>
    <w:rsid w:val="007C7737"/>
    <w:rsid w:val="007C7CAB"/>
    <w:rsid w:val="007D08D9"/>
    <w:rsid w:val="007D342D"/>
    <w:rsid w:val="007D4643"/>
    <w:rsid w:val="007D7AC1"/>
    <w:rsid w:val="007E14AB"/>
    <w:rsid w:val="007E3285"/>
    <w:rsid w:val="007E4294"/>
    <w:rsid w:val="007E4573"/>
    <w:rsid w:val="007E4852"/>
    <w:rsid w:val="007E4E0B"/>
    <w:rsid w:val="007E4E7D"/>
    <w:rsid w:val="007E614F"/>
    <w:rsid w:val="007E63A4"/>
    <w:rsid w:val="007F1AD2"/>
    <w:rsid w:val="007F4EAE"/>
    <w:rsid w:val="007F5B37"/>
    <w:rsid w:val="007F637B"/>
    <w:rsid w:val="00800CCC"/>
    <w:rsid w:val="00801171"/>
    <w:rsid w:val="008014B9"/>
    <w:rsid w:val="0080341F"/>
    <w:rsid w:val="00804B5E"/>
    <w:rsid w:val="00806E71"/>
    <w:rsid w:val="008070DF"/>
    <w:rsid w:val="00812639"/>
    <w:rsid w:val="008144F2"/>
    <w:rsid w:val="00824BAF"/>
    <w:rsid w:val="008261F2"/>
    <w:rsid w:val="00827904"/>
    <w:rsid w:val="00830124"/>
    <w:rsid w:val="008308F1"/>
    <w:rsid w:val="00832AD8"/>
    <w:rsid w:val="008415D0"/>
    <w:rsid w:val="008427C2"/>
    <w:rsid w:val="008453A0"/>
    <w:rsid w:val="0084559B"/>
    <w:rsid w:val="008455A4"/>
    <w:rsid w:val="00846529"/>
    <w:rsid w:val="00853006"/>
    <w:rsid w:val="00854426"/>
    <w:rsid w:val="00855074"/>
    <w:rsid w:val="00855BCC"/>
    <w:rsid w:val="00857513"/>
    <w:rsid w:val="00860C29"/>
    <w:rsid w:val="00864628"/>
    <w:rsid w:val="008646AC"/>
    <w:rsid w:val="00865E5B"/>
    <w:rsid w:val="00867D76"/>
    <w:rsid w:val="008703DB"/>
    <w:rsid w:val="0087113C"/>
    <w:rsid w:val="00871FC9"/>
    <w:rsid w:val="0087294D"/>
    <w:rsid w:val="008745B1"/>
    <w:rsid w:val="00877111"/>
    <w:rsid w:val="008800E1"/>
    <w:rsid w:val="00880398"/>
    <w:rsid w:val="00881337"/>
    <w:rsid w:val="008824F7"/>
    <w:rsid w:val="00882704"/>
    <w:rsid w:val="00883057"/>
    <w:rsid w:val="0088354C"/>
    <w:rsid w:val="0088453F"/>
    <w:rsid w:val="00887675"/>
    <w:rsid w:val="008909ED"/>
    <w:rsid w:val="00893508"/>
    <w:rsid w:val="0089350A"/>
    <w:rsid w:val="00893D07"/>
    <w:rsid w:val="008967C7"/>
    <w:rsid w:val="008978CE"/>
    <w:rsid w:val="008A0E87"/>
    <w:rsid w:val="008A2008"/>
    <w:rsid w:val="008A222A"/>
    <w:rsid w:val="008A4429"/>
    <w:rsid w:val="008A472E"/>
    <w:rsid w:val="008B0125"/>
    <w:rsid w:val="008B3DAD"/>
    <w:rsid w:val="008B405F"/>
    <w:rsid w:val="008B4219"/>
    <w:rsid w:val="008B66C7"/>
    <w:rsid w:val="008C114A"/>
    <w:rsid w:val="008C35CC"/>
    <w:rsid w:val="008C3CBE"/>
    <w:rsid w:val="008C405B"/>
    <w:rsid w:val="008C6693"/>
    <w:rsid w:val="008C6735"/>
    <w:rsid w:val="008C68C3"/>
    <w:rsid w:val="008C7342"/>
    <w:rsid w:val="008C7A4B"/>
    <w:rsid w:val="008C7CCE"/>
    <w:rsid w:val="008D0F21"/>
    <w:rsid w:val="008D2EF9"/>
    <w:rsid w:val="008D3BCB"/>
    <w:rsid w:val="008D741C"/>
    <w:rsid w:val="008D7A43"/>
    <w:rsid w:val="008E017B"/>
    <w:rsid w:val="008E2CE0"/>
    <w:rsid w:val="008E7372"/>
    <w:rsid w:val="008E75BD"/>
    <w:rsid w:val="008F09BE"/>
    <w:rsid w:val="008F2141"/>
    <w:rsid w:val="008F2563"/>
    <w:rsid w:val="008F3286"/>
    <w:rsid w:val="008F569C"/>
    <w:rsid w:val="008F698E"/>
    <w:rsid w:val="008F6C55"/>
    <w:rsid w:val="00902F48"/>
    <w:rsid w:val="00903B23"/>
    <w:rsid w:val="00906699"/>
    <w:rsid w:val="00907BC6"/>
    <w:rsid w:val="0091169C"/>
    <w:rsid w:val="009119E8"/>
    <w:rsid w:val="009150FB"/>
    <w:rsid w:val="00915E0E"/>
    <w:rsid w:val="009167E7"/>
    <w:rsid w:val="00916952"/>
    <w:rsid w:val="00916CC2"/>
    <w:rsid w:val="00917CDF"/>
    <w:rsid w:val="009244F1"/>
    <w:rsid w:val="00926BCB"/>
    <w:rsid w:val="009317EA"/>
    <w:rsid w:val="00932B74"/>
    <w:rsid w:val="0093401C"/>
    <w:rsid w:val="00935498"/>
    <w:rsid w:val="009379C1"/>
    <w:rsid w:val="00941BB7"/>
    <w:rsid w:val="0094348A"/>
    <w:rsid w:val="009444BE"/>
    <w:rsid w:val="00944927"/>
    <w:rsid w:val="00945ED0"/>
    <w:rsid w:val="00947021"/>
    <w:rsid w:val="00951607"/>
    <w:rsid w:val="00956694"/>
    <w:rsid w:val="009603F3"/>
    <w:rsid w:val="009614B0"/>
    <w:rsid w:val="00963E59"/>
    <w:rsid w:val="00963FC0"/>
    <w:rsid w:val="00964AF5"/>
    <w:rsid w:val="009653E2"/>
    <w:rsid w:val="00966404"/>
    <w:rsid w:val="00974CE4"/>
    <w:rsid w:val="00975897"/>
    <w:rsid w:val="00975CA2"/>
    <w:rsid w:val="00975F00"/>
    <w:rsid w:val="009773E7"/>
    <w:rsid w:val="00982D12"/>
    <w:rsid w:val="00983D69"/>
    <w:rsid w:val="00984B92"/>
    <w:rsid w:val="0098576D"/>
    <w:rsid w:val="009908F8"/>
    <w:rsid w:val="00990B7F"/>
    <w:rsid w:val="009925AD"/>
    <w:rsid w:val="0099595E"/>
    <w:rsid w:val="00996AEC"/>
    <w:rsid w:val="009A4019"/>
    <w:rsid w:val="009A4D2D"/>
    <w:rsid w:val="009A516A"/>
    <w:rsid w:val="009A7750"/>
    <w:rsid w:val="009B461E"/>
    <w:rsid w:val="009B5430"/>
    <w:rsid w:val="009B62A2"/>
    <w:rsid w:val="009B6602"/>
    <w:rsid w:val="009C292E"/>
    <w:rsid w:val="009C3702"/>
    <w:rsid w:val="009C3FD5"/>
    <w:rsid w:val="009D0CB2"/>
    <w:rsid w:val="009D4B05"/>
    <w:rsid w:val="009D6499"/>
    <w:rsid w:val="009E546F"/>
    <w:rsid w:val="009E605A"/>
    <w:rsid w:val="009F2383"/>
    <w:rsid w:val="009F3BDD"/>
    <w:rsid w:val="009F7C61"/>
    <w:rsid w:val="00A02D19"/>
    <w:rsid w:val="00A03349"/>
    <w:rsid w:val="00A03A10"/>
    <w:rsid w:val="00A04C4B"/>
    <w:rsid w:val="00A04F90"/>
    <w:rsid w:val="00A05418"/>
    <w:rsid w:val="00A07CC9"/>
    <w:rsid w:val="00A12730"/>
    <w:rsid w:val="00A13D92"/>
    <w:rsid w:val="00A20086"/>
    <w:rsid w:val="00A20A59"/>
    <w:rsid w:val="00A20BF5"/>
    <w:rsid w:val="00A22407"/>
    <w:rsid w:val="00A24A8A"/>
    <w:rsid w:val="00A26866"/>
    <w:rsid w:val="00A317F7"/>
    <w:rsid w:val="00A31FBC"/>
    <w:rsid w:val="00A371B7"/>
    <w:rsid w:val="00A3740A"/>
    <w:rsid w:val="00A37DD3"/>
    <w:rsid w:val="00A37EF0"/>
    <w:rsid w:val="00A414F6"/>
    <w:rsid w:val="00A42668"/>
    <w:rsid w:val="00A45092"/>
    <w:rsid w:val="00A47B4F"/>
    <w:rsid w:val="00A52769"/>
    <w:rsid w:val="00A53399"/>
    <w:rsid w:val="00A56D61"/>
    <w:rsid w:val="00A56D7E"/>
    <w:rsid w:val="00A6034B"/>
    <w:rsid w:val="00A6073C"/>
    <w:rsid w:val="00A60E8F"/>
    <w:rsid w:val="00A64D6A"/>
    <w:rsid w:val="00A66DC2"/>
    <w:rsid w:val="00A672AB"/>
    <w:rsid w:val="00A71762"/>
    <w:rsid w:val="00A74448"/>
    <w:rsid w:val="00A77683"/>
    <w:rsid w:val="00A80F07"/>
    <w:rsid w:val="00A82F04"/>
    <w:rsid w:val="00A86E97"/>
    <w:rsid w:val="00A87649"/>
    <w:rsid w:val="00A87A0C"/>
    <w:rsid w:val="00A91616"/>
    <w:rsid w:val="00A92738"/>
    <w:rsid w:val="00A9350E"/>
    <w:rsid w:val="00A939D6"/>
    <w:rsid w:val="00A95EB7"/>
    <w:rsid w:val="00AA1C82"/>
    <w:rsid w:val="00AA1F25"/>
    <w:rsid w:val="00AA1F58"/>
    <w:rsid w:val="00AA21C7"/>
    <w:rsid w:val="00AA4303"/>
    <w:rsid w:val="00AA71E4"/>
    <w:rsid w:val="00AB0B3F"/>
    <w:rsid w:val="00AB1801"/>
    <w:rsid w:val="00AB2EDC"/>
    <w:rsid w:val="00AB36C7"/>
    <w:rsid w:val="00AB51FE"/>
    <w:rsid w:val="00AB6CAC"/>
    <w:rsid w:val="00AC0800"/>
    <w:rsid w:val="00AC1AEA"/>
    <w:rsid w:val="00AC4265"/>
    <w:rsid w:val="00AD0CF6"/>
    <w:rsid w:val="00AD13C9"/>
    <w:rsid w:val="00AE15D2"/>
    <w:rsid w:val="00AF005E"/>
    <w:rsid w:val="00AF0957"/>
    <w:rsid w:val="00AF2E9B"/>
    <w:rsid w:val="00AF2FED"/>
    <w:rsid w:val="00AF492E"/>
    <w:rsid w:val="00B0081A"/>
    <w:rsid w:val="00B04238"/>
    <w:rsid w:val="00B04ACE"/>
    <w:rsid w:val="00B05539"/>
    <w:rsid w:val="00B07830"/>
    <w:rsid w:val="00B1073F"/>
    <w:rsid w:val="00B12CB8"/>
    <w:rsid w:val="00B130A4"/>
    <w:rsid w:val="00B1367D"/>
    <w:rsid w:val="00B15F31"/>
    <w:rsid w:val="00B207B4"/>
    <w:rsid w:val="00B20A6E"/>
    <w:rsid w:val="00B2172D"/>
    <w:rsid w:val="00B227DB"/>
    <w:rsid w:val="00B23522"/>
    <w:rsid w:val="00B23B8C"/>
    <w:rsid w:val="00B25438"/>
    <w:rsid w:val="00B257CB"/>
    <w:rsid w:val="00B27766"/>
    <w:rsid w:val="00B305ED"/>
    <w:rsid w:val="00B30C20"/>
    <w:rsid w:val="00B352A3"/>
    <w:rsid w:val="00B36AAE"/>
    <w:rsid w:val="00B401E3"/>
    <w:rsid w:val="00B41328"/>
    <w:rsid w:val="00B42B99"/>
    <w:rsid w:val="00B4480C"/>
    <w:rsid w:val="00B4580E"/>
    <w:rsid w:val="00B46AE0"/>
    <w:rsid w:val="00B47B2B"/>
    <w:rsid w:val="00B51B07"/>
    <w:rsid w:val="00B5275F"/>
    <w:rsid w:val="00B53FCE"/>
    <w:rsid w:val="00B54BA5"/>
    <w:rsid w:val="00B56D2A"/>
    <w:rsid w:val="00B60E1B"/>
    <w:rsid w:val="00B638CE"/>
    <w:rsid w:val="00B66FA3"/>
    <w:rsid w:val="00B7399B"/>
    <w:rsid w:val="00B7437A"/>
    <w:rsid w:val="00B74A14"/>
    <w:rsid w:val="00B76C51"/>
    <w:rsid w:val="00B803E2"/>
    <w:rsid w:val="00B82158"/>
    <w:rsid w:val="00B82CE1"/>
    <w:rsid w:val="00B85B0C"/>
    <w:rsid w:val="00B86A5A"/>
    <w:rsid w:val="00B86F2A"/>
    <w:rsid w:val="00B94005"/>
    <w:rsid w:val="00B9453C"/>
    <w:rsid w:val="00B949ED"/>
    <w:rsid w:val="00B9518A"/>
    <w:rsid w:val="00B9552C"/>
    <w:rsid w:val="00B96662"/>
    <w:rsid w:val="00B96F5C"/>
    <w:rsid w:val="00BA0B9C"/>
    <w:rsid w:val="00BA0BCF"/>
    <w:rsid w:val="00BA3489"/>
    <w:rsid w:val="00BA45D8"/>
    <w:rsid w:val="00BA46BE"/>
    <w:rsid w:val="00BA4E74"/>
    <w:rsid w:val="00BA5AD1"/>
    <w:rsid w:val="00BA5DB7"/>
    <w:rsid w:val="00BB0207"/>
    <w:rsid w:val="00BB11A1"/>
    <w:rsid w:val="00BB176B"/>
    <w:rsid w:val="00BB23F6"/>
    <w:rsid w:val="00BB2BB9"/>
    <w:rsid w:val="00BB4DFB"/>
    <w:rsid w:val="00BB54A4"/>
    <w:rsid w:val="00BB5693"/>
    <w:rsid w:val="00BB7408"/>
    <w:rsid w:val="00BB749E"/>
    <w:rsid w:val="00BC096F"/>
    <w:rsid w:val="00BC0C04"/>
    <w:rsid w:val="00BC23D3"/>
    <w:rsid w:val="00BC3D6E"/>
    <w:rsid w:val="00BC46CD"/>
    <w:rsid w:val="00BC6CF7"/>
    <w:rsid w:val="00BC723F"/>
    <w:rsid w:val="00BC73A2"/>
    <w:rsid w:val="00BD4266"/>
    <w:rsid w:val="00BD605F"/>
    <w:rsid w:val="00BD77AF"/>
    <w:rsid w:val="00BE15D6"/>
    <w:rsid w:val="00BE23E4"/>
    <w:rsid w:val="00BE2FB6"/>
    <w:rsid w:val="00BE4FAE"/>
    <w:rsid w:val="00BE58DF"/>
    <w:rsid w:val="00BF01C1"/>
    <w:rsid w:val="00BF1262"/>
    <w:rsid w:val="00BF1F70"/>
    <w:rsid w:val="00BF24AB"/>
    <w:rsid w:val="00BF298E"/>
    <w:rsid w:val="00BF2F0C"/>
    <w:rsid w:val="00BF3CB3"/>
    <w:rsid w:val="00BF51A2"/>
    <w:rsid w:val="00BF650F"/>
    <w:rsid w:val="00BF778F"/>
    <w:rsid w:val="00C014A1"/>
    <w:rsid w:val="00C01DF6"/>
    <w:rsid w:val="00C02CEF"/>
    <w:rsid w:val="00C03B99"/>
    <w:rsid w:val="00C049F1"/>
    <w:rsid w:val="00C052AB"/>
    <w:rsid w:val="00C06846"/>
    <w:rsid w:val="00C06D11"/>
    <w:rsid w:val="00C07350"/>
    <w:rsid w:val="00C10356"/>
    <w:rsid w:val="00C10CDC"/>
    <w:rsid w:val="00C11295"/>
    <w:rsid w:val="00C13F6E"/>
    <w:rsid w:val="00C15036"/>
    <w:rsid w:val="00C20A86"/>
    <w:rsid w:val="00C20AC3"/>
    <w:rsid w:val="00C23272"/>
    <w:rsid w:val="00C24F1C"/>
    <w:rsid w:val="00C259CE"/>
    <w:rsid w:val="00C25A13"/>
    <w:rsid w:val="00C25ABE"/>
    <w:rsid w:val="00C26966"/>
    <w:rsid w:val="00C26D40"/>
    <w:rsid w:val="00C279B1"/>
    <w:rsid w:val="00C327EC"/>
    <w:rsid w:val="00C32F4A"/>
    <w:rsid w:val="00C33CF5"/>
    <w:rsid w:val="00C36564"/>
    <w:rsid w:val="00C37201"/>
    <w:rsid w:val="00C376C4"/>
    <w:rsid w:val="00C37726"/>
    <w:rsid w:val="00C37E5F"/>
    <w:rsid w:val="00C40966"/>
    <w:rsid w:val="00C4265A"/>
    <w:rsid w:val="00C45910"/>
    <w:rsid w:val="00C51802"/>
    <w:rsid w:val="00C54997"/>
    <w:rsid w:val="00C55E66"/>
    <w:rsid w:val="00C5627C"/>
    <w:rsid w:val="00C56995"/>
    <w:rsid w:val="00C651F2"/>
    <w:rsid w:val="00C66A14"/>
    <w:rsid w:val="00C66CC1"/>
    <w:rsid w:val="00C70B6D"/>
    <w:rsid w:val="00C70C2E"/>
    <w:rsid w:val="00C7107F"/>
    <w:rsid w:val="00C75DAF"/>
    <w:rsid w:val="00C76166"/>
    <w:rsid w:val="00C775BA"/>
    <w:rsid w:val="00C77F1A"/>
    <w:rsid w:val="00C80A1A"/>
    <w:rsid w:val="00C82E73"/>
    <w:rsid w:val="00C84633"/>
    <w:rsid w:val="00C849ED"/>
    <w:rsid w:val="00C8539B"/>
    <w:rsid w:val="00C85F73"/>
    <w:rsid w:val="00C86AD1"/>
    <w:rsid w:val="00C9012B"/>
    <w:rsid w:val="00C94A3E"/>
    <w:rsid w:val="00C950DE"/>
    <w:rsid w:val="00CA3AD7"/>
    <w:rsid w:val="00CA3AEC"/>
    <w:rsid w:val="00CA5960"/>
    <w:rsid w:val="00CA6573"/>
    <w:rsid w:val="00CB1B8B"/>
    <w:rsid w:val="00CB2301"/>
    <w:rsid w:val="00CB4A00"/>
    <w:rsid w:val="00CB61B2"/>
    <w:rsid w:val="00CB65B7"/>
    <w:rsid w:val="00CB704C"/>
    <w:rsid w:val="00CB7B12"/>
    <w:rsid w:val="00CC04B1"/>
    <w:rsid w:val="00CC0A89"/>
    <w:rsid w:val="00CC1C2E"/>
    <w:rsid w:val="00CC243B"/>
    <w:rsid w:val="00CC2A0F"/>
    <w:rsid w:val="00CC2CDF"/>
    <w:rsid w:val="00CD04D0"/>
    <w:rsid w:val="00CD068D"/>
    <w:rsid w:val="00CD0A46"/>
    <w:rsid w:val="00CD2B1F"/>
    <w:rsid w:val="00CD41B5"/>
    <w:rsid w:val="00CD473C"/>
    <w:rsid w:val="00CD6708"/>
    <w:rsid w:val="00CD6CF2"/>
    <w:rsid w:val="00CE12AF"/>
    <w:rsid w:val="00CE39B1"/>
    <w:rsid w:val="00CE597A"/>
    <w:rsid w:val="00CF4503"/>
    <w:rsid w:val="00CF5B6F"/>
    <w:rsid w:val="00CF6575"/>
    <w:rsid w:val="00CF7CFF"/>
    <w:rsid w:val="00CF7FF6"/>
    <w:rsid w:val="00D00A03"/>
    <w:rsid w:val="00D03068"/>
    <w:rsid w:val="00D037C3"/>
    <w:rsid w:val="00D05297"/>
    <w:rsid w:val="00D05EC1"/>
    <w:rsid w:val="00D06766"/>
    <w:rsid w:val="00D070F9"/>
    <w:rsid w:val="00D0726B"/>
    <w:rsid w:val="00D1312B"/>
    <w:rsid w:val="00D133A3"/>
    <w:rsid w:val="00D13951"/>
    <w:rsid w:val="00D139BF"/>
    <w:rsid w:val="00D15E51"/>
    <w:rsid w:val="00D1637F"/>
    <w:rsid w:val="00D21A23"/>
    <w:rsid w:val="00D22348"/>
    <w:rsid w:val="00D22D37"/>
    <w:rsid w:val="00D236A9"/>
    <w:rsid w:val="00D2430E"/>
    <w:rsid w:val="00D24396"/>
    <w:rsid w:val="00D26286"/>
    <w:rsid w:val="00D26B4D"/>
    <w:rsid w:val="00D2715F"/>
    <w:rsid w:val="00D32CC3"/>
    <w:rsid w:val="00D3634B"/>
    <w:rsid w:val="00D37007"/>
    <w:rsid w:val="00D375E2"/>
    <w:rsid w:val="00D37CAC"/>
    <w:rsid w:val="00D41A46"/>
    <w:rsid w:val="00D428EE"/>
    <w:rsid w:val="00D42F19"/>
    <w:rsid w:val="00D44466"/>
    <w:rsid w:val="00D44D7A"/>
    <w:rsid w:val="00D45C8C"/>
    <w:rsid w:val="00D46CA0"/>
    <w:rsid w:val="00D47F4D"/>
    <w:rsid w:val="00D50AE4"/>
    <w:rsid w:val="00D51A5E"/>
    <w:rsid w:val="00D53A94"/>
    <w:rsid w:val="00D542EF"/>
    <w:rsid w:val="00D54345"/>
    <w:rsid w:val="00D544E3"/>
    <w:rsid w:val="00D61A46"/>
    <w:rsid w:val="00D62EB7"/>
    <w:rsid w:val="00D64651"/>
    <w:rsid w:val="00D64C1E"/>
    <w:rsid w:val="00D65E1E"/>
    <w:rsid w:val="00D6658E"/>
    <w:rsid w:val="00D667D3"/>
    <w:rsid w:val="00D66A1E"/>
    <w:rsid w:val="00D66E44"/>
    <w:rsid w:val="00D70A28"/>
    <w:rsid w:val="00D718F7"/>
    <w:rsid w:val="00D71F65"/>
    <w:rsid w:val="00D725B1"/>
    <w:rsid w:val="00D72FF9"/>
    <w:rsid w:val="00D760DB"/>
    <w:rsid w:val="00D7718E"/>
    <w:rsid w:val="00D80045"/>
    <w:rsid w:val="00D81D41"/>
    <w:rsid w:val="00D83A20"/>
    <w:rsid w:val="00D848D0"/>
    <w:rsid w:val="00D86DDE"/>
    <w:rsid w:val="00D874C2"/>
    <w:rsid w:val="00D87D7F"/>
    <w:rsid w:val="00D916AA"/>
    <w:rsid w:val="00D91A00"/>
    <w:rsid w:val="00D94E58"/>
    <w:rsid w:val="00D96A04"/>
    <w:rsid w:val="00D97986"/>
    <w:rsid w:val="00D97C88"/>
    <w:rsid w:val="00DA3C70"/>
    <w:rsid w:val="00DA46DB"/>
    <w:rsid w:val="00DA637B"/>
    <w:rsid w:val="00DA63E1"/>
    <w:rsid w:val="00DA6880"/>
    <w:rsid w:val="00DB2E37"/>
    <w:rsid w:val="00DB2F9E"/>
    <w:rsid w:val="00DC0B54"/>
    <w:rsid w:val="00DC29E1"/>
    <w:rsid w:val="00DC32AC"/>
    <w:rsid w:val="00DC59C3"/>
    <w:rsid w:val="00DD0A9A"/>
    <w:rsid w:val="00DD4AD1"/>
    <w:rsid w:val="00DD5A37"/>
    <w:rsid w:val="00DE0CC1"/>
    <w:rsid w:val="00DE16D7"/>
    <w:rsid w:val="00DE2347"/>
    <w:rsid w:val="00DE3571"/>
    <w:rsid w:val="00DE4C8A"/>
    <w:rsid w:val="00DE7C48"/>
    <w:rsid w:val="00E00ACD"/>
    <w:rsid w:val="00E02339"/>
    <w:rsid w:val="00E1258E"/>
    <w:rsid w:val="00E13042"/>
    <w:rsid w:val="00E21ACE"/>
    <w:rsid w:val="00E23D38"/>
    <w:rsid w:val="00E277DA"/>
    <w:rsid w:val="00E31FC5"/>
    <w:rsid w:val="00E33E87"/>
    <w:rsid w:val="00E37B78"/>
    <w:rsid w:val="00E41207"/>
    <w:rsid w:val="00E43086"/>
    <w:rsid w:val="00E45FD2"/>
    <w:rsid w:val="00E4640D"/>
    <w:rsid w:val="00E47FE9"/>
    <w:rsid w:val="00E53358"/>
    <w:rsid w:val="00E54A24"/>
    <w:rsid w:val="00E57A66"/>
    <w:rsid w:val="00E62218"/>
    <w:rsid w:val="00E6227D"/>
    <w:rsid w:val="00E627B7"/>
    <w:rsid w:val="00E64412"/>
    <w:rsid w:val="00E65104"/>
    <w:rsid w:val="00E65F7D"/>
    <w:rsid w:val="00E6778B"/>
    <w:rsid w:val="00E708C4"/>
    <w:rsid w:val="00E70AC9"/>
    <w:rsid w:val="00E72B6F"/>
    <w:rsid w:val="00E74A9A"/>
    <w:rsid w:val="00E75FE7"/>
    <w:rsid w:val="00E779E9"/>
    <w:rsid w:val="00E77D11"/>
    <w:rsid w:val="00E81056"/>
    <w:rsid w:val="00E8678A"/>
    <w:rsid w:val="00E87231"/>
    <w:rsid w:val="00E87692"/>
    <w:rsid w:val="00E91648"/>
    <w:rsid w:val="00E91D7E"/>
    <w:rsid w:val="00E96229"/>
    <w:rsid w:val="00EA0A27"/>
    <w:rsid w:val="00EA13AB"/>
    <w:rsid w:val="00EA2AAE"/>
    <w:rsid w:val="00EA3901"/>
    <w:rsid w:val="00EA654F"/>
    <w:rsid w:val="00EA67F6"/>
    <w:rsid w:val="00EB2245"/>
    <w:rsid w:val="00EB36F9"/>
    <w:rsid w:val="00EB3CA1"/>
    <w:rsid w:val="00EB7B4F"/>
    <w:rsid w:val="00EC1A7B"/>
    <w:rsid w:val="00EC428C"/>
    <w:rsid w:val="00EC433D"/>
    <w:rsid w:val="00EC5AD5"/>
    <w:rsid w:val="00ED0E1E"/>
    <w:rsid w:val="00ED14F3"/>
    <w:rsid w:val="00ED40A4"/>
    <w:rsid w:val="00ED66E2"/>
    <w:rsid w:val="00ED7810"/>
    <w:rsid w:val="00EE4638"/>
    <w:rsid w:val="00EE5659"/>
    <w:rsid w:val="00EF55BB"/>
    <w:rsid w:val="00F019A3"/>
    <w:rsid w:val="00F03E6C"/>
    <w:rsid w:val="00F0476E"/>
    <w:rsid w:val="00F048C1"/>
    <w:rsid w:val="00F05485"/>
    <w:rsid w:val="00F05D89"/>
    <w:rsid w:val="00F06883"/>
    <w:rsid w:val="00F11CCE"/>
    <w:rsid w:val="00F12B85"/>
    <w:rsid w:val="00F134AF"/>
    <w:rsid w:val="00F16E72"/>
    <w:rsid w:val="00F17952"/>
    <w:rsid w:val="00F221DE"/>
    <w:rsid w:val="00F333AF"/>
    <w:rsid w:val="00F33794"/>
    <w:rsid w:val="00F341DE"/>
    <w:rsid w:val="00F360AF"/>
    <w:rsid w:val="00F36279"/>
    <w:rsid w:val="00F36F58"/>
    <w:rsid w:val="00F378A9"/>
    <w:rsid w:val="00F41036"/>
    <w:rsid w:val="00F42150"/>
    <w:rsid w:val="00F42506"/>
    <w:rsid w:val="00F43720"/>
    <w:rsid w:val="00F4492D"/>
    <w:rsid w:val="00F45BCB"/>
    <w:rsid w:val="00F524C6"/>
    <w:rsid w:val="00F536CF"/>
    <w:rsid w:val="00F541A9"/>
    <w:rsid w:val="00F54E03"/>
    <w:rsid w:val="00F55A2C"/>
    <w:rsid w:val="00F57C16"/>
    <w:rsid w:val="00F57C1E"/>
    <w:rsid w:val="00F6141D"/>
    <w:rsid w:val="00F61CC2"/>
    <w:rsid w:val="00F61D85"/>
    <w:rsid w:val="00F675BF"/>
    <w:rsid w:val="00F67DDD"/>
    <w:rsid w:val="00F70153"/>
    <w:rsid w:val="00F704BB"/>
    <w:rsid w:val="00F709E1"/>
    <w:rsid w:val="00F73E4C"/>
    <w:rsid w:val="00F80268"/>
    <w:rsid w:val="00F80485"/>
    <w:rsid w:val="00F82A58"/>
    <w:rsid w:val="00F840D0"/>
    <w:rsid w:val="00F84C80"/>
    <w:rsid w:val="00F911AD"/>
    <w:rsid w:val="00F91A09"/>
    <w:rsid w:val="00F950A7"/>
    <w:rsid w:val="00F954CA"/>
    <w:rsid w:val="00F960EE"/>
    <w:rsid w:val="00F977A4"/>
    <w:rsid w:val="00FA1976"/>
    <w:rsid w:val="00FA4E34"/>
    <w:rsid w:val="00FA5831"/>
    <w:rsid w:val="00FA588A"/>
    <w:rsid w:val="00FA6B5F"/>
    <w:rsid w:val="00FB1477"/>
    <w:rsid w:val="00FB3937"/>
    <w:rsid w:val="00FB3CE9"/>
    <w:rsid w:val="00FB44C1"/>
    <w:rsid w:val="00FB46B8"/>
    <w:rsid w:val="00FB5625"/>
    <w:rsid w:val="00FC3321"/>
    <w:rsid w:val="00FC5285"/>
    <w:rsid w:val="00FC70A9"/>
    <w:rsid w:val="00FC7597"/>
    <w:rsid w:val="00FD0CD1"/>
    <w:rsid w:val="00FD1A27"/>
    <w:rsid w:val="00FD26D9"/>
    <w:rsid w:val="00FD4754"/>
    <w:rsid w:val="00FD4E06"/>
    <w:rsid w:val="00FD717A"/>
    <w:rsid w:val="00FD7C84"/>
    <w:rsid w:val="00FE0372"/>
    <w:rsid w:val="00FE34EE"/>
    <w:rsid w:val="00FE53AC"/>
    <w:rsid w:val="00FE5EE4"/>
    <w:rsid w:val="00FE7306"/>
    <w:rsid w:val="00FE7676"/>
    <w:rsid w:val="00FF0F80"/>
    <w:rsid w:val="00FF1D68"/>
    <w:rsid w:val="00FF3622"/>
    <w:rsid w:val="00FF364E"/>
    <w:rsid w:val="00FF3BBF"/>
    <w:rsid w:val="00FF5F06"/>
    <w:rsid w:val="00FF69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BD895"/>
  <w15:docId w15:val="{DBCDD044-3FAF-493B-B080-85304E27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9E9"/>
    <w:pPr>
      <w:spacing w:after="0" w:line="240" w:lineRule="auto"/>
    </w:pPr>
    <w:rPr>
      <w:rFonts w:ascii="Calibri" w:eastAsia="Times New Roman" w:hAnsi="Calibri" w:cs="Times New Roman"/>
      <w:sz w:val="24"/>
      <w:szCs w:val="24"/>
      <w:lang w:eastAsia="it-IT"/>
    </w:rPr>
  </w:style>
  <w:style w:type="paragraph" w:styleId="Titolo1">
    <w:name w:val="heading 1"/>
    <w:basedOn w:val="Normale"/>
    <w:next w:val="Normale"/>
    <w:link w:val="Titolo1Carattere"/>
    <w:uiPriority w:val="9"/>
    <w:qFormat/>
    <w:rsid w:val="00E779E9"/>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iPriority w:val="9"/>
    <w:qFormat/>
    <w:rsid w:val="00E779E9"/>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qFormat/>
    <w:rsid w:val="00E779E9"/>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79E9"/>
    <w:rPr>
      <w:rFonts w:ascii="Cambria" w:eastAsia="Times New Roman" w:hAnsi="Cambria" w:cs="Times New Roman"/>
      <w:b/>
      <w:bCs/>
      <w:color w:val="365F91"/>
      <w:sz w:val="28"/>
      <w:szCs w:val="28"/>
      <w:lang w:eastAsia="it-IT"/>
    </w:rPr>
  </w:style>
  <w:style w:type="character" w:customStyle="1" w:styleId="Titolo2Carattere">
    <w:name w:val="Titolo 2 Carattere"/>
    <w:basedOn w:val="Carpredefinitoparagrafo"/>
    <w:link w:val="Titolo2"/>
    <w:uiPriority w:val="9"/>
    <w:rsid w:val="00E779E9"/>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E779E9"/>
    <w:rPr>
      <w:rFonts w:ascii="Cambria" w:eastAsia="Times New Roman" w:hAnsi="Cambria" w:cs="Times New Roman"/>
      <w:b/>
      <w:bCs/>
      <w:color w:val="4F81BD"/>
      <w:sz w:val="24"/>
      <w:szCs w:val="24"/>
      <w:lang w:eastAsia="it-IT"/>
    </w:rPr>
  </w:style>
  <w:style w:type="paragraph" w:styleId="Titolo">
    <w:name w:val="Title"/>
    <w:basedOn w:val="Normale"/>
    <w:next w:val="Normale"/>
    <w:link w:val="TitoloCarattere"/>
    <w:uiPriority w:val="10"/>
    <w:qFormat/>
    <w:rsid w:val="00E779E9"/>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basedOn w:val="Carpredefinitoparagrafo"/>
    <w:link w:val="Titolo"/>
    <w:uiPriority w:val="10"/>
    <w:rsid w:val="00E779E9"/>
    <w:rPr>
      <w:rFonts w:ascii="Cambria" w:eastAsia="Times New Roman" w:hAnsi="Cambria" w:cs="Times New Roman"/>
      <w:color w:val="17365D"/>
      <w:spacing w:val="5"/>
      <w:kern w:val="28"/>
      <w:sz w:val="52"/>
      <w:szCs w:val="52"/>
      <w:lang w:eastAsia="it-IT"/>
    </w:rPr>
  </w:style>
  <w:style w:type="paragraph" w:styleId="Testonotaapidipagina">
    <w:name w:val="footnote text"/>
    <w:basedOn w:val="Normale"/>
    <w:link w:val="TestonotaapidipaginaCarattere"/>
    <w:unhideWhenUsed/>
    <w:rsid w:val="00E779E9"/>
    <w:rPr>
      <w:sz w:val="20"/>
      <w:szCs w:val="20"/>
    </w:rPr>
  </w:style>
  <w:style w:type="character" w:customStyle="1" w:styleId="TestonotaapidipaginaCarattere">
    <w:name w:val="Testo nota a piè di pagina Carattere"/>
    <w:basedOn w:val="Carpredefinitoparagrafo"/>
    <w:link w:val="Testonotaapidipagina"/>
    <w:rsid w:val="00E779E9"/>
    <w:rPr>
      <w:rFonts w:ascii="Calibri" w:eastAsia="Times New Roman" w:hAnsi="Calibri" w:cs="Times New Roman"/>
      <w:sz w:val="20"/>
      <w:szCs w:val="20"/>
      <w:lang w:eastAsia="it-IT"/>
    </w:rPr>
  </w:style>
  <w:style w:type="character" w:styleId="Rimandonotaapidipagina">
    <w:name w:val="footnote reference"/>
    <w:unhideWhenUsed/>
    <w:rsid w:val="00E779E9"/>
    <w:rPr>
      <w:vertAlign w:val="superscript"/>
    </w:rPr>
  </w:style>
  <w:style w:type="character" w:customStyle="1" w:styleId="Elencomedio2-Colore4Carattere">
    <w:name w:val="Elenco medio 2 - Colore 4 Carattere"/>
    <w:link w:val="Elencochiaro-Colore5"/>
    <w:uiPriority w:val="34"/>
    <w:rsid w:val="00E779E9"/>
  </w:style>
  <w:style w:type="table" w:styleId="Elencochiaro-Colore5">
    <w:name w:val="Light List Accent 5"/>
    <w:basedOn w:val="Tabellanormale"/>
    <w:link w:val="Elencomedio2-Colore4Carattere"/>
    <w:uiPriority w:val="34"/>
    <w:rsid w:val="00E779E9"/>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VariabileHTML">
    <w:name w:val="HTML Variable"/>
    <w:rsid w:val="00E779E9"/>
    <w:rPr>
      <w:i/>
      <w:iCs/>
    </w:rPr>
  </w:style>
  <w:style w:type="paragraph" w:customStyle="1" w:styleId="Elencoacolori-Colore11">
    <w:name w:val="Elenco a colori - Colore 11"/>
    <w:basedOn w:val="Normale"/>
    <w:uiPriority w:val="34"/>
    <w:qFormat/>
    <w:rsid w:val="00E779E9"/>
    <w:pPr>
      <w:ind w:left="720"/>
      <w:contextualSpacing/>
    </w:pPr>
  </w:style>
  <w:style w:type="paragraph" w:styleId="Testofumetto">
    <w:name w:val="Balloon Text"/>
    <w:basedOn w:val="Normale"/>
    <w:link w:val="TestofumettoCarattere"/>
    <w:uiPriority w:val="99"/>
    <w:semiHidden/>
    <w:unhideWhenUsed/>
    <w:rsid w:val="00E779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9E9"/>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E779E9"/>
    <w:rPr>
      <w:color w:val="808080"/>
    </w:rPr>
  </w:style>
  <w:style w:type="character" w:styleId="Rimandocommento">
    <w:name w:val="annotation reference"/>
    <w:basedOn w:val="Carpredefinitoparagrafo"/>
    <w:uiPriority w:val="99"/>
    <w:semiHidden/>
    <w:unhideWhenUsed/>
    <w:rsid w:val="00E779E9"/>
    <w:rPr>
      <w:sz w:val="18"/>
      <w:szCs w:val="18"/>
    </w:rPr>
  </w:style>
  <w:style w:type="paragraph" w:styleId="Testocommento">
    <w:name w:val="annotation text"/>
    <w:basedOn w:val="Normale"/>
    <w:link w:val="TestocommentoCarattere"/>
    <w:uiPriority w:val="99"/>
    <w:semiHidden/>
    <w:unhideWhenUsed/>
    <w:rsid w:val="00E779E9"/>
  </w:style>
  <w:style w:type="character" w:customStyle="1" w:styleId="TestocommentoCarattere">
    <w:name w:val="Testo commento Carattere"/>
    <w:basedOn w:val="Carpredefinitoparagrafo"/>
    <w:link w:val="Testocommento"/>
    <w:uiPriority w:val="99"/>
    <w:semiHidden/>
    <w:rsid w:val="00E779E9"/>
    <w:rPr>
      <w:rFonts w:ascii="Calibri" w:eastAsia="Times New Roman" w:hAnsi="Calibri"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E779E9"/>
    <w:rPr>
      <w:b/>
      <w:bCs/>
      <w:sz w:val="20"/>
      <w:szCs w:val="20"/>
    </w:rPr>
  </w:style>
  <w:style w:type="character" w:customStyle="1" w:styleId="SoggettocommentoCarattere">
    <w:name w:val="Soggetto commento Carattere"/>
    <w:basedOn w:val="TestocommentoCarattere"/>
    <w:link w:val="Soggettocommento"/>
    <w:uiPriority w:val="99"/>
    <w:semiHidden/>
    <w:rsid w:val="00E779E9"/>
    <w:rPr>
      <w:rFonts w:ascii="Calibri" w:eastAsia="Times New Roman" w:hAnsi="Calibri" w:cs="Times New Roman"/>
      <w:b/>
      <w:bCs/>
      <w:sz w:val="20"/>
      <w:szCs w:val="20"/>
      <w:lang w:eastAsia="it-IT"/>
    </w:rPr>
  </w:style>
  <w:style w:type="paragraph" w:styleId="Paragrafoelenco">
    <w:name w:val="List Paragraph"/>
    <w:basedOn w:val="Normale"/>
    <w:uiPriority w:val="34"/>
    <w:qFormat/>
    <w:rsid w:val="00E779E9"/>
    <w:pPr>
      <w:ind w:left="720"/>
      <w:contextualSpacing/>
    </w:pPr>
  </w:style>
  <w:style w:type="character" w:styleId="Enfasicorsivo">
    <w:name w:val="Emphasis"/>
    <w:basedOn w:val="Carpredefinitoparagrafo"/>
    <w:uiPriority w:val="20"/>
    <w:qFormat/>
    <w:rsid w:val="00E779E9"/>
    <w:rPr>
      <w:i/>
      <w:iCs/>
    </w:rPr>
  </w:style>
  <w:style w:type="paragraph" w:styleId="Pidipagina">
    <w:name w:val="footer"/>
    <w:basedOn w:val="Normale"/>
    <w:link w:val="PidipaginaCarattere"/>
    <w:uiPriority w:val="99"/>
    <w:unhideWhenUsed/>
    <w:rsid w:val="00E779E9"/>
    <w:pPr>
      <w:tabs>
        <w:tab w:val="center" w:pos="4819"/>
        <w:tab w:val="right" w:pos="9638"/>
      </w:tabs>
    </w:pPr>
  </w:style>
  <w:style w:type="character" w:customStyle="1" w:styleId="PidipaginaCarattere">
    <w:name w:val="Piè di pagina Carattere"/>
    <w:basedOn w:val="Carpredefinitoparagrafo"/>
    <w:link w:val="Pidipagina"/>
    <w:uiPriority w:val="99"/>
    <w:rsid w:val="00E779E9"/>
    <w:rPr>
      <w:rFonts w:ascii="Calibri" w:eastAsia="Times New Roman" w:hAnsi="Calibri" w:cs="Times New Roman"/>
      <w:sz w:val="24"/>
      <w:szCs w:val="24"/>
      <w:lang w:eastAsia="it-IT"/>
    </w:rPr>
  </w:style>
  <w:style w:type="character" w:styleId="Numeropagina">
    <w:name w:val="page number"/>
    <w:basedOn w:val="Carpredefinitoparagrafo"/>
    <w:uiPriority w:val="99"/>
    <w:semiHidden/>
    <w:unhideWhenUsed/>
    <w:rsid w:val="00E779E9"/>
  </w:style>
  <w:style w:type="paragraph" w:styleId="Revisione">
    <w:name w:val="Revision"/>
    <w:hidden/>
    <w:uiPriority w:val="99"/>
    <w:semiHidden/>
    <w:rsid w:val="00077BE9"/>
    <w:pPr>
      <w:spacing w:after="0" w:line="240" w:lineRule="auto"/>
    </w:pPr>
    <w:rPr>
      <w:rFonts w:ascii="Calibri" w:eastAsia="Times New Roman" w:hAnsi="Calibri" w:cs="Times New Roman"/>
      <w:sz w:val="24"/>
      <w:szCs w:val="24"/>
      <w:lang w:eastAsia="it-IT"/>
    </w:rPr>
  </w:style>
  <w:style w:type="character" w:styleId="Collegamentoipertestuale">
    <w:name w:val="Hyperlink"/>
    <w:basedOn w:val="Carpredefinitoparagrafo"/>
    <w:uiPriority w:val="99"/>
    <w:unhideWhenUsed/>
    <w:rsid w:val="00CC243B"/>
    <w:rPr>
      <w:color w:val="0000FF" w:themeColor="hyperlink"/>
      <w:u w:val="single"/>
    </w:rPr>
  </w:style>
  <w:style w:type="paragraph" w:styleId="NormaleWeb">
    <w:name w:val="Normal (Web)"/>
    <w:basedOn w:val="Normale"/>
    <w:uiPriority w:val="99"/>
    <w:unhideWhenUsed/>
    <w:rsid w:val="00716BEE"/>
    <w:pPr>
      <w:spacing w:before="100" w:beforeAutospacing="1" w:after="100" w:afterAutospacing="1"/>
    </w:pPr>
    <w:rPr>
      <w:rFonts w:ascii="Times" w:eastAsiaTheme="minorHAnsi" w:hAnsi="Times"/>
      <w:sz w:val="20"/>
      <w:szCs w:val="20"/>
    </w:rPr>
  </w:style>
  <w:style w:type="paragraph" w:styleId="Intestazione">
    <w:name w:val="header"/>
    <w:basedOn w:val="Normale"/>
    <w:link w:val="IntestazioneCarattere"/>
    <w:uiPriority w:val="99"/>
    <w:unhideWhenUsed/>
    <w:rsid w:val="00C376C4"/>
    <w:pPr>
      <w:tabs>
        <w:tab w:val="center" w:pos="4819"/>
        <w:tab w:val="right" w:pos="9638"/>
      </w:tabs>
    </w:pPr>
  </w:style>
  <w:style w:type="character" w:customStyle="1" w:styleId="IntestazioneCarattere">
    <w:name w:val="Intestazione Carattere"/>
    <w:basedOn w:val="Carpredefinitoparagrafo"/>
    <w:link w:val="Intestazione"/>
    <w:uiPriority w:val="99"/>
    <w:rsid w:val="00C376C4"/>
    <w:rPr>
      <w:rFonts w:ascii="Calibri" w:eastAsia="Times New Roman" w:hAnsi="Calibri"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767">
      <w:bodyDiv w:val="1"/>
      <w:marLeft w:val="0"/>
      <w:marRight w:val="0"/>
      <w:marTop w:val="0"/>
      <w:marBottom w:val="0"/>
      <w:divBdr>
        <w:top w:val="none" w:sz="0" w:space="0" w:color="auto"/>
        <w:left w:val="none" w:sz="0" w:space="0" w:color="auto"/>
        <w:bottom w:val="none" w:sz="0" w:space="0" w:color="auto"/>
        <w:right w:val="none" w:sz="0" w:space="0" w:color="auto"/>
      </w:divBdr>
    </w:div>
    <w:div w:id="56249176">
      <w:bodyDiv w:val="1"/>
      <w:marLeft w:val="0"/>
      <w:marRight w:val="0"/>
      <w:marTop w:val="0"/>
      <w:marBottom w:val="0"/>
      <w:divBdr>
        <w:top w:val="none" w:sz="0" w:space="0" w:color="auto"/>
        <w:left w:val="none" w:sz="0" w:space="0" w:color="auto"/>
        <w:bottom w:val="none" w:sz="0" w:space="0" w:color="auto"/>
        <w:right w:val="none" w:sz="0" w:space="0" w:color="auto"/>
      </w:divBdr>
    </w:div>
    <w:div w:id="58987171">
      <w:bodyDiv w:val="1"/>
      <w:marLeft w:val="0"/>
      <w:marRight w:val="0"/>
      <w:marTop w:val="0"/>
      <w:marBottom w:val="0"/>
      <w:divBdr>
        <w:top w:val="none" w:sz="0" w:space="0" w:color="auto"/>
        <w:left w:val="none" w:sz="0" w:space="0" w:color="auto"/>
        <w:bottom w:val="none" w:sz="0" w:space="0" w:color="auto"/>
        <w:right w:val="none" w:sz="0" w:space="0" w:color="auto"/>
      </w:divBdr>
    </w:div>
    <w:div w:id="68624525">
      <w:bodyDiv w:val="1"/>
      <w:marLeft w:val="0"/>
      <w:marRight w:val="0"/>
      <w:marTop w:val="0"/>
      <w:marBottom w:val="0"/>
      <w:divBdr>
        <w:top w:val="none" w:sz="0" w:space="0" w:color="auto"/>
        <w:left w:val="none" w:sz="0" w:space="0" w:color="auto"/>
        <w:bottom w:val="none" w:sz="0" w:space="0" w:color="auto"/>
        <w:right w:val="none" w:sz="0" w:space="0" w:color="auto"/>
      </w:divBdr>
    </w:div>
    <w:div w:id="94905200">
      <w:bodyDiv w:val="1"/>
      <w:marLeft w:val="0"/>
      <w:marRight w:val="0"/>
      <w:marTop w:val="0"/>
      <w:marBottom w:val="0"/>
      <w:divBdr>
        <w:top w:val="none" w:sz="0" w:space="0" w:color="auto"/>
        <w:left w:val="none" w:sz="0" w:space="0" w:color="auto"/>
        <w:bottom w:val="none" w:sz="0" w:space="0" w:color="auto"/>
        <w:right w:val="none" w:sz="0" w:space="0" w:color="auto"/>
      </w:divBdr>
    </w:div>
    <w:div w:id="175006040">
      <w:bodyDiv w:val="1"/>
      <w:marLeft w:val="0"/>
      <w:marRight w:val="0"/>
      <w:marTop w:val="0"/>
      <w:marBottom w:val="0"/>
      <w:divBdr>
        <w:top w:val="none" w:sz="0" w:space="0" w:color="auto"/>
        <w:left w:val="none" w:sz="0" w:space="0" w:color="auto"/>
        <w:bottom w:val="none" w:sz="0" w:space="0" w:color="auto"/>
        <w:right w:val="none" w:sz="0" w:space="0" w:color="auto"/>
      </w:divBdr>
    </w:div>
    <w:div w:id="215162803">
      <w:bodyDiv w:val="1"/>
      <w:marLeft w:val="0"/>
      <w:marRight w:val="0"/>
      <w:marTop w:val="0"/>
      <w:marBottom w:val="0"/>
      <w:divBdr>
        <w:top w:val="none" w:sz="0" w:space="0" w:color="auto"/>
        <w:left w:val="none" w:sz="0" w:space="0" w:color="auto"/>
        <w:bottom w:val="none" w:sz="0" w:space="0" w:color="auto"/>
        <w:right w:val="none" w:sz="0" w:space="0" w:color="auto"/>
      </w:divBdr>
    </w:div>
    <w:div w:id="249235899">
      <w:bodyDiv w:val="1"/>
      <w:marLeft w:val="0"/>
      <w:marRight w:val="0"/>
      <w:marTop w:val="0"/>
      <w:marBottom w:val="0"/>
      <w:divBdr>
        <w:top w:val="none" w:sz="0" w:space="0" w:color="auto"/>
        <w:left w:val="none" w:sz="0" w:space="0" w:color="auto"/>
        <w:bottom w:val="none" w:sz="0" w:space="0" w:color="auto"/>
        <w:right w:val="none" w:sz="0" w:space="0" w:color="auto"/>
      </w:divBdr>
    </w:div>
    <w:div w:id="261912152">
      <w:bodyDiv w:val="1"/>
      <w:marLeft w:val="0"/>
      <w:marRight w:val="0"/>
      <w:marTop w:val="0"/>
      <w:marBottom w:val="0"/>
      <w:divBdr>
        <w:top w:val="none" w:sz="0" w:space="0" w:color="auto"/>
        <w:left w:val="none" w:sz="0" w:space="0" w:color="auto"/>
        <w:bottom w:val="none" w:sz="0" w:space="0" w:color="auto"/>
        <w:right w:val="none" w:sz="0" w:space="0" w:color="auto"/>
      </w:divBdr>
    </w:div>
    <w:div w:id="280376947">
      <w:bodyDiv w:val="1"/>
      <w:marLeft w:val="0"/>
      <w:marRight w:val="0"/>
      <w:marTop w:val="0"/>
      <w:marBottom w:val="0"/>
      <w:divBdr>
        <w:top w:val="none" w:sz="0" w:space="0" w:color="auto"/>
        <w:left w:val="none" w:sz="0" w:space="0" w:color="auto"/>
        <w:bottom w:val="none" w:sz="0" w:space="0" w:color="auto"/>
        <w:right w:val="none" w:sz="0" w:space="0" w:color="auto"/>
      </w:divBdr>
    </w:div>
    <w:div w:id="335883692">
      <w:bodyDiv w:val="1"/>
      <w:marLeft w:val="0"/>
      <w:marRight w:val="0"/>
      <w:marTop w:val="0"/>
      <w:marBottom w:val="0"/>
      <w:divBdr>
        <w:top w:val="none" w:sz="0" w:space="0" w:color="auto"/>
        <w:left w:val="none" w:sz="0" w:space="0" w:color="auto"/>
        <w:bottom w:val="none" w:sz="0" w:space="0" w:color="auto"/>
        <w:right w:val="none" w:sz="0" w:space="0" w:color="auto"/>
      </w:divBdr>
    </w:div>
    <w:div w:id="358312450">
      <w:bodyDiv w:val="1"/>
      <w:marLeft w:val="0"/>
      <w:marRight w:val="0"/>
      <w:marTop w:val="0"/>
      <w:marBottom w:val="0"/>
      <w:divBdr>
        <w:top w:val="none" w:sz="0" w:space="0" w:color="auto"/>
        <w:left w:val="none" w:sz="0" w:space="0" w:color="auto"/>
        <w:bottom w:val="none" w:sz="0" w:space="0" w:color="auto"/>
        <w:right w:val="none" w:sz="0" w:space="0" w:color="auto"/>
      </w:divBdr>
    </w:div>
    <w:div w:id="421075906">
      <w:bodyDiv w:val="1"/>
      <w:marLeft w:val="0"/>
      <w:marRight w:val="0"/>
      <w:marTop w:val="0"/>
      <w:marBottom w:val="0"/>
      <w:divBdr>
        <w:top w:val="none" w:sz="0" w:space="0" w:color="auto"/>
        <w:left w:val="none" w:sz="0" w:space="0" w:color="auto"/>
        <w:bottom w:val="none" w:sz="0" w:space="0" w:color="auto"/>
        <w:right w:val="none" w:sz="0" w:space="0" w:color="auto"/>
      </w:divBdr>
    </w:div>
    <w:div w:id="466238035">
      <w:bodyDiv w:val="1"/>
      <w:marLeft w:val="0"/>
      <w:marRight w:val="0"/>
      <w:marTop w:val="0"/>
      <w:marBottom w:val="0"/>
      <w:divBdr>
        <w:top w:val="none" w:sz="0" w:space="0" w:color="auto"/>
        <w:left w:val="none" w:sz="0" w:space="0" w:color="auto"/>
        <w:bottom w:val="none" w:sz="0" w:space="0" w:color="auto"/>
        <w:right w:val="none" w:sz="0" w:space="0" w:color="auto"/>
      </w:divBdr>
    </w:div>
    <w:div w:id="480271519">
      <w:bodyDiv w:val="1"/>
      <w:marLeft w:val="0"/>
      <w:marRight w:val="0"/>
      <w:marTop w:val="0"/>
      <w:marBottom w:val="0"/>
      <w:divBdr>
        <w:top w:val="none" w:sz="0" w:space="0" w:color="auto"/>
        <w:left w:val="none" w:sz="0" w:space="0" w:color="auto"/>
        <w:bottom w:val="none" w:sz="0" w:space="0" w:color="auto"/>
        <w:right w:val="none" w:sz="0" w:space="0" w:color="auto"/>
      </w:divBdr>
    </w:div>
    <w:div w:id="480343450">
      <w:bodyDiv w:val="1"/>
      <w:marLeft w:val="0"/>
      <w:marRight w:val="0"/>
      <w:marTop w:val="0"/>
      <w:marBottom w:val="0"/>
      <w:divBdr>
        <w:top w:val="none" w:sz="0" w:space="0" w:color="auto"/>
        <w:left w:val="none" w:sz="0" w:space="0" w:color="auto"/>
        <w:bottom w:val="none" w:sz="0" w:space="0" w:color="auto"/>
        <w:right w:val="none" w:sz="0" w:space="0" w:color="auto"/>
      </w:divBdr>
    </w:div>
    <w:div w:id="495194675">
      <w:bodyDiv w:val="1"/>
      <w:marLeft w:val="0"/>
      <w:marRight w:val="0"/>
      <w:marTop w:val="0"/>
      <w:marBottom w:val="0"/>
      <w:divBdr>
        <w:top w:val="none" w:sz="0" w:space="0" w:color="auto"/>
        <w:left w:val="none" w:sz="0" w:space="0" w:color="auto"/>
        <w:bottom w:val="none" w:sz="0" w:space="0" w:color="auto"/>
        <w:right w:val="none" w:sz="0" w:space="0" w:color="auto"/>
      </w:divBdr>
    </w:div>
    <w:div w:id="504173522">
      <w:bodyDiv w:val="1"/>
      <w:marLeft w:val="0"/>
      <w:marRight w:val="0"/>
      <w:marTop w:val="0"/>
      <w:marBottom w:val="0"/>
      <w:divBdr>
        <w:top w:val="none" w:sz="0" w:space="0" w:color="auto"/>
        <w:left w:val="none" w:sz="0" w:space="0" w:color="auto"/>
        <w:bottom w:val="none" w:sz="0" w:space="0" w:color="auto"/>
        <w:right w:val="none" w:sz="0" w:space="0" w:color="auto"/>
      </w:divBdr>
    </w:div>
    <w:div w:id="517042076">
      <w:bodyDiv w:val="1"/>
      <w:marLeft w:val="0"/>
      <w:marRight w:val="0"/>
      <w:marTop w:val="0"/>
      <w:marBottom w:val="0"/>
      <w:divBdr>
        <w:top w:val="none" w:sz="0" w:space="0" w:color="auto"/>
        <w:left w:val="none" w:sz="0" w:space="0" w:color="auto"/>
        <w:bottom w:val="none" w:sz="0" w:space="0" w:color="auto"/>
        <w:right w:val="none" w:sz="0" w:space="0" w:color="auto"/>
      </w:divBdr>
    </w:div>
    <w:div w:id="536893424">
      <w:bodyDiv w:val="1"/>
      <w:marLeft w:val="0"/>
      <w:marRight w:val="0"/>
      <w:marTop w:val="0"/>
      <w:marBottom w:val="0"/>
      <w:divBdr>
        <w:top w:val="none" w:sz="0" w:space="0" w:color="auto"/>
        <w:left w:val="none" w:sz="0" w:space="0" w:color="auto"/>
        <w:bottom w:val="none" w:sz="0" w:space="0" w:color="auto"/>
        <w:right w:val="none" w:sz="0" w:space="0" w:color="auto"/>
      </w:divBdr>
    </w:div>
    <w:div w:id="575743004">
      <w:bodyDiv w:val="1"/>
      <w:marLeft w:val="0"/>
      <w:marRight w:val="0"/>
      <w:marTop w:val="0"/>
      <w:marBottom w:val="0"/>
      <w:divBdr>
        <w:top w:val="none" w:sz="0" w:space="0" w:color="auto"/>
        <w:left w:val="none" w:sz="0" w:space="0" w:color="auto"/>
        <w:bottom w:val="none" w:sz="0" w:space="0" w:color="auto"/>
        <w:right w:val="none" w:sz="0" w:space="0" w:color="auto"/>
      </w:divBdr>
    </w:div>
    <w:div w:id="599215875">
      <w:bodyDiv w:val="1"/>
      <w:marLeft w:val="0"/>
      <w:marRight w:val="0"/>
      <w:marTop w:val="0"/>
      <w:marBottom w:val="0"/>
      <w:divBdr>
        <w:top w:val="none" w:sz="0" w:space="0" w:color="auto"/>
        <w:left w:val="none" w:sz="0" w:space="0" w:color="auto"/>
        <w:bottom w:val="none" w:sz="0" w:space="0" w:color="auto"/>
        <w:right w:val="none" w:sz="0" w:space="0" w:color="auto"/>
      </w:divBdr>
    </w:div>
    <w:div w:id="659774747">
      <w:bodyDiv w:val="1"/>
      <w:marLeft w:val="0"/>
      <w:marRight w:val="0"/>
      <w:marTop w:val="0"/>
      <w:marBottom w:val="0"/>
      <w:divBdr>
        <w:top w:val="none" w:sz="0" w:space="0" w:color="auto"/>
        <w:left w:val="none" w:sz="0" w:space="0" w:color="auto"/>
        <w:bottom w:val="none" w:sz="0" w:space="0" w:color="auto"/>
        <w:right w:val="none" w:sz="0" w:space="0" w:color="auto"/>
      </w:divBdr>
    </w:div>
    <w:div w:id="682320098">
      <w:bodyDiv w:val="1"/>
      <w:marLeft w:val="0"/>
      <w:marRight w:val="0"/>
      <w:marTop w:val="0"/>
      <w:marBottom w:val="0"/>
      <w:divBdr>
        <w:top w:val="none" w:sz="0" w:space="0" w:color="auto"/>
        <w:left w:val="none" w:sz="0" w:space="0" w:color="auto"/>
        <w:bottom w:val="none" w:sz="0" w:space="0" w:color="auto"/>
        <w:right w:val="none" w:sz="0" w:space="0" w:color="auto"/>
      </w:divBdr>
    </w:div>
    <w:div w:id="786197085">
      <w:bodyDiv w:val="1"/>
      <w:marLeft w:val="0"/>
      <w:marRight w:val="0"/>
      <w:marTop w:val="0"/>
      <w:marBottom w:val="0"/>
      <w:divBdr>
        <w:top w:val="none" w:sz="0" w:space="0" w:color="auto"/>
        <w:left w:val="none" w:sz="0" w:space="0" w:color="auto"/>
        <w:bottom w:val="none" w:sz="0" w:space="0" w:color="auto"/>
        <w:right w:val="none" w:sz="0" w:space="0" w:color="auto"/>
      </w:divBdr>
    </w:div>
    <w:div w:id="891578411">
      <w:bodyDiv w:val="1"/>
      <w:marLeft w:val="0"/>
      <w:marRight w:val="0"/>
      <w:marTop w:val="0"/>
      <w:marBottom w:val="0"/>
      <w:divBdr>
        <w:top w:val="none" w:sz="0" w:space="0" w:color="auto"/>
        <w:left w:val="none" w:sz="0" w:space="0" w:color="auto"/>
        <w:bottom w:val="none" w:sz="0" w:space="0" w:color="auto"/>
        <w:right w:val="none" w:sz="0" w:space="0" w:color="auto"/>
      </w:divBdr>
    </w:div>
    <w:div w:id="919875525">
      <w:bodyDiv w:val="1"/>
      <w:marLeft w:val="0"/>
      <w:marRight w:val="0"/>
      <w:marTop w:val="0"/>
      <w:marBottom w:val="0"/>
      <w:divBdr>
        <w:top w:val="none" w:sz="0" w:space="0" w:color="auto"/>
        <w:left w:val="none" w:sz="0" w:space="0" w:color="auto"/>
        <w:bottom w:val="none" w:sz="0" w:space="0" w:color="auto"/>
        <w:right w:val="none" w:sz="0" w:space="0" w:color="auto"/>
      </w:divBdr>
    </w:div>
    <w:div w:id="938103031">
      <w:bodyDiv w:val="1"/>
      <w:marLeft w:val="0"/>
      <w:marRight w:val="0"/>
      <w:marTop w:val="0"/>
      <w:marBottom w:val="0"/>
      <w:divBdr>
        <w:top w:val="none" w:sz="0" w:space="0" w:color="auto"/>
        <w:left w:val="none" w:sz="0" w:space="0" w:color="auto"/>
        <w:bottom w:val="none" w:sz="0" w:space="0" w:color="auto"/>
        <w:right w:val="none" w:sz="0" w:space="0" w:color="auto"/>
      </w:divBdr>
    </w:div>
    <w:div w:id="1000548717">
      <w:bodyDiv w:val="1"/>
      <w:marLeft w:val="0"/>
      <w:marRight w:val="0"/>
      <w:marTop w:val="0"/>
      <w:marBottom w:val="0"/>
      <w:divBdr>
        <w:top w:val="none" w:sz="0" w:space="0" w:color="auto"/>
        <w:left w:val="none" w:sz="0" w:space="0" w:color="auto"/>
        <w:bottom w:val="none" w:sz="0" w:space="0" w:color="auto"/>
        <w:right w:val="none" w:sz="0" w:space="0" w:color="auto"/>
      </w:divBdr>
    </w:div>
    <w:div w:id="1017972960">
      <w:bodyDiv w:val="1"/>
      <w:marLeft w:val="0"/>
      <w:marRight w:val="0"/>
      <w:marTop w:val="0"/>
      <w:marBottom w:val="0"/>
      <w:divBdr>
        <w:top w:val="none" w:sz="0" w:space="0" w:color="auto"/>
        <w:left w:val="none" w:sz="0" w:space="0" w:color="auto"/>
        <w:bottom w:val="none" w:sz="0" w:space="0" w:color="auto"/>
        <w:right w:val="none" w:sz="0" w:space="0" w:color="auto"/>
      </w:divBdr>
    </w:div>
    <w:div w:id="1034575554">
      <w:bodyDiv w:val="1"/>
      <w:marLeft w:val="0"/>
      <w:marRight w:val="0"/>
      <w:marTop w:val="0"/>
      <w:marBottom w:val="0"/>
      <w:divBdr>
        <w:top w:val="none" w:sz="0" w:space="0" w:color="auto"/>
        <w:left w:val="none" w:sz="0" w:space="0" w:color="auto"/>
        <w:bottom w:val="none" w:sz="0" w:space="0" w:color="auto"/>
        <w:right w:val="none" w:sz="0" w:space="0" w:color="auto"/>
      </w:divBdr>
    </w:div>
    <w:div w:id="1035740288">
      <w:bodyDiv w:val="1"/>
      <w:marLeft w:val="0"/>
      <w:marRight w:val="0"/>
      <w:marTop w:val="0"/>
      <w:marBottom w:val="0"/>
      <w:divBdr>
        <w:top w:val="none" w:sz="0" w:space="0" w:color="auto"/>
        <w:left w:val="none" w:sz="0" w:space="0" w:color="auto"/>
        <w:bottom w:val="none" w:sz="0" w:space="0" w:color="auto"/>
        <w:right w:val="none" w:sz="0" w:space="0" w:color="auto"/>
      </w:divBdr>
    </w:div>
    <w:div w:id="1049570170">
      <w:bodyDiv w:val="1"/>
      <w:marLeft w:val="0"/>
      <w:marRight w:val="0"/>
      <w:marTop w:val="0"/>
      <w:marBottom w:val="0"/>
      <w:divBdr>
        <w:top w:val="none" w:sz="0" w:space="0" w:color="auto"/>
        <w:left w:val="none" w:sz="0" w:space="0" w:color="auto"/>
        <w:bottom w:val="none" w:sz="0" w:space="0" w:color="auto"/>
        <w:right w:val="none" w:sz="0" w:space="0" w:color="auto"/>
      </w:divBdr>
    </w:div>
    <w:div w:id="1057052388">
      <w:bodyDiv w:val="1"/>
      <w:marLeft w:val="0"/>
      <w:marRight w:val="0"/>
      <w:marTop w:val="0"/>
      <w:marBottom w:val="0"/>
      <w:divBdr>
        <w:top w:val="none" w:sz="0" w:space="0" w:color="auto"/>
        <w:left w:val="none" w:sz="0" w:space="0" w:color="auto"/>
        <w:bottom w:val="none" w:sz="0" w:space="0" w:color="auto"/>
        <w:right w:val="none" w:sz="0" w:space="0" w:color="auto"/>
      </w:divBdr>
    </w:div>
    <w:div w:id="1075081036">
      <w:bodyDiv w:val="1"/>
      <w:marLeft w:val="0"/>
      <w:marRight w:val="0"/>
      <w:marTop w:val="0"/>
      <w:marBottom w:val="0"/>
      <w:divBdr>
        <w:top w:val="none" w:sz="0" w:space="0" w:color="auto"/>
        <w:left w:val="none" w:sz="0" w:space="0" w:color="auto"/>
        <w:bottom w:val="none" w:sz="0" w:space="0" w:color="auto"/>
        <w:right w:val="none" w:sz="0" w:space="0" w:color="auto"/>
      </w:divBdr>
    </w:div>
    <w:div w:id="1075930719">
      <w:bodyDiv w:val="1"/>
      <w:marLeft w:val="0"/>
      <w:marRight w:val="0"/>
      <w:marTop w:val="0"/>
      <w:marBottom w:val="0"/>
      <w:divBdr>
        <w:top w:val="none" w:sz="0" w:space="0" w:color="auto"/>
        <w:left w:val="none" w:sz="0" w:space="0" w:color="auto"/>
        <w:bottom w:val="none" w:sz="0" w:space="0" w:color="auto"/>
        <w:right w:val="none" w:sz="0" w:space="0" w:color="auto"/>
      </w:divBdr>
    </w:div>
    <w:div w:id="1143740057">
      <w:bodyDiv w:val="1"/>
      <w:marLeft w:val="0"/>
      <w:marRight w:val="0"/>
      <w:marTop w:val="0"/>
      <w:marBottom w:val="0"/>
      <w:divBdr>
        <w:top w:val="none" w:sz="0" w:space="0" w:color="auto"/>
        <w:left w:val="none" w:sz="0" w:space="0" w:color="auto"/>
        <w:bottom w:val="none" w:sz="0" w:space="0" w:color="auto"/>
        <w:right w:val="none" w:sz="0" w:space="0" w:color="auto"/>
      </w:divBdr>
    </w:div>
    <w:div w:id="1266957183">
      <w:bodyDiv w:val="1"/>
      <w:marLeft w:val="0"/>
      <w:marRight w:val="0"/>
      <w:marTop w:val="0"/>
      <w:marBottom w:val="0"/>
      <w:divBdr>
        <w:top w:val="none" w:sz="0" w:space="0" w:color="auto"/>
        <w:left w:val="none" w:sz="0" w:space="0" w:color="auto"/>
        <w:bottom w:val="none" w:sz="0" w:space="0" w:color="auto"/>
        <w:right w:val="none" w:sz="0" w:space="0" w:color="auto"/>
      </w:divBdr>
    </w:div>
    <w:div w:id="1387215079">
      <w:bodyDiv w:val="1"/>
      <w:marLeft w:val="0"/>
      <w:marRight w:val="0"/>
      <w:marTop w:val="0"/>
      <w:marBottom w:val="0"/>
      <w:divBdr>
        <w:top w:val="none" w:sz="0" w:space="0" w:color="auto"/>
        <w:left w:val="none" w:sz="0" w:space="0" w:color="auto"/>
        <w:bottom w:val="none" w:sz="0" w:space="0" w:color="auto"/>
        <w:right w:val="none" w:sz="0" w:space="0" w:color="auto"/>
      </w:divBdr>
    </w:div>
    <w:div w:id="1409229605">
      <w:bodyDiv w:val="1"/>
      <w:marLeft w:val="0"/>
      <w:marRight w:val="0"/>
      <w:marTop w:val="0"/>
      <w:marBottom w:val="0"/>
      <w:divBdr>
        <w:top w:val="none" w:sz="0" w:space="0" w:color="auto"/>
        <w:left w:val="none" w:sz="0" w:space="0" w:color="auto"/>
        <w:bottom w:val="none" w:sz="0" w:space="0" w:color="auto"/>
        <w:right w:val="none" w:sz="0" w:space="0" w:color="auto"/>
      </w:divBdr>
    </w:div>
    <w:div w:id="1452364203">
      <w:bodyDiv w:val="1"/>
      <w:marLeft w:val="0"/>
      <w:marRight w:val="0"/>
      <w:marTop w:val="0"/>
      <w:marBottom w:val="0"/>
      <w:divBdr>
        <w:top w:val="none" w:sz="0" w:space="0" w:color="auto"/>
        <w:left w:val="none" w:sz="0" w:space="0" w:color="auto"/>
        <w:bottom w:val="none" w:sz="0" w:space="0" w:color="auto"/>
        <w:right w:val="none" w:sz="0" w:space="0" w:color="auto"/>
      </w:divBdr>
    </w:div>
    <w:div w:id="1590652980">
      <w:bodyDiv w:val="1"/>
      <w:marLeft w:val="0"/>
      <w:marRight w:val="0"/>
      <w:marTop w:val="0"/>
      <w:marBottom w:val="0"/>
      <w:divBdr>
        <w:top w:val="none" w:sz="0" w:space="0" w:color="auto"/>
        <w:left w:val="none" w:sz="0" w:space="0" w:color="auto"/>
        <w:bottom w:val="none" w:sz="0" w:space="0" w:color="auto"/>
        <w:right w:val="none" w:sz="0" w:space="0" w:color="auto"/>
      </w:divBdr>
    </w:div>
    <w:div w:id="1637446917">
      <w:bodyDiv w:val="1"/>
      <w:marLeft w:val="0"/>
      <w:marRight w:val="0"/>
      <w:marTop w:val="0"/>
      <w:marBottom w:val="0"/>
      <w:divBdr>
        <w:top w:val="none" w:sz="0" w:space="0" w:color="auto"/>
        <w:left w:val="none" w:sz="0" w:space="0" w:color="auto"/>
        <w:bottom w:val="none" w:sz="0" w:space="0" w:color="auto"/>
        <w:right w:val="none" w:sz="0" w:space="0" w:color="auto"/>
      </w:divBdr>
    </w:div>
    <w:div w:id="1640837060">
      <w:bodyDiv w:val="1"/>
      <w:marLeft w:val="0"/>
      <w:marRight w:val="0"/>
      <w:marTop w:val="0"/>
      <w:marBottom w:val="0"/>
      <w:divBdr>
        <w:top w:val="none" w:sz="0" w:space="0" w:color="auto"/>
        <w:left w:val="none" w:sz="0" w:space="0" w:color="auto"/>
        <w:bottom w:val="none" w:sz="0" w:space="0" w:color="auto"/>
        <w:right w:val="none" w:sz="0" w:space="0" w:color="auto"/>
      </w:divBdr>
    </w:div>
    <w:div w:id="1648170130">
      <w:bodyDiv w:val="1"/>
      <w:marLeft w:val="0"/>
      <w:marRight w:val="0"/>
      <w:marTop w:val="0"/>
      <w:marBottom w:val="0"/>
      <w:divBdr>
        <w:top w:val="none" w:sz="0" w:space="0" w:color="auto"/>
        <w:left w:val="none" w:sz="0" w:space="0" w:color="auto"/>
        <w:bottom w:val="none" w:sz="0" w:space="0" w:color="auto"/>
        <w:right w:val="none" w:sz="0" w:space="0" w:color="auto"/>
      </w:divBdr>
    </w:div>
    <w:div w:id="1691301655">
      <w:bodyDiv w:val="1"/>
      <w:marLeft w:val="0"/>
      <w:marRight w:val="0"/>
      <w:marTop w:val="0"/>
      <w:marBottom w:val="0"/>
      <w:divBdr>
        <w:top w:val="none" w:sz="0" w:space="0" w:color="auto"/>
        <w:left w:val="none" w:sz="0" w:space="0" w:color="auto"/>
        <w:bottom w:val="none" w:sz="0" w:space="0" w:color="auto"/>
        <w:right w:val="none" w:sz="0" w:space="0" w:color="auto"/>
      </w:divBdr>
    </w:div>
    <w:div w:id="1742873083">
      <w:bodyDiv w:val="1"/>
      <w:marLeft w:val="0"/>
      <w:marRight w:val="0"/>
      <w:marTop w:val="0"/>
      <w:marBottom w:val="0"/>
      <w:divBdr>
        <w:top w:val="none" w:sz="0" w:space="0" w:color="auto"/>
        <w:left w:val="none" w:sz="0" w:space="0" w:color="auto"/>
        <w:bottom w:val="none" w:sz="0" w:space="0" w:color="auto"/>
        <w:right w:val="none" w:sz="0" w:space="0" w:color="auto"/>
      </w:divBdr>
    </w:div>
    <w:div w:id="1753429473">
      <w:bodyDiv w:val="1"/>
      <w:marLeft w:val="0"/>
      <w:marRight w:val="0"/>
      <w:marTop w:val="0"/>
      <w:marBottom w:val="0"/>
      <w:divBdr>
        <w:top w:val="none" w:sz="0" w:space="0" w:color="auto"/>
        <w:left w:val="none" w:sz="0" w:space="0" w:color="auto"/>
        <w:bottom w:val="none" w:sz="0" w:space="0" w:color="auto"/>
        <w:right w:val="none" w:sz="0" w:space="0" w:color="auto"/>
      </w:divBdr>
    </w:div>
    <w:div w:id="1753622991">
      <w:bodyDiv w:val="1"/>
      <w:marLeft w:val="0"/>
      <w:marRight w:val="0"/>
      <w:marTop w:val="0"/>
      <w:marBottom w:val="0"/>
      <w:divBdr>
        <w:top w:val="none" w:sz="0" w:space="0" w:color="auto"/>
        <w:left w:val="none" w:sz="0" w:space="0" w:color="auto"/>
        <w:bottom w:val="none" w:sz="0" w:space="0" w:color="auto"/>
        <w:right w:val="none" w:sz="0" w:space="0" w:color="auto"/>
      </w:divBdr>
    </w:div>
    <w:div w:id="1819149504">
      <w:bodyDiv w:val="1"/>
      <w:marLeft w:val="0"/>
      <w:marRight w:val="0"/>
      <w:marTop w:val="0"/>
      <w:marBottom w:val="0"/>
      <w:divBdr>
        <w:top w:val="none" w:sz="0" w:space="0" w:color="auto"/>
        <w:left w:val="none" w:sz="0" w:space="0" w:color="auto"/>
        <w:bottom w:val="none" w:sz="0" w:space="0" w:color="auto"/>
        <w:right w:val="none" w:sz="0" w:space="0" w:color="auto"/>
      </w:divBdr>
    </w:div>
    <w:div w:id="1867328992">
      <w:bodyDiv w:val="1"/>
      <w:marLeft w:val="0"/>
      <w:marRight w:val="0"/>
      <w:marTop w:val="0"/>
      <w:marBottom w:val="0"/>
      <w:divBdr>
        <w:top w:val="none" w:sz="0" w:space="0" w:color="auto"/>
        <w:left w:val="none" w:sz="0" w:space="0" w:color="auto"/>
        <w:bottom w:val="none" w:sz="0" w:space="0" w:color="auto"/>
        <w:right w:val="none" w:sz="0" w:space="0" w:color="auto"/>
      </w:divBdr>
    </w:div>
    <w:div w:id="1884828460">
      <w:bodyDiv w:val="1"/>
      <w:marLeft w:val="0"/>
      <w:marRight w:val="0"/>
      <w:marTop w:val="0"/>
      <w:marBottom w:val="0"/>
      <w:divBdr>
        <w:top w:val="none" w:sz="0" w:space="0" w:color="auto"/>
        <w:left w:val="none" w:sz="0" w:space="0" w:color="auto"/>
        <w:bottom w:val="none" w:sz="0" w:space="0" w:color="auto"/>
        <w:right w:val="none" w:sz="0" w:space="0" w:color="auto"/>
      </w:divBdr>
    </w:div>
    <w:div w:id="1906452643">
      <w:bodyDiv w:val="1"/>
      <w:marLeft w:val="0"/>
      <w:marRight w:val="0"/>
      <w:marTop w:val="0"/>
      <w:marBottom w:val="0"/>
      <w:divBdr>
        <w:top w:val="none" w:sz="0" w:space="0" w:color="auto"/>
        <w:left w:val="none" w:sz="0" w:space="0" w:color="auto"/>
        <w:bottom w:val="none" w:sz="0" w:space="0" w:color="auto"/>
        <w:right w:val="none" w:sz="0" w:space="0" w:color="auto"/>
      </w:divBdr>
    </w:div>
    <w:div w:id="1922368141">
      <w:bodyDiv w:val="1"/>
      <w:marLeft w:val="0"/>
      <w:marRight w:val="0"/>
      <w:marTop w:val="0"/>
      <w:marBottom w:val="0"/>
      <w:divBdr>
        <w:top w:val="none" w:sz="0" w:space="0" w:color="auto"/>
        <w:left w:val="none" w:sz="0" w:space="0" w:color="auto"/>
        <w:bottom w:val="none" w:sz="0" w:space="0" w:color="auto"/>
        <w:right w:val="none" w:sz="0" w:space="0" w:color="auto"/>
      </w:divBdr>
    </w:div>
    <w:div w:id="1961259972">
      <w:bodyDiv w:val="1"/>
      <w:marLeft w:val="0"/>
      <w:marRight w:val="0"/>
      <w:marTop w:val="0"/>
      <w:marBottom w:val="0"/>
      <w:divBdr>
        <w:top w:val="none" w:sz="0" w:space="0" w:color="auto"/>
        <w:left w:val="none" w:sz="0" w:space="0" w:color="auto"/>
        <w:bottom w:val="none" w:sz="0" w:space="0" w:color="auto"/>
        <w:right w:val="none" w:sz="0" w:space="0" w:color="auto"/>
      </w:divBdr>
    </w:div>
    <w:div w:id="1966085327">
      <w:bodyDiv w:val="1"/>
      <w:marLeft w:val="0"/>
      <w:marRight w:val="0"/>
      <w:marTop w:val="0"/>
      <w:marBottom w:val="0"/>
      <w:divBdr>
        <w:top w:val="none" w:sz="0" w:space="0" w:color="auto"/>
        <w:left w:val="none" w:sz="0" w:space="0" w:color="auto"/>
        <w:bottom w:val="none" w:sz="0" w:space="0" w:color="auto"/>
        <w:right w:val="none" w:sz="0" w:space="0" w:color="auto"/>
      </w:divBdr>
    </w:div>
    <w:div w:id="2065174191">
      <w:bodyDiv w:val="1"/>
      <w:marLeft w:val="0"/>
      <w:marRight w:val="0"/>
      <w:marTop w:val="0"/>
      <w:marBottom w:val="0"/>
      <w:divBdr>
        <w:top w:val="none" w:sz="0" w:space="0" w:color="auto"/>
        <w:left w:val="none" w:sz="0" w:space="0" w:color="auto"/>
        <w:bottom w:val="none" w:sz="0" w:space="0" w:color="auto"/>
        <w:right w:val="none" w:sz="0" w:space="0" w:color="auto"/>
      </w:divBdr>
    </w:div>
    <w:div w:id="2080856823">
      <w:bodyDiv w:val="1"/>
      <w:marLeft w:val="0"/>
      <w:marRight w:val="0"/>
      <w:marTop w:val="0"/>
      <w:marBottom w:val="0"/>
      <w:divBdr>
        <w:top w:val="none" w:sz="0" w:space="0" w:color="auto"/>
        <w:left w:val="none" w:sz="0" w:space="0" w:color="auto"/>
        <w:bottom w:val="none" w:sz="0" w:space="0" w:color="auto"/>
        <w:right w:val="none" w:sz="0" w:space="0" w:color="auto"/>
      </w:divBdr>
    </w:div>
    <w:div w:id="2086370534">
      <w:bodyDiv w:val="1"/>
      <w:marLeft w:val="0"/>
      <w:marRight w:val="0"/>
      <w:marTop w:val="0"/>
      <w:marBottom w:val="0"/>
      <w:divBdr>
        <w:top w:val="none" w:sz="0" w:space="0" w:color="auto"/>
        <w:left w:val="none" w:sz="0" w:space="0" w:color="auto"/>
        <w:bottom w:val="none" w:sz="0" w:space="0" w:color="auto"/>
        <w:right w:val="none" w:sz="0" w:space="0" w:color="auto"/>
      </w:divBdr>
    </w:div>
    <w:div w:id="2100565184">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43038096">
      <w:bodyDiv w:val="1"/>
      <w:marLeft w:val="0"/>
      <w:marRight w:val="0"/>
      <w:marTop w:val="0"/>
      <w:marBottom w:val="0"/>
      <w:divBdr>
        <w:top w:val="none" w:sz="0" w:space="0" w:color="auto"/>
        <w:left w:val="none" w:sz="0" w:space="0" w:color="auto"/>
        <w:bottom w:val="none" w:sz="0" w:space="0" w:color="auto"/>
        <w:right w:val="none" w:sz="0" w:space="0" w:color="auto"/>
      </w:divBdr>
    </w:div>
    <w:div w:id="2143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cerqueti@uniroma1.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leonora.cutrini@unimc.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72DD-594D-48B8-B2C6-EF2F2165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34</Pages>
  <Words>9240</Words>
  <Characters>52670</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Roy.Cerqueti</dc:creator>
  <cp:lastModifiedBy>utente</cp:lastModifiedBy>
  <cp:revision>7</cp:revision>
  <cp:lastPrinted>2019-09-22T15:00:00Z</cp:lastPrinted>
  <dcterms:created xsi:type="dcterms:W3CDTF">2021-07-23T10:03:00Z</dcterms:created>
  <dcterms:modified xsi:type="dcterms:W3CDTF">2021-07-23T15:17:00Z</dcterms:modified>
</cp:coreProperties>
</file>