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AC95" w14:textId="7416E396" w:rsidR="006547BF" w:rsidRDefault="00AC1281" w:rsidP="00DB255D">
      <w:pPr>
        <w:pStyle w:val="BodyText"/>
        <w:rPr>
          <w:rFonts w:ascii="Times New Roman"/>
          <w:sz w:val="20"/>
        </w:rPr>
      </w:pPr>
      <w:r>
        <w:rPr>
          <w:rFonts w:ascii="Times New Roman"/>
          <w:noProof/>
          <w:sz w:val="20"/>
        </w:rPr>
        <w:t xml:space="preserve">  </w:t>
      </w:r>
      <w:r w:rsidR="00DB255D">
        <w:rPr>
          <w:rFonts w:ascii="Times New Roman"/>
          <w:noProof/>
          <w:sz w:val="20"/>
        </w:rPr>
        <w:t xml:space="preserve">                     </w:t>
      </w:r>
      <w:r w:rsidR="00DB255D">
        <w:rPr>
          <w:rFonts w:ascii="Times New Roman"/>
          <w:noProof/>
          <w:sz w:val="20"/>
        </w:rPr>
        <w:drawing>
          <wp:inline distT="0" distB="0" distL="0" distR="0" wp14:anchorId="18B43CCE" wp14:editId="41E6F26D">
            <wp:extent cx="5364480" cy="8907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1049" cy="900099"/>
                    </a:xfrm>
                    <a:prstGeom prst="rect">
                      <a:avLst/>
                    </a:prstGeom>
                    <a:noFill/>
                    <a:ln>
                      <a:noFill/>
                    </a:ln>
                  </pic:spPr>
                </pic:pic>
              </a:graphicData>
            </a:graphic>
          </wp:inline>
        </w:drawing>
      </w:r>
    </w:p>
    <w:p w14:paraId="2CBFD3DB" w14:textId="77777777" w:rsidR="006547BF" w:rsidRDefault="006547BF">
      <w:pPr>
        <w:pStyle w:val="BodyText"/>
        <w:jc w:val="left"/>
        <w:rPr>
          <w:rFonts w:ascii="Times New Roman"/>
          <w:sz w:val="20"/>
        </w:rPr>
      </w:pPr>
    </w:p>
    <w:p w14:paraId="562F389F" w14:textId="77777777" w:rsidR="006547BF" w:rsidRDefault="006547BF">
      <w:pPr>
        <w:pStyle w:val="BodyText"/>
        <w:spacing w:before="5"/>
        <w:jc w:val="left"/>
        <w:rPr>
          <w:rFonts w:ascii="Times New Roman"/>
          <w:sz w:val="22"/>
        </w:rPr>
      </w:pPr>
    </w:p>
    <w:p w14:paraId="6C9C1136" w14:textId="4AB617A9" w:rsidR="00062382" w:rsidRPr="003F6828" w:rsidRDefault="00DB3772" w:rsidP="00FF2F7F">
      <w:pPr>
        <w:pStyle w:val="Title"/>
        <w:spacing w:line="360" w:lineRule="auto"/>
        <w:ind w:left="990" w:right="10" w:hanging="12"/>
      </w:pPr>
      <w:r>
        <w:t xml:space="preserve">Hearing assessment of </w:t>
      </w:r>
      <w:r w:rsidR="003A4080">
        <w:t>students of a music conservatoire</w:t>
      </w:r>
      <w:r>
        <w:t xml:space="preserve"> using otoacoustic emissions</w:t>
      </w:r>
      <w:r w:rsidR="00062382">
        <w:t xml:space="preserve"> </w:t>
      </w:r>
    </w:p>
    <w:p w14:paraId="3A4D4293" w14:textId="2F5223C8" w:rsidR="00062382" w:rsidRPr="005956B4" w:rsidRDefault="00062382" w:rsidP="00062382">
      <w:pPr>
        <w:pStyle w:val="HTMLPreformatted"/>
        <w:shd w:val="clear" w:color="auto" w:fill="F8F9FA"/>
        <w:spacing w:line="489" w:lineRule="atLeast"/>
        <w:rPr>
          <w:rFonts w:ascii="Arial" w:hAnsi="Arial" w:cs="Arial"/>
          <w:b/>
          <w:sz w:val="22"/>
          <w:szCs w:val="22"/>
          <w:vertAlign w:val="superscript"/>
          <w:lang w:val="sv-SE"/>
        </w:rPr>
      </w:pPr>
      <w:r>
        <w:rPr>
          <w:rFonts w:ascii="Arial" w:hAnsi="Arial" w:cs="Arial"/>
          <w:sz w:val="22"/>
          <w:szCs w:val="22"/>
          <w:lang w:val="sv-SE"/>
        </w:rPr>
        <w:tab/>
      </w:r>
      <w:r w:rsidRPr="005956B4">
        <w:rPr>
          <w:rFonts w:ascii="Arial" w:hAnsi="Arial" w:cs="Arial"/>
          <w:sz w:val="22"/>
          <w:szCs w:val="22"/>
          <w:lang w:val="sv-SE"/>
        </w:rPr>
        <w:t xml:space="preserve">  </w:t>
      </w:r>
      <w:r w:rsidRPr="005956B4">
        <w:rPr>
          <w:rFonts w:ascii="Arial" w:hAnsi="Arial" w:cs="Arial"/>
          <w:b/>
          <w:sz w:val="22"/>
          <w:szCs w:val="22"/>
          <w:vertAlign w:val="superscript"/>
          <w:lang w:val="sv-SE"/>
        </w:rPr>
        <w:t>1</w:t>
      </w:r>
      <w:r w:rsidR="00DB3772">
        <w:rPr>
          <w:rFonts w:ascii="Arial" w:hAnsi="Arial" w:cs="Arial"/>
          <w:b/>
          <w:sz w:val="22"/>
          <w:szCs w:val="22"/>
          <w:lang w:val="sv-SE"/>
        </w:rPr>
        <w:t xml:space="preserve"> </w:t>
      </w:r>
      <w:r w:rsidR="00DB3772" w:rsidRPr="00DB3772">
        <w:rPr>
          <w:rFonts w:ascii="Arial" w:hAnsi="Arial" w:cs="Arial"/>
          <w:b/>
          <w:sz w:val="22"/>
          <w:szCs w:val="22"/>
          <w:u w:val="single"/>
          <w:lang w:val="sv-SE"/>
        </w:rPr>
        <w:t>Stephen Dance</w:t>
      </w:r>
      <w:r w:rsidR="00DB3772" w:rsidRPr="00DB3772">
        <w:rPr>
          <w:rFonts w:ascii="Arial" w:hAnsi="Arial" w:cs="Arial"/>
          <w:b/>
          <w:sz w:val="22"/>
          <w:szCs w:val="22"/>
          <w:u w:val="single"/>
          <w:vertAlign w:val="superscript"/>
          <w:lang w:val="sv-SE"/>
        </w:rPr>
        <w:t>2</w:t>
      </w:r>
      <w:r w:rsidRPr="005956B4">
        <w:rPr>
          <w:rFonts w:ascii="Arial" w:hAnsi="Arial" w:cs="Arial"/>
          <w:b/>
          <w:sz w:val="22"/>
          <w:szCs w:val="22"/>
          <w:lang w:val="sv-SE"/>
        </w:rPr>
        <w:t xml:space="preserve">, </w:t>
      </w:r>
      <w:r w:rsidR="00DB3772">
        <w:rPr>
          <w:rFonts w:ascii="Arial" w:hAnsi="Arial" w:cs="Arial"/>
          <w:b/>
          <w:sz w:val="22"/>
          <w:szCs w:val="22"/>
          <w:lang w:val="sv-SE"/>
        </w:rPr>
        <w:t>Georgia Zepidou</w:t>
      </w:r>
      <w:r w:rsidRPr="005956B4">
        <w:rPr>
          <w:rFonts w:ascii="Arial" w:hAnsi="Arial" w:cs="Arial"/>
          <w:b/>
          <w:sz w:val="22"/>
          <w:szCs w:val="22"/>
          <w:u w:val="single"/>
          <w:vertAlign w:val="superscript"/>
          <w:lang w:val="sv-SE"/>
        </w:rPr>
        <w:t>2</w:t>
      </w:r>
      <w:r w:rsidRPr="005956B4">
        <w:rPr>
          <w:rFonts w:ascii="Arial" w:hAnsi="Arial" w:cs="Arial"/>
          <w:b/>
          <w:sz w:val="22"/>
          <w:szCs w:val="22"/>
          <w:lang w:val="sv-SE"/>
        </w:rPr>
        <w:t xml:space="preserve"> </w:t>
      </w:r>
    </w:p>
    <w:p w14:paraId="40FFC1EA" w14:textId="77777777" w:rsidR="00062382" w:rsidRDefault="00062382" w:rsidP="00062382">
      <w:pPr>
        <w:pStyle w:val="Authors"/>
        <w:spacing w:after="0" w:line="240" w:lineRule="auto"/>
        <w:ind w:left="258" w:firstLine="720"/>
        <w:rPr>
          <w:lang w:val="sv-SE"/>
        </w:rPr>
      </w:pPr>
    </w:p>
    <w:p w14:paraId="2EBF16E9" w14:textId="02C6658C" w:rsidR="00062382" w:rsidRDefault="00062382" w:rsidP="00FF2F7F">
      <w:pPr>
        <w:pStyle w:val="Affiliation"/>
        <w:spacing w:after="0" w:line="240" w:lineRule="auto"/>
        <w:ind w:left="720" w:firstLine="258"/>
        <w:jc w:val="both"/>
      </w:pPr>
      <w:r>
        <w:rPr>
          <w:vertAlign w:val="superscript"/>
        </w:rPr>
        <w:t>1</w:t>
      </w:r>
      <w:r>
        <w:t xml:space="preserve"> </w:t>
      </w:r>
      <w:r w:rsidR="00DB3772">
        <w:t>London South Bank University</w:t>
      </w:r>
      <w:r>
        <w:t xml:space="preserve">, </w:t>
      </w:r>
      <w:r w:rsidR="00DB3772">
        <w:t>School of the Built Environment and Architecture, London, UK</w:t>
      </w:r>
    </w:p>
    <w:p w14:paraId="73DEA782" w14:textId="37F459B7" w:rsidR="00062382" w:rsidRDefault="00062382" w:rsidP="00FF2F7F">
      <w:pPr>
        <w:pStyle w:val="Affiliation"/>
        <w:spacing w:after="0" w:line="240" w:lineRule="auto"/>
        <w:ind w:left="720" w:firstLine="258"/>
        <w:jc w:val="both"/>
      </w:pPr>
      <w:r w:rsidRPr="00D93C9E">
        <w:rPr>
          <w:vertAlign w:val="superscript"/>
        </w:rPr>
        <w:t xml:space="preserve"> 2</w:t>
      </w:r>
      <w:r w:rsidR="00DB3772">
        <w:rPr>
          <w:vertAlign w:val="superscript"/>
        </w:rPr>
        <w:t xml:space="preserve"> </w:t>
      </w:r>
      <w:r w:rsidR="00DB3772">
        <w:t>AECOM,</w:t>
      </w:r>
      <w:r w:rsidR="00B256F3">
        <w:t xml:space="preserve"> </w:t>
      </w:r>
      <w:proofErr w:type="spellStart"/>
      <w:r w:rsidR="00B256F3">
        <w:t>Sunley</w:t>
      </w:r>
      <w:proofErr w:type="spellEnd"/>
      <w:r w:rsidR="00B256F3">
        <w:t xml:space="preserve"> House, Bedford Park, Croydon</w:t>
      </w:r>
      <w:r w:rsidR="00DB3772">
        <w:t>, UK</w:t>
      </w:r>
      <w:r>
        <w:t xml:space="preserve"> </w:t>
      </w:r>
    </w:p>
    <w:p w14:paraId="3FCD0F47" w14:textId="13ABEA99" w:rsidR="00062382" w:rsidRPr="006C7AF8" w:rsidRDefault="00062382" w:rsidP="00FF2F7F">
      <w:pPr>
        <w:pStyle w:val="Affiliation"/>
        <w:tabs>
          <w:tab w:val="left" w:pos="990"/>
          <w:tab w:val="left" w:pos="1530"/>
        </w:tabs>
        <w:spacing w:after="0" w:line="240" w:lineRule="auto"/>
        <w:ind w:left="142" w:hanging="142"/>
        <w:jc w:val="both"/>
      </w:pPr>
      <w:r>
        <w:rPr>
          <w:vertAlign w:val="superscript"/>
        </w:rPr>
        <w:tab/>
        <w:t xml:space="preserve">                       </w:t>
      </w:r>
    </w:p>
    <w:p w14:paraId="38CFE3BF" w14:textId="77777777" w:rsidR="00062382" w:rsidRDefault="00062382" w:rsidP="00062382">
      <w:pPr>
        <w:spacing w:before="6"/>
        <w:ind w:left="978"/>
      </w:pPr>
    </w:p>
    <w:p w14:paraId="1A60DEC5" w14:textId="62DB36C5" w:rsidR="00062382" w:rsidRPr="005956B4" w:rsidRDefault="00062382" w:rsidP="00062382">
      <w:pPr>
        <w:spacing w:before="134"/>
        <w:ind w:left="978"/>
        <w:rPr>
          <w:rFonts w:ascii="Arial" w:hAnsi="Arial" w:cs="Arial"/>
          <w:sz w:val="20"/>
        </w:rPr>
      </w:pPr>
      <w:r w:rsidRPr="005956B4">
        <w:rPr>
          <w:rFonts w:ascii="Arial" w:hAnsi="Arial" w:cs="Arial"/>
        </w:rPr>
        <w:t>Corresponding author's</w:t>
      </w:r>
      <w:r w:rsidRPr="005956B4">
        <w:rPr>
          <w:rFonts w:ascii="Arial" w:hAnsi="Arial" w:cs="Arial"/>
          <w:spacing w:val="-3"/>
        </w:rPr>
        <w:t xml:space="preserve"> </w:t>
      </w:r>
      <w:r w:rsidRPr="005956B4">
        <w:rPr>
          <w:rFonts w:ascii="Arial" w:hAnsi="Arial" w:cs="Arial"/>
        </w:rPr>
        <w:t>e-mail</w:t>
      </w:r>
      <w:r w:rsidRPr="005956B4">
        <w:rPr>
          <w:rFonts w:ascii="Arial" w:hAnsi="Arial" w:cs="Arial"/>
          <w:spacing w:val="-2"/>
        </w:rPr>
        <w:t xml:space="preserve"> </w:t>
      </w:r>
      <w:r w:rsidRPr="005956B4">
        <w:rPr>
          <w:rFonts w:ascii="Arial" w:hAnsi="Arial" w:cs="Arial"/>
        </w:rPr>
        <w:t>address:</w:t>
      </w:r>
      <w:r w:rsidRPr="005956B4">
        <w:rPr>
          <w:rFonts w:ascii="Arial" w:hAnsi="Arial" w:cs="Arial"/>
          <w:spacing w:val="-1"/>
        </w:rPr>
        <w:t xml:space="preserve"> </w:t>
      </w:r>
      <w:hyperlink r:id="rId8" w:history="1">
        <w:r w:rsidR="00DB3772" w:rsidRPr="00A338D6">
          <w:rPr>
            <w:rStyle w:val="Hyperlink"/>
            <w:rFonts w:ascii="Arial" w:hAnsi="Arial" w:cs="Arial"/>
            <w:spacing w:val="-1"/>
          </w:rPr>
          <w:t>dances@lsbu.ac.uk</w:t>
        </w:r>
      </w:hyperlink>
      <w:r w:rsidRPr="005956B4">
        <w:rPr>
          <w:rFonts w:ascii="Arial" w:hAnsi="Arial" w:cs="Arial"/>
          <w:lang w:val="en-GB"/>
        </w:rPr>
        <w:t xml:space="preserve"> </w:t>
      </w:r>
    </w:p>
    <w:p w14:paraId="114EF0E1" w14:textId="77777777" w:rsidR="00062382" w:rsidRDefault="00062382" w:rsidP="00062382">
      <w:pPr>
        <w:pStyle w:val="BodyText"/>
        <w:spacing w:before="8"/>
        <w:jc w:val="left"/>
        <w:rPr>
          <w:sz w:val="21"/>
        </w:rPr>
      </w:pPr>
    </w:p>
    <w:p w14:paraId="1C7B9BE4" w14:textId="77777777" w:rsidR="00062382" w:rsidRDefault="00062382" w:rsidP="00062382">
      <w:pPr>
        <w:spacing w:before="94"/>
        <w:ind w:left="978"/>
        <w:rPr>
          <w:rFonts w:ascii="Arial"/>
          <w:b/>
        </w:rPr>
      </w:pPr>
    </w:p>
    <w:p w14:paraId="4D183D7D" w14:textId="77777777" w:rsidR="00062382" w:rsidRDefault="00062382" w:rsidP="00266CDD">
      <w:pPr>
        <w:spacing w:before="94"/>
        <w:ind w:left="258" w:firstLine="720"/>
        <w:rPr>
          <w:rFonts w:ascii="Arial"/>
          <w:b/>
        </w:rPr>
      </w:pPr>
      <w:r>
        <w:rPr>
          <w:rFonts w:ascii="Arial"/>
          <w:b/>
        </w:rPr>
        <w:t>ABSTRACT</w:t>
      </w:r>
    </w:p>
    <w:p w14:paraId="35FBBF13" w14:textId="77777777" w:rsidR="00062382" w:rsidRDefault="00062382" w:rsidP="00062382">
      <w:pPr>
        <w:spacing w:before="125" w:line="280" w:lineRule="auto"/>
        <w:ind w:left="978" w:right="997"/>
        <w:jc w:val="both"/>
      </w:pPr>
    </w:p>
    <w:p w14:paraId="7E9E0750" w14:textId="64D19979" w:rsidR="00872AA9" w:rsidRPr="001C2F56" w:rsidRDefault="00872AA9" w:rsidP="00872AA9">
      <w:pPr>
        <w:ind w:left="993"/>
        <w:rPr>
          <w:rFonts w:ascii="Arial" w:hAnsi="Arial" w:cs="Arial"/>
        </w:rPr>
      </w:pPr>
      <w:r>
        <w:rPr>
          <w:rFonts w:ascii="Arial" w:hAnsi="Arial" w:cs="Arial"/>
        </w:rPr>
        <w:t>Since the introduction of</w:t>
      </w:r>
      <w:r w:rsidRPr="001C2F56">
        <w:rPr>
          <w:rFonts w:ascii="Arial" w:hAnsi="Arial" w:cs="Arial"/>
        </w:rPr>
        <w:t xml:space="preserve"> the</w:t>
      </w:r>
      <w:r>
        <w:rPr>
          <w:rFonts w:ascii="Arial" w:hAnsi="Arial" w:cs="Arial"/>
        </w:rPr>
        <w:t xml:space="preserve"> UK’s</w:t>
      </w:r>
      <w:r w:rsidRPr="001C2F56">
        <w:rPr>
          <w:rFonts w:ascii="Arial" w:hAnsi="Arial" w:cs="Arial"/>
        </w:rPr>
        <w:t xml:space="preserve"> Control of Noise at Work Regulations research has been undertaken in collaboration with the Royal Academy of Music investigating the hearing acuity of </w:t>
      </w:r>
      <w:r w:rsidR="002716A7">
        <w:rPr>
          <w:rFonts w:ascii="Arial" w:hAnsi="Arial" w:cs="Arial"/>
        </w:rPr>
        <w:t xml:space="preserve">their classical music students. Since 2007 </w:t>
      </w:r>
      <w:r w:rsidRPr="001C2F56">
        <w:rPr>
          <w:rFonts w:ascii="Arial" w:hAnsi="Arial" w:cs="Arial"/>
        </w:rPr>
        <w:t>more than 5000 student</w:t>
      </w:r>
      <w:r w:rsidR="002716A7">
        <w:rPr>
          <w:rFonts w:ascii="Arial" w:hAnsi="Arial" w:cs="Arial"/>
        </w:rPr>
        <w:t xml:space="preserve">s have been assessment using </w:t>
      </w:r>
      <w:proofErr w:type="gramStart"/>
      <w:r w:rsidR="002A6809">
        <w:rPr>
          <w:rFonts w:ascii="Arial" w:hAnsi="Arial" w:cs="Arial"/>
        </w:rPr>
        <w:t>audiometry based</w:t>
      </w:r>
      <w:proofErr w:type="gramEnd"/>
      <w:r w:rsidR="002A6809">
        <w:rPr>
          <w:rFonts w:ascii="Arial" w:hAnsi="Arial" w:cs="Arial"/>
        </w:rPr>
        <w:t xml:space="preserve"> health surveillance. Due</w:t>
      </w:r>
      <w:r>
        <w:rPr>
          <w:rFonts w:ascii="Arial" w:hAnsi="Arial" w:cs="Arial"/>
        </w:rPr>
        <w:t xml:space="preserve"> to COVID pure tone audiometry was no longer safe</w:t>
      </w:r>
      <w:r w:rsidR="002A6809">
        <w:rPr>
          <w:rFonts w:ascii="Arial" w:hAnsi="Arial" w:cs="Arial"/>
        </w:rPr>
        <w:t xml:space="preserve"> to undertake</w:t>
      </w:r>
      <w:r w:rsidR="002716A7">
        <w:rPr>
          <w:rFonts w:ascii="Arial" w:hAnsi="Arial" w:cs="Arial"/>
        </w:rPr>
        <w:t>, July 2021,</w:t>
      </w:r>
      <w:r>
        <w:rPr>
          <w:rFonts w:ascii="Arial" w:hAnsi="Arial" w:cs="Arial"/>
        </w:rPr>
        <w:t xml:space="preserve"> so a new approach was taken using otoacoustic emissions. Since 2021 </w:t>
      </w:r>
      <w:r w:rsidR="002A2046">
        <w:rPr>
          <w:rFonts w:ascii="Arial" w:hAnsi="Arial" w:cs="Arial"/>
        </w:rPr>
        <w:t>5</w:t>
      </w:r>
      <w:r>
        <w:rPr>
          <w:rFonts w:ascii="Arial" w:hAnsi="Arial" w:cs="Arial"/>
        </w:rPr>
        <w:t>0</w:t>
      </w:r>
      <w:r w:rsidR="002A2046">
        <w:rPr>
          <w:rFonts w:ascii="Arial" w:hAnsi="Arial" w:cs="Arial"/>
        </w:rPr>
        <w:t>2</w:t>
      </w:r>
      <w:r>
        <w:rPr>
          <w:rFonts w:ascii="Arial" w:hAnsi="Arial" w:cs="Arial"/>
        </w:rPr>
        <w:t xml:space="preserve"> musicians have had their otoacoustic emissions assessed using Hearing Coach software / firmware. </w:t>
      </w:r>
      <w:r w:rsidR="00921B6F">
        <w:rPr>
          <w:rFonts w:ascii="Arial" w:hAnsi="Arial" w:cs="Arial"/>
        </w:rPr>
        <w:t xml:space="preserve"> The results have been used to independently test the Hearing Coach dataset in terms of hearing acuity and has produced a simple rule of thumb to engage the public </w:t>
      </w:r>
      <w:r w:rsidR="002A2046">
        <w:rPr>
          <w:rFonts w:ascii="Arial" w:hAnsi="Arial" w:cs="Arial"/>
        </w:rPr>
        <w:t>in the understanding of their hearing acuity. Results show that identifying an objective criterion which illustrates, “Having young ears” is very easily and quickly understood by the students. T</w:t>
      </w:r>
      <w:r w:rsidRPr="001C2F56">
        <w:rPr>
          <w:rFonts w:ascii="Arial" w:hAnsi="Arial" w:cs="Arial"/>
        </w:rPr>
        <w:t xml:space="preserve">his provides reassurance that otoacoustic emissions </w:t>
      </w:r>
      <w:r>
        <w:rPr>
          <w:rFonts w:ascii="Arial" w:hAnsi="Arial" w:cs="Arial"/>
        </w:rPr>
        <w:t>is an excellent supplementary tool</w:t>
      </w:r>
      <w:r w:rsidR="00921B6F">
        <w:rPr>
          <w:rFonts w:ascii="Arial" w:hAnsi="Arial" w:cs="Arial"/>
        </w:rPr>
        <w:t xml:space="preserve"> </w:t>
      </w:r>
      <w:r w:rsidRPr="001C2F56">
        <w:rPr>
          <w:rFonts w:ascii="Arial" w:hAnsi="Arial" w:cs="Arial"/>
        </w:rPr>
        <w:t xml:space="preserve">for assessing the hearing health of </w:t>
      </w:r>
      <w:r w:rsidR="00F42E0E">
        <w:rPr>
          <w:rFonts w:ascii="Arial" w:hAnsi="Arial" w:cs="Arial"/>
        </w:rPr>
        <w:t xml:space="preserve">students from a music </w:t>
      </w:r>
      <w:r w:rsidRPr="001C2F56">
        <w:rPr>
          <w:rFonts w:ascii="Arial" w:hAnsi="Arial" w:cs="Arial"/>
        </w:rPr>
        <w:t>c</w:t>
      </w:r>
      <w:r w:rsidR="00F42E0E">
        <w:rPr>
          <w:rFonts w:ascii="Arial" w:hAnsi="Arial" w:cs="Arial"/>
        </w:rPr>
        <w:t>onservatoire.</w:t>
      </w:r>
      <w:r w:rsidRPr="001C2F56">
        <w:rPr>
          <w:rFonts w:ascii="Arial" w:hAnsi="Arial" w:cs="Arial"/>
        </w:rPr>
        <w:t xml:space="preserve"> </w:t>
      </w:r>
    </w:p>
    <w:p w14:paraId="02B8B9ED" w14:textId="77777777" w:rsidR="00062382" w:rsidRPr="00AD0C54" w:rsidRDefault="00062382" w:rsidP="00266CDD">
      <w:pPr>
        <w:spacing w:before="115"/>
        <w:ind w:left="979" w:right="1003"/>
        <w:jc w:val="both"/>
        <w:rPr>
          <w:rFonts w:ascii="Arial" w:hAnsi="Arial" w:cs="Arial"/>
        </w:rPr>
      </w:pPr>
    </w:p>
    <w:p w14:paraId="03C16516" w14:textId="7C97B1E7" w:rsidR="00062382" w:rsidRPr="00AD0C54" w:rsidRDefault="00062382" w:rsidP="00062382">
      <w:pPr>
        <w:spacing w:before="115" w:line="280" w:lineRule="auto"/>
        <w:ind w:left="978" w:right="1003"/>
        <w:jc w:val="both"/>
        <w:rPr>
          <w:rFonts w:ascii="Arial" w:hAnsi="Arial" w:cs="Arial"/>
        </w:rPr>
      </w:pPr>
      <w:r w:rsidRPr="00AD0C54">
        <w:rPr>
          <w:rFonts w:ascii="Arial" w:hAnsi="Arial" w:cs="Arial"/>
        </w:rPr>
        <w:t xml:space="preserve">Keywords (3-6): </w:t>
      </w:r>
      <w:r w:rsidR="00872AA9">
        <w:rPr>
          <w:rFonts w:ascii="Arial" w:hAnsi="Arial" w:cs="Arial"/>
        </w:rPr>
        <w:t xml:space="preserve">Otoacoustic, Musicians, </w:t>
      </w:r>
      <w:r w:rsidR="00A26A13">
        <w:rPr>
          <w:rFonts w:ascii="Arial" w:hAnsi="Arial" w:cs="Arial"/>
        </w:rPr>
        <w:t>Music, Hearing</w:t>
      </w:r>
      <w:r w:rsidR="0032568E">
        <w:rPr>
          <w:rFonts w:ascii="Arial" w:hAnsi="Arial" w:cs="Arial"/>
        </w:rPr>
        <w:t>, Audiometry</w:t>
      </w:r>
    </w:p>
    <w:p w14:paraId="2D4FA203" w14:textId="412C3770" w:rsidR="006547BF" w:rsidRDefault="006547BF" w:rsidP="00520E94">
      <w:pPr>
        <w:spacing w:before="115" w:line="280" w:lineRule="auto"/>
        <w:ind w:left="567" w:right="1003" w:firstLine="873"/>
        <w:jc w:val="both"/>
        <w:rPr>
          <w:rFonts w:ascii="Arial" w:hAnsi="Arial" w:cs="Arial"/>
        </w:rPr>
      </w:pPr>
    </w:p>
    <w:p w14:paraId="58579881" w14:textId="36CDEA1E" w:rsidR="00520E94" w:rsidRPr="00520E94" w:rsidRDefault="00520E94" w:rsidP="00520E94">
      <w:pPr>
        <w:spacing w:before="115" w:line="280" w:lineRule="auto"/>
        <w:ind w:left="567" w:right="1003" w:firstLine="426"/>
        <w:jc w:val="both"/>
        <w:rPr>
          <w:rFonts w:ascii="Arial" w:hAnsi="Arial" w:cs="Arial"/>
          <w:b/>
          <w:bCs/>
        </w:rPr>
      </w:pPr>
      <w:r w:rsidRPr="00520E94">
        <w:rPr>
          <w:rFonts w:ascii="Arial" w:hAnsi="Arial" w:cs="Arial"/>
          <w:b/>
          <w:bCs/>
        </w:rPr>
        <w:t>INTRODUCTION</w:t>
      </w:r>
    </w:p>
    <w:p w14:paraId="149B5F63" w14:textId="77777777" w:rsidR="00520E94" w:rsidRPr="00520E94" w:rsidRDefault="00520E94" w:rsidP="00520E94">
      <w:pPr>
        <w:spacing w:before="115" w:line="280" w:lineRule="auto"/>
        <w:ind w:left="567" w:right="1003" w:firstLine="426"/>
        <w:jc w:val="both"/>
        <w:rPr>
          <w:rFonts w:ascii="Arial" w:hAnsi="Arial" w:cs="Arial"/>
        </w:rPr>
      </w:pPr>
    </w:p>
    <w:p w14:paraId="5CD49679" w14:textId="3E1810AB" w:rsidR="00520E94" w:rsidRPr="00520E94" w:rsidRDefault="00520E94" w:rsidP="00520E94">
      <w:pPr>
        <w:ind w:left="993"/>
        <w:rPr>
          <w:rFonts w:ascii="Arial" w:hAnsi="Arial" w:cs="Arial"/>
        </w:rPr>
      </w:pPr>
      <w:r w:rsidRPr="00520E94">
        <w:rPr>
          <w:rFonts w:ascii="Arial" w:hAnsi="Arial" w:cs="Arial"/>
        </w:rPr>
        <w:t>The Control of Noise at Work Regulations 2005 (CoNAWR2005) [1] was introduced</w:t>
      </w:r>
      <w:r w:rsidR="00D4357C">
        <w:rPr>
          <w:rFonts w:ascii="Arial" w:hAnsi="Arial" w:cs="Arial"/>
        </w:rPr>
        <w:t xml:space="preserve"> in the UK</w:t>
      </w:r>
      <w:r w:rsidRPr="00520E94">
        <w:rPr>
          <w:rFonts w:ascii="Arial" w:hAnsi="Arial" w:cs="Arial"/>
        </w:rPr>
        <w:t xml:space="preserve"> to protect employees from health risks associated with noise. The Regulations were </w:t>
      </w:r>
      <w:r w:rsidR="002A6809">
        <w:rPr>
          <w:rFonts w:ascii="Arial" w:hAnsi="Arial" w:cs="Arial"/>
        </w:rPr>
        <w:t>put in place</w:t>
      </w:r>
      <w:r w:rsidRPr="00520E94">
        <w:rPr>
          <w:rFonts w:ascii="Arial" w:hAnsi="Arial" w:cs="Arial"/>
        </w:rPr>
        <w:t xml:space="preserve"> in 2006 for all sectors other than the entertainment sector who were allowed a</w:t>
      </w:r>
      <w:r w:rsidR="00D4357C">
        <w:rPr>
          <w:rFonts w:ascii="Arial" w:hAnsi="Arial" w:cs="Arial"/>
        </w:rPr>
        <w:t>n additional</w:t>
      </w:r>
      <w:r w:rsidRPr="00520E94">
        <w:rPr>
          <w:rFonts w:ascii="Arial" w:hAnsi="Arial" w:cs="Arial"/>
        </w:rPr>
        <w:t xml:space="preserve"> 2-year transitional period. With regards to sound exposure, it is known that excessive exposure results in Noise Induced Hearing Loss (NIHL) typically at 4 kHz [2]. Approximately half of NIHL occurs within the first 3 years of excessive sound exposure with the remaining NIHL occurring over the following 42 years [3,4]. Therefore, it is critically important to protect new employees at the earliest opportunity. The </w:t>
      </w:r>
      <w:proofErr w:type="spellStart"/>
      <w:r w:rsidRPr="00520E94">
        <w:rPr>
          <w:rFonts w:ascii="Arial" w:hAnsi="Arial" w:cs="Arial"/>
        </w:rPr>
        <w:t>CoNAWR</w:t>
      </w:r>
      <w:proofErr w:type="spellEnd"/>
      <w:r w:rsidRPr="00520E94">
        <w:rPr>
          <w:rFonts w:ascii="Arial" w:hAnsi="Arial" w:cs="Arial"/>
        </w:rPr>
        <w:t xml:space="preserve"> w</w:t>
      </w:r>
      <w:r w:rsidR="00D4357C">
        <w:rPr>
          <w:rFonts w:ascii="Arial" w:hAnsi="Arial" w:cs="Arial"/>
        </w:rPr>
        <w:t>as a result of</w:t>
      </w:r>
      <w:r w:rsidRPr="00520E94">
        <w:rPr>
          <w:rFonts w:ascii="Arial" w:hAnsi="Arial" w:cs="Arial"/>
        </w:rPr>
        <w:t xml:space="preserve"> research </w:t>
      </w:r>
      <w:r w:rsidR="00D4357C">
        <w:rPr>
          <w:rFonts w:ascii="Arial" w:hAnsi="Arial" w:cs="Arial"/>
        </w:rPr>
        <w:t>into</w:t>
      </w:r>
      <w:r w:rsidRPr="00520E94">
        <w:rPr>
          <w:rFonts w:ascii="Arial" w:hAnsi="Arial" w:cs="Arial"/>
        </w:rPr>
        <w:t xml:space="preserve"> the effects of occupational noise exposure on hearing health</w:t>
      </w:r>
      <w:r w:rsidR="00D4357C">
        <w:rPr>
          <w:rFonts w:ascii="Arial" w:hAnsi="Arial" w:cs="Arial"/>
        </w:rPr>
        <w:t>, all of which were</w:t>
      </w:r>
      <w:r w:rsidRPr="00520E94">
        <w:rPr>
          <w:rFonts w:ascii="Arial" w:hAnsi="Arial" w:cs="Arial"/>
        </w:rPr>
        <w:t xml:space="preserve"> based on industrial environments and </w:t>
      </w:r>
      <w:r w:rsidR="00D4357C">
        <w:rPr>
          <w:rFonts w:ascii="Arial" w:hAnsi="Arial" w:cs="Arial"/>
        </w:rPr>
        <w:t xml:space="preserve">hence </w:t>
      </w:r>
      <w:r w:rsidRPr="00520E94">
        <w:rPr>
          <w:rFonts w:ascii="Arial" w:hAnsi="Arial" w:cs="Arial"/>
        </w:rPr>
        <w:t>did not include effects of entertainment sound or music exposure</w:t>
      </w:r>
      <w:r w:rsidR="00D4357C">
        <w:rPr>
          <w:rFonts w:ascii="Arial" w:hAnsi="Arial" w:cs="Arial"/>
        </w:rPr>
        <w:t>. This was likely a result of the</w:t>
      </w:r>
      <w:r w:rsidRPr="00520E94">
        <w:rPr>
          <w:rFonts w:ascii="Arial" w:hAnsi="Arial" w:cs="Arial"/>
        </w:rPr>
        <w:t xml:space="preserve"> absence of relevant data. However, recently there has been some research investigating this field of study [5-7]. In addition, enforcing the </w:t>
      </w:r>
      <w:r w:rsidR="002A6809">
        <w:rPr>
          <w:rFonts w:ascii="Arial" w:hAnsi="Arial" w:cs="Arial"/>
        </w:rPr>
        <w:t>r</w:t>
      </w:r>
      <w:r w:rsidRPr="00520E94">
        <w:rPr>
          <w:rFonts w:ascii="Arial" w:hAnsi="Arial" w:cs="Arial"/>
        </w:rPr>
        <w:t>egulations on the entertainment sector is particularly difficult due to the nature of their work and sound being a deliberate product</w:t>
      </w:r>
      <w:r w:rsidR="00D4357C">
        <w:rPr>
          <w:rFonts w:ascii="Arial" w:hAnsi="Arial" w:cs="Arial"/>
        </w:rPr>
        <w:t>. Recently,</w:t>
      </w:r>
      <w:r w:rsidR="002A6809">
        <w:rPr>
          <w:rFonts w:ascii="Arial" w:hAnsi="Arial" w:cs="Arial"/>
        </w:rPr>
        <w:t xml:space="preserve"> the Royal Opera House lost a High Court case based on a musician suffering from acoustic </w:t>
      </w:r>
      <w:r w:rsidR="002A6809" w:rsidRPr="00253869">
        <w:rPr>
          <w:rFonts w:ascii="Arial" w:hAnsi="Arial" w:cs="Arial"/>
          <w:color w:val="000000" w:themeColor="text1"/>
        </w:rPr>
        <w:t>shock [</w:t>
      </w:r>
      <w:r w:rsidR="00253869" w:rsidRPr="00253869">
        <w:rPr>
          <w:rFonts w:ascii="Arial" w:hAnsi="Arial" w:cs="Arial"/>
          <w:color w:val="000000" w:themeColor="text1"/>
        </w:rPr>
        <w:t>8</w:t>
      </w:r>
      <w:r w:rsidR="002A6809" w:rsidRPr="00253869">
        <w:rPr>
          <w:rFonts w:ascii="Arial" w:hAnsi="Arial" w:cs="Arial"/>
          <w:color w:val="000000" w:themeColor="text1"/>
        </w:rPr>
        <w:t>]</w:t>
      </w:r>
      <w:r w:rsidRPr="00253869">
        <w:rPr>
          <w:rFonts w:ascii="Arial" w:hAnsi="Arial" w:cs="Arial"/>
          <w:color w:val="000000" w:themeColor="text1"/>
        </w:rPr>
        <w:t xml:space="preserve">. </w:t>
      </w:r>
    </w:p>
    <w:p w14:paraId="046DD70C" w14:textId="63490C8C" w:rsidR="005B7DBE" w:rsidRDefault="00520E94" w:rsidP="005B7DBE">
      <w:pPr>
        <w:ind w:left="993" w:firstLine="447"/>
        <w:rPr>
          <w:rFonts w:ascii="Arial" w:hAnsi="Arial" w:cs="Arial"/>
        </w:rPr>
      </w:pPr>
      <w:r w:rsidRPr="00520E94">
        <w:rPr>
          <w:rFonts w:ascii="Arial" w:hAnsi="Arial" w:cs="Arial"/>
        </w:rPr>
        <w:t xml:space="preserve">Since 2007, through a long-term collaboration with the Royal Academy of Music (RAM), approximately 330 students each year have been assessed using </w:t>
      </w:r>
      <w:r w:rsidR="002A6809">
        <w:rPr>
          <w:rFonts w:ascii="Arial" w:hAnsi="Arial" w:cs="Arial"/>
        </w:rPr>
        <w:t xml:space="preserve">automated audiometric based screening based on </w:t>
      </w:r>
      <w:r w:rsidRPr="00520E94">
        <w:rPr>
          <w:rFonts w:ascii="Arial" w:hAnsi="Arial" w:cs="Arial"/>
        </w:rPr>
        <w:t>pure tone audiometric (PTA) to determine hearing acuity [</w:t>
      </w:r>
      <w:r w:rsidR="00253869">
        <w:rPr>
          <w:rFonts w:ascii="Arial" w:hAnsi="Arial" w:cs="Arial"/>
        </w:rPr>
        <w:t>9</w:t>
      </w:r>
      <w:r w:rsidRPr="00520E94">
        <w:rPr>
          <w:rFonts w:ascii="Arial" w:hAnsi="Arial" w:cs="Arial"/>
        </w:rPr>
        <w:t xml:space="preserve">]. </w:t>
      </w:r>
      <w:r w:rsidR="005B7DBE">
        <w:rPr>
          <w:rFonts w:ascii="Arial" w:hAnsi="Arial" w:cs="Arial"/>
        </w:rPr>
        <w:t xml:space="preserve">Now, a new hearing assessment method is being trailed in a parallel study that meets the </w:t>
      </w:r>
      <w:proofErr w:type="spellStart"/>
      <w:r w:rsidR="005B7DBE">
        <w:rPr>
          <w:rFonts w:ascii="Arial" w:hAnsi="Arial" w:cs="Arial"/>
        </w:rPr>
        <w:t>CoNAWR</w:t>
      </w:r>
      <w:proofErr w:type="spellEnd"/>
      <w:r w:rsidR="005B7DBE">
        <w:rPr>
          <w:rFonts w:ascii="Arial" w:hAnsi="Arial" w:cs="Arial"/>
        </w:rPr>
        <w:t xml:space="preserve"> </w:t>
      </w:r>
      <w:r w:rsidR="005A4955">
        <w:rPr>
          <w:rFonts w:ascii="Arial" w:hAnsi="Arial" w:cs="Arial"/>
        </w:rPr>
        <w:t xml:space="preserve">assessment </w:t>
      </w:r>
      <w:r w:rsidR="005B7DBE">
        <w:rPr>
          <w:rFonts w:ascii="Arial" w:hAnsi="Arial" w:cs="Arial"/>
        </w:rPr>
        <w:t xml:space="preserve">criteria, </w:t>
      </w:r>
      <w:r w:rsidR="00D4357C">
        <w:rPr>
          <w:rFonts w:ascii="Arial" w:hAnsi="Arial" w:cs="Arial"/>
        </w:rPr>
        <w:t xml:space="preserve">this time </w:t>
      </w:r>
      <w:r w:rsidR="005A4955">
        <w:rPr>
          <w:rFonts w:ascii="Arial" w:hAnsi="Arial" w:cs="Arial"/>
        </w:rPr>
        <w:t>based on</w:t>
      </w:r>
      <w:r w:rsidR="005B7DBE">
        <w:rPr>
          <w:rFonts w:ascii="Arial" w:hAnsi="Arial" w:cs="Arial"/>
        </w:rPr>
        <w:t xml:space="preserve"> </w:t>
      </w:r>
      <w:r w:rsidR="00531B44">
        <w:rPr>
          <w:rFonts w:ascii="Arial" w:hAnsi="Arial" w:cs="Arial"/>
        </w:rPr>
        <w:t>Otoacoustic</w:t>
      </w:r>
      <w:r w:rsidR="005B7DBE">
        <w:rPr>
          <w:rFonts w:ascii="Arial" w:hAnsi="Arial" w:cs="Arial"/>
        </w:rPr>
        <w:t xml:space="preserve"> Emissions. </w:t>
      </w:r>
    </w:p>
    <w:p w14:paraId="0E6116A7" w14:textId="77777777" w:rsidR="005B7DBE" w:rsidRDefault="005B7DBE" w:rsidP="005B7DBE">
      <w:pPr>
        <w:ind w:left="993" w:firstLine="447"/>
        <w:rPr>
          <w:rFonts w:ascii="Arial" w:hAnsi="Arial" w:cs="Arial"/>
        </w:rPr>
      </w:pPr>
    </w:p>
    <w:p w14:paraId="4F254F78" w14:textId="77777777" w:rsidR="00520E94" w:rsidRPr="00520E94" w:rsidRDefault="00520E94" w:rsidP="00520E94">
      <w:pPr>
        <w:ind w:left="567" w:firstLine="873"/>
        <w:rPr>
          <w:rFonts w:ascii="Arial" w:hAnsi="Arial" w:cs="Arial"/>
        </w:rPr>
      </w:pPr>
    </w:p>
    <w:p w14:paraId="6566922C" w14:textId="4B2BDFCD" w:rsidR="00520E94" w:rsidRPr="00520E94" w:rsidRDefault="00004BDD" w:rsidP="005B7DBE">
      <w:pPr>
        <w:pStyle w:val="Heading"/>
        <w:spacing w:after="0"/>
        <w:ind w:left="273" w:firstLine="720"/>
        <w:rPr>
          <w:rFonts w:ascii="Arial" w:hAnsi="Arial" w:cs="Arial"/>
          <w:sz w:val="22"/>
          <w:szCs w:val="22"/>
        </w:rPr>
      </w:pPr>
      <w:r>
        <w:rPr>
          <w:rFonts w:ascii="Arial" w:hAnsi="Arial" w:cs="Arial"/>
          <w:sz w:val="22"/>
          <w:szCs w:val="22"/>
        </w:rPr>
        <w:t xml:space="preserve">MUSICIAN BASED </w:t>
      </w:r>
      <w:r w:rsidR="00520E94" w:rsidRPr="00520E94">
        <w:rPr>
          <w:rFonts w:ascii="Arial" w:hAnsi="Arial" w:cs="Arial"/>
          <w:sz w:val="22"/>
          <w:szCs w:val="22"/>
        </w:rPr>
        <w:t>HEARING RESEARCH</w:t>
      </w:r>
    </w:p>
    <w:p w14:paraId="78299DF4" w14:textId="77777777" w:rsidR="005B7DBE" w:rsidRDefault="005B7DBE" w:rsidP="00520E94">
      <w:pPr>
        <w:ind w:left="567" w:firstLine="873"/>
        <w:rPr>
          <w:rFonts w:ascii="Arial" w:hAnsi="Arial" w:cs="Arial"/>
        </w:rPr>
      </w:pPr>
    </w:p>
    <w:p w14:paraId="2B028B2F" w14:textId="4D8E1518" w:rsidR="00520E94" w:rsidRPr="00520E94" w:rsidRDefault="00520E94" w:rsidP="005B7DBE">
      <w:pPr>
        <w:ind w:left="993"/>
        <w:rPr>
          <w:rFonts w:ascii="Arial" w:hAnsi="Arial" w:cs="Arial"/>
        </w:rPr>
      </w:pPr>
      <w:r w:rsidRPr="00520E94">
        <w:rPr>
          <w:rFonts w:ascii="Arial" w:hAnsi="Arial" w:cs="Arial"/>
        </w:rPr>
        <w:t>Otoacoustic Emissions (OAE) based hearing assessments have been</w:t>
      </w:r>
      <w:r w:rsidR="00D4357C">
        <w:rPr>
          <w:rFonts w:ascii="Arial" w:hAnsi="Arial" w:cs="Arial"/>
        </w:rPr>
        <w:t xml:space="preserve"> used</w:t>
      </w:r>
      <w:r w:rsidRPr="00520E94">
        <w:rPr>
          <w:rFonts w:ascii="Arial" w:hAnsi="Arial" w:cs="Arial"/>
        </w:rPr>
        <w:t xml:space="preserve"> to test the hearing acuity of new-born babies. It has been shown that a reduced OAE amplitude is a precursor to NIHL and hence may act as a biomarker for susceptibility to </w:t>
      </w:r>
      <w:r w:rsidR="00D4357C">
        <w:rPr>
          <w:rFonts w:ascii="Arial" w:hAnsi="Arial" w:cs="Arial"/>
        </w:rPr>
        <w:t>NIHL</w:t>
      </w:r>
      <w:r w:rsidRPr="00520E94">
        <w:rPr>
          <w:rFonts w:ascii="Arial" w:hAnsi="Arial" w:cs="Arial"/>
        </w:rPr>
        <w:t xml:space="preserve"> [</w:t>
      </w:r>
      <w:r w:rsidR="00253869">
        <w:rPr>
          <w:rFonts w:ascii="Arial" w:hAnsi="Arial" w:cs="Arial"/>
        </w:rPr>
        <w:t>10</w:t>
      </w:r>
      <w:r w:rsidRPr="00520E94">
        <w:rPr>
          <w:rFonts w:ascii="Arial" w:hAnsi="Arial" w:cs="Arial"/>
        </w:rPr>
        <w:t xml:space="preserve">].  In 2008, a comparative study was carried out using 154 young adults (aged 18-25) regularly exposed to occupational noise and 99 non-exposed (of same age group) and their hearing was assessed over a 3-year period using pure tone audiometry and Transient-Evoked OAEs (TEOAE). The young adults of both groups </w:t>
      </w:r>
      <w:r w:rsidR="00D4357C">
        <w:rPr>
          <w:rFonts w:ascii="Arial" w:hAnsi="Arial" w:cs="Arial"/>
        </w:rPr>
        <w:t>are likely to h</w:t>
      </w:r>
      <w:r w:rsidRPr="00520E94">
        <w:rPr>
          <w:rFonts w:ascii="Arial" w:hAnsi="Arial" w:cs="Arial"/>
        </w:rPr>
        <w:t xml:space="preserve">ave also been exposed to social noise, personal music players, live events, and nightclubs. Results showed that the hearing threshold values, an average across the frequencies of 3, 4, </w:t>
      </w:r>
      <w:proofErr w:type="gramStart"/>
      <w:r w:rsidRPr="00520E94">
        <w:rPr>
          <w:rFonts w:ascii="Arial" w:hAnsi="Arial" w:cs="Arial"/>
        </w:rPr>
        <w:t>6 kHz,</w:t>
      </w:r>
      <w:proofErr w:type="gramEnd"/>
      <w:r w:rsidRPr="00520E94">
        <w:rPr>
          <w:rFonts w:ascii="Arial" w:hAnsi="Arial" w:cs="Arial"/>
        </w:rPr>
        <w:t xml:space="preserve"> of the exposed group were 1.7 dB worse compared to that of the non-exposed group whereas, according to the ISO 1999 methodology [3], a 6 dB reduction was predicted based on cumulative amount of occupational and social noise exposure [1</w:t>
      </w:r>
      <w:r w:rsidR="00253869">
        <w:rPr>
          <w:rFonts w:ascii="Arial" w:hAnsi="Arial" w:cs="Arial"/>
        </w:rPr>
        <w:t>1</w:t>
      </w:r>
      <w:r w:rsidRPr="00520E94">
        <w:rPr>
          <w:rFonts w:ascii="Arial" w:hAnsi="Arial" w:cs="Arial"/>
        </w:rPr>
        <w:t xml:space="preserve">].  The difference between the measured and predicted threshold shift, 270%, could not be due to misremembering the number of social events attended, or the length of time listening to personal music players. Hence, it can be reasonably inferred that social noise exposure and music has a different effect on hearing than occupational noise of equivalent noise energy. This agrees with the results of the </w:t>
      </w:r>
      <w:r w:rsidR="00622FA2">
        <w:rPr>
          <w:rFonts w:ascii="Arial" w:hAnsi="Arial" w:cs="Arial"/>
        </w:rPr>
        <w:t>conservatoire-based</w:t>
      </w:r>
      <w:r w:rsidR="00004BDD">
        <w:rPr>
          <w:rFonts w:ascii="Arial" w:hAnsi="Arial" w:cs="Arial"/>
        </w:rPr>
        <w:t xml:space="preserve"> studies</w:t>
      </w:r>
      <w:r w:rsidRPr="00520E94">
        <w:rPr>
          <w:rFonts w:ascii="Arial" w:hAnsi="Arial" w:cs="Arial"/>
        </w:rPr>
        <w:t xml:space="preserve"> focused on the effect of the sound of performance on the hearing of classical musicians [</w:t>
      </w:r>
      <w:r w:rsidR="00004BDD">
        <w:rPr>
          <w:rFonts w:ascii="Arial" w:hAnsi="Arial" w:cs="Arial"/>
        </w:rPr>
        <w:t>7,</w:t>
      </w:r>
      <w:r w:rsidRPr="00520E94">
        <w:rPr>
          <w:rFonts w:ascii="Arial" w:hAnsi="Arial" w:cs="Arial"/>
        </w:rPr>
        <w:t xml:space="preserve">8]. The 2008 report by Lutman, Davis and Ferguson concluded, “OAE may be beneficial to supplement PTA, as audiometry has limited sensitivity to detect Noise Induced Hearing Loss, 15 </w:t>
      </w:r>
      <w:proofErr w:type="spellStart"/>
      <w:r w:rsidRPr="00520E94">
        <w:rPr>
          <w:rFonts w:ascii="Arial" w:hAnsi="Arial" w:cs="Arial"/>
        </w:rPr>
        <w:t>dBHL</w:t>
      </w:r>
      <w:proofErr w:type="spellEnd"/>
      <w:r w:rsidRPr="00520E94">
        <w:rPr>
          <w:rFonts w:ascii="Arial" w:hAnsi="Arial" w:cs="Arial"/>
        </w:rPr>
        <w:t xml:space="preserve"> is required before confidence can be attached to the change in individuals. Future research may show that PTA and OAE have complimentary roles.” [</w:t>
      </w:r>
      <w:r w:rsidR="00253869">
        <w:rPr>
          <w:rFonts w:ascii="Arial" w:hAnsi="Arial" w:cs="Arial"/>
        </w:rPr>
        <w:t>10</w:t>
      </w:r>
      <w:r w:rsidRPr="00520E94">
        <w:rPr>
          <w:rFonts w:ascii="Arial" w:hAnsi="Arial" w:cs="Arial"/>
        </w:rPr>
        <w:t xml:space="preserve">]. </w:t>
      </w:r>
    </w:p>
    <w:p w14:paraId="2114349F" w14:textId="77777777" w:rsidR="005A4955" w:rsidRDefault="005A4955" w:rsidP="005B7DBE">
      <w:pPr>
        <w:ind w:left="993"/>
        <w:rPr>
          <w:rFonts w:ascii="Arial" w:hAnsi="Arial" w:cs="Arial"/>
        </w:rPr>
      </w:pPr>
    </w:p>
    <w:p w14:paraId="1BA264D1" w14:textId="06F21CD3" w:rsidR="00520E94" w:rsidRDefault="00520E94" w:rsidP="005B7DBE">
      <w:pPr>
        <w:ind w:left="993"/>
        <w:rPr>
          <w:rFonts w:ascii="Arial" w:hAnsi="Arial" w:cs="Arial"/>
        </w:rPr>
      </w:pPr>
      <w:r w:rsidRPr="00520E94">
        <w:rPr>
          <w:rFonts w:ascii="Arial" w:hAnsi="Arial" w:cs="Arial"/>
        </w:rPr>
        <w:t xml:space="preserve">In November 2019, </w:t>
      </w:r>
      <w:r w:rsidR="002A6809">
        <w:rPr>
          <w:rFonts w:ascii="Arial" w:hAnsi="Arial" w:cs="Arial"/>
        </w:rPr>
        <w:t xml:space="preserve">Transient Evoked / </w:t>
      </w:r>
      <w:r w:rsidRPr="00520E94">
        <w:rPr>
          <w:rFonts w:ascii="Arial" w:hAnsi="Arial" w:cs="Arial"/>
        </w:rPr>
        <w:t xml:space="preserve">Distortion Product OAE based hearing screening was trailed by audiologists </w:t>
      </w:r>
      <w:r w:rsidR="005A4955">
        <w:rPr>
          <w:rFonts w:ascii="Arial" w:hAnsi="Arial" w:cs="Arial"/>
        </w:rPr>
        <w:t>employed by</w:t>
      </w:r>
      <w:r w:rsidRPr="00520E94">
        <w:rPr>
          <w:rFonts w:ascii="Arial" w:hAnsi="Arial" w:cs="Arial"/>
        </w:rPr>
        <w:t xml:space="preserve"> the Royal College of Music (RCM). In total 80 classical music students were assessed over a two-week period. The </w:t>
      </w:r>
      <w:r w:rsidR="002A6809">
        <w:rPr>
          <w:rFonts w:ascii="Arial" w:hAnsi="Arial" w:cs="Arial"/>
        </w:rPr>
        <w:t>results of which informed the recently introd</w:t>
      </w:r>
      <w:r w:rsidR="00253869">
        <w:rPr>
          <w:rFonts w:ascii="Arial" w:hAnsi="Arial" w:cs="Arial"/>
        </w:rPr>
        <w:t>u</w:t>
      </w:r>
      <w:r w:rsidR="002A6809">
        <w:rPr>
          <w:rFonts w:ascii="Arial" w:hAnsi="Arial" w:cs="Arial"/>
        </w:rPr>
        <w:t>ced</w:t>
      </w:r>
      <w:r w:rsidRPr="00520E94">
        <w:rPr>
          <w:rFonts w:ascii="Arial" w:hAnsi="Arial" w:cs="Arial"/>
        </w:rPr>
        <w:t xml:space="preserve"> British Association of Performance Arts Medicine (BAPAM) Best Practice Guidance </w:t>
      </w:r>
      <w:r w:rsidR="005A4955">
        <w:rPr>
          <w:rFonts w:ascii="Arial" w:hAnsi="Arial" w:cs="Arial"/>
        </w:rPr>
        <w:t>[</w:t>
      </w:r>
      <w:r w:rsidR="00004BDD">
        <w:rPr>
          <w:rFonts w:ascii="Arial" w:hAnsi="Arial" w:cs="Arial"/>
        </w:rPr>
        <w:t>1</w:t>
      </w:r>
      <w:r w:rsidR="00253869">
        <w:rPr>
          <w:rFonts w:ascii="Arial" w:hAnsi="Arial" w:cs="Arial"/>
        </w:rPr>
        <w:t>2</w:t>
      </w:r>
      <w:r w:rsidR="005A4955">
        <w:rPr>
          <w:rFonts w:ascii="Arial" w:hAnsi="Arial" w:cs="Arial"/>
        </w:rPr>
        <w:t>]</w:t>
      </w:r>
      <w:r w:rsidRPr="00520E94">
        <w:rPr>
          <w:rFonts w:ascii="Arial" w:hAnsi="Arial" w:cs="Arial"/>
        </w:rPr>
        <w:t xml:space="preserve">. </w:t>
      </w:r>
      <w:r w:rsidR="008101F9">
        <w:rPr>
          <w:rFonts w:ascii="Arial" w:hAnsi="Arial" w:cs="Arial"/>
        </w:rPr>
        <w:t xml:space="preserve">OAE have very recently been </w:t>
      </w:r>
      <w:r w:rsidR="005A4955">
        <w:rPr>
          <w:rFonts w:ascii="Arial" w:hAnsi="Arial" w:cs="Arial"/>
        </w:rPr>
        <w:t xml:space="preserve">approved </w:t>
      </w:r>
      <w:r w:rsidR="008101F9">
        <w:rPr>
          <w:rFonts w:ascii="Arial" w:hAnsi="Arial" w:cs="Arial"/>
        </w:rPr>
        <w:t xml:space="preserve">for clinical use </w:t>
      </w:r>
      <w:r w:rsidR="005A4955">
        <w:rPr>
          <w:rFonts w:ascii="Arial" w:hAnsi="Arial" w:cs="Arial"/>
        </w:rPr>
        <w:t>by the British Society of Audiology with the introduction of a recommended procedure for OAE based assessment [</w:t>
      </w:r>
      <w:r w:rsidR="00004BDD">
        <w:rPr>
          <w:rFonts w:ascii="Arial" w:hAnsi="Arial" w:cs="Arial"/>
        </w:rPr>
        <w:t>1</w:t>
      </w:r>
      <w:r w:rsidR="00253869">
        <w:rPr>
          <w:rFonts w:ascii="Arial" w:hAnsi="Arial" w:cs="Arial"/>
        </w:rPr>
        <w:t>3</w:t>
      </w:r>
      <w:r w:rsidR="005A4955">
        <w:rPr>
          <w:rFonts w:ascii="Arial" w:hAnsi="Arial" w:cs="Arial"/>
        </w:rPr>
        <w:t xml:space="preserve">]. </w:t>
      </w:r>
      <w:r w:rsidR="008101F9">
        <w:rPr>
          <w:rFonts w:ascii="Arial" w:hAnsi="Arial" w:cs="Arial"/>
        </w:rPr>
        <w:t>The authors</w:t>
      </w:r>
      <w:r w:rsidRPr="00520E94">
        <w:rPr>
          <w:rFonts w:ascii="Arial" w:hAnsi="Arial" w:cs="Arial"/>
        </w:rPr>
        <w:t xml:space="preserve"> decided that the same OAE testing methodology </w:t>
      </w:r>
      <w:r w:rsidR="005A4955">
        <w:rPr>
          <w:rFonts w:ascii="Arial" w:hAnsi="Arial" w:cs="Arial"/>
        </w:rPr>
        <w:t xml:space="preserve">as used by RCM </w:t>
      </w:r>
      <w:r w:rsidRPr="00520E94">
        <w:rPr>
          <w:rFonts w:ascii="Arial" w:hAnsi="Arial" w:cs="Arial"/>
        </w:rPr>
        <w:t xml:space="preserve">would be used to further assess heating </w:t>
      </w:r>
      <w:r w:rsidR="002A6809">
        <w:rPr>
          <w:rFonts w:ascii="Arial" w:hAnsi="Arial" w:cs="Arial"/>
        </w:rPr>
        <w:t xml:space="preserve">of </w:t>
      </w:r>
      <w:r w:rsidR="005A4955">
        <w:rPr>
          <w:rFonts w:ascii="Arial" w:hAnsi="Arial" w:cs="Arial"/>
        </w:rPr>
        <w:t xml:space="preserve">the </w:t>
      </w:r>
      <w:r w:rsidR="00004BDD">
        <w:rPr>
          <w:rFonts w:ascii="Arial" w:hAnsi="Arial" w:cs="Arial"/>
        </w:rPr>
        <w:t>Royal Academy of Music st</w:t>
      </w:r>
      <w:r w:rsidR="005A4955">
        <w:rPr>
          <w:rFonts w:ascii="Arial" w:hAnsi="Arial" w:cs="Arial"/>
        </w:rPr>
        <w:t>udents</w:t>
      </w:r>
      <w:r w:rsidR="002A6809">
        <w:rPr>
          <w:rFonts w:ascii="Arial" w:hAnsi="Arial" w:cs="Arial"/>
        </w:rPr>
        <w:t xml:space="preserve"> supplementing the automated audiometric screening as part of the</w:t>
      </w:r>
      <w:r w:rsidR="008101F9">
        <w:rPr>
          <w:rFonts w:ascii="Arial" w:hAnsi="Arial" w:cs="Arial"/>
        </w:rPr>
        <w:t>ir</w:t>
      </w:r>
      <w:r w:rsidR="002A6809">
        <w:rPr>
          <w:rFonts w:ascii="Arial" w:hAnsi="Arial" w:cs="Arial"/>
        </w:rPr>
        <w:t xml:space="preserve"> health surveillance </w:t>
      </w:r>
      <w:proofErr w:type="spellStart"/>
      <w:r w:rsidR="002A6809">
        <w:rPr>
          <w:rFonts w:ascii="Arial" w:hAnsi="Arial" w:cs="Arial"/>
        </w:rPr>
        <w:t>programme</w:t>
      </w:r>
      <w:proofErr w:type="spellEnd"/>
      <w:r w:rsidRPr="00520E94">
        <w:rPr>
          <w:rFonts w:ascii="Arial" w:hAnsi="Arial" w:cs="Arial"/>
        </w:rPr>
        <w:t xml:space="preserve">.  </w:t>
      </w:r>
      <w:r w:rsidR="00092BDB">
        <w:rPr>
          <w:rFonts w:ascii="Arial" w:hAnsi="Arial" w:cs="Arial"/>
        </w:rPr>
        <w:t xml:space="preserve">This change of approach was necessitated by COVID as the only safe test methodology that could be undertaken during the pandemic. As such the 2020/21 students only undertook an OAE based assessment </w:t>
      </w:r>
      <w:r w:rsidR="006D5D47">
        <w:rPr>
          <w:rFonts w:ascii="Arial" w:hAnsi="Arial" w:cs="Arial"/>
        </w:rPr>
        <w:t xml:space="preserve">as this </w:t>
      </w:r>
      <w:r w:rsidR="00092BDB">
        <w:rPr>
          <w:rFonts w:ascii="Arial" w:hAnsi="Arial" w:cs="Arial"/>
        </w:rPr>
        <w:t>does not require an ISO 8253-1 compliant sound-proof booth</w:t>
      </w:r>
      <w:r w:rsidR="006D5D47">
        <w:rPr>
          <w:rFonts w:ascii="Arial" w:hAnsi="Arial" w:cs="Arial"/>
        </w:rPr>
        <w:t xml:space="preserve"> [1</w:t>
      </w:r>
      <w:r w:rsidR="00253869">
        <w:rPr>
          <w:rFonts w:ascii="Arial" w:hAnsi="Arial" w:cs="Arial"/>
        </w:rPr>
        <w:t>4</w:t>
      </w:r>
      <w:r w:rsidR="006D5D47">
        <w:rPr>
          <w:rFonts w:ascii="Arial" w:hAnsi="Arial" w:cs="Arial"/>
        </w:rPr>
        <w:t>]</w:t>
      </w:r>
      <w:r w:rsidR="00092BDB">
        <w:rPr>
          <w:rFonts w:ascii="Arial" w:hAnsi="Arial" w:cs="Arial"/>
        </w:rPr>
        <w:t xml:space="preserve">.  </w:t>
      </w:r>
    </w:p>
    <w:p w14:paraId="58AD7428" w14:textId="77777777" w:rsidR="00770456" w:rsidRPr="00520E94" w:rsidRDefault="00770456" w:rsidP="005B7DBE">
      <w:pPr>
        <w:ind w:left="993"/>
        <w:rPr>
          <w:rFonts w:ascii="Arial" w:hAnsi="Arial" w:cs="Arial"/>
        </w:rPr>
      </w:pPr>
    </w:p>
    <w:p w14:paraId="40025821" w14:textId="77777777" w:rsidR="00520E94" w:rsidRPr="00520E94" w:rsidRDefault="00520E94" w:rsidP="00520E94">
      <w:pPr>
        <w:ind w:left="567" w:firstLine="873"/>
        <w:rPr>
          <w:rFonts w:ascii="Arial" w:hAnsi="Arial" w:cs="Arial"/>
        </w:rPr>
      </w:pPr>
    </w:p>
    <w:p w14:paraId="34FBB84A" w14:textId="4326BB58" w:rsidR="00520E94" w:rsidRDefault="00520E94" w:rsidP="0016225B">
      <w:pPr>
        <w:pStyle w:val="Heading"/>
        <w:spacing w:after="0"/>
        <w:ind w:left="273" w:firstLine="720"/>
        <w:rPr>
          <w:rFonts w:ascii="Arial" w:hAnsi="Arial" w:cs="Arial"/>
          <w:sz w:val="22"/>
          <w:szCs w:val="22"/>
        </w:rPr>
      </w:pPr>
      <w:r w:rsidRPr="00520E94">
        <w:rPr>
          <w:rFonts w:ascii="Arial" w:hAnsi="Arial" w:cs="Arial"/>
          <w:sz w:val="22"/>
          <w:szCs w:val="22"/>
        </w:rPr>
        <w:t>PILOT STUDY</w:t>
      </w:r>
    </w:p>
    <w:p w14:paraId="3FEDF98F" w14:textId="77777777" w:rsidR="0016225B" w:rsidRPr="0016225B" w:rsidRDefault="0016225B" w:rsidP="0016225B"/>
    <w:p w14:paraId="37E51F2A" w14:textId="1726C4D1" w:rsidR="00520E94" w:rsidRDefault="00520E94" w:rsidP="00CC3C5F">
      <w:pPr>
        <w:ind w:left="993"/>
        <w:rPr>
          <w:rFonts w:ascii="Arial" w:hAnsi="Arial" w:cs="Arial"/>
        </w:rPr>
      </w:pPr>
      <w:r w:rsidRPr="00520E94">
        <w:rPr>
          <w:rFonts w:ascii="Arial" w:hAnsi="Arial" w:cs="Arial"/>
        </w:rPr>
        <w:t xml:space="preserve">A study of </w:t>
      </w:r>
      <w:r w:rsidR="00CC3C5F">
        <w:rPr>
          <w:rFonts w:ascii="Arial" w:hAnsi="Arial" w:cs="Arial"/>
        </w:rPr>
        <w:t>587</w:t>
      </w:r>
      <w:r w:rsidRPr="00520E94">
        <w:rPr>
          <w:rFonts w:ascii="Arial" w:hAnsi="Arial" w:cs="Arial"/>
        </w:rPr>
        <w:t xml:space="preserve"> classical music students </w:t>
      </w:r>
      <w:proofErr w:type="spellStart"/>
      <w:r w:rsidR="00CC3C5F">
        <w:rPr>
          <w:rFonts w:ascii="Arial" w:hAnsi="Arial" w:cs="Arial"/>
        </w:rPr>
        <w:t>h</w:t>
      </w:r>
      <w:r w:rsidR="00120ED3">
        <w:rPr>
          <w:rFonts w:ascii="Arial" w:hAnsi="Arial" w:cs="Arial"/>
        </w:rPr>
        <w:t>was</w:t>
      </w:r>
      <w:proofErr w:type="spellEnd"/>
      <w:r w:rsidR="00CC3C5F">
        <w:rPr>
          <w:rFonts w:ascii="Arial" w:hAnsi="Arial" w:cs="Arial"/>
        </w:rPr>
        <w:t xml:space="preserve"> u</w:t>
      </w:r>
      <w:r w:rsidRPr="00520E94">
        <w:rPr>
          <w:rFonts w:ascii="Arial" w:hAnsi="Arial" w:cs="Arial"/>
        </w:rPr>
        <w:t xml:space="preserve">ndertaken over a </w:t>
      </w:r>
      <w:r w:rsidR="003A286B">
        <w:rPr>
          <w:rFonts w:ascii="Arial" w:hAnsi="Arial" w:cs="Arial"/>
        </w:rPr>
        <w:t>two-year</w:t>
      </w:r>
      <w:r w:rsidR="00CC3C5F">
        <w:rPr>
          <w:rFonts w:ascii="Arial" w:hAnsi="Arial" w:cs="Arial"/>
        </w:rPr>
        <w:t xml:space="preserve"> period starting in July 2021</w:t>
      </w:r>
      <w:r w:rsidR="001963AF">
        <w:rPr>
          <w:rFonts w:ascii="Arial" w:hAnsi="Arial" w:cs="Arial"/>
        </w:rPr>
        <w:t xml:space="preserve"> [1</w:t>
      </w:r>
      <w:r w:rsidR="00253869">
        <w:rPr>
          <w:rFonts w:ascii="Arial" w:hAnsi="Arial" w:cs="Arial"/>
        </w:rPr>
        <w:t>5,16</w:t>
      </w:r>
      <w:r w:rsidR="001963AF">
        <w:rPr>
          <w:rFonts w:ascii="Arial" w:hAnsi="Arial" w:cs="Arial"/>
        </w:rPr>
        <w:t>]</w:t>
      </w:r>
      <w:r w:rsidRPr="00520E94">
        <w:rPr>
          <w:rFonts w:ascii="Arial" w:hAnsi="Arial" w:cs="Arial"/>
        </w:rPr>
        <w:t xml:space="preserve">. The hearing conservation </w:t>
      </w:r>
      <w:proofErr w:type="spellStart"/>
      <w:r w:rsidRPr="00520E94">
        <w:rPr>
          <w:rFonts w:ascii="Arial" w:hAnsi="Arial" w:cs="Arial"/>
        </w:rPr>
        <w:t>programme</w:t>
      </w:r>
      <w:proofErr w:type="spellEnd"/>
      <w:r w:rsidRPr="00520E94">
        <w:rPr>
          <w:rFonts w:ascii="Arial" w:hAnsi="Arial" w:cs="Arial"/>
        </w:rPr>
        <w:t xml:space="preserve"> commenced with a one-hour</w:t>
      </w:r>
      <w:r w:rsidR="00092BDB">
        <w:rPr>
          <w:rFonts w:ascii="Arial" w:hAnsi="Arial" w:cs="Arial"/>
        </w:rPr>
        <w:t xml:space="preserve"> virtual</w:t>
      </w:r>
      <w:r w:rsidRPr="00520E94">
        <w:rPr>
          <w:rFonts w:ascii="Arial" w:hAnsi="Arial" w:cs="Arial"/>
        </w:rPr>
        <w:t xml:space="preserve"> seminar on risks to hearing associated with the sound of music performance. The hearing assessment itself consisted of a short questionnaire, </w:t>
      </w:r>
      <w:r w:rsidR="00CC3C5F">
        <w:rPr>
          <w:rFonts w:ascii="Arial" w:hAnsi="Arial" w:cs="Arial"/>
        </w:rPr>
        <w:t>completed as a one-to-one interview</w:t>
      </w:r>
      <w:r w:rsidRPr="00520E94">
        <w:rPr>
          <w:rFonts w:ascii="Arial" w:hAnsi="Arial" w:cs="Arial"/>
        </w:rPr>
        <w:t>, which included information on instrument studied and years of music exposure plus additional information on leisure activities, part-time work, and music listening habits. Each student was allocated a 1</w:t>
      </w:r>
      <w:r w:rsidR="00CC3C5F">
        <w:rPr>
          <w:rFonts w:ascii="Arial" w:hAnsi="Arial" w:cs="Arial"/>
        </w:rPr>
        <w:t>5</w:t>
      </w:r>
      <w:r w:rsidRPr="00520E94">
        <w:rPr>
          <w:rFonts w:ascii="Arial" w:hAnsi="Arial" w:cs="Arial"/>
        </w:rPr>
        <w:t xml:space="preserve">-minute slot for the hearing assessment comprising OAE and PTA.  OAE testing was undertaken in an anechoic chamber, ambient noise level LAeq, 30 minutes 18 dBA, using a Path Medical OAE </w:t>
      </w:r>
      <w:proofErr w:type="spellStart"/>
      <w:r w:rsidRPr="00520E94">
        <w:rPr>
          <w:rFonts w:ascii="Arial" w:hAnsi="Arial" w:cs="Arial"/>
        </w:rPr>
        <w:t>Senti</w:t>
      </w:r>
      <w:proofErr w:type="spellEnd"/>
      <w:r w:rsidRPr="00520E94">
        <w:rPr>
          <w:rFonts w:ascii="Arial" w:hAnsi="Arial" w:cs="Arial"/>
        </w:rPr>
        <w:t xml:space="preserve"> instrument and dual ear probes with eight sizes of ear tips to ensure a good ear canal seal</w:t>
      </w:r>
      <w:r w:rsidR="00AB385F">
        <w:rPr>
          <w:rFonts w:ascii="Arial" w:hAnsi="Arial" w:cs="Arial"/>
        </w:rPr>
        <w:t xml:space="preserve"> [1</w:t>
      </w:r>
      <w:r w:rsidR="00B256F3">
        <w:rPr>
          <w:rFonts w:ascii="Arial" w:hAnsi="Arial" w:cs="Arial"/>
        </w:rPr>
        <w:t>7</w:t>
      </w:r>
      <w:r w:rsidR="00AB385F">
        <w:rPr>
          <w:rFonts w:ascii="Arial" w:hAnsi="Arial" w:cs="Arial"/>
        </w:rPr>
        <w:t>]</w:t>
      </w:r>
      <w:r w:rsidRPr="00520E94">
        <w:rPr>
          <w:rFonts w:ascii="Arial" w:hAnsi="Arial" w:cs="Arial"/>
        </w:rPr>
        <w:t xml:space="preserve">. The instrument was used in simultaneous </w:t>
      </w:r>
      <w:r w:rsidR="00120ED3">
        <w:rPr>
          <w:rFonts w:ascii="Arial" w:hAnsi="Arial" w:cs="Arial"/>
        </w:rPr>
        <w:t xml:space="preserve">ear </w:t>
      </w:r>
      <w:r w:rsidRPr="00520E94">
        <w:rPr>
          <w:rFonts w:ascii="Arial" w:hAnsi="Arial" w:cs="Arial"/>
        </w:rPr>
        <w:t>mode to speed up the testing procedure, so that an assessment could be undertaken in under three minutes</w:t>
      </w:r>
      <w:r w:rsidR="00CC3C5F">
        <w:rPr>
          <w:rFonts w:ascii="Arial" w:hAnsi="Arial" w:cs="Arial"/>
        </w:rPr>
        <w:t xml:space="preserve">. The anechoic chamber was </w:t>
      </w:r>
      <w:r w:rsidR="00120ED3">
        <w:rPr>
          <w:rFonts w:ascii="Arial" w:hAnsi="Arial" w:cs="Arial"/>
        </w:rPr>
        <w:t xml:space="preserve">also </w:t>
      </w:r>
      <w:r w:rsidR="00CC3C5F">
        <w:rPr>
          <w:rFonts w:ascii="Arial" w:hAnsi="Arial" w:cs="Arial"/>
        </w:rPr>
        <w:t>found to speed up the assessment due to lower ambient noise levels</w:t>
      </w:r>
      <w:r w:rsidR="00120ED3">
        <w:rPr>
          <w:rFonts w:ascii="Arial" w:hAnsi="Arial" w:cs="Arial"/>
        </w:rPr>
        <w:t>. I</w:t>
      </w:r>
      <w:r w:rsidR="00CC3C5F">
        <w:rPr>
          <w:rFonts w:ascii="Arial" w:hAnsi="Arial" w:cs="Arial"/>
        </w:rPr>
        <w:t xml:space="preserve">n </w:t>
      </w:r>
      <w:proofErr w:type="gramStart"/>
      <w:r w:rsidR="00CC3C5F">
        <w:rPr>
          <w:rFonts w:ascii="Arial" w:hAnsi="Arial" w:cs="Arial"/>
        </w:rPr>
        <w:t>addition</w:t>
      </w:r>
      <w:proofErr w:type="gramEnd"/>
      <w:r w:rsidR="00CC3C5F">
        <w:rPr>
          <w:rFonts w:ascii="Arial" w:hAnsi="Arial" w:cs="Arial"/>
        </w:rPr>
        <w:t xml:space="preserve"> those </w:t>
      </w:r>
      <w:r w:rsidR="00120ED3">
        <w:rPr>
          <w:rFonts w:ascii="Arial" w:hAnsi="Arial" w:cs="Arial"/>
        </w:rPr>
        <w:t>students</w:t>
      </w:r>
      <w:r w:rsidR="00CC3C5F">
        <w:rPr>
          <w:rFonts w:ascii="Arial" w:hAnsi="Arial" w:cs="Arial"/>
        </w:rPr>
        <w:t xml:space="preserve"> with excellent hearing acuity were found to complete the test in less than 1 minute</w:t>
      </w:r>
      <w:r w:rsidRPr="00520E94">
        <w:rPr>
          <w:rFonts w:ascii="Arial" w:hAnsi="Arial" w:cs="Arial"/>
        </w:rPr>
        <w:t xml:space="preserve">. </w:t>
      </w:r>
      <w:r w:rsidR="00CC3C5F">
        <w:rPr>
          <w:rFonts w:ascii="Arial" w:hAnsi="Arial" w:cs="Arial"/>
        </w:rPr>
        <w:t>Hearing Coach software [1</w:t>
      </w:r>
      <w:r w:rsidR="00B256F3">
        <w:rPr>
          <w:rFonts w:ascii="Arial" w:hAnsi="Arial" w:cs="Arial"/>
        </w:rPr>
        <w:t>8</w:t>
      </w:r>
      <w:r w:rsidR="00CC3C5F">
        <w:rPr>
          <w:rFonts w:ascii="Arial" w:hAnsi="Arial" w:cs="Arial"/>
        </w:rPr>
        <w:t xml:space="preserve">] was used to analysis the OAEs to produce </w:t>
      </w:r>
      <w:r w:rsidR="00325C1C">
        <w:rPr>
          <w:rFonts w:ascii="Arial" w:hAnsi="Arial" w:cs="Arial"/>
        </w:rPr>
        <w:t>Estimated Outer Haircell (OHC) Damage percent</w:t>
      </w:r>
      <w:r w:rsidR="00120ED3">
        <w:rPr>
          <w:rFonts w:ascii="Arial" w:hAnsi="Arial" w:cs="Arial"/>
        </w:rPr>
        <w:t>age</w:t>
      </w:r>
      <w:r w:rsidR="00CC3C5F">
        <w:rPr>
          <w:rFonts w:ascii="Arial" w:hAnsi="Arial" w:cs="Arial"/>
        </w:rPr>
        <w:t xml:space="preserve"> at </w:t>
      </w:r>
      <w:r w:rsidRPr="00520E94">
        <w:rPr>
          <w:rFonts w:ascii="Arial" w:hAnsi="Arial" w:cs="Arial"/>
        </w:rPr>
        <w:t xml:space="preserve">twelve </w:t>
      </w:r>
      <w:r w:rsidR="00CC3C5F">
        <w:rPr>
          <w:rFonts w:ascii="Arial" w:hAnsi="Arial" w:cs="Arial"/>
        </w:rPr>
        <w:t>f</w:t>
      </w:r>
      <w:r w:rsidRPr="00520E94">
        <w:rPr>
          <w:rFonts w:ascii="Arial" w:hAnsi="Arial" w:cs="Arial"/>
        </w:rPr>
        <w:t>requencies</w:t>
      </w:r>
      <w:r w:rsidR="00120ED3">
        <w:rPr>
          <w:rFonts w:ascii="Arial" w:hAnsi="Arial" w:cs="Arial"/>
        </w:rPr>
        <w:t>,</w:t>
      </w:r>
      <w:r w:rsidRPr="00520E94">
        <w:rPr>
          <w:rFonts w:ascii="Arial" w:hAnsi="Arial" w:cs="Arial"/>
        </w:rPr>
        <w:t xml:space="preserve"> 1000-6500 Hz at 500 Hz intervals for each ear</w:t>
      </w:r>
      <w:r w:rsidR="00325C1C">
        <w:rPr>
          <w:rFonts w:ascii="Arial" w:hAnsi="Arial" w:cs="Arial"/>
        </w:rPr>
        <w:t xml:space="preserve"> and an overall estimate of OHC </w:t>
      </w:r>
      <w:r w:rsidR="00AB385F">
        <w:rPr>
          <w:rFonts w:ascii="Arial" w:hAnsi="Arial" w:cs="Arial"/>
        </w:rPr>
        <w:t>damage</w:t>
      </w:r>
      <w:r w:rsidRPr="00520E94">
        <w:rPr>
          <w:rFonts w:ascii="Arial" w:hAnsi="Arial" w:cs="Arial"/>
        </w:rPr>
        <w:t xml:space="preserve">. </w:t>
      </w:r>
      <w:r w:rsidR="00CC3C5F">
        <w:rPr>
          <w:rFonts w:ascii="Arial" w:hAnsi="Arial" w:cs="Arial"/>
        </w:rPr>
        <w:t xml:space="preserve">The </w:t>
      </w:r>
      <w:r w:rsidR="00325C1C">
        <w:rPr>
          <w:rFonts w:ascii="Arial" w:hAnsi="Arial" w:cs="Arial"/>
        </w:rPr>
        <w:t xml:space="preserve">results were then explained to the student with a proposed new rule of thumb, </w:t>
      </w:r>
      <w:r w:rsidR="00AB385F">
        <w:rPr>
          <w:rFonts w:ascii="Arial" w:hAnsi="Arial" w:cs="Arial"/>
        </w:rPr>
        <w:t>“</w:t>
      </w:r>
      <w:r w:rsidR="00325C1C">
        <w:rPr>
          <w:rFonts w:ascii="Arial" w:hAnsi="Arial" w:cs="Arial"/>
        </w:rPr>
        <w:t>damage less than the patient’s age</w:t>
      </w:r>
      <w:r w:rsidR="00AB385F">
        <w:rPr>
          <w:rFonts w:ascii="Arial" w:hAnsi="Arial" w:cs="Arial"/>
        </w:rPr>
        <w:t xml:space="preserve"> indicates good hearing acuity”</w:t>
      </w:r>
      <w:r w:rsidR="00325C1C">
        <w:rPr>
          <w:rFonts w:ascii="Arial" w:hAnsi="Arial" w:cs="Arial"/>
        </w:rPr>
        <w:t>. This paper tests that hypothesis</w:t>
      </w:r>
      <w:r w:rsidR="003A286B">
        <w:rPr>
          <w:rFonts w:ascii="Arial" w:hAnsi="Arial" w:cs="Arial"/>
        </w:rPr>
        <w:t xml:space="preserve"> which was create for reasons of simplicity of understanding and speed of explanation</w:t>
      </w:r>
      <w:r w:rsidR="00325C1C">
        <w:rPr>
          <w:rFonts w:ascii="Arial" w:hAnsi="Arial" w:cs="Arial"/>
        </w:rPr>
        <w:t>.</w:t>
      </w:r>
    </w:p>
    <w:p w14:paraId="7B838FE4" w14:textId="77777777" w:rsidR="00770456" w:rsidRPr="00520E94" w:rsidRDefault="00770456" w:rsidP="00CC3C5F">
      <w:pPr>
        <w:ind w:left="993"/>
        <w:rPr>
          <w:rFonts w:ascii="Arial" w:hAnsi="Arial" w:cs="Arial"/>
        </w:rPr>
      </w:pPr>
    </w:p>
    <w:p w14:paraId="6BE96F83" w14:textId="77777777" w:rsidR="00520E94" w:rsidRPr="00520E94" w:rsidRDefault="00520E94" w:rsidP="00520E94">
      <w:pPr>
        <w:ind w:left="567" w:firstLine="873"/>
        <w:rPr>
          <w:rFonts w:ascii="Arial" w:hAnsi="Arial" w:cs="Arial"/>
        </w:rPr>
      </w:pPr>
    </w:p>
    <w:p w14:paraId="43245D58" w14:textId="0BDCA316" w:rsidR="00770456" w:rsidRPr="00770456" w:rsidRDefault="001264EA" w:rsidP="00770456">
      <w:pPr>
        <w:ind w:left="567" w:firstLine="426"/>
        <w:rPr>
          <w:rFonts w:ascii="Arial" w:hAnsi="Arial" w:cs="Arial"/>
          <w:b/>
          <w:bCs/>
        </w:rPr>
      </w:pPr>
      <w:r>
        <w:rPr>
          <w:rFonts w:ascii="Arial" w:hAnsi="Arial" w:cs="Arial"/>
          <w:b/>
          <w:bCs/>
        </w:rPr>
        <w:t xml:space="preserve">PRIOR </w:t>
      </w:r>
      <w:r w:rsidR="00770456" w:rsidRPr="00770456">
        <w:rPr>
          <w:rFonts w:ascii="Arial" w:hAnsi="Arial" w:cs="Arial"/>
          <w:b/>
          <w:bCs/>
        </w:rPr>
        <w:t>RESULTS</w:t>
      </w:r>
    </w:p>
    <w:p w14:paraId="302038EB" w14:textId="5F346F81" w:rsidR="00770456" w:rsidRDefault="00770456" w:rsidP="00520E94">
      <w:pPr>
        <w:ind w:left="567" w:firstLine="873"/>
        <w:rPr>
          <w:rFonts w:ascii="Arial" w:hAnsi="Arial" w:cs="Arial"/>
        </w:rPr>
      </w:pPr>
    </w:p>
    <w:p w14:paraId="79A6836C" w14:textId="41D9851A" w:rsidR="00770456" w:rsidRDefault="005C4A15" w:rsidP="00531B44">
      <w:pPr>
        <w:ind w:left="993"/>
        <w:rPr>
          <w:rFonts w:ascii="Arial" w:hAnsi="Arial" w:cs="Arial"/>
        </w:rPr>
      </w:pPr>
      <w:r>
        <w:rPr>
          <w:rFonts w:ascii="Arial" w:hAnsi="Arial" w:cs="Arial"/>
        </w:rPr>
        <w:t xml:space="preserve">In March 2022, </w:t>
      </w:r>
      <w:r w:rsidR="00531B44">
        <w:rPr>
          <w:rFonts w:ascii="Arial" w:hAnsi="Arial" w:cs="Arial"/>
        </w:rPr>
        <w:t xml:space="preserve">after discussions with </w:t>
      </w:r>
      <w:r>
        <w:rPr>
          <w:rFonts w:ascii="Arial" w:hAnsi="Arial" w:cs="Arial"/>
        </w:rPr>
        <w:t>Hearing Coach [</w:t>
      </w:r>
      <w:r w:rsidR="00AB385F">
        <w:rPr>
          <w:rFonts w:ascii="Arial" w:hAnsi="Arial" w:cs="Arial"/>
        </w:rPr>
        <w:t>1</w:t>
      </w:r>
      <w:r w:rsidR="00B256F3">
        <w:rPr>
          <w:rFonts w:ascii="Arial" w:hAnsi="Arial" w:cs="Arial"/>
        </w:rPr>
        <w:t>9</w:t>
      </w:r>
      <w:r>
        <w:rPr>
          <w:rFonts w:ascii="Arial" w:hAnsi="Arial" w:cs="Arial"/>
        </w:rPr>
        <w:t xml:space="preserve">] evidence </w:t>
      </w:r>
      <w:r w:rsidR="00531B44">
        <w:rPr>
          <w:rFonts w:ascii="Arial" w:hAnsi="Arial" w:cs="Arial"/>
        </w:rPr>
        <w:t xml:space="preserve">was provided, see below, </w:t>
      </w:r>
      <w:r>
        <w:rPr>
          <w:rFonts w:ascii="Arial" w:hAnsi="Arial" w:cs="Arial"/>
        </w:rPr>
        <w:t xml:space="preserve">as to the OHC damage by age </w:t>
      </w:r>
      <w:r w:rsidR="00531B44">
        <w:rPr>
          <w:rFonts w:ascii="Arial" w:hAnsi="Arial" w:cs="Arial"/>
        </w:rPr>
        <w:t xml:space="preserve">and gender </w:t>
      </w:r>
      <w:r>
        <w:rPr>
          <w:rFonts w:ascii="Arial" w:hAnsi="Arial" w:cs="Arial"/>
        </w:rPr>
        <w:t>based on 30,000 tests. The</w:t>
      </w:r>
      <w:r w:rsidR="00531B44">
        <w:rPr>
          <w:rFonts w:ascii="Arial" w:hAnsi="Arial" w:cs="Arial"/>
        </w:rPr>
        <w:t xml:space="preserve"> Hearing Coach </w:t>
      </w:r>
      <w:r>
        <w:rPr>
          <w:rFonts w:ascii="Arial" w:hAnsi="Arial" w:cs="Arial"/>
        </w:rPr>
        <w:t xml:space="preserve">software </w:t>
      </w:r>
      <w:r w:rsidR="00DC4F60">
        <w:rPr>
          <w:rFonts w:ascii="Arial" w:hAnsi="Arial" w:cs="Arial"/>
        </w:rPr>
        <w:t>stor</w:t>
      </w:r>
      <w:r w:rsidR="00120ED3">
        <w:rPr>
          <w:rFonts w:ascii="Arial" w:hAnsi="Arial" w:cs="Arial"/>
        </w:rPr>
        <w:t>ing</w:t>
      </w:r>
      <w:r w:rsidR="00DC4F60">
        <w:rPr>
          <w:rFonts w:ascii="Arial" w:hAnsi="Arial" w:cs="Arial"/>
        </w:rPr>
        <w:t xml:space="preserve"> a</w:t>
      </w:r>
      <w:r w:rsidR="00531B44">
        <w:rPr>
          <w:rFonts w:ascii="Arial" w:hAnsi="Arial" w:cs="Arial"/>
        </w:rPr>
        <w:t>ll results on a centrally hosted database.</w:t>
      </w:r>
      <w:r w:rsidR="00DC4F60">
        <w:rPr>
          <w:rFonts w:ascii="Arial" w:hAnsi="Arial" w:cs="Arial"/>
        </w:rPr>
        <w:t xml:space="preserve"> </w:t>
      </w:r>
      <w:r w:rsidR="00531B44">
        <w:rPr>
          <w:rFonts w:ascii="Arial" w:hAnsi="Arial" w:cs="Arial"/>
        </w:rPr>
        <w:t xml:space="preserve"> </w:t>
      </w:r>
    </w:p>
    <w:p w14:paraId="1EF72F17" w14:textId="77777777" w:rsidR="001F671C" w:rsidRDefault="001F671C" w:rsidP="00531B44">
      <w:pPr>
        <w:ind w:left="993"/>
        <w:rPr>
          <w:rFonts w:ascii="Arial" w:hAnsi="Arial" w:cs="Arial"/>
        </w:rPr>
      </w:pPr>
    </w:p>
    <w:p w14:paraId="57FE7A37" w14:textId="4556D18A" w:rsidR="005C4A15" w:rsidRDefault="005C4A15" w:rsidP="00DC4F60">
      <w:pPr>
        <w:ind w:firstLine="851"/>
        <w:rPr>
          <w:rFonts w:ascii="Arial" w:hAnsi="Arial" w:cs="Arial"/>
        </w:rPr>
      </w:pPr>
      <w:r w:rsidRPr="00D90A1F">
        <w:rPr>
          <w:rFonts w:ascii="Arial"/>
          <w:noProof/>
        </w:rPr>
        <w:drawing>
          <wp:inline distT="0" distB="0" distL="0" distR="0" wp14:anchorId="4E860E73" wp14:editId="4AC705B5">
            <wp:extent cx="2653004" cy="2834829"/>
            <wp:effectExtent l="0" t="0" r="0" b="3810"/>
            <wp:docPr id="5" name="Picture 4" descr="Chart, scatter chart&#10;&#10;Description automatically generated">
              <a:extLst xmlns:a="http://schemas.openxmlformats.org/drawingml/2006/main">
                <a:ext uri="{FF2B5EF4-FFF2-40B4-BE49-F238E27FC236}">
                  <a16:creationId xmlns:a16="http://schemas.microsoft.com/office/drawing/2014/main" id="{9F7267FC-469B-205B-9040-40AC00E5F0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hart, scatter chart&#10;&#10;Description automatically generated">
                      <a:extLst>
                        <a:ext uri="{FF2B5EF4-FFF2-40B4-BE49-F238E27FC236}">
                          <a16:creationId xmlns:a16="http://schemas.microsoft.com/office/drawing/2014/main" id="{9F7267FC-469B-205B-9040-40AC00E5F012}"/>
                        </a:ext>
                      </a:extLst>
                    </pic:cNvPr>
                    <pic:cNvPicPr>
                      <a:picLocks noChangeAspect="1"/>
                    </pic:cNvPicPr>
                  </pic:nvPicPr>
                  <pic:blipFill>
                    <a:blip r:embed="rId9"/>
                    <a:stretch>
                      <a:fillRect/>
                    </a:stretch>
                  </pic:blipFill>
                  <pic:spPr>
                    <a:xfrm>
                      <a:off x="0" y="0"/>
                      <a:ext cx="2674177" cy="2857453"/>
                    </a:xfrm>
                    <a:prstGeom prst="rect">
                      <a:avLst/>
                    </a:prstGeom>
                  </pic:spPr>
                </pic:pic>
              </a:graphicData>
            </a:graphic>
          </wp:inline>
        </w:drawing>
      </w:r>
      <w:r w:rsidRPr="00D90A1F">
        <w:rPr>
          <w:rFonts w:ascii="Arial"/>
          <w:noProof/>
        </w:rPr>
        <w:drawing>
          <wp:inline distT="0" distB="0" distL="0" distR="0" wp14:anchorId="68E9F77F" wp14:editId="08A6A08C">
            <wp:extent cx="2603500" cy="2821806"/>
            <wp:effectExtent l="0" t="0" r="6350" b="0"/>
            <wp:docPr id="7" name="Picture 6" descr="Chart, scatter chart&#10;&#10;Description automatically generated">
              <a:extLst xmlns:a="http://schemas.openxmlformats.org/drawingml/2006/main">
                <a:ext uri="{FF2B5EF4-FFF2-40B4-BE49-F238E27FC236}">
                  <a16:creationId xmlns:a16="http://schemas.microsoft.com/office/drawing/2014/main" id="{3EED48BF-88B9-D2E4-01FC-BF02423A1F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hart, scatter chart&#10;&#10;Description automatically generated">
                      <a:extLst>
                        <a:ext uri="{FF2B5EF4-FFF2-40B4-BE49-F238E27FC236}">
                          <a16:creationId xmlns:a16="http://schemas.microsoft.com/office/drawing/2014/main" id="{3EED48BF-88B9-D2E4-01FC-BF02423A1FEA}"/>
                        </a:ext>
                      </a:extLst>
                    </pic:cNvPr>
                    <pic:cNvPicPr>
                      <a:picLocks noChangeAspect="1"/>
                    </pic:cNvPicPr>
                  </pic:nvPicPr>
                  <pic:blipFill>
                    <a:blip r:embed="rId10"/>
                    <a:stretch>
                      <a:fillRect/>
                    </a:stretch>
                  </pic:blipFill>
                  <pic:spPr>
                    <a:xfrm>
                      <a:off x="0" y="0"/>
                      <a:ext cx="2628178" cy="2848554"/>
                    </a:xfrm>
                    <a:prstGeom prst="rect">
                      <a:avLst/>
                    </a:prstGeom>
                  </pic:spPr>
                </pic:pic>
              </a:graphicData>
            </a:graphic>
          </wp:inline>
        </w:drawing>
      </w:r>
    </w:p>
    <w:p w14:paraId="2EB175DF" w14:textId="77777777" w:rsidR="00DC4F60" w:rsidRDefault="00DC4F60" w:rsidP="005C4A15">
      <w:pPr>
        <w:rPr>
          <w:rFonts w:ascii="Arial" w:hAnsi="Arial" w:cs="Arial"/>
        </w:rPr>
      </w:pPr>
    </w:p>
    <w:p w14:paraId="0FCEF296" w14:textId="2D72DE21" w:rsidR="005C4A15" w:rsidRDefault="00DC4F60" w:rsidP="003A286B">
      <w:pPr>
        <w:ind w:firstLine="1134"/>
        <w:rPr>
          <w:rFonts w:ascii="Arial" w:hAnsi="Arial" w:cs="Arial"/>
        </w:rPr>
      </w:pPr>
      <w:r>
        <w:rPr>
          <w:rFonts w:ascii="Arial" w:hAnsi="Arial" w:cs="Arial"/>
        </w:rPr>
        <w:t>Figure 1 Overall Outer Haircell Damage by age and gender, 10, 50 and 90 percentile</w:t>
      </w:r>
      <w:r w:rsidR="003A286B">
        <w:rPr>
          <w:rFonts w:ascii="Arial" w:hAnsi="Arial" w:cs="Arial"/>
        </w:rPr>
        <w:t>s</w:t>
      </w:r>
    </w:p>
    <w:p w14:paraId="35C5D3E2" w14:textId="71169D9A" w:rsidR="003A286B" w:rsidRDefault="003A286B" w:rsidP="005C4A15">
      <w:pPr>
        <w:rPr>
          <w:rFonts w:ascii="Arial" w:hAnsi="Arial" w:cs="Arial"/>
        </w:rPr>
      </w:pPr>
      <w:r>
        <w:rPr>
          <w:rFonts w:ascii="Arial" w:hAnsi="Arial" w:cs="Arial"/>
        </w:rPr>
        <w:tab/>
      </w:r>
    </w:p>
    <w:p w14:paraId="393D15E8" w14:textId="5068F58D" w:rsidR="00DC4F60" w:rsidRDefault="003A286B" w:rsidP="00F1286E">
      <w:pPr>
        <w:ind w:left="720"/>
        <w:rPr>
          <w:rFonts w:ascii="Arial" w:hAnsi="Arial" w:cs="Arial"/>
        </w:rPr>
      </w:pPr>
      <w:r>
        <w:rPr>
          <w:rFonts w:ascii="Arial" w:hAnsi="Arial" w:cs="Arial"/>
        </w:rPr>
        <w:t xml:space="preserve">Analysis of figure 1 shows that for men at the 50% percentile the rule of thumb holds for all ages except one: 18-30 is 26, 31-40 is 36, 41-50 is 50, 51-60 is 63 and 60-60+ is 68. For women the 50% percentile </w:t>
      </w:r>
      <w:r w:rsidR="00F1286E">
        <w:rPr>
          <w:rFonts w:ascii="Arial" w:hAnsi="Arial" w:cs="Arial"/>
        </w:rPr>
        <w:t xml:space="preserve">value are all lower: 18-30 is 13, 31-40 is 22, 41-50 is 38, 51-60 is 49 and 60+ is 59. Combining the two sets of data, </w:t>
      </w:r>
      <w:proofErr w:type="gramStart"/>
      <w:r w:rsidR="00F1286E">
        <w:rPr>
          <w:rFonts w:ascii="Arial" w:hAnsi="Arial" w:cs="Arial"/>
        </w:rPr>
        <w:t>men</w:t>
      </w:r>
      <w:proofErr w:type="gramEnd"/>
      <w:r w:rsidR="00F1286E">
        <w:rPr>
          <w:rFonts w:ascii="Arial" w:hAnsi="Arial" w:cs="Arial"/>
        </w:rPr>
        <w:t xml:space="preserve"> and women, to explain to the patient their results </w:t>
      </w:r>
      <w:r w:rsidR="001C7722">
        <w:rPr>
          <w:rFonts w:ascii="Arial" w:hAnsi="Arial" w:cs="Arial"/>
        </w:rPr>
        <w:t>provide</w:t>
      </w:r>
      <w:r w:rsidR="00F1286E">
        <w:rPr>
          <w:rFonts w:ascii="Arial" w:hAnsi="Arial" w:cs="Arial"/>
        </w:rPr>
        <w:t xml:space="preserve"> the following percentages for the 50% percentile: 18-30 is 20, 31-40 is 29, 41-50 is 44, 51-60 is 55 and 60+ 64. This analysis provides confidence in the hypothesis with </w:t>
      </w:r>
      <w:r w:rsidR="001264EA">
        <w:rPr>
          <w:rFonts w:ascii="Arial" w:hAnsi="Arial" w:cs="Arial"/>
        </w:rPr>
        <w:t xml:space="preserve">just </w:t>
      </w:r>
      <w:r w:rsidR="00F1286E">
        <w:rPr>
          <w:rFonts w:ascii="Arial" w:hAnsi="Arial" w:cs="Arial"/>
        </w:rPr>
        <w:t>one marginal case</w:t>
      </w:r>
      <w:r w:rsidR="00E44FC5">
        <w:rPr>
          <w:rFonts w:ascii="Arial" w:hAnsi="Arial" w:cs="Arial"/>
        </w:rPr>
        <w:t xml:space="preserve"> using an independently collected dataset</w:t>
      </w:r>
      <w:r w:rsidR="00F1286E">
        <w:rPr>
          <w:rFonts w:ascii="Arial" w:hAnsi="Arial" w:cs="Arial"/>
        </w:rPr>
        <w:t xml:space="preserve">.  </w:t>
      </w:r>
    </w:p>
    <w:p w14:paraId="75931DDD" w14:textId="65A10BDF" w:rsidR="001C7722" w:rsidRDefault="001C7722" w:rsidP="00F1286E">
      <w:pPr>
        <w:ind w:left="720"/>
        <w:rPr>
          <w:rFonts w:ascii="Arial" w:hAnsi="Arial" w:cs="Arial"/>
        </w:rPr>
      </w:pPr>
    </w:p>
    <w:p w14:paraId="6E514832" w14:textId="77777777" w:rsidR="00E44FC5" w:rsidRDefault="00E44FC5" w:rsidP="00F1286E">
      <w:pPr>
        <w:ind w:left="720"/>
        <w:rPr>
          <w:rFonts w:ascii="Arial" w:hAnsi="Arial" w:cs="Arial"/>
        </w:rPr>
      </w:pPr>
    </w:p>
    <w:p w14:paraId="22585FE3" w14:textId="5B00D8EA" w:rsidR="001264EA" w:rsidRPr="001264EA" w:rsidRDefault="001264EA" w:rsidP="00F1286E">
      <w:pPr>
        <w:ind w:left="720"/>
        <w:rPr>
          <w:rFonts w:ascii="Arial" w:hAnsi="Arial" w:cs="Arial"/>
          <w:b/>
          <w:bCs/>
        </w:rPr>
      </w:pPr>
      <w:r w:rsidRPr="001264EA">
        <w:rPr>
          <w:rFonts w:ascii="Arial" w:hAnsi="Arial" w:cs="Arial"/>
          <w:b/>
          <w:bCs/>
        </w:rPr>
        <w:t>RESULTS</w:t>
      </w:r>
    </w:p>
    <w:p w14:paraId="501F7FAF" w14:textId="63724C4A" w:rsidR="001264EA" w:rsidRDefault="001264EA" w:rsidP="00F1286E">
      <w:pPr>
        <w:ind w:left="720"/>
        <w:rPr>
          <w:rFonts w:ascii="Arial" w:hAnsi="Arial" w:cs="Arial"/>
        </w:rPr>
      </w:pPr>
    </w:p>
    <w:p w14:paraId="388A64B5" w14:textId="4C056F37" w:rsidR="00BF0732" w:rsidRDefault="00F44BAA" w:rsidP="00F1286E">
      <w:pPr>
        <w:ind w:left="720"/>
        <w:rPr>
          <w:rFonts w:ascii="Arial" w:hAnsi="Arial" w:cs="Arial"/>
        </w:rPr>
      </w:pPr>
      <w:r>
        <w:rPr>
          <w:rFonts w:ascii="Arial" w:hAnsi="Arial" w:cs="Arial"/>
        </w:rPr>
        <w:t>Otoacoustics emission assessment</w:t>
      </w:r>
      <w:r w:rsidR="00BF0732">
        <w:rPr>
          <w:rFonts w:ascii="Arial" w:hAnsi="Arial" w:cs="Arial"/>
        </w:rPr>
        <w:t>s</w:t>
      </w:r>
      <w:r>
        <w:rPr>
          <w:rFonts w:ascii="Arial" w:hAnsi="Arial" w:cs="Arial"/>
        </w:rPr>
        <w:t xml:space="preserve"> totaled, n=502. This compares to the 587 audiograms taken</w:t>
      </w:r>
      <w:r w:rsidR="000C3843">
        <w:rPr>
          <w:rFonts w:ascii="Arial" w:hAnsi="Arial" w:cs="Arial"/>
        </w:rPr>
        <w:t xml:space="preserve">. </w:t>
      </w:r>
      <w:r>
        <w:rPr>
          <w:rFonts w:ascii="Arial" w:hAnsi="Arial" w:cs="Arial"/>
        </w:rPr>
        <w:t>This was mainly due to small amounts of ear wax blocking the ear probe making it impossible to accurately measure the emissions</w:t>
      </w:r>
      <w:r w:rsidR="000C3843">
        <w:rPr>
          <w:rFonts w:ascii="Arial" w:hAnsi="Arial" w:cs="Arial"/>
        </w:rPr>
        <w:t xml:space="preserve">, </w:t>
      </w:r>
      <w:proofErr w:type="gramStart"/>
      <w:r w:rsidR="000C3843">
        <w:rPr>
          <w:rFonts w:ascii="Arial" w:hAnsi="Arial" w:cs="Arial"/>
        </w:rPr>
        <w:t>a</w:t>
      </w:r>
      <w:proofErr w:type="gramEnd"/>
      <w:r w:rsidR="000C3843">
        <w:rPr>
          <w:rFonts w:ascii="Arial" w:hAnsi="Arial" w:cs="Arial"/>
        </w:rPr>
        <w:t xml:space="preserve"> efficacy rate of 85.7%</w:t>
      </w:r>
      <w:r>
        <w:rPr>
          <w:rFonts w:ascii="Arial" w:hAnsi="Arial" w:cs="Arial"/>
        </w:rPr>
        <w:t>.</w:t>
      </w:r>
      <w:r w:rsidR="00A90BC7">
        <w:rPr>
          <w:rFonts w:ascii="Arial" w:hAnsi="Arial" w:cs="Arial"/>
        </w:rPr>
        <w:t xml:space="preserve"> </w:t>
      </w:r>
    </w:p>
    <w:p w14:paraId="705FA8CE" w14:textId="20DBE6D1" w:rsidR="008D378C" w:rsidRDefault="008D378C" w:rsidP="00F1286E">
      <w:pPr>
        <w:ind w:left="720"/>
        <w:rPr>
          <w:rFonts w:ascii="Arial" w:hAnsi="Arial" w:cs="Arial"/>
        </w:rPr>
      </w:pPr>
    </w:p>
    <w:p w14:paraId="2F329CB2" w14:textId="0B1E0943" w:rsidR="008D378C" w:rsidRDefault="008D378C" w:rsidP="00F1286E">
      <w:pPr>
        <w:ind w:left="720"/>
        <w:rPr>
          <w:rFonts w:ascii="Arial" w:hAnsi="Arial" w:cs="Arial"/>
        </w:rPr>
      </w:pPr>
      <w:r>
        <w:rPr>
          <w:rFonts w:ascii="Arial" w:hAnsi="Arial" w:cs="Arial"/>
        </w:rPr>
        <w:t>Table 1: Estimated Overall Outer Hair Cell Damage</w:t>
      </w:r>
      <w:r w:rsidR="000C3843">
        <w:rPr>
          <w:rFonts w:ascii="Arial" w:hAnsi="Arial" w:cs="Arial"/>
        </w:rPr>
        <w:t xml:space="preserve"> (%)</w:t>
      </w:r>
      <w:r>
        <w:rPr>
          <w:rFonts w:ascii="Arial" w:hAnsi="Arial" w:cs="Arial"/>
        </w:rPr>
        <w:t xml:space="preserve"> for 18-30 Age Group</w:t>
      </w:r>
    </w:p>
    <w:p w14:paraId="559732B9" w14:textId="2481D972" w:rsidR="00D53799" w:rsidRDefault="00D53799" w:rsidP="00F1286E">
      <w:pPr>
        <w:ind w:left="720"/>
        <w:rPr>
          <w:rFonts w:ascii="Arial" w:hAnsi="Arial" w:cs="Arial"/>
        </w:rPr>
      </w:pPr>
    </w:p>
    <w:tbl>
      <w:tblPr>
        <w:tblStyle w:val="TableGrid"/>
        <w:tblW w:w="0" w:type="auto"/>
        <w:tblInd w:w="720" w:type="dxa"/>
        <w:tblLook w:val="04A0" w:firstRow="1" w:lastRow="0" w:firstColumn="1" w:lastColumn="0" w:noHBand="0" w:noVBand="1"/>
      </w:tblPr>
      <w:tblGrid>
        <w:gridCol w:w="1430"/>
        <w:gridCol w:w="1269"/>
        <w:gridCol w:w="1269"/>
        <w:gridCol w:w="1213"/>
        <w:gridCol w:w="1213"/>
        <w:gridCol w:w="1213"/>
        <w:gridCol w:w="1213"/>
      </w:tblGrid>
      <w:tr w:rsidR="008D378C" w14:paraId="5164C959" w14:textId="77777777" w:rsidTr="008D378C">
        <w:tc>
          <w:tcPr>
            <w:tcW w:w="1543" w:type="dxa"/>
          </w:tcPr>
          <w:p w14:paraId="4C4961D7" w14:textId="77777777" w:rsidR="008D378C" w:rsidRDefault="008D378C" w:rsidP="00F1286E">
            <w:pPr>
              <w:rPr>
                <w:rFonts w:ascii="Arial" w:hAnsi="Arial" w:cs="Arial"/>
              </w:rPr>
            </w:pPr>
          </w:p>
        </w:tc>
        <w:tc>
          <w:tcPr>
            <w:tcW w:w="1276" w:type="dxa"/>
          </w:tcPr>
          <w:p w14:paraId="2F26F725" w14:textId="77777777" w:rsidR="008D378C" w:rsidRDefault="008D378C" w:rsidP="00F1286E">
            <w:pPr>
              <w:rPr>
                <w:rFonts w:ascii="Arial" w:hAnsi="Arial" w:cs="Arial"/>
              </w:rPr>
            </w:pPr>
            <w:r>
              <w:rPr>
                <w:rFonts w:ascii="Arial" w:hAnsi="Arial" w:cs="Arial"/>
              </w:rPr>
              <w:t>General Population</w:t>
            </w:r>
          </w:p>
          <w:p w14:paraId="363B4A26" w14:textId="74ACDE18" w:rsidR="008D378C" w:rsidRDefault="008D378C" w:rsidP="00F1286E">
            <w:pPr>
              <w:rPr>
                <w:rFonts w:ascii="Arial" w:hAnsi="Arial" w:cs="Arial"/>
              </w:rPr>
            </w:pPr>
            <w:r>
              <w:rPr>
                <w:rFonts w:ascii="Arial" w:hAnsi="Arial" w:cs="Arial"/>
              </w:rPr>
              <w:t>Male</w:t>
            </w:r>
          </w:p>
        </w:tc>
        <w:tc>
          <w:tcPr>
            <w:tcW w:w="1276" w:type="dxa"/>
          </w:tcPr>
          <w:p w14:paraId="2CCD09FC" w14:textId="77777777" w:rsidR="008D378C" w:rsidRDefault="008D378C" w:rsidP="008D378C">
            <w:pPr>
              <w:rPr>
                <w:rFonts w:ascii="Arial" w:hAnsi="Arial" w:cs="Arial"/>
              </w:rPr>
            </w:pPr>
            <w:r>
              <w:rPr>
                <w:rFonts w:ascii="Arial" w:hAnsi="Arial" w:cs="Arial"/>
              </w:rPr>
              <w:t xml:space="preserve">General Population </w:t>
            </w:r>
          </w:p>
          <w:p w14:paraId="01416A00" w14:textId="5104C311" w:rsidR="008D378C" w:rsidRDefault="008D378C" w:rsidP="008D378C">
            <w:pPr>
              <w:rPr>
                <w:rFonts w:ascii="Arial" w:hAnsi="Arial" w:cs="Arial"/>
              </w:rPr>
            </w:pPr>
            <w:r>
              <w:rPr>
                <w:rFonts w:ascii="Arial" w:hAnsi="Arial" w:cs="Arial"/>
              </w:rPr>
              <w:t>Female</w:t>
            </w:r>
          </w:p>
        </w:tc>
        <w:tc>
          <w:tcPr>
            <w:tcW w:w="1276" w:type="dxa"/>
          </w:tcPr>
          <w:p w14:paraId="59B2F525" w14:textId="5313A87A" w:rsidR="008D378C" w:rsidRDefault="008D378C" w:rsidP="00F1286E">
            <w:pPr>
              <w:rPr>
                <w:rFonts w:ascii="Arial" w:hAnsi="Arial" w:cs="Arial"/>
              </w:rPr>
            </w:pPr>
            <w:r>
              <w:rPr>
                <w:rFonts w:ascii="Arial" w:hAnsi="Arial" w:cs="Arial"/>
              </w:rPr>
              <w:t>Musician Left Ear</w:t>
            </w:r>
          </w:p>
          <w:p w14:paraId="0B6CFE02" w14:textId="4CFB604C" w:rsidR="008D378C" w:rsidRDefault="008D378C" w:rsidP="00F1286E">
            <w:pPr>
              <w:rPr>
                <w:rFonts w:ascii="Arial" w:hAnsi="Arial" w:cs="Arial"/>
              </w:rPr>
            </w:pPr>
            <w:r>
              <w:rPr>
                <w:rFonts w:ascii="Arial" w:hAnsi="Arial" w:cs="Arial"/>
              </w:rPr>
              <w:t>Male</w:t>
            </w:r>
          </w:p>
        </w:tc>
        <w:tc>
          <w:tcPr>
            <w:tcW w:w="1276" w:type="dxa"/>
          </w:tcPr>
          <w:p w14:paraId="5B82299F" w14:textId="1F31C307" w:rsidR="008D378C" w:rsidRDefault="008D378C" w:rsidP="00F1286E">
            <w:pPr>
              <w:rPr>
                <w:rFonts w:ascii="Arial" w:hAnsi="Arial" w:cs="Arial"/>
              </w:rPr>
            </w:pPr>
            <w:r>
              <w:rPr>
                <w:rFonts w:ascii="Arial" w:hAnsi="Arial" w:cs="Arial"/>
              </w:rPr>
              <w:t>Musician Right Ear</w:t>
            </w:r>
          </w:p>
          <w:p w14:paraId="5E551FB0" w14:textId="2FA5D65E" w:rsidR="008D378C" w:rsidRDefault="008D378C" w:rsidP="00F1286E">
            <w:pPr>
              <w:rPr>
                <w:rFonts w:ascii="Arial" w:hAnsi="Arial" w:cs="Arial"/>
              </w:rPr>
            </w:pPr>
            <w:r>
              <w:rPr>
                <w:rFonts w:ascii="Arial" w:hAnsi="Arial" w:cs="Arial"/>
              </w:rPr>
              <w:t>Male</w:t>
            </w:r>
          </w:p>
        </w:tc>
        <w:tc>
          <w:tcPr>
            <w:tcW w:w="1276" w:type="dxa"/>
          </w:tcPr>
          <w:p w14:paraId="13F2FAAD" w14:textId="60790E98" w:rsidR="008D378C" w:rsidRDefault="008D378C" w:rsidP="00F1286E">
            <w:pPr>
              <w:rPr>
                <w:rFonts w:ascii="Arial" w:hAnsi="Arial" w:cs="Arial"/>
              </w:rPr>
            </w:pPr>
            <w:r>
              <w:rPr>
                <w:rFonts w:ascii="Arial" w:hAnsi="Arial" w:cs="Arial"/>
              </w:rPr>
              <w:t>Musician</w:t>
            </w:r>
          </w:p>
          <w:p w14:paraId="75A3AF76" w14:textId="77777777" w:rsidR="008D378C" w:rsidRDefault="008D378C" w:rsidP="00F1286E">
            <w:pPr>
              <w:rPr>
                <w:rFonts w:ascii="Arial" w:hAnsi="Arial" w:cs="Arial"/>
              </w:rPr>
            </w:pPr>
            <w:r>
              <w:rPr>
                <w:rFonts w:ascii="Arial" w:hAnsi="Arial" w:cs="Arial"/>
              </w:rPr>
              <w:t>Left Ear</w:t>
            </w:r>
          </w:p>
          <w:p w14:paraId="324FB882" w14:textId="7D2FDCB3" w:rsidR="008D378C" w:rsidRDefault="008D378C" w:rsidP="00F1286E">
            <w:pPr>
              <w:rPr>
                <w:rFonts w:ascii="Arial" w:hAnsi="Arial" w:cs="Arial"/>
              </w:rPr>
            </w:pPr>
            <w:r>
              <w:rPr>
                <w:rFonts w:ascii="Arial" w:hAnsi="Arial" w:cs="Arial"/>
              </w:rPr>
              <w:t>Female</w:t>
            </w:r>
          </w:p>
        </w:tc>
        <w:tc>
          <w:tcPr>
            <w:tcW w:w="1276" w:type="dxa"/>
          </w:tcPr>
          <w:p w14:paraId="1B9873DE" w14:textId="523FE96E" w:rsidR="008D378C" w:rsidRDefault="008D378C" w:rsidP="008D378C">
            <w:pPr>
              <w:rPr>
                <w:rFonts w:ascii="Arial" w:hAnsi="Arial" w:cs="Arial"/>
              </w:rPr>
            </w:pPr>
            <w:r>
              <w:rPr>
                <w:rFonts w:ascii="Arial" w:hAnsi="Arial" w:cs="Arial"/>
              </w:rPr>
              <w:t>Musician Right Ear Female</w:t>
            </w:r>
          </w:p>
        </w:tc>
      </w:tr>
      <w:tr w:rsidR="008D378C" w14:paraId="3CDC278F" w14:textId="77777777" w:rsidTr="008D378C">
        <w:tc>
          <w:tcPr>
            <w:tcW w:w="1543" w:type="dxa"/>
          </w:tcPr>
          <w:p w14:paraId="228D48A8" w14:textId="7DF4A428" w:rsidR="008D378C" w:rsidRDefault="008D378C" w:rsidP="00F1286E">
            <w:pPr>
              <w:rPr>
                <w:rFonts w:ascii="Arial" w:hAnsi="Arial" w:cs="Arial"/>
              </w:rPr>
            </w:pPr>
            <w:r>
              <w:rPr>
                <w:rFonts w:ascii="Arial" w:hAnsi="Arial" w:cs="Arial"/>
              </w:rPr>
              <w:t>10 Percentile</w:t>
            </w:r>
          </w:p>
        </w:tc>
        <w:tc>
          <w:tcPr>
            <w:tcW w:w="1276" w:type="dxa"/>
          </w:tcPr>
          <w:p w14:paraId="21290909" w14:textId="1AADC572" w:rsidR="008D378C" w:rsidRDefault="004B00EF" w:rsidP="004B00EF">
            <w:pPr>
              <w:jc w:val="center"/>
              <w:rPr>
                <w:rFonts w:ascii="Arial" w:hAnsi="Arial" w:cs="Arial"/>
              </w:rPr>
            </w:pPr>
            <w:r>
              <w:rPr>
                <w:rFonts w:ascii="Arial" w:hAnsi="Arial" w:cs="Arial"/>
              </w:rPr>
              <w:t>2</w:t>
            </w:r>
          </w:p>
        </w:tc>
        <w:tc>
          <w:tcPr>
            <w:tcW w:w="1276" w:type="dxa"/>
          </w:tcPr>
          <w:p w14:paraId="2CC473D3" w14:textId="787B25AD" w:rsidR="008D378C" w:rsidRDefault="004B00EF" w:rsidP="004B00EF">
            <w:pPr>
              <w:jc w:val="center"/>
              <w:rPr>
                <w:rFonts w:ascii="Arial" w:hAnsi="Arial" w:cs="Arial"/>
              </w:rPr>
            </w:pPr>
            <w:r>
              <w:rPr>
                <w:rFonts w:ascii="Arial" w:hAnsi="Arial" w:cs="Arial"/>
              </w:rPr>
              <w:t>0</w:t>
            </w:r>
          </w:p>
        </w:tc>
        <w:tc>
          <w:tcPr>
            <w:tcW w:w="1276" w:type="dxa"/>
          </w:tcPr>
          <w:p w14:paraId="50261C35" w14:textId="34332E5B" w:rsidR="008D378C" w:rsidRDefault="004B00EF" w:rsidP="004B00EF">
            <w:pPr>
              <w:jc w:val="center"/>
              <w:rPr>
                <w:rFonts w:ascii="Arial" w:hAnsi="Arial" w:cs="Arial"/>
              </w:rPr>
            </w:pPr>
            <w:r>
              <w:rPr>
                <w:rFonts w:ascii="Arial" w:hAnsi="Arial" w:cs="Arial"/>
              </w:rPr>
              <w:t>2</w:t>
            </w:r>
          </w:p>
        </w:tc>
        <w:tc>
          <w:tcPr>
            <w:tcW w:w="1276" w:type="dxa"/>
          </w:tcPr>
          <w:p w14:paraId="5450D332" w14:textId="2AECBBB9" w:rsidR="008D378C" w:rsidRDefault="004B00EF" w:rsidP="004B00EF">
            <w:pPr>
              <w:jc w:val="center"/>
              <w:rPr>
                <w:rFonts w:ascii="Arial" w:hAnsi="Arial" w:cs="Arial"/>
              </w:rPr>
            </w:pPr>
            <w:r>
              <w:rPr>
                <w:rFonts w:ascii="Arial" w:hAnsi="Arial" w:cs="Arial"/>
              </w:rPr>
              <w:t>1</w:t>
            </w:r>
          </w:p>
        </w:tc>
        <w:tc>
          <w:tcPr>
            <w:tcW w:w="1276" w:type="dxa"/>
          </w:tcPr>
          <w:p w14:paraId="648B65FA" w14:textId="18FBF432" w:rsidR="008D378C" w:rsidRDefault="004B00EF" w:rsidP="004B00EF">
            <w:pPr>
              <w:jc w:val="center"/>
              <w:rPr>
                <w:rFonts w:ascii="Arial" w:hAnsi="Arial" w:cs="Arial"/>
              </w:rPr>
            </w:pPr>
            <w:r>
              <w:rPr>
                <w:rFonts w:ascii="Arial" w:hAnsi="Arial" w:cs="Arial"/>
              </w:rPr>
              <w:t>0</w:t>
            </w:r>
          </w:p>
        </w:tc>
        <w:tc>
          <w:tcPr>
            <w:tcW w:w="1276" w:type="dxa"/>
          </w:tcPr>
          <w:p w14:paraId="3E4C53FE" w14:textId="434EEB79" w:rsidR="008D378C" w:rsidRDefault="004B00EF" w:rsidP="004B00EF">
            <w:pPr>
              <w:jc w:val="center"/>
              <w:rPr>
                <w:rFonts w:ascii="Arial" w:hAnsi="Arial" w:cs="Arial"/>
              </w:rPr>
            </w:pPr>
            <w:r>
              <w:rPr>
                <w:rFonts w:ascii="Arial" w:hAnsi="Arial" w:cs="Arial"/>
              </w:rPr>
              <w:t>1</w:t>
            </w:r>
          </w:p>
        </w:tc>
      </w:tr>
      <w:tr w:rsidR="008D378C" w14:paraId="173C983D" w14:textId="77777777" w:rsidTr="008D378C">
        <w:tc>
          <w:tcPr>
            <w:tcW w:w="1543" w:type="dxa"/>
          </w:tcPr>
          <w:p w14:paraId="2605AD69" w14:textId="411C4D4C" w:rsidR="008D378C" w:rsidRDefault="008D378C" w:rsidP="00F1286E">
            <w:pPr>
              <w:rPr>
                <w:rFonts w:ascii="Arial" w:hAnsi="Arial" w:cs="Arial"/>
              </w:rPr>
            </w:pPr>
            <w:r>
              <w:rPr>
                <w:rFonts w:ascii="Arial" w:hAnsi="Arial" w:cs="Arial"/>
              </w:rPr>
              <w:t>50 Percentile</w:t>
            </w:r>
          </w:p>
        </w:tc>
        <w:tc>
          <w:tcPr>
            <w:tcW w:w="1276" w:type="dxa"/>
          </w:tcPr>
          <w:p w14:paraId="42DA4C24" w14:textId="194F08F8" w:rsidR="008D378C" w:rsidRDefault="004B00EF" w:rsidP="004B00EF">
            <w:pPr>
              <w:jc w:val="center"/>
              <w:rPr>
                <w:rFonts w:ascii="Arial" w:hAnsi="Arial" w:cs="Arial"/>
              </w:rPr>
            </w:pPr>
            <w:r>
              <w:rPr>
                <w:rFonts w:ascii="Arial" w:hAnsi="Arial" w:cs="Arial"/>
              </w:rPr>
              <w:t>26</w:t>
            </w:r>
          </w:p>
        </w:tc>
        <w:tc>
          <w:tcPr>
            <w:tcW w:w="1276" w:type="dxa"/>
          </w:tcPr>
          <w:p w14:paraId="0FBB3C45" w14:textId="5A682CD0" w:rsidR="008D378C" w:rsidRDefault="004B00EF" w:rsidP="004B00EF">
            <w:pPr>
              <w:jc w:val="center"/>
              <w:rPr>
                <w:rFonts w:ascii="Arial" w:hAnsi="Arial" w:cs="Arial"/>
              </w:rPr>
            </w:pPr>
            <w:r>
              <w:rPr>
                <w:rFonts w:ascii="Arial" w:hAnsi="Arial" w:cs="Arial"/>
              </w:rPr>
              <w:t>13</w:t>
            </w:r>
          </w:p>
        </w:tc>
        <w:tc>
          <w:tcPr>
            <w:tcW w:w="1276" w:type="dxa"/>
          </w:tcPr>
          <w:p w14:paraId="7CB9E0FD" w14:textId="791F15F0" w:rsidR="008D378C" w:rsidRDefault="004B00EF" w:rsidP="004B00EF">
            <w:pPr>
              <w:jc w:val="center"/>
              <w:rPr>
                <w:rFonts w:ascii="Arial" w:hAnsi="Arial" w:cs="Arial"/>
              </w:rPr>
            </w:pPr>
            <w:r>
              <w:rPr>
                <w:rFonts w:ascii="Arial" w:hAnsi="Arial" w:cs="Arial"/>
              </w:rPr>
              <w:t>15</w:t>
            </w:r>
          </w:p>
        </w:tc>
        <w:tc>
          <w:tcPr>
            <w:tcW w:w="1276" w:type="dxa"/>
          </w:tcPr>
          <w:p w14:paraId="469D656C" w14:textId="3DEAF8AB" w:rsidR="008D378C" w:rsidRDefault="004B00EF" w:rsidP="004B00EF">
            <w:pPr>
              <w:jc w:val="center"/>
              <w:rPr>
                <w:rFonts w:ascii="Arial" w:hAnsi="Arial" w:cs="Arial"/>
              </w:rPr>
            </w:pPr>
            <w:r>
              <w:rPr>
                <w:rFonts w:ascii="Arial" w:hAnsi="Arial" w:cs="Arial"/>
              </w:rPr>
              <w:t>13</w:t>
            </w:r>
          </w:p>
        </w:tc>
        <w:tc>
          <w:tcPr>
            <w:tcW w:w="1276" w:type="dxa"/>
          </w:tcPr>
          <w:p w14:paraId="2D83BD36" w14:textId="14D3DCE9" w:rsidR="008D378C" w:rsidRDefault="004B00EF" w:rsidP="004B00EF">
            <w:pPr>
              <w:jc w:val="center"/>
              <w:rPr>
                <w:rFonts w:ascii="Arial" w:hAnsi="Arial" w:cs="Arial"/>
              </w:rPr>
            </w:pPr>
            <w:r>
              <w:rPr>
                <w:rFonts w:ascii="Arial" w:hAnsi="Arial" w:cs="Arial"/>
              </w:rPr>
              <w:t>8</w:t>
            </w:r>
          </w:p>
        </w:tc>
        <w:tc>
          <w:tcPr>
            <w:tcW w:w="1276" w:type="dxa"/>
          </w:tcPr>
          <w:p w14:paraId="4BA7E75B" w14:textId="45AC5075" w:rsidR="008D378C" w:rsidRDefault="004B00EF" w:rsidP="004B00EF">
            <w:pPr>
              <w:jc w:val="center"/>
              <w:rPr>
                <w:rFonts w:ascii="Arial" w:hAnsi="Arial" w:cs="Arial"/>
              </w:rPr>
            </w:pPr>
            <w:r>
              <w:rPr>
                <w:rFonts w:ascii="Arial" w:hAnsi="Arial" w:cs="Arial"/>
              </w:rPr>
              <w:t>9</w:t>
            </w:r>
          </w:p>
        </w:tc>
      </w:tr>
      <w:tr w:rsidR="008D378C" w14:paraId="45C316C4" w14:textId="77777777" w:rsidTr="008D378C">
        <w:tc>
          <w:tcPr>
            <w:tcW w:w="1543" w:type="dxa"/>
          </w:tcPr>
          <w:p w14:paraId="64E67269" w14:textId="0167FE56" w:rsidR="008D378C" w:rsidRDefault="008D378C" w:rsidP="00F1286E">
            <w:pPr>
              <w:rPr>
                <w:rFonts w:ascii="Arial" w:hAnsi="Arial" w:cs="Arial"/>
              </w:rPr>
            </w:pPr>
            <w:r>
              <w:rPr>
                <w:rFonts w:ascii="Arial" w:hAnsi="Arial" w:cs="Arial"/>
              </w:rPr>
              <w:t>90 Percentile</w:t>
            </w:r>
          </w:p>
        </w:tc>
        <w:tc>
          <w:tcPr>
            <w:tcW w:w="1276" w:type="dxa"/>
          </w:tcPr>
          <w:p w14:paraId="77C021B3" w14:textId="126DCA70" w:rsidR="008D378C" w:rsidRDefault="004B00EF" w:rsidP="004B00EF">
            <w:pPr>
              <w:jc w:val="center"/>
              <w:rPr>
                <w:rFonts w:ascii="Arial" w:hAnsi="Arial" w:cs="Arial"/>
              </w:rPr>
            </w:pPr>
            <w:r>
              <w:rPr>
                <w:rFonts w:ascii="Arial" w:hAnsi="Arial" w:cs="Arial"/>
              </w:rPr>
              <w:t>60</w:t>
            </w:r>
          </w:p>
        </w:tc>
        <w:tc>
          <w:tcPr>
            <w:tcW w:w="1276" w:type="dxa"/>
          </w:tcPr>
          <w:p w14:paraId="3644CFF0" w14:textId="3FD307E7" w:rsidR="008D378C" w:rsidRDefault="004B00EF" w:rsidP="004B00EF">
            <w:pPr>
              <w:jc w:val="center"/>
              <w:rPr>
                <w:rFonts w:ascii="Arial" w:hAnsi="Arial" w:cs="Arial"/>
              </w:rPr>
            </w:pPr>
            <w:r>
              <w:rPr>
                <w:rFonts w:ascii="Arial" w:hAnsi="Arial" w:cs="Arial"/>
              </w:rPr>
              <w:t>48</w:t>
            </w:r>
          </w:p>
        </w:tc>
        <w:tc>
          <w:tcPr>
            <w:tcW w:w="1276" w:type="dxa"/>
          </w:tcPr>
          <w:p w14:paraId="558B7609" w14:textId="78DF55D5" w:rsidR="008D378C" w:rsidRDefault="004B00EF" w:rsidP="004B00EF">
            <w:pPr>
              <w:jc w:val="center"/>
              <w:rPr>
                <w:rFonts w:ascii="Arial" w:hAnsi="Arial" w:cs="Arial"/>
              </w:rPr>
            </w:pPr>
            <w:r>
              <w:rPr>
                <w:rFonts w:ascii="Arial" w:hAnsi="Arial" w:cs="Arial"/>
              </w:rPr>
              <w:t>42</w:t>
            </w:r>
          </w:p>
        </w:tc>
        <w:tc>
          <w:tcPr>
            <w:tcW w:w="1276" w:type="dxa"/>
          </w:tcPr>
          <w:p w14:paraId="42511102" w14:textId="1A6B1FC0" w:rsidR="008D378C" w:rsidRDefault="004B00EF" w:rsidP="004B00EF">
            <w:pPr>
              <w:jc w:val="center"/>
              <w:rPr>
                <w:rFonts w:ascii="Arial" w:hAnsi="Arial" w:cs="Arial"/>
              </w:rPr>
            </w:pPr>
            <w:r>
              <w:rPr>
                <w:rFonts w:ascii="Arial" w:hAnsi="Arial" w:cs="Arial"/>
              </w:rPr>
              <w:t>45</w:t>
            </w:r>
          </w:p>
        </w:tc>
        <w:tc>
          <w:tcPr>
            <w:tcW w:w="1276" w:type="dxa"/>
          </w:tcPr>
          <w:p w14:paraId="0BDD95B1" w14:textId="76EB7E08" w:rsidR="008D378C" w:rsidRDefault="004B00EF" w:rsidP="004B00EF">
            <w:pPr>
              <w:jc w:val="center"/>
              <w:rPr>
                <w:rFonts w:ascii="Arial" w:hAnsi="Arial" w:cs="Arial"/>
              </w:rPr>
            </w:pPr>
            <w:r>
              <w:rPr>
                <w:rFonts w:ascii="Arial" w:hAnsi="Arial" w:cs="Arial"/>
              </w:rPr>
              <w:t>36</w:t>
            </w:r>
          </w:p>
        </w:tc>
        <w:tc>
          <w:tcPr>
            <w:tcW w:w="1276" w:type="dxa"/>
          </w:tcPr>
          <w:p w14:paraId="20D9BE06" w14:textId="116F5E23" w:rsidR="008D378C" w:rsidRDefault="004B00EF" w:rsidP="004B00EF">
            <w:pPr>
              <w:jc w:val="center"/>
              <w:rPr>
                <w:rFonts w:ascii="Arial" w:hAnsi="Arial" w:cs="Arial"/>
              </w:rPr>
            </w:pPr>
            <w:r>
              <w:rPr>
                <w:rFonts w:ascii="Arial" w:hAnsi="Arial" w:cs="Arial"/>
              </w:rPr>
              <w:t>38</w:t>
            </w:r>
          </w:p>
        </w:tc>
      </w:tr>
    </w:tbl>
    <w:p w14:paraId="247FB605" w14:textId="77777777" w:rsidR="00D53799" w:rsidRDefault="00D53799" w:rsidP="00F1286E">
      <w:pPr>
        <w:ind w:left="720"/>
        <w:rPr>
          <w:rFonts w:ascii="Arial" w:hAnsi="Arial" w:cs="Arial"/>
        </w:rPr>
      </w:pPr>
    </w:p>
    <w:p w14:paraId="145DAEEB" w14:textId="77777777" w:rsidR="00BF0732" w:rsidRDefault="00BF0732" w:rsidP="00F1286E">
      <w:pPr>
        <w:ind w:left="720"/>
        <w:rPr>
          <w:rFonts w:ascii="Arial" w:hAnsi="Arial" w:cs="Arial"/>
        </w:rPr>
      </w:pPr>
    </w:p>
    <w:p w14:paraId="4AB94E1B" w14:textId="0FED1A73" w:rsidR="003059F0" w:rsidRDefault="00BF0732" w:rsidP="00F1286E">
      <w:pPr>
        <w:ind w:left="720"/>
        <w:rPr>
          <w:rFonts w:ascii="Arial" w:hAnsi="Arial" w:cs="Arial"/>
        </w:rPr>
      </w:pPr>
      <w:r>
        <w:rPr>
          <w:rFonts w:ascii="Arial" w:hAnsi="Arial" w:cs="Arial"/>
        </w:rPr>
        <w:t xml:space="preserve">Comparing the percentiles for </w:t>
      </w:r>
      <w:r w:rsidR="000C3843">
        <w:rPr>
          <w:rFonts w:ascii="Arial" w:hAnsi="Arial" w:cs="Arial"/>
        </w:rPr>
        <w:t>males</w:t>
      </w:r>
      <w:r w:rsidR="00A90BC7">
        <w:rPr>
          <w:rFonts w:ascii="Arial" w:hAnsi="Arial" w:cs="Arial"/>
        </w:rPr>
        <w:t xml:space="preserve">, average age 22.27 </w:t>
      </w:r>
      <w:proofErr w:type="spellStart"/>
      <w:r w:rsidR="00A90BC7">
        <w:rPr>
          <w:rFonts w:ascii="Arial" w:hAnsi="Arial" w:cs="Arial"/>
        </w:rPr>
        <w:t>stdev</w:t>
      </w:r>
      <w:proofErr w:type="spellEnd"/>
      <w:r w:rsidR="00A90BC7">
        <w:rPr>
          <w:rFonts w:ascii="Arial" w:hAnsi="Arial" w:cs="Arial"/>
        </w:rPr>
        <w:t>=3.17, and hence</w:t>
      </w:r>
      <w:r>
        <w:rPr>
          <w:rFonts w:ascii="Arial" w:hAnsi="Arial" w:cs="Arial"/>
        </w:rPr>
        <w:t xml:space="preserve"> only considering 18-30 age range </w:t>
      </w:r>
      <w:r w:rsidR="00D27F61">
        <w:rPr>
          <w:rFonts w:ascii="Arial" w:hAnsi="Arial" w:cs="Arial"/>
        </w:rPr>
        <w:t xml:space="preserve">for </w:t>
      </w:r>
      <w:r>
        <w:rPr>
          <w:rFonts w:ascii="Arial" w:hAnsi="Arial" w:cs="Arial"/>
        </w:rPr>
        <w:t xml:space="preserve">the 10,50, and 90 percentages </w:t>
      </w:r>
      <w:r w:rsidR="00C64080">
        <w:rPr>
          <w:rFonts w:ascii="Arial" w:hAnsi="Arial" w:cs="Arial"/>
        </w:rPr>
        <w:t>fo</w:t>
      </w:r>
      <w:r>
        <w:rPr>
          <w:rFonts w:ascii="Arial" w:hAnsi="Arial" w:cs="Arial"/>
        </w:rPr>
        <w:t>r M</w:t>
      </w:r>
      <w:r w:rsidR="00D27F61">
        <w:rPr>
          <w:rFonts w:ascii="Arial" w:hAnsi="Arial" w:cs="Arial"/>
        </w:rPr>
        <w:t>ale musicians</w:t>
      </w:r>
      <w:r>
        <w:rPr>
          <w:rFonts w:ascii="Arial" w:hAnsi="Arial" w:cs="Arial"/>
        </w:rPr>
        <w:t>, n=249</w:t>
      </w:r>
      <w:r w:rsidR="00D27F61">
        <w:rPr>
          <w:rFonts w:ascii="Arial" w:hAnsi="Arial" w:cs="Arial"/>
        </w:rPr>
        <w:t>, there was a negligible difference between left and right ears in terms of OHC damage</w:t>
      </w:r>
      <w:r>
        <w:rPr>
          <w:rFonts w:ascii="Arial" w:hAnsi="Arial" w:cs="Arial"/>
        </w:rPr>
        <w:t xml:space="preserve">. </w:t>
      </w:r>
      <w:r w:rsidR="00D27F61">
        <w:rPr>
          <w:rFonts w:ascii="Arial" w:hAnsi="Arial" w:cs="Arial"/>
        </w:rPr>
        <w:t xml:space="preserve">When compared to the general population </w:t>
      </w:r>
      <w:r w:rsidR="00C226A6">
        <w:rPr>
          <w:rFonts w:ascii="Arial" w:hAnsi="Arial" w:cs="Arial"/>
        </w:rPr>
        <w:t xml:space="preserve">dataset </w:t>
      </w:r>
      <w:r w:rsidR="00D27F61">
        <w:rPr>
          <w:rFonts w:ascii="Arial" w:hAnsi="Arial" w:cs="Arial"/>
        </w:rPr>
        <w:t>at the 10</w:t>
      </w:r>
      <w:r w:rsidR="00C226A6">
        <w:rPr>
          <w:rFonts w:ascii="Arial" w:hAnsi="Arial" w:cs="Arial"/>
        </w:rPr>
        <w:t>th</w:t>
      </w:r>
      <w:r w:rsidR="00D27F61">
        <w:rPr>
          <w:rFonts w:ascii="Arial" w:hAnsi="Arial" w:cs="Arial"/>
        </w:rPr>
        <w:t xml:space="preserve"> percentile level they were similar, </w:t>
      </w:r>
      <w:r w:rsidR="00C226A6">
        <w:rPr>
          <w:rFonts w:ascii="Arial" w:hAnsi="Arial" w:cs="Arial"/>
        </w:rPr>
        <w:t xml:space="preserve">see table 1, </w:t>
      </w:r>
      <w:r w:rsidR="00D27F61">
        <w:rPr>
          <w:rFonts w:ascii="Arial" w:hAnsi="Arial" w:cs="Arial"/>
        </w:rPr>
        <w:t>but at 50</w:t>
      </w:r>
      <w:r w:rsidR="00C226A6" w:rsidRPr="00C226A6">
        <w:rPr>
          <w:rFonts w:ascii="Arial" w:hAnsi="Arial" w:cs="Arial"/>
          <w:vertAlign w:val="superscript"/>
        </w:rPr>
        <w:t>th</w:t>
      </w:r>
      <w:r w:rsidR="00C226A6">
        <w:rPr>
          <w:rFonts w:ascii="Arial" w:hAnsi="Arial" w:cs="Arial"/>
        </w:rPr>
        <w:t xml:space="preserve"> percentile</w:t>
      </w:r>
      <w:r w:rsidR="00D27F61">
        <w:rPr>
          <w:rFonts w:ascii="Arial" w:hAnsi="Arial" w:cs="Arial"/>
        </w:rPr>
        <w:t xml:space="preserve"> difference was 12</w:t>
      </w:r>
      <w:r w:rsidR="000C3843">
        <w:rPr>
          <w:rFonts w:ascii="Arial" w:hAnsi="Arial" w:cs="Arial"/>
        </w:rPr>
        <w:t>%</w:t>
      </w:r>
      <w:r w:rsidR="00D27F61">
        <w:rPr>
          <w:rFonts w:ascii="Arial" w:hAnsi="Arial" w:cs="Arial"/>
        </w:rPr>
        <w:t xml:space="preserve"> which increased to 16</w:t>
      </w:r>
      <w:r w:rsidR="000C3843">
        <w:rPr>
          <w:rFonts w:ascii="Arial" w:hAnsi="Arial" w:cs="Arial"/>
        </w:rPr>
        <w:t>%</w:t>
      </w:r>
      <w:r w:rsidR="00D27F61">
        <w:rPr>
          <w:rFonts w:ascii="Arial" w:hAnsi="Arial" w:cs="Arial"/>
        </w:rPr>
        <w:t xml:space="preserve"> at the 90</w:t>
      </w:r>
      <w:r w:rsidR="00C226A6">
        <w:rPr>
          <w:rFonts w:ascii="Arial" w:hAnsi="Arial" w:cs="Arial"/>
        </w:rPr>
        <w:t>th</w:t>
      </w:r>
      <w:r w:rsidR="00D27F61">
        <w:rPr>
          <w:rFonts w:ascii="Arial" w:hAnsi="Arial" w:cs="Arial"/>
        </w:rPr>
        <w:t xml:space="preserve"> percentile. </w:t>
      </w:r>
      <w:r w:rsidR="00A90BC7">
        <w:rPr>
          <w:rFonts w:ascii="Arial" w:hAnsi="Arial" w:cs="Arial"/>
        </w:rPr>
        <w:t>Hence, overall male classical music students had significantly better hearing than the general population</w:t>
      </w:r>
      <w:r w:rsidR="00C64080">
        <w:rPr>
          <w:rFonts w:ascii="Arial" w:hAnsi="Arial" w:cs="Arial"/>
        </w:rPr>
        <w:t xml:space="preserve">. </w:t>
      </w:r>
      <w:r w:rsidR="00D27F61">
        <w:rPr>
          <w:rFonts w:ascii="Arial" w:hAnsi="Arial" w:cs="Arial"/>
        </w:rPr>
        <w:t>For reference t</w:t>
      </w:r>
      <w:r w:rsidR="00C64080">
        <w:rPr>
          <w:rFonts w:ascii="Arial" w:hAnsi="Arial" w:cs="Arial"/>
        </w:rPr>
        <w:t>he</w:t>
      </w:r>
      <w:r w:rsidR="00A90BC7">
        <w:rPr>
          <w:rFonts w:ascii="Arial" w:hAnsi="Arial" w:cs="Arial"/>
        </w:rPr>
        <w:t xml:space="preserve"> average </w:t>
      </w:r>
      <w:r w:rsidR="00C64080">
        <w:rPr>
          <w:rFonts w:ascii="Arial" w:hAnsi="Arial" w:cs="Arial"/>
        </w:rPr>
        <w:t>result</w:t>
      </w:r>
      <w:r w:rsidR="00D27F61">
        <w:rPr>
          <w:rFonts w:ascii="Arial" w:hAnsi="Arial" w:cs="Arial"/>
        </w:rPr>
        <w:t>, n=249,</w:t>
      </w:r>
      <w:r w:rsidR="00C64080">
        <w:rPr>
          <w:rFonts w:ascii="Arial" w:hAnsi="Arial" w:cs="Arial"/>
        </w:rPr>
        <w:t xml:space="preserve"> for OHC damage was for the left ear 18.74 and the right 17.87%</w:t>
      </w:r>
      <w:r w:rsidR="00311641">
        <w:rPr>
          <w:rFonts w:ascii="Arial" w:hAnsi="Arial" w:cs="Arial"/>
        </w:rPr>
        <w:t>.</w:t>
      </w:r>
    </w:p>
    <w:p w14:paraId="377B6D24" w14:textId="6B7D3C54" w:rsidR="00C64080" w:rsidRDefault="00C64080" w:rsidP="00F1286E">
      <w:pPr>
        <w:ind w:left="720"/>
        <w:rPr>
          <w:rFonts w:ascii="Arial" w:hAnsi="Arial" w:cs="Arial"/>
        </w:rPr>
      </w:pPr>
    </w:p>
    <w:p w14:paraId="6CF6DF80" w14:textId="53CA5D98" w:rsidR="00311641" w:rsidRDefault="00C64080" w:rsidP="00C64080">
      <w:pPr>
        <w:ind w:left="720"/>
        <w:rPr>
          <w:rFonts w:ascii="Arial" w:hAnsi="Arial" w:cs="Arial"/>
        </w:rPr>
      </w:pPr>
      <w:r>
        <w:rPr>
          <w:rFonts w:ascii="Arial" w:hAnsi="Arial" w:cs="Arial"/>
        </w:rPr>
        <w:t xml:space="preserve">Comparing the percentiles for </w:t>
      </w:r>
      <w:r w:rsidR="000C3843">
        <w:rPr>
          <w:rFonts w:ascii="Arial" w:hAnsi="Arial" w:cs="Arial"/>
        </w:rPr>
        <w:t>females</w:t>
      </w:r>
      <w:r>
        <w:rPr>
          <w:rFonts w:ascii="Arial" w:hAnsi="Arial" w:cs="Arial"/>
        </w:rPr>
        <w:t xml:space="preserve">, average age 21.86 </w:t>
      </w:r>
      <w:proofErr w:type="spellStart"/>
      <w:r>
        <w:rPr>
          <w:rFonts w:ascii="Arial" w:hAnsi="Arial" w:cs="Arial"/>
        </w:rPr>
        <w:t>stdev</w:t>
      </w:r>
      <w:proofErr w:type="spellEnd"/>
      <w:r>
        <w:rPr>
          <w:rFonts w:ascii="Arial" w:hAnsi="Arial" w:cs="Arial"/>
        </w:rPr>
        <w:t xml:space="preserve">=3.04, and hence only considering 18-30 age range the 10,50, and 90 percentages </w:t>
      </w:r>
      <w:r w:rsidR="00D27F61">
        <w:rPr>
          <w:rFonts w:ascii="Arial" w:hAnsi="Arial" w:cs="Arial"/>
        </w:rPr>
        <w:t>for Female musicians, n=253, there was a negligible difference between left and right ears in terms of OHC damage. When</w:t>
      </w:r>
      <w:r w:rsidR="00C226A6">
        <w:rPr>
          <w:rFonts w:ascii="Arial" w:hAnsi="Arial" w:cs="Arial"/>
        </w:rPr>
        <w:t xml:space="preserve"> compared to the general population dataset at the 10th percentile level they were similar, see table 1, but at 50th percentile the difference grew to 5 </w:t>
      </w:r>
      <w:r w:rsidR="000C3843">
        <w:rPr>
          <w:rFonts w:ascii="Arial" w:hAnsi="Arial" w:cs="Arial"/>
        </w:rPr>
        <w:t xml:space="preserve">percentage </w:t>
      </w:r>
      <w:r w:rsidR="00C226A6">
        <w:rPr>
          <w:rFonts w:ascii="Arial" w:hAnsi="Arial" w:cs="Arial"/>
        </w:rPr>
        <w:t>points which increased to 6 p</w:t>
      </w:r>
      <w:r w:rsidR="000C3843">
        <w:rPr>
          <w:rFonts w:ascii="Arial" w:hAnsi="Arial" w:cs="Arial"/>
        </w:rPr>
        <w:t>ercentage p</w:t>
      </w:r>
      <w:r w:rsidR="00C226A6">
        <w:rPr>
          <w:rFonts w:ascii="Arial" w:hAnsi="Arial" w:cs="Arial"/>
        </w:rPr>
        <w:t>oints at the 90th percentile. Hence, overall female classic music students had better hearing than the general population. For reference the average result, n</w:t>
      </w:r>
      <w:r w:rsidR="00B10E86">
        <w:rPr>
          <w:rFonts w:ascii="Arial" w:hAnsi="Arial" w:cs="Arial"/>
        </w:rPr>
        <w:t>=</w:t>
      </w:r>
      <w:r w:rsidR="00C226A6">
        <w:rPr>
          <w:rFonts w:ascii="Arial" w:hAnsi="Arial" w:cs="Arial"/>
        </w:rPr>
        <w:t>253, for OHC damage was for the left ear</w:t>
      </w:r>
      <w:r>
        <w:rPr>
          <w:rFonts w:ascii="Arial" w:hAnsi="Arial" w:cs="Arial"/>
        </w:rPr>
        <w:t xml:space="preserve"> 14.52</w:t>
      </w:r>
      <w:r w:rsidR="00B96879">
        <w:rPr>
          <w:rFonts w:ascii="Arial" w:hAnsi="Arial" w:cs="Arial"/>
        </w:rPr>
        <w:t>%</w:t>
      </w:r>
      <w:r>
        <w:rPr>
          <w:rFonts w:ascii="Arial" w:hAnsi="Arial" w:cs="Arial"/>
        </w:rPr>
        <w:t xml:space="preserve"> and the right 15.84%</w:t>
      </w:r>
      <w:r w:rsidR="00311641">
        <w:rPr>
          <w:rFonts w:ascii="Arial" w:hAnsi="Arial" w:cs="Arial"/>
        </w:rPr>
        <w:t>.</w:t>
      </w:r>
    </w:p>
    <w:p w14:paraId="69592F48" w14:textId="77777777" w:rsidR="00311641" w:rsidRDefault="00311641" w:rsidP="00C64080">
      <w:pPr>
        <w:ind w:left="720"/>
        <w:rPr>
          <w:rFonts w:ascii="Arial" w:hAnsi="Arial" w:cs="Arial"/>
        </w:rPr>
      </w:pPr>
    </w:p>
    <w:p w14:paraId="5BBD1C98" w14:textId="3592C97D" w:rsidR="00C64080" w:rsidRDefault="00F9596D" w:rsidP="00C64080">
      <w:pPr>
        <w:ind w:left="720"/>
        <w:rPr>
          <w:rFonts w:ascii="Arial" w:hAnsi="Arial" w:cs="Arial"/>
        </w:rPr>
      </w:pPr>
      <w:r>
        <w:rPr>
          <w:rFonts w:ascii="Arial" w:hAnsi="Arial" w:cs="Arial"/>
        </w:rPr>
        <w:t xml:space="preserve">Looking at </w:t>
      </w:r>
      <w:r w:rsidR="00311641">
        <w:rPr>
          <w:rFonts w:ascii="Arial" w:hAnsi="Arial" w:cs="Arial"/>
        </w:rPr>
        <w:t>the general population dataset, it can be seen that women consistently have lower OHC damage then men at all ages and this was replicated in the musician dataset for the 18-30 range</w:t>
      </w:r>
      <w:r w:rsidR="00372CAB">
        <w:rPr>
          <w:rFonts w:ascii="Arial" w:hAnsi="Arial" w:cs="Arial"/>
        </w:rPr>
        <w:t>. This supports</w:t>
      </w:r>
      <w:r>
        <w:rPr>
          <w:rFonts w:ascii="Arial" w:hAnsi="Arial" w:cs="Arial"/>
        </w:rPr>
        <w:t xml:space="preserve"> the ISO </w:t>
      </w:r>
      <w:r w:rsidR="00004BDD">
        <w:rPr>
          <w:rFonts w:ascii="Arial" w:hAnsi="Arial" w:cs="Arial"/>
        </w:rPr>
        <w:t>7029</w:t>
      </w:r>
      <w:r>
        <w:rPr>
          <w:rFonts w:ascii="Arial" w:hAnsi="Arial" w:cs="Arial"/>
        </w:rPr>
        <w:t xml:space="preserve"> audiometry derived dataset</w:t>
      </w:r>
      <w:r w:rsidR="000C3843">
        <w:rPr>
          <w:rFonts w:ascii="Arial" w:hAnsi="Arial" w:cs="Arial"/>
        </w:rPr>
        <w:t xml:space="preserve"> females having better hearing acuity than males</w:t>
      </w:r>
      <w:r w:rsidR="001963AF">
        <w:rPr>
          <w:rFonts w:ascii="Arial" w:hAnsi="Arial" w:cs="Arial"/>
        </w:rPr>
        <w:t xml:space="preserve"> [4]</w:t>
      </w:r>
      <w:r w:rsidR="00311641">
        <w:rPr>
          <w:rFonts w:ascii="Arial" w:hAnsi="Arial" w:cs="Arial"/>
        </w:rPr>
        <w:t>. As to the original hypothesis</w:t>
      </w:r>
      <w:r w:rsidR="00CB37D4">
        <w:rPr>
          <w:rFonts w:ascii="Arial" w:hAnsi="Arial" w:cs="Arial"/>
        </w:rPr>
        <w:t>:</w:t>
      </w:r>
      <w:r w:rsidR="00311641">
        <w:rPr>
          <w:rFonts w:ascii="Arial" w:hAnsi="Arial" w:cs="Arial"/>
        </w:rPr>
        <w:t xml:space="preserve"> OHC damage should be less than the age of the patient (as averaged for both ear) without considering the gender</w:t>
      </w:r>
      <w:r w:rsidR="00CB37D4">
        <w:rPr>
          <w:rFonts w:ascii="Arial" w:hAnsi="Arial" w:cs="Arial"/>
        </w:rPr>
        <w:t>? The independently collect</w:t>
      </w:r>
      <w:r w:rsidR="00C07265">
        <w:rPr>
          <w:rFonts w:ascii="Arial" w:hAnsi="Arial" w:cs="Arial"/>
        </w:rPr>
        <w:t xml:space="preserve">ed </w:t>
      </w:r>
      <w:r w:rsidR="00CB37D4">
        <w:rPr>
          <w:rFonts w:ascii="Arial" w:hAnsi="Arial" w:cs="Arial"/>
        </w:rPr>
        <w:t xml:space="preserve">musician dataset, average age, 22.12 </w:t>
      </w:r>
      <w:proofErr w:type="spellStart"/>
      <w:r w:rsidR="00CB37D4">
        <w:rPr>
          <w:rFonts w:ascii="Arial" w:hAnsi="Arial" w:cs="Arial"/>
        </w:rPr>
        <w:t>stdev</w:t>
      </w:r>
      <w:proofErr w:type="spellEnd"/>
      <w:r w:rsidR="00CB37D4">
        <w:rPr>
          <w:rFonts w:ascii="Arial" w:hAnsi="Arial" w:cs="Arial"/>
        </w:rPr>
        <w:t xml:space="preserve"> 3.11, and the average OHC damage</w:t>
      </w:r>
      <w:r w:rsidR="00372CAB">
        <w:rPr>
          <w:rFonts w:ascii="Arial" w:hAnsi="Arial" w:cs="Arial"/>
        </w:rPr>
        <w:t xml:space="preserve"> 16.7% provides a simple answer, it’s good to be young</w:t>
      </w:r>
      <w:r w:rsidR="00B10E86">
        <w:rPr>
          <w:rFonts w:ascii="Arial" w:hAnsi="Arial" w:cs="Arial"/>
        </w:rPr>
        <w:t>(</w:t>
      </w:r>
      <w:r w:rsidR="00372CAB">
        <w:rPr>
          <w:rFonts w:ascii="Arial" w:hAnsi="Arial" w:cs="Arial"/>
        </w:rPr>
        <w:t>er</w:t>
      </w:r>
      <w:r w:rsidR="00B10E86">
        <w:rPr>
          <w:rFonts w:ascii="Arial" w:hAnsi="Arial" w:cs="Arial"/>
        </w:rPr>
        <w:t>)</w:t>
      </w:r>
      <w:r w:rsidR="00CB37D4">
        <w:rPr>
          <w:rFonts w:ascii="Arial" w:hAnsi="Arial" w:cs="Arial"/>
        </w:rPr>
        <w:t>.</w:t>
      </w:r>
      <w:r w:rsidR="00311641">
        <w:rPr>
          <w:rFonts w:ascii="Arial" w:hAnsi="Arial" w:cs="Arial"/>
        </w:rPr>
        <w:t xml:space="preserve">  </w:t>
      </w:r>
      <w:r w:rsidR="00C64080">
        <w:rPr>
          <w:rFonts w:ascii="Arial" w:hAnsi="Arial" w:cs="Arial"/>
        </w:rPr>
        <w:t xml:space="preserve"> </w:t>
      </w:r>
    </w:p>
    <w:p w14:paraId="32E5AC6B" w14:textId="64FCC24D" w:rsidR="001264EA" w:rsidRDefault="001264EA" w:rsidP="00CB37D4">
      <w:pPr>
        <w:rPr>
          <w:rFonts w:ascii="Arial" w:hAnsi="Arial" w:cs="Arial"/>
        </w:rPr>
      </w:pPr>
    </w:p>
    <w:p w14:paraId="4FB6DF89" w14:textId="77777777" w:rsidR="00CB37D4" w:rsidRDefault="00CB37D4" w:rsidP="00CB37D4">
      <w:pPr>
        <w:rPr>
          <w:rFonts w:ascii="Arial" w:hAnsi="Arial" w:cs="Arial"/>
        </w:rPr>
      </w:pPr>
    </w:p>
    <w:p w14:paraId="11E64460" w14:textId="5E50CF34" w:rsidR="00520E94" w:rsidRPr="00520E94" w:rsidRDefault="00520E94" w:rsidP="00CB37D4">
      <w:pPr>
        <w:pStyle w:val="Heading"/>
        <w:spacing w:after="0"/>
        <w:ind w:left="567" w:firstLine="142"/>
        <w:rPr>
          <w:rStyle w:val="None"/>
          <w:rFonts w:ascii="Arial" w:hAnsi="Arial" w:cs="Arial"/>
          <w:sz w:val="22"/>
          <w:szCs w:val="22"/>
        </w:rPr>
      </w:pPr>
      <w:r w:rsidRPr="00520E94">
        <w:rPr>
          <w:rStyle w:val="None"/>
          <w:rFonts w:ascii="Arial" w:hAnsi="Arial" w:cs="Arial"/>
          <w:sz w:val="22"/>
          <w:szCs w:val="22"/>
        </w:rPr>
        <w:t>CONCLUSIONS</w:t>
      </w:r>
    </w:p>
    <w:p w14:paraId="64AEC8AB" w14:textId="77777777" w:rsidR="00CB37D4" w:rsidRDefault="00CB37D4" w:rsidP="00520E94">
      <w:pPr>
        <w:ind w:left="567" w:firstLine="873"/>
        <w:rPr>
          <w:rFonts w:ascii="Arial" w:hAnsi="Arial" w:cs="Arial"/>
        </w:rPr>
      </w:pPr>
    </w:p>
    <w:p w14:paraId="3D725927" w14:textId="603B4A72" w:rsidR="006B36B7" w:rsidRDefault="006B36B7" w:rsidP="00CB37D4">
      <w:pPr>
        <w:ind w:left="709"/>
        <w:rPr>
          <w:rFonts w:ascii="Arial" w:hAnsi="Arial" w:cs="Arial"/>
        </w:rPr>
      </w:pPr>
      <w:r>
        <w:rPr>
          <w:rFonts w:ascii="Arial" w:hAnsi="Arial" w:cs="Arial"/>
        </w:rPr>
        <w:t>A new hearing assessment method has been tested for a specific group, that of</w:t>
      </w:r>
      <w:r w:rsidR="000C3843">
        <w:rPr>
          <w:rFonts w:ascii="Arial" w:hAnsi="Arial" w:cs="Arial"/>
        </w:rPr>
        <w:t xml:space="preserve"> students studying at a leading music conservatoire</w:t>
      </w:r>
      <w:r>
        <w:rPr>
          <w:rFonts w:ascii="Arial" w:hAnsi="Arial" w:cs="Arial"/>
        </w:rPr>
        <w:t xml:space="preserve">. These students were all young, 18-30 age range. Their hearing was assessed using pure tone audiometry and otoacoustic emissions. It was found that 86% of students could be tested using the Hearing Coach software compared to every student using audiometry. </w:t>
      </w:r>
    </w:p>
    <w:p w14:paraId="4761F92D" w14:textId="77777777" w:rsidR="006B36B7" w:rsidRDefault="006B36B7" w:rsidP="00CB37D4">
      <w:pPr>
        <w:ind w:left="709"/>
        <w:rPr>
          <w:rFonts w:ascii="Arial" w:hAnsi="Arial" w:cs="Arial"/>
        </w:rPr>
      </w:pPr>
    </w:p>
    <w:p w14:paraId="3A6BA7AF" w14:textId="26805204" w:rsidR="00C25F33" w:rsidRDefault="006B36B7" w:rsidP="00CB37D4">
      <w:pPr>
        <w:ind w:left="709"/>
        <w:rPr>
          <w:rFonts w:ascii="Arial" w:hAnsi="Arial" w:cs="Arial"/>
        </w:rPr>
      </w:pPr>
      <w:r>
        <w:rPr>
          <w:rFonts w:ascii="Arial" w:hAnsi="Arial" w:cs="Arial"/>
        </w:rPr>
        <w:t xml:space="preserve">A hypothesis was formed in </w:t>
      </w:r>
      <w:r w:rsidR="00D82B81">
        <w:rPr>
          <w:rFonts w:ascii="Arial" w:hAnsi="Arial" w:cs="Arial"/>
        </w:rPr>
        <w:t xml:space="preserve">the summer of 2021 that the OAE damage should be less than your age to be considered to have ‘Good’ hearing. A dataset was produced </w:t>
      </w:r>
      <w:r w:rsidR="000C3843">
        <w:rPr>
          <w:rFonts w:ascii="Arial" w:hAnsi="Arial" w:cs="Arial"/>
        </w:rPr>
        <w:t xml:space="preserve">by </w:t>
      </w:r>
      <w:r w:rsidR="00D82B81">
        <w:rPr>
          <w:rFonts w:ascii="Arial" w:hAnsi="Arial" w:cs="Arial"/>
        </w:rPr>
        <w:t xml:space="preserve">the developers of the Hearing Coach software which when analysed for all ages confirmed the hypothesis and this </w:t>
      </w:r>
      <w:r w:rsidR="00B256F3">
        <w:rPr>
          <w:rFonts w:ascii="Arial" w:hAnsi="Arial" w:cs="Arial"/>
        </w:rPr>
        <w:t xml:space="preserve">was </w:t>
      </w:r>
      <w:r w:rsidR="000C3843">
        <w:rPr>
          <w:rFonts w:ascii="Arial" w:hAnsi="Arial" w:cs="Arial"/>
        </w:rPr>
        <w:t xml:space="preserve">further </w:t>
      </w:r>
      <w:r w:rsidR="00B256F3">
        <w:rPr>
          <w:rFonts w:ascii="Arial" w:hAnsi="Arial" w:cs="Arial"/>
        </w:rPr>
        <w:t>confirmed</w:t>
      </w:r>
      <w:r w:rsidR="00D82B81">
        <w:rPr>
          <w:rFonts w:ascii="Arial" w:hAnsi="Arial" w:cs="Arial"/>
        </w:rPr>
        <w:t xml:space="preserve"> by an independently collect dataset of music students but only for the youngest age </w:t>
      </w:r>
      <w:r w:rsidR="000C3843">
        <w:rPr>
          <w:rFonts w:ascii="Arial" w:hAnsi="Arial" w:cs="Arial"/>
        </w:rPr>
        <w:t>category</w:t>
      </w:r>
      <w:r w:rsidR="00D82B81">
        <w:rPr>
          <w:rFonts w:ascii="Arial" w:hAnsi="Arial" w:cs="Arial"/>
        </w:rPr>
        <w:t xml:space="preserve">. </w:t>
      </w:r>
      <w:r w:rsidR="00C25F33">
        <w:rPr>
          <w:rFonts w:ascii="Arial" w:hAnsi="Arial" w:cs="Arial"/>
        </w:rPr>
        <w:t xml:space="preserve"> </w:t>
      </w:r>
    </w:p>
    <w:p w14:paraId="34E0E8FB" w14:textId="58C3CD68" w:rsidR="00C25F33" w:rsidRDefault="00C25F33" w:rsidP="00CB37D4">
      <w:pPr>
        <w:ind w:left="709"/>
        <w:rPr>
          <w:rFonts w:ascii="Arial" w:hAnsi="Arial" w:cs="Arial"/>
        </w:rPr>
      </w:pPr>
    </w:p>
    <w:p w14:paraId="5FAC34C0" w14:textId="77777777" w:rsidR="00E44FC5" w:rsidRDefault="00E44FC5" w:rsidP="00520E94">
      <w:pPr>
        <w:ind w:left="567" w:firstLine="873"/>
        <w:rPr>
          <w:rFonts w:ascii="Arial" w:hAnsi="Arial" w:cs="Arial"/>
        </w:rPr>
      </w:pPr>
    </w:p>
    <w:p w14:paraId="019BB71A" w14:textId="36AD066C" w:rsidR="00E44FC5" w:rsidRPr="007C4AF7" w:rsidRDefault="00E44FC5" w:rsidP="00AA01A3">
      <w:pPr>
        <w:pStyle w:val="BodyText"/>
        <w:spacing w:before="3"/>
        <w:ind w:firstLine="709"/>
        <w:jc w:val="left"/>
        <w:rPr>
          <w:rFonts w:ascii="Arial"/>
          <w:b/>
          <w:i/>
          <w:sz w:val="22"/>
          <w:szCs w:val="22"/>
        </w:rPr>
      </w:pPr>
      <w:r w:rsidRPr="007C4AF7">
        <w:rPr>
          <w:rFonts w:ascii="Arial"/>
          <w:b/>
          <w:i/>
          <w:sz w:val="22"/>
          <w:szCs w:val="22"/>
        </w:rPr>
        <w:t>Acknowledgements</w:t>
      </w:r>
    </w:p>
    <w:p w14:paraId="4DCC175E" w14:textId="77777777" w:rsidR="00E44FC5" w:rsidRDefault="00E44FC5" w:rsidP="00E44FC5">
      <w:pPr>
        <w:pStyle w:val="BodyText"/>
        <w:tabs>
          <w:tab w:val="left" w:pos="990"/>
        </w:tabs>
        <w:spacing w:before="3"/>
        <w:jc w:val="left"/>
        <w:rPr>
          <w:rFonts w:ascii="Arial"/>
          <w:b/>
          <w:i/>
          <w:sz w:val="21"/>
        </w:rPr>
      </w:pPr>
      <w:r>
        <w:rPr>
          <w:rFonts w:ascii="Arial"/>
          <w:b/>
          <w:i/>
          <w:sz w:val="21"/>
        </w:rPr>
        <w:tab/>
      </w:r>
    </w:p>
    <w:p w14:paraId="4C94EFA9" w14:textId="77777777" w:rsidR="009F314C" w:rsidRDefault="00E44FC5" w:rsidP="009F314C">
      <w:pPr>
        <w:pStyle w:val="BodyText"/>
        <w:tabs>
          <w:tab w:val="left" w:pos="990"/>
        </w:tabs>
        <w:spacing w:before="3"/>
        <w:ind w:left="709"/>
        <w:jc w:val="left"/>
        <w:rPr>
          <w:rFonts w:ascii="Arial"/>
          <w:sz w:val="22"/>
          <w:szCs w:val="22"/>
        </w:rPr>
      </w:pPr>
      <w:r>
        <w:rPr>
          <w:rFonts w:ascii="Arial"/>
          <w:sz w:val="22"/>
          <w:szCs w:val="22"/>
        </w:rPr>
        <w:t>We would like to thank the long-term research support of the Royal Academy of Music</w:t>
      </w:r>
      <w:r w:rsidR="00CB37D4">
        <w:rPr>
          <w:rFonts w:ascii="Arial"/>
          <w:sz w:val="22"/>
          <w:szCs w:val="22"/>
        </w:rPr>
        <w:t>, the staff and most of all the students</w:t>
      </w:r>
      <w:r>
        <w:rPr>
          <w:rFonts w:ascii="Arial"/>
          <w:sz w:val="22"/>
          <w:szCs w:val="22"/>
        </w:rPr>
        <w:t xml:space="preserve">. </w:t>
      </w:r>
      <w:r w:rsidR="00C671D3">
        <w:rPr>
          <w:rFonts w:ascii="Arial"/>
          <w:sz w:val="22"/>
          <w:szCs w:val="22"/>
        </w:rPr>
        <w:t>The research was funded by the Royal Academy of Music</w:t>
      </w:r>
      <w:r w:rsidR="009F314C">
        <w:rPr>
          <w:rFonts w:ascii="Arial"/>
          <w:sz w:val="22"/>
          <w:szCs w:val="22"/>
        </w:rPr>
        <w:t xml:space="preserve">. </w:t>
      </w:r>
      <w:r w:rsidR="009F314C">
        <w:rPr>
          <w:rFonts w:ascii="Arial"/>
          <w:sz w:val="22"/>
          <w:szCs w:val="22"/>
        </w:rPr>
        <w:t>Ethic approval UREC 1248 for the recruitment and participation of students, February 2013.</w:t>
      </w:r>
    </w:p>
    <w:p w14:paraId="29A95076" w14:textId="6BF63EE6" w:rsidR="00E44FC5" w:rsidRDefault="00C671D3" w:rsidP="00C671D3">
      <w:pPr>
        <w:pStyle w:val="BodyText"/>
        <w:tabs>
          <w:tab w:val="left" w:pos="990"/>
        </w:tabs>
        <w:spacing w:before="3"/>
        <w:ind w:left="709"/>
        <w:jc w:val="left"/>
        <w:rPr>
          <w:rFonts w:ascii="Arial"/>
          <w:sz w:val="22"/>
          <w:szCs w:val="22"/>
        </w:rPr>
      </w:pPr>
      <w:r>
        <w:rPr>
          <w:rFonts w:ascii="Arial"/>
          <w:sz w:val="22"/>
          <w:szCs w:val="22"/>
        </w:rPr>
        <w:t xml:space="preserve"> </w:t>
      </w:r>
    </w:p>
    <w:p w14:paraId="23229ADC" w14:textId="77777777" w:rsidR="00E44FC5" w:rsidRPr="00520E94" w:rsidRDefault="00E44FC5" w:rsidP="00520E94">
      <w:pPr>
        <w:ind w:left="567" w:firstLine="873"/>
        <w:rPr>
          <w:rFonts w:ascii="Arial" w:hAnsi="Arial" w:cs="Arial"/>
        </w:rPr>
      </w:pPr>
    </w:p>
    <w:p w14:paraId="779FE9C4" w14:textId="77777777" w:rsidR="00520E94" w:rsidRPr="00520E94" w:rsidRDefault="00520E94" w:rsidP="00520E94">
      <w:pPr>
        <w:ind w:left="567" w:firstLine="873"/>
        <w:rPr>
          <w:rFonts w:ascii="Arial" w:hAnsi="Arial" w:cs="Arial"/>
        </w:rPr>
      </w:pPr>
    </w:p>
    <w:p w14:paraId="4CD80D65" w14:textId="7CA7E4F3" w:rsidR="00520E94" w:rsidRPr="00520E94" w:rsidRDefault="00520E94" w:rsidP="00B256F3">
      <w:pPr>
        <w:pStyle w:val="Heading"/>
        <w:spacing w:after="0"/>
        <w:ind w:left="709"/>
        <w:rPr>
          <w:rFonts w:ascii="Arial" w:hAnsi="Arial" w:cs="Arial"/>
          <w:sz w:val="22"/>
          <w:szCs w:val="22"/>
        </w:rPr>
      </w:pPr>
      <w:r w:rsidRPr="00520E94">
        <w:rPr>
          <w:rStyle w:val="None"/>
          <w:rFonts w:ascii="Arial" w:hAnsi="Arial" w:cs="Arial"/>
          <w:sz w:val="22"/>
          <w:szCs w:val="22"/>
        </w:rPr>
        <w:t xml:space="preserve">REFERENCES </w:t>
      </w:r>
    </w:p>
    <w:p w14:paraId="1786CC03" w14:textId="788A33EA" w:rsidR="00520E94" w:rsidRPr="001963AF" w:rsidRDefault="00520E94" w:rsidP="00B256F3">
      <w:pPr>
        <w:pStyle w:val="ListParagraph"/>
        <w:widowControl/>
        <w:numPr>
          <w:ilvl w:val="0"/>
          <w:numId w:val="7"/>
        </w:numPr>
        <w:tabs>
          <w:tab w:val="left" w:pos="851"/>
        </w:tabs>
        <w:autoSpaceDE/>
        <w:autoSpaceDN/>
        <w:spacing w:after="160" w:line="259" w:lineRule="auto"/>
        <w:ind w:left="709" w:firstLine="0"/>
        <w:contextualSpacing/>
        <w:jc w:val="left"/>
        <w:rPr>
          <w:rFonts w:ascii="Arial" w:hAnsi="Arial" w:cs="Arial"/>
        </w:rPr>
      </w:pPr>
      <w:r w:rsidRPr="001963AF">
        <w:rPr>
          <w:rFonts w:ascii="Arial" w:hAnsi="Arial" w:cs="Arial"/>
        </w:rPr>
        <w:t xml:space="preserve">The Control of Noise at Work Regulations, </w:t>
      </w:r>
      <w:proofErr w:type="gramStart"/>
      <w:r w:rsidRPr="001963AF">
        <w:rPr>
          <w:rFonts w:ascii="Arial" w:hAnsi="Arial" w:cs="Arial"/>
        </w:rPr>
        <w:t>Health</w:t>
      </w:r>
      <w:proofErr w:type="gramEnd"/>
      <w:r w:rsidRPr="001963AF">
        <w:rPr>
          <w:rFonts w:ascii="Arial" w:hAnsi="Arial" w:cs="Arial"/>
        </w:rPr>
        <w:t xml:space="preserve"> and Safety Executive, (2005).</w:t>
      </w:r>
    </w:p>
    <w:p w14:paraId="294D4D48" w14:textId="77777777" w:rsidR="00520E94" w:rsidRPr="001963AF" w:rsidRDefault="00520E94" w:rsidP="00B256F3">
      <w:pPr>
        <w:pStyle w:val="ListParagraph"/>
        <w:widowControl/>
        <w:numPr>
          <w:ilvl w:val="0"/>
          <w:numId w:val="7"/>
        </w:numPr>
        <w:tabs>
          <w:tab w:val="left" w:pos="851"/>
        </w:tabs>
        <w:autoSpaceDE/>
        <w:autoSpaceDN/>
        <w:spacing w:after="160" w:line="259" w:lineRule="auto"/>
        <w:ind w:left="709" w:firstLine="0"/>
        <w:contextualSpacing/>
        <w:jc w:val="left"/>
        <w:rPr>
          <w:rFonts w:ascii="Arial" w:hAnsi="Arial" w:cs="Arial"/>
        </w:rPr>
      </w:pPr>
      <w:r w:rsidRPr="001963AF">
        <w:rPr>
          <w:rFonts w:ascii="Arial" w:hAnsi="Arial" w:cs="Arial"/>
        </w:rPr>
        <w:t xml:space="preserve">Alberti P. W. </w:t>
      </w:r>
      <w:r w:rsidRPr="001963AF">
        <w:rPr>
          <w:rFonts w:ascii="Arial" w:hAnsi="Arial" w:cs="Arial"/>
          <w:i/>
          <w:iCs/>
        </w:rPr>
        <w:t>Noise and the ear</w:t>
      </w:r>
      <w:r w:rsidRPr="001963AF">
        <w:rPr>
          <w:rFonts w:ascii="Arial" w:hAnsi="Arial" w:cs="Arial"/>
        </w:rPr>
        <w:t xml:space="preserve">. In: </w:t>
      </w:r>
      <w:r w:rsidRPr="001963AF">
        <w:rPr>
          <w:rFonts w:ascii="Arial" w:hAnsi="Arial" w:cs="Arial"/>
          <w:i/>
          <w:iCs/>
        </w:rPr>
        <w:t>Scott-Brown’s Otolaryngology</w:t>
      </w:r>
      <w:r w:rsidRPr="001963AF">
        <w:rPr>
          <w:rFonts w:ascii="Arial" w:hAnsi="Arial" w:cs="Arial"/>
        </w:rPr>
        <w:t>, Volume 2, Butterworth-Heinemann, (1997).</w:t>
      </w:r>
    </w:p>
    <w:p w14:paraId="159A93DB" w14:textId="638A8157" w:rsidR="00520E94" w:rsidRPr="001963AF" w:rsidRDefault="00520E94" w:rsidP="00B256F3">
      <w:pPr>
        <w:pStyle w:val="ListParagraph"/>
        <w:widowControl/>
        <w:numPr>
          <w:ilvl w:val="0"/>
          <w:numId w:val="7"/>
        </w:numPr>
        <w:tabs>
          <w:tab w:val="left" w:pos="851"/>
        </w:tabs>
        <w:autoSpaceDE/>
        <w:autoSpaceDN/>
        <w:spacing w:after="160" w:line="259" w:lineRule="auto"/>
        <w:ind w:left="709" w:firstLine="0"/>
        <w:contextualSpacing/>
        <w:jc w:val="left"/>
        <w:rPr>
          <w:rFonts w:ascii="Arial" w:hAnsi="Arial" w:cs="Arial"/>
        </w:rPr>
      </w:pPr>
      <w:r w:rsidRPr="001963AF">
        <w:rPr>
          <w:rFonts w:ascii="Arial" w:hAnsi="Arial" w:cs="Arial"/>
          <w:bCs/>
        </w:rPr>
        <w:t>BS EN ISO 1999: 2013 Estimation of noise-induced hearing loss, Geneva, Switzerland</w:t>
      </w:r>
      <w:r w:rsidR="006D5D47">
        <w:rPr>
          <w:rFonts w:ascii="Arial" w:hAnsi="Arial" w:cs="Arial"/>
          <w:bCs/>
        </w:rPr>
        <w:t>, (2013)</w:t>
      </w:r>
      <w:r w:rsidRPr="001963AF">
        <w:rPr>
          <w:rFonts w:ascii="Arial" w:hAnsi="Arial" w:cs="Arial"/>
          <w:color w:val="333333"/>
          <w:spacing w:val="-15"/>
        </w:rPr>
        <w:t>.</w:t>
      </w:r>
    </w:p>
    <w:p w14:paraId="66270416" w14:textId="3384806B" w:rsidR="00520E94" w:rsidRPr="001963AF" w:rsidRDefault="00520E94" w:rsidP="00B256F3">
      <w:pPr>
        <w:pStyle w:val="ListParagraph"/>
        <w:widowControl/>
        <w:numPr>
          <w:ilvl w:val="0"/>
          <w:numId w:val="7"/>
        </w:numPr>
        <w:tabs>
          <w:tab w:val="left" w:pos="851"/>
        </w:tabs>
        <w:autoSpaceDE/>
        <w:autoSpaceDN/>
        <w:spacing w:after="160" w:line="259" w:lineRule="auto"/>
        <w:ind w:left="709" w:firstLine="0"/>
        <w:contextualSpacing/>
        <w:jc w:val="left"/>
        <w:rPr>
          <w:rFonts w:ascii="Arial" w:hAnsi="Arial" w:cs="Arial"/>
        </w:rPr>
      </w:pPr>
      <w:r w:rsidRPr="001963AF">
        <w:rPr>
          <w:rFonts w:ascii="Arial" w:hAnsi="Arial" w:cs="Arial"/>
          <w:bCs/>
        </w:rPr>
        <w:t>BS EN ISO 7029: 2017.  Statistical distribution of hearing thresholds as a function of age,</w:t>
      </w:r>
      <w:r w:rsidRPr="001963AF">
        <w:rPr>
          <w:rFonts w:ascii="Arial" w:hAnsi="Arial" w:cs="Arial"/>
          <w:bCs/>
          <w:i/>
          <w:iCs/>
        </w:rPr>
        <w:t xml:space="preserve"> </w:t>
      </w:r>
      <w:r w:rsidRPr="001963AF">
        <w:rPr>
          <w:rFonts w:ascii="Arial" w:hAnsi="Arial" w:cs="Arial"/>
          <w:bCs/>
        </w:rPr>
        <w:t>Geneva, Switzerland</w:t>
      </w:r>
      <w:r w:rsidR="006D5D47">
        <w:rPr>
          <w:rFonts w:ascii="Arial" w:hAnsi="Arial" w:cs="Arial"/>
          <w:bCs/>
        </w:rPr>
        <w:t>, (2017)</w:t>
      </w:r>
      <w:r w:rsidRPr="001963AF">
        <w:rPr>
          <w:rFonts w:ascii="Arial" w:hAnsi="Arial" w:cs="Arial"/>
          <w:bCs/>
        </w:rPr>
        <w:t>.</w:t>
      </w:r>
    </w:p>
    <w:p w14:paraId="01D49D6F" w14:textId="77777777" w:rsidR="00520E94" w:rsidRPr="001963AF" w:rsidRDefault="00520E94" w:rsidP="00B256F3">
      <w:pPr>
        <w:pStyle w:val="ListParagraph"/>
        <w:widowControl/>
        <w:numPr>
          <w:ilvl w:val="0"/>
          <w:numId w:val="7"/>
        </w:numPr>
        <w:tabs>
          <w:tab w:val="left" w:pos="851"/>
        </w:tabs>
        <w:autoSpaceDE/>
        <w:autoSpaceDN/>
        <w:spacing w:after="160" w:line="259" w:lineRule="auto"/>
        <w:ind w:left="709" w:firstLine="0"/>
        <w:contextualSpacing/>
        <w:jc w:val="left"/>
        <w:rPr>
          <w:rFonts w:ascii="Arial" w:hAnsi="Arial" w:cs="Arial"/>
        </w:rPr>
      </w:pPr>
      <w:r w:rsidRPr="001963AF">
        <w:rPr>
          <w:rFonts w:ascii="Arial" w:hAnsi="Arial" w:cs="Arial"/>
        </w:rPr>
        <w:t>Royster J., Royster L., Killion M. Sound exposures and hearing thresholds of musicians</w:t>
      </w:r>
      <w:r w:rsidRPr="001963AF">
        <w:rPr>
          <w:rFonts w:ascii="Arial" w:hAnsi="Arial" w:cs="Arial"/>
          <w:i/>
          <w:iCs/>
        </w:rPr>
        <w:t>,</w:t>
      </w:r>
      <w:r w:rsidRPr="001963AF">
        <w:rPr>
          <w:rFonts w:ascii="Arial" w:hAnsi="Arial" w:cs="Arial"/>
        </w:rPr>
        <w:t xml:space="preserve"> </w:t>
      </w:r>
      <w:r w:rsidRPr="001963AF">
        <w:rPr>
          <w:rFonts w:ascii="Arial" w:hAnsi="Arial" w:cs="Arial"/>
          <w:i/>
          <w:iCs/>
        </w:rPr>
        <w:t>JASA</w:t>
      </w:r>
      <w:r w:rsidRPr="001963AF">
        <w:rPr>
          <w:rFonts w:ascii="Arial" w:hAnsi="Arial" w:cs="Arial"/>
        </w:rPr>
        <w:t>,</w:t>
      </w:r>
      <w:r w:rsidRPr="001963AF">
        <w:rPr>
          <w:rFonts w:ascii="Arial" w:hAnsi="Arial" w:cs="Arial"/>
          <w:b/>
          <w:bCs/>
        </w:rPr>
        <w:t xml:space="preserve"> 89</w:t>
      </w:r>
      <w:r w:rsidRPr="001963AF">
        <w:rPr>
          <w:rFonts w:ascii="Arial" w:hAnsi="Arial" w:cs="Arial"/>
        </w:rPr>
        <w:t>, (1991) 2793.</w:t>
      </w:r>
    </w:p>
    <w:p w14:paraId="54A84BD8" w14:textId="77777777" w:rsidR="00520E94" w:rsidRPr="001963AF" w:rsidRDefault="00520E94" w:rsidP="00B256F3">
      <w:pPr>
        <w:pStyle w:val="ListParagraph"/>
        <w:widowControl/>
        <w:numPr>
          <w:ilvl w:val="0"/>
          <w:numId w:val="7"/>
        </w:numPr>
        <w:tabs>
          <w:tab w:val="left" w:pos="851"/>
        </w:tabs>
        <w:autoSpaceDE/>
        <w:autoSpaceDN/>
        <w:spacing w:after="160" w:line="259" w:lineRule="auto"/>
        <w:ind w:left="709" w:firstLine="0"/>
        <w:contextualSpacing/>
        <w:jc w:val="left"/>
        <w:rPr>
          <w:rFonts w:ascii="Arial" w:hAnsi="Arial" w:cs="Arial"/>
        </w:rPr>
      </w:pPr>
      <w:proofErr w:type="spellStart"/>
      <w:r w:rsidRPr="001963AF">
        <w:rPr>
          <w:rFonts w:ascii="Arial" w:hAnsi="Arial" w:cs="Arial"/>
        </w:rPr>
        <w:t>Fearn</w:t>
      </w:r>
      <w:proofErr w:type="spellEnd"/>
      <w:r w:rsidRPr="001963AF">
        <w:rPr>
          <w:rFonts w:ascii="Arial" w:hAnsi="Arial" w:cs="Arial"/>
        </w:rPr>
        <w:t xml:space="preserve"> F.W. Hearing loss in musicians, </w:t>
      </w:r>
      <w:r w:rsidRPr="001963AF">
        <w:rPr>
          <w:rFonts w:ascii="Arial" w:hAnsi="Arial" w:cs="Arial"/>
          <w:i/>
          <w:iCs/>
        </w:rPr>
        <w:t>Journal of Sound and Vibration</w:t>
      </w:r>
      <w:r w:rsidRPr="001963AF">
        <w:rPr>
          <w:rFonts w:ascii="Arial" w:hAnsi="Arial" w:cs="Arial"/>
        </w:rPr>
        <w:t xml:space="preserve">, </w:t>
      </w:r>
      <w:r w:rsidRPr="001963AF">
        <w:rPr>
          <w:rFonts w:ascii="Arial" w:hAnsi="Arial" w:cs="Arial"/>
          <w:b/>
          <w:bCs/>
        </w:rPr>
        <w:t>163</w:t>
      </w:r>
      <w:r w:rsidRPr="001963AF">
        <w:rPr>
          <w:rFonts w:ascii="Arial" w:hAnsi="Arial" w:cs="Arial"/>
        </w:rPr>
        <w:t>, (1993) 372.</w:t>
      </w:r>
    </w:p>
    <w:p w14:paraId="577270DD" w14:textId="77777777" w:rsidR="00520E94" w:rsidRPr="001963AF" w:rsidRDefault="00520E94" w:rsidP="00B256F3">
      <w:pPr>
        <w:pStyle w:val="ListParagraph"/>
        <w:widowControl/>
        <w:numPr>
          <w:ilvl w:val="0"/>
          <w:numId w:val="7"/>
        </w:numPr>
        <w:tabs>
          <w:tab w:val="left" w:pos="851"/>
        </w:tabs>
        <w:autoSpaceDE/>
        <w:autoSpaceDN/>
        <w:spacing w:after="160" w:line="259" w:lineRule="auto"/>
        <w:ind w:left="709" w:firstLine="0"/>
        <w:contextualSpacing/>
        <w:jc w:val="left"/>
        <w:rPr>
          <w:rFonts w:ascii="Arial" w:hAnsi="Arial" w:cs="Arial"/>
        </w:rPr>
      </w:pPr>
      <w:r w:rsidRPr="001963AF">
        <w:rPr>
          <w:rFonts w:ascii="Arial" w:hAnsi="Arial" w:cs="Arial"/>
        </w:rPr>
        <w:t xml:space="preserve">Backus B., </w:t>
      </w:r>
      <w:proofErr w:type="spellStart"/>
      <w:r w:rsidRPr="001963AF">
        <w:rPr>
          <w:rFonts w:ascii="Arial" w:hAnsi="Arial" w:cs="Arial"/>
        </w:rPr>
        <w:t>Williamon</w:t>
      </w:r>
      <w:proofErr w:type="spellEnd"/>
      <w:r w:rsidRPr="001963AF">
        <w:rPr>
          <w:rFonts w:ascii="Arial" w:hAnsi="Arial" w:cs="Arial"/>
        </w:rPr>
        <w:t xml:space="preserve"> A. Noise-induced hearing loss in orchestral musicians, </w:t>
      </w:r>
      <w:r w:rsidRPr="001963AF">
        <w:rPr>
          <w:rFonts w:ascii="Arial" w:hAnsi="Arial" w:cs="Arial"/>
          <w:i/>
          <w:iCs/>
        </w:rPr>
        <w:t>Int. Sym. Perf. Science</w:t>
      </w:r>
      <w:r w:rsidRPr="001963AF">
        <w:rPr>
          <w:rFonts w:ascii="Arial" w:hAnsi="Arial" w:cs="Arial"/>
        </w:rPr>
        <w:t>, (2009)</w:t>
      </w:r>
    </w:p>
    <w:p w14:paraId="5C60C57F" w14:textId="72E24E8F" w:rsidR="00520E94" w:rsidRDefault="00520E94" w:rsidP="00B256F3">
      <w:pPr>
        <w:pStyle w:val="ListParagraph"/>
        <w:widowControl/>
        <w:numPr>
          <w:ilvl w:val="0"/>
          <w:numId w:val="7"/>
        </w:numPr>
        <w:tabs>
          <w:tab w:val="left" w:pos="851"/>
        </w:tabs>
        <w:autoSpaceDE/>
        <w:autoSpaceDN/>
        <w:spacing w:after="160" w:line="259" w:lineRule="auto"/>
        <w:ind w:left="709" w:firstLine="0"/>
        <w:contextualSpacing/>
        <w:jc w:val="left"/>
        <w:rPr>
          <w:rFonts w:ascii="Arial" w:hAnsi="Arial" w:cs="Arial"/>
        </w:rPr>
      </w:pPr>
      <w:r w:rsidRPr="001963AF">
        <w:rPr>
          <w:rFonts w:ascii="Arial" w:hAnsi="Arial" w:cs="Arial"/>
        </w:rPr>
        <w:t xml:space="preserve">Dance S., </w:t>
      </w:r>
      <w:proofErr w:type="spellStart"/>
      <w:r w:rsidRPr="001963AF">
        <w:rPr>
          <w:rFonts w:ascii="Arial" w:hAnsi="Arial" w:cs="Arial"/>
        </w:rPr>
        <w:t>Zepidou</w:t>
      </w:r>
      <w:proofErr w:type="spellEnd"/>
      <w:r w:rsidRPr="001963AF">
        <w:rPr>
          <w:rFonts w:ascii="Arial" w:hAnsi="Arial" w:cs="Arial"/>
        </w:rPr>
        <w:t xml:space="preserve"> G., Shearer D. Face the Music, </w:t>
      </w:r>
      <w:r w:rsidRPr="001963AF">
        <w:rPr>
          <w:rFonts w:ascii="Arial" w:hAnsi="Arial" w:cs="Arial"/>
          <w:i/>
          <w:iCs/>
        </w:rPr>
        <w:t>Proc Int. Congress on Acoustics</w:t>
      </w:r>
      <w:r w:rsidRPr="001963AF">
        <w:rPr>
          <w:rFonts w:ascii="Arial" w:hAnsi="Arial" w:cs="Arial"/>
        </w:rPr>
        <w:t>, Aachen, (2019)</w:t>
      </w:r>
    </w:p>
    <w:p w14:paraId="6EECA8CD" w14:textId="3D1D771C" w:rsidR="00B256F3" w:rsidRPr="001963AF" w:rsidRDefault="009F314C" w:rsidP="00B256F3">
      <w:pPr>
        <w:pStyle w:val="ListParagraph"/>
        <w:widowControl/>
        <w:numPr>
          <w:ilvl w:val="0"/>
          <w:numId w:val="7"/>
        </w:numPr>
        <w:tabs>
          <w:tab w:val="left" w:pos="851"/>
        </w:tabs>
        <w:autoSpaceDE/>
        <w:autoSpaceDN/>
        <w:spacing w:after="160" w:line="259" w:lineRule="auto"/>
        <w:ind w:left="709" w:firstLine="0"/>
        <w:contextualSpacing/>
        <w:jc w:val="left"/>
        <w:rPr>
          <w:rFonts w:ascii="Arial" w:hAnsi="Arial" w:cs="Arial"/>
        </w:rPr>
      </w:pPr>
      <w:hyperlink r:id="rId11" w:history="1">
        <w:r w:rsidR="00B256F3" w:rsidRPr="006B0F9A">
          <w:rPr>
            <w:rStyle w:val="Hyperlink"/>
            <w:rFonts w:ascii="Arial" w:hAnsi="Arial" w:cs="Arial"/>
          </w:rPr>
          <w:t>www.judiciary.uk/wp-content/uploads/2019/04/goldscheider-v-roh-judgment.pdf</w:t>
        </w:r>
      </w:hyperlink>
      <w:r w:rsidR="00B256F3">
        <w:rPr>
          <w:rFonts w:ascii="Arial" w:hAnsi="Arial" w:cs="Arial"/>
        </w:rPr>
        <w:t xml:space="preserve"> (2019) [accessed 28/11/2022]</w:t>
      </w:r>
    </w:p>
    <w:p w14:paraId="0A43AFEC" w14:textId="1E4C7FA9" w:rsidR="00520E94" w:rsidRPr="001963AF" w:rsidRDefault="00520E94" w:rsidP="00B256F3">
      <w:pPr>
        <w:pStyle w:val="ListParagraph"/>
        <w:widowControl/>
        <w:numPr>
          <w:ilvl w:val="0"/>
          <w:numId w:val="7"/>
        </w:numPr>
        <w:tabs>
          <w:tab w:val="left" w:pos="851"/>
        </w:tabs>
        <w:autoSpaceDE/>
        <w:autoSpaceDN/>
        <w:spacing w:after="160" w:line="259" w:lineRule="auto"/>
        <w:ind w:left="709" w:firstLine="0"/>
        <w:contextualSpacing/>
        <w:jc w:val="left"/>
        <w:rPr>
          <w:rFonts w:ascii="Arial" w:hAnsi="Arial" w:cs="Arial"/>
        </w:rPr>
      </w:pPr>
      <w:proofErr w:type="spellStart"/>
      <w:r w:rsidRPr="001963AF">
        <w:rPr>
          <w:rFonts w:ascii="Arial" w:hAnsi="Arial" w:cs="Arial"/>
        </w:rPr>
        <w:t>Bamiou</w:t>
      </w:r>
      <w:proofErr w:type="spellEnd"/>
      <w:r w:rsidRPr="001963AF">
        <w:rPr>
          <w:rFonts w:ascii="Arial" w:hAnsi="Arial" w:cs="Arial"/>
        </w:rPr>
        <w:t xml:space="preserve"> D., Lutman M. Interaction of noise induced hearing loss and ageing: epidemiological aspects. In: </w:t>
      </w:r>
      <w:proofErr w:type="spellStart"/>
      <w:r w:rsidRPr="001963AF">
        <w:rPr>
          <w:rFonts w:ascii="Arial" w:hAnsi="Arial" w:cs="Arial"/>
        </w:rPr>
        <w:t>Luxon</w:t>
      </w:r>
      <w:proofErr w:type="spellEnd"/>
      <w:r w:rsidRPr="001963AF">
        <w:rPr>
          <w:rFonts w:ascii="Arial" w:hAnsi="Arial" w:cs="Arial"/>
        </w:rPr>
        <w:t xml:space="preserve"> L, </w:t>
      </w:r>
      <w:proofErr w:type="spellStart"/>
      <w:r w:rsidRPr="001963AF">
        <w:rPr>
          <w:rFonts w:ascii="Arial" w:hAnsi="Arial" w:cs="Arial"/>
        </w:rPr>
        <w:t>Prasher</w:t>
      </w:r>
      <w:proofErr w:type="spellEnd"/>
      <w:r w:rsidRPr="001963AF">
        <w:rPr>
          <w:rFonts w:ascii="Arial" w:hAnsi="Arial" w:cs="Arial"/>
        </w:rPr>
        <w:t xml:space="preserve"> D (eds). Noise and its effects. Chichester: John </w:t>
      </w:r>
      <w:r w:rsidR="00B256F3">
        <w:rPr>
          <w:rFonts w:ascii="Arial" w:hAnsi="Arial" w:cs="Arial"/>
        </w:rPr>
        <w:tab/>
      </w:r>
      <w:r w:rsidR="00B256F3">
        <w:rPr>
          <w:rFonts w:ascii="Arial" w:hAnsi="Arial" w:cs="Arial"/>
        </w:rPr>
        <w:tab/>
      </w:r>
      <w:r w:rsidRPr="001963AF">
        <w:rPr>
          <w:rFonts w:ascii="Arial" w:hAnsi="Arial" w:cs="Arial"/>
        </w:rPr>
        <w:t>Wiley, (2007) 64-84.</w:t>
      </w:r>
    </w:p>
    <w:p w14:paraId="360F614D" w14:textId="77777777" w:rsidR="00520E94" w:rsidRPr="001963AF" w:rsidRDefault="00520E94" w:rsidP="00B256F3">
      <w:pPr>
        <w:pStyle w:val="ListParagraph"/>
        <w:widowControl/>
        <w:numPr>
          <w:ilvl w:val="0"/>
          <w:numId w:val="7"/>
        </w:numPr>
        <w:tabs>
          <w:tab w:val="left" w:pos="851"/>
        </w:tabs>
        <w:autoSpaceDE/>
        <w:autoSpaceDN/>
        <w:spacing w:after="160" w:line="259" w:lineRule="auto"/>
        <w:ind w:left="709" w:firstLine="0"/>
        <w:contextualSpacing/>
        <w:jc w:val="left"/>
        <w:rPr>
          <w:rFonts w:ascii="Arial" w:hAnsi="Arial" w:cs="Arial"/>
        </w:rPr>
      </w:pPr>
      <w:r w:rsidRPr="001963AF">
        <w:rPr>
          <w:rFonts w:ascii="Arial" w:hAnsi="Arial" w:cs="Arial"/>
        </w:rPr>
        <w:t>Lutman M., Davis A., Ferguson A. Epidemiological evidence for the effectiveness of the noise at work regulations</w:t>
      </w:r>
      <w:r w:rsidRPr="001963AF">
        <w:rPr>
          <w:rFonts w:ascii="Arial" w:hAnsi="Arial" w:cs="Arial"/>
          <w:i/>
          <w:iCs/>
        </w:rPr>
        <w:t xml:space="preserve"> </w:t>
      </w:r>
      <w:r w:rsidRPr="001963AF">
        <w:rPr>
          <w:rFonts w:ascii="Arial" w:hAnsi="Arial" w:cs="Arial"/>
        </w:rPr>
        <w:t>RR669, Health and Safety Executive, (2008).</w:t>
      </w:r>
    </w:p>
    <w:p w14:paraId="0F56B79A" w14:textId="77777777" w:rsidR="00B256F3" w:rsidRDefault="00520E94" w:rsidP="00B256F3">
      <w:pPr>
        <w:pStyle w:val="ListParagraph"/>
        <w:widowControl/>
        <w:numPr>
          <w:ilvl w:val="0"/>
          <w:numId w:val="7"/>
        </w:numPr>
        <w:tabs>
          <w:tab w:val="left" w:pos="851"/>
        </w:tabs>
        <w:autoSpaceDE/>
        <w:autoSpaceDN/>
        <w:spacing w:line="259" w:lineRule="auto"/>
        <w:ind w:left="709" w:firstLine="0"/>
        <w:contextualSpacing/>
        <w:jc w:val="left"/>
        <w:rPr>
          <w:rFonts w:ascii="Arial" w:hAnsi="Arial" w:cs="Arial"/>
        </w:rPr>
      </w:pPr>
      <w:r w:rsidRPr="001963AF">
        <w:rPr>
          <w:rFonts w:ascii="Arial" w:hAnsi="Arial" w:cs="Arial"/>
        </w:rPr>
        <w:t>Shepard R., Ryan F., Checkley P., Cordeaux C. Hearing Conservation for Performers: Best Practice Guidance, British Association for Performance Arts Medicine, (2020).</w:t>
      </w:r>
    </w:p>
    <w:p w14:paraId="1849C57E" w14:textId="59A7A44B" w:rsidR="00B256F3" w:rsidRPr="00B256F3" w:rsidRDefault="00622FA2" w:rsidP="00B256F3">
      <w:pPr>
        <w:pStyle w:val="ListParagraph"/>
        <w:widowControl/>
        <w:numPr>
          <w:ilvl w:val="0"/>
          <w:numId w:val="7"/>
        </w:numPr>
        <w:tabs>
          <w:tab w:val="left" w:pos="851"/>
        </w:tabs>
        <w:autoSpaceDE/>
        <w:autoSpaceDN/>
        <w:spacing w:line="259" w:lineRule="auto"/>
        <w:ind w:left="709" w:firstLine="0"/>
        <w:contextualSpacing/>
        <w:jc w:val="left"/>
        <w:rPr>
          <w:rFonts w:ascii="Arial" w:hAnsi="Arial" w:cs="Arial"/>
        </w:rPr>
      </w:pPr>
      <w:r w:rsidRPr="00B256F3">
        <w:rPr>
          <w:rFonts w:ascii="Arial" w:hAnsi="Arial" w:cs="Arial"/>
        </w:rPr>
        <w:t xml:space="preserve">Recommended Procedure: Clinical Application of Otoacoustic Emissions (OAEs) in Children and Adult, </w:t>
      </w:r>
      <w:r w:rsidR="001963AF" w:rsidRPr="00B256F3">
        <w:rPr>
          <w:rFonts w:ascii="Arial" w:hAnsi="Arial" w:cs="Arial"/>
          <w:i/>
          <w:iCs/>
        </w:rPr>
        <w:t>British Society of Audiology</w:t>
      </w:r>
      <w:r w:rsidR="001963AF" w:rsidRPr="00B256F3">
        <w:rPr>
          <w:rFonts w:ascii="Arial" w:hAnsi="Arial" w:cs="Arial"/>
        </w:rPr>
        <w:t xml:space="preserve">, </w:t>
      </w:r>
      <w:r w:rsidRPr="00B256F3">
        <w:rPr>
          <w:rFonts w:ascii="Arial" w:hAnsi="Arial" w:cs="Arial"/>
        </w:rPr>
        <w:t>September 2022</w:t>
      </w:r>
    </w:p>
    <w:p w14:paraId="3F443E22" w14:textId="51B0EB37" w:rsidR="006D5D47" w:rsidRPr="00B256F3" w:rsidRDefault="006D5D47" w:rsidP="00B256F3">
      <w:pPr>
        <w:pStyle w:val="BodyText"/>
        <w:numPr>
          <w:ilvl w:val="0"/>
          <w:numId w:val="7"/>
        </w:numPr>
        <w:tabs>
          <w:tab w:val="left" w:pos="851"/>
        </w:tabs>
        <w:ind w:left="709" w:firstLine="0"/>
        <w:jc w:val="left"/>
        <w:rPr>
          <w:rFonts w:ascii="Arial" w:hAnsi="Arial" w:cs="Arial"/>
          <w:sz w:val="22"/>
          <w:szCs w:val="22"/>
        </w:rPr>
      </w:pPr>
      <w:r w:rsidRPr="00B256F3">
        <w:rPr>
          <w:rFonts w:ascii="Arial" w:hAnsi="Arial" w:cs="Arial"/>
        </w:rPr>
        <w:t xml:space="preserve">BS EN ISO 8253-1: 2010 </w:t>
      </w:r>
      <w:r w:rsidRPr="00B256F3">
        <w:rPr>
          <w:rFonts w:ascii="Arial" w:hAnsi="Arial" w:cs="Arial"/>
          <w:color w:val="333333"/>
          <w:spacing w:val="-15"/>
        </w:rPr>
        <w:t>Acoustics — Audiometric test methods — Part 1: Pure-tone air and bone conduction audiometry, Geneva, Switzerland (2010).</w:t>
      </w:r>
    </w:p>
    <w:p w14:paraId="65E090DE" w14:textId="0B4A51E0" w:rsidR="001963AF" w:rsidRPr="001963AF" w:rsidRDefault="001963AF" w:rsidP="00B256F3">
      <w:pPr>
        <w:pStyle w:val="ListParagraph"/>
        <w:widowControl/>
        <w:numPr>
          <w:ilvl w:val="0"/>
          <w:numId w:val="7"/>
        </w:numPr>
        <w:tabs>
          <w:tab w:val="left" w:pos="851"/>
        </w:tabs>
        <w:autoSpaceDE/>
        <w:autoSpaceDN/>
        <w:spacing w:after="160" w:line="259" w:lineRule="auto"/>
        <w:ind w:left="709" w:firstLine="0"/>
        <w:contextualSpacing/>
        <w:jc w:val="left"/>
        <w:rPr>
          <w:rFonts w:ascii="Arial" w:hAnsi="Arial" w:cs="Arial"/>
        </w:rPr>
      </w:pPr>
      <w:r w:rsidRPr="001963AF">
        <w:rPr>
          <w:rFonts w:ascii="Arial" w:hAnsi="Arial" w:cs="Arial"/>
        </w:rPr>
        <w:t xml:space="preserve">Dance S., </w:t>
      </w:r>
      <w:proofErr w:type="spellStart"/>
      <w:r w:rsidRPr="001963AF">
        <w:rPr>
          <w:rFonts w:ascii="Arial" w:hAnsi="Arial" w:cs="Arial"/>
        </w:rPr>
        <w:t>Ballestero</w:t>
      </w:r>
      <w:proofErr w:type="spellEnd"/>
      <w:r w:rsidRPr="001963AF">
        <w:rPr>
          <w:rFonts w:ascii="Arial" w:hAnsi="Arial" w:cs="Arial"/>
        </w:rPr>
        <w:t xml:space="preserve"> E. Feasibility Study for OAE Hearing Assessment, </w:t>
      </w:r>
      <w:r>
        <w:rPr>
          <w:rFonts w:ascii="Arial" w:hAnsi="Arial" w:cs="Arial"/>
        </w:rPr>
        <w:t xml:space="preserve">Proc. </w:t>
      </w:r>
      <w:proofErr w:type="spellStart"/>
      <w:r w:rsidRPr="001963AF">
        <w:rPr>
          <w:rFonts w:ascii="Arial" w:hAnsi="Arial" w:cs="Arial"/>
          <w:i/>
          <w:iCs/>
        </w:rPr>
        <w:t>Internoise</w:t>
      </w:r>
      <w:proofErr w:type="spellEnd"/>
      <w:r w:rsidRPr="001963AF">
        <w:rPr>
          <w:rFonts w:ascii="Arial" w:hAnsi="Arial" w:cs="Arial"/>
        </w:rPr>
        <w:t>, Glasgow, (2022).</w:t>
      </w:r>
    </w:p>
    <w:p w14:paraId="0EC3F73E" w14:textId="495142F3" w:rsidR="001963AF" w:rsidRPr="001963AF" w:rsidRDefault="001963AF" w:rsidP="00B256F3">
      <w:pPr>
        <w:pStyle w:val="ListParagraph"/>
        <w:widowControl/>
        <w:numPr>
          <w:ilvl w:val="0"/>
          <w:numId w:val="7"/>
        </w:numPr>
        <w:tabs>
          <w:tab w:val="left" w:pos="851"/>
        </w:tabs>
        <w:autoSpaceDE/>
        <w:autoSpaceDN/>
        <w:spacing w:after="160" w:line="259" w:lineRule="auto"/>
        <w:ind w:left="709" w:firstLine="0"/>
        <w:contextualSpacing/>
        <w:jc w:val="left"/>
        <w:rPr>
          <w:rFonts w:ascii="Arial" w:hAnsi="Arial" w:cs="Arial"/>
        </w:rPr>
      </w:pPr>
      <w:r w:rsidRPr="001963AF">
        <w:rPr>
          <w:rFonts w:ascii="Arial" w:hAnsi="Arial" w:cs="Arial"/>
        </w:rPr>
        <w:t xml:space="preserve">Dance S., </w:t>
      </w:r>
      <w:proofErr w:type="spellStart"/>
      <w:r w:rsidRPr="001963AF">
        <w:rPr>
          <w:rFonts w:ascii="Arial" w:hAnsi="Arial" w:cs="Arial"/>
        </w:rPr>
        <w:t>Zepidou</w:t>
      </w:r>
      <w:proofErr w:type="spellEnd"/>
      <w:r w:rsidRPr="001963AF">
        <w:rPr>
          <w:rFonts w:ascii="Arial" w:hAnsi="Arial" w:cs="Arial"/>
        </w:rPr>
        <w:t xml:space="preserve"> G. Pilot study: Comparison of pure tone audiometry and otoacoustic </w:t>
      </w:r>
      <w:proofErr w:type="gramStart"/>
      <w:r w:rsidRPr="001963AF">
        <w:rPr>
          <w:rFonts w:ascii="Arial" w:hAnsi="Arial" w:cs="Arial"/>
        </w:rPr>
        <w:t>emission based</w:t>
      </w:r>
      <w:proofErr w:type="gramEnd"/>
      <w:r w:rsidRPr="001963AF">
        <w:rPr>
          <w:rFonts w:ascii="Arial" w:hAnsi="Arial" w:cs="Arial"/>
        </w:rPr>
        <w:t xml:space="preserve"> hearing assessment for classical music students</w:t>
      </w:r>
      <w:r w:rsidRPr="001963AF">
        <w:rPr>
          <w:rFonts w:ascii="Arial" w:hAnsi="Arial" w:cs="Arial"/>
          <w:i/>
          <w:iCs/>
        </w:rPr>
        <w:t>,</w:t>
      </w:r>
      <w:r>
        <w:rPr>
          <w:rFonts w:ascii="Arial" w:hAnsi="Arial" w:cs="Arial"/>
          <w:i/>
          <w:iCs/>
        </w:rPr>
        <w:t xml:space="preserve"> Proc.</w:t>
      </w:r>
      <w:r w:rsidRPr="001963AF">
        <w:rPr>
          <w:rFonts w:ascii="Arial" w:hAnsi="Arial" w:cs="Arial"/>
          <w:i/>
          <w:iCs/>
        </w:rPr>
        <w:t xml:space="preserve"> </w:t>
      </w:r>
      <w:proofErr w:type="spellStart"/>
      <w:r w:rsidRPr="001963AF">
        <w:rPr>
          <w:rFonts w:ascii="Arial" w:hAnsi="Arial" w:cs="Arial"/>
          <w:i/>
          <w:iCs/>
        </w:rPr>
        <w:t>Internoise</w:t>
      </w:r>
      <w:proofErr w:type="spellEnd"/>
      <w:r w:rsidRPr="001963AF">
        <w:rPr>
          <w:rFonts w:ascii="Arial" w:hAnsi="Arial" w:cs="Arial"/>
        </w:rPr>
        <w:t>, Glasgow, (2022).</w:t>
      </w:r>
    </w:p>
    <w:p w14:paraId="397EEA5F" w14:textId="53604545" w:rsidR="00520E94" w:rsidRPr="001963AF" w:rsidRDefault="009F314C" w:rsidP="00B256F3">
      <w:pPr>
        <w:pStyle w:val="ListParagraph"/>
        <w:widowControl/>
        <w:numPr>
          <w:ilvl w:val="0"/>
          <w:numId w:val="7"/>
        </w:numPr>
        <w:tabs>
          <w:tab w:val="left" w:pos="851"/>
        </w:tabs>
        <w:autoSpaceDE/>
        <w:autoSpaceDN/>
        <w:spacing w:after="160" w:line="259" w:lineRule="auto"/>
        <w:ind w:left="709" w:firstLine="0"/>
        <w:contextualSpacing/>
        <w:jc w:val="left"/>
        <w:rPr>
          <w:rFonts w:ascii="Arial" w:hAnsi="Arial" w:cs="Arial"/>
        </w:rPr>
      </w:pPr>
      <w:hyperlink r:id="rId12" w:history="1">
        <w:r w:rsidR="00B256F3" w:rsidRPr="006B0F9A">
          <w:rPr>
            <w:rStyle w:val="Hyperlink"/>
            <w:rFonts w:ascii="Arial" w:hAnsi="Arial" w:cs="Arial"/>
          </w:rPr>
          <w:t>www.pathme.de</w:t>
        </w:r>
      </w:hyperlink>
      <w:r w:rsidR="00B256F3">
        <w:rPr>
          <w:rFonts w:ascii="Arial" w:hAnsi="Arial" w:cs="Arial"/>
        </w:rPr>
        <w:t xml:space="preserve"> [accessed 28/11/2022]</w:t>
      </w:r>
    </w:p>
    <w:p w14:paraId="54F20458" w14:textId="17A9DD0A" w:rsidR="00520E94" w:rsidRPr="001963AF" w:rsidRDefault="009F314C" w:rsidP="00B256F3">
      <w:pPr>
        <w:pStyle w:val="ListParagraph"/>
        <w:widowControl/>
        <w:numPr>
          <w:ilvl w:val="0"/>
          <w:numId w:val="7"/>
        </w:numPr>
        <w:tabs>
          <w:tab w:val="left" w:pos="851"/>
        </w:tabs>
        <w:autoSpaceDE/>
        <w:autoSpaceDN/>
        <w:spacing w:after="160" w:line="259" w:lineRule="auto"/>
        <w:ind w:left="709" w:firstLine="0"/>
        <w:contextualSpacing/>
        <w:jc w:val="left"/>
        <w:rPr>
          <w:rFonts w:ascii="Arial" w:hAnsi="Arial" w:cs="Arial"/>
        </w:rPr>
      </w:pPr>
      <w:hyperlink r:id="rId13" w:history="1">
        <w:r w:rsidR="00AB385F" w:rsidRPr="001963AF">
          <w:rPr>
            <w:rStyle w:val="Hyperlink"/>
            <w:rFonts w:ascii="Arial" w:hAnsi="Arial" w:cs="Arial"/>
          </w:rPr>
          <w:t>www.hearingcoachsoftware.com</w:t>
        </w:r>
      </w:hyperlink>
      <w:r w:rsidR="00B256F3">
        <w:rPr>
          <w:rStyle w:val="Hyperlink"/>
          <w:rFonts w:ascii="Arial" w:hAnsi="Arial" w:cs="Arial"/>
        </w:rPr>
        <w:t xml:space="preserve"> [accessed 28/11/2022]</w:t>
      </w:r>
    </w:p>
    <w:p w14:paraId="0B001C58" w14:textId="00EEAAD4" w:rsidR="00AB385F" w:rsidRPr="001963AF" w:rsidRDefault="00AB385F" w:rsidP="00B256F3">
      <w:pPr>
        <w:pStyle w:val="ListParagraph"/>
        <w:widowControl/>
        <w:numPr>
          <w:ilvl w:val="0"/>
          <w:numId w:val="7"/>
        </w:numPr>
        <w:tabs>
          <w:tab w:val="left" w:pos="851"/>
        </w:tabs>
        <w:autoSpaceDE/>
        <w:autoSpaceDN/>
        <w:spacing w:after="160" w:line="259" w:lineRule="auto"/>
        <w:ind w:left="709" w:firstLine="0"/>
        <w:contextualSpacing/>
        <w:jc w:val="left"/>
        <w:rPr>
          <w:rFonts w:ascii="Arial" w:hAnsi="Arial" w:cs="Arial"/>
        </w:rPr>
      </w:pPr>
      <w:r w:rsidRPr="001963AF">
        <w:rPr>
          <w:rFonts w:ascii="Arial" w:hAnsi="Arial" w:cs="Arial"/>
        </w:rPr>
        <w:t xml:space="preserve">UK Hearing Conservation Association Meeting, Private discussions with Professor </w:t>
      </w:r>
      <w:proofErr w:type="spellStart"/>
      <w:r w:rsidRPr="001963AF">
        <w:rPr>
          <w:rFonts w:ascii="Arial" w:hAnsi="Arial" w:cs="Arial"/>
        </w:rPr>
        <w:t>Vinck</w:t>
      </w:r>
      <w:proofErr w:type="spellEnd"/>
      <w:r w:rsidRPr="001963AF">
        <w:rPr>
          <w:rFonts w:ascii="Arial" w:hAnsi="Arial" w:cs="Arial"/>
        </w:rPr>
        <w:t>, University of Ghent, Royal Academy of Engineering, London</w:t>
      </w:r>
      <w:r w:rsidR="001963AF" w:rsidRPr="001963AF">
        <w:rPr>
          <w:rFonts w:ascii="Arial" w:hAnsi="Arial" w:cs="Arial"/>
        </w:rPr>
        <w:t>,</w:t>
      </w:r>
      <w:r w:rsidRPr="001963AF">
        <w:rPr>
          <w:rFonts w:ascii="Arial" w:hAnsi="Arial" w:cs="Arial"/>
        </w:rPr>
        <w:t xml:space="preserve"> April 2022</w:t>
      </w:r>
    </w:p>
    <w:p w14:paraId="1E845D1D" w14:textId="77777777" w:rsidR="001963AF" w:rsidRPr="00520E94" w:rsidRDefault="001963AF" w:rsidP="00B256F3">
      <w:pPr>
        <w:pStyle w:val="ListParagraph"/>
        <w:widowControl/>
        <w:tabs>
          <w:tab w:val="left" w:pos="851"/>
        </w:tabs>
        <w:autoSpaceDE/>
        <w:autoSpaceDN/>
        <w:spacing w:after="160" w:line="259" w:lineRule="auto"/>
        <w:ind w:left="709" w:firstLine="0"/>
        <w:contextualSpacing/>
        <w:jc w:val="left"/>
        <w:rPr>
          <w:rFonts w:ascii="Arial" w:hAnsi="Arial" w:cs="Arial"/>
        </w:rPr>
      </w:pPr>
    </w:p>
    <w:sectPr w:rsidR="001963AF" w:rsidRPr="00520E94" w:rsidSect="00FF2F7F">
      <w:pgSz w:w="11910" w:h="16840"/>
      <w:pgMar w:top="1420" w:right="1920" w:bottom="900" w:left="440" w:header="887" w:footer="71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D39B" w14:textId="77777777" w:rsidR="00FE301E" w:rsidRDefault="00FE301E" w:rsidP="006547BF">
      <w:r>
        <w:separator/>
      </w:r>
    </w:p>
  </w:endnote>
  <w:endnote w:type="continuationSeparator" w:id="0">
    <w:p w14:paraId="747B4A33" w14:textId="77777777" w:rsidR="00FE301E" w:rsidRDefault="00FE301E" w:rsidP="0065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0342" w14:textId="77777777" w:rsidR="00FE301E" w:rsidRDefault="00FE301E" w:rsidP="006547BF">
      <w:r>
        <w:separator/>
      </w:r>
    </w:p>
  </w:footnote>
  <w:footnote w:type="continuationSeparator" w:id="0">
    <w:p w14:paraId="4AA2E113" w14:textId="77777777" w:rsidR="00FE301E" w:rsidRDefault="00FE301E" w:rsidP="00654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701"/>
    <w:multiLevelType w:val="hybridMultilevel"/>
    <w:tmpl w:val="7C6CA944"/>
    <w:lvl w:ilvl="0" w:tplc="2CA661B6">
      <w:start w:val="1"/>
      <w:numFmt w:val="decimal"/>
      <w:lvlText w:val="%1."/>
      <w:lvlJc w:val="left"/>
      <w:pPr>
        <w:ind w:left="1619" w:hanging="641"/>
      </w:pPr>
      <w:rPr>
        <w:rFonts w:ascii="Microsoft Sans Serif" w:eastAsia="Microsoft Sans Serif" w:hAnsi="Microsoft Sans Serif" w:cs="Microsoft Sans Serif" w:hint="default"/>
        <w:w w:val="99"/>
        <w:sz w:val="24"/>
        <w:szCs w:val="24"/>
        <w:lang w:val="en-US" w:eastAsia="en-US" w:bidi="ar-SA"/>
      </w:rPr>
    </w:lvl>
    <w:lvl w:ilvl="1" w:tplc="0728C204">
      <w:numFmt w:val="bullet"/>
      <w:lvlText w:val="•"/>
      <w:lvlJc w:val="left"/>
      <w:pPr>
        <w:ind w:left="2574" w:hanging="641"/>
      </w:pPr>
      <w:rPr>
        <w:rFonts w:hint="default"/>
        <w:lang w:val="en-US" w:eastAsia="en-US" w:bidi="ar-SA"/>
      </w:rPr>
    </w:lvl>
    <w:lvl w:ilvl="2" w:tplc="B554EE42">
      <w:numFmt w:val="bullet"/>
      <w:lvlText w:val="•"/>
      <w:lvlJc w:val="left"/>
      <w:pPr>
        <w:ind w:left="3529" w:hanging="641"/>
      </w:pPr>
      <w:rPr>
        <w:rFonts w:hint="default"/>
        <w:lang w:val="en-US" w:eastAsia="en-US" w:bidi="ar-SA"/>
      </w:rPr>
    </w:lvl>
    <w:lvl w:ilvl="3" w:tplc="FFF4F29A">
      <w:numFmt w:val="bullet"/>
      <w:lvlText w:val="•"/>
      <w:lvlJc w:val="left"/>
      <w:pPr>
        <w:ind w:left="4483" w:hanging="641"/>
      </w:pPr>
      <w:rPr>
        <w:rFonts w:hint="default"/>
        <w:lang w:val="en-US" w:eastAsia="en-US" w:bidi="ar-SA"/>
      </w:rPr>
    </w:lvl>
    <w:lvl w:ilvl="4" w:tplc="8CBEBB9A">
      <w:numFmt w:val="bullet"/>
      <w:lvlText w:val="•"/>
      <w:lvlJc w:val="left"/>
      <w:pPr>
        <w:ind w:left="5438" w:hanging="641"/>
      </w:pPr>
      <w:rPr>
        <w:rFonts w:hint="default"/>
        <w:lang w:val="en-US" w:eastAsia="en-US" w:bidi="ar-SA"/>
      </w:rPr>
    </w:lvl>
    <w:lvl w:ilvl="5" w:tplc="763ECCBA">
      <w:numFmt w:val="bullet"/>
      <w:lvlText w:val="•"/>
      <w:lvlJc w:val="left"/>
      <w:pPr>
        <w:ind w:left="6393" w:hanging="641"/>
      </w:pPr>
      <w:rPr>
        <w:rFonts w:hint="default"/>
        <w:lang w:val="en-US" w:eastAsia="en-US" w:bidi="ar-SA"/>
      </w:rPr>
    </w:lvl>
    <w:lvl w:ilvl="6" w:tplc="816EE4B8">
      <w:numFmt w:val="bullet"/>
      <w:lvlText w:val="•"/>
      <w:lvlJc w:val="left"/>
      <w:pPr>
        <w:ind w:left="7347" w:hanging="641"/>
      </w:pPr>
      <w:rPr>
        <w:rFonts w:hint="default"/>
        <w:lang w:val="en-US" w:eastAsia="en-US" w:bidi="ar-SA"/>
      </w:rPr>
    </w:lvl>
    <w:lvl w:ilvl="7" w:tplc="0668410E">
      <w:numFmt w:val="bullet"/>
      <w:lvlText w:val="•"/>
      <w:lvlJc w:val="left"/>
      <w:pPr>
        <w:ind w:left="8302" w:hanging="641"/>
      </w:pPr>
      <w:rPr>
        <w:rFonts w:hint="default"/>
        <w:lang w:val="en-US" w:eastAsia="en-US" w:bidi="ar-SA"/>
      </w:rPr>
    </w:lvl>
    <w:lvl w:ilvl="8" w:tplc="33444998">
      <w:numFmt w:val="bullet"/>
      <w:lvlText w:val="•"/>
      <w:lvlJc w:val="left"/>
      <w:pPr>
        <w:ind w:left="9257" w:hanging="641"/>
      </w:pPr>
      <w:rPr>
        <w:rFonts w:hint="default"/>
        <w:lang w:val="en-US" w:eastAsia="en-US" w:bidi="ar-SA"/>
      </w:rPr>
    </w:lvl>
  </w:abstractNum>
  <w:abstractNum w:abstractNumId="1" w15:restartNumberingAfterBreak="0">
    <w:nsid w:val="36261762"/>
    <w:multiLevelType w:val="hybridMultilevel"/>
    <w:tmpl w:val="AA169286"/>
    <w:lvl w:ilvl="0" w:tplc="88D86046">
      <w:start w:val="1"/>
      <w:numFmt w:val="decimal"/>
      <w:lvlText w:val="%1."/>
      <w:lvlJc w:val="left"/>
      <w:pPr>
        <w:ind w:left="1247" w:hanging="269"/>
      </w:pPr>
      <w:rPr>
        <w:rFonts w:ascii="Arial" w:eastAsia="Arial" w:hAnsi="Arial" w:cs="Arial" w:hint="default"/>
        <w:b/>
        <w:bCs/>
        <w:w w:val="99"/>
        <w:sz w:val="24"/>
        <w:szCs w:val="24"/>
        <w:lang w:val="en-US" w:eastAsia="en-US" w:bidi="ar-SA"/>
      </w:rPr>
    </w:lvl>
    <w:lvl w:ilvl="1" w:tplc="C0923C96">
      <w:numFmt w:val="none"/>
      <w:lvlText w:val=""/>
      <w:lvlJc w:val="left"/>
      <w:pPr>
        <w:tabs>
          <w:tab w:val="num" w:pos="360"/>
        </w:tabs>
      </w:pPr>
    </w:lvl>
    <w:lvl w:ilvl="2" w:tplc="C6D45D9E">
      <w:numFmt w:val="bullet"/>
      <w:lvlText w:val="•"/>
      <w:lvlJc w:val="left"/>
      <w:pPr>
        <w:ind w:left="2520" w:hanging="470"/>
      </w:pPr>
      <w:rPr>
        <w:rFonts w:hint="default"/>
        <w:lang w:val="en-US" w:eastAsia="en-US" w:bidi="ar-SA"/>
      </w:rPr>
    </w:lvl>
    <w:lvl w:ilvl="3" w:tplc="12E2CF7E">
      <w:numFmt w:val="bullet"/>
      <w:lvlText w:val="•"/>
      <w:lvlJc w:val="left"/>
      <w:pPr>
        <w:ind w:left="3601" w:hanging="470"/>
      </w:pPr>
      <w:rPr>
        <w:rFonts w:hint="default"/>
        <w:lang w:val="en-US" w:eastAsia="en-US" w:bidi="ar-SA"/>
      </w:rPr>
    </w:lvl>
    <w:lvl w:ilvl="4" w:tplc="8AF6818C">
      <w:numFmt w:val="bullet"/>
      <w:lvlText w:val="•"/>
      <w:lvlJc w:val="left"/>
      <w:pPr>
        <w:ind w:left="4682" w:hanging="470"/>
      </w:pPr>
      <w:rPr>
        <w:rFonts w:hint="default"/>
        <w:lang w:val="en-US" w:eastAsia="en-US" w:bidi="ar-SA"/>
      </w:rPr>
    </w:lvl>
    <w:lvl w:ilvl="5" w:tplc="4C3E370C">
      <w:numFmt w:val="bullet"/>
      <w:lvlText w:val="•"/>
      <w:lvlJc w:val="left"/>
      <w:pPr>
        <w:ind w:left="5762" w:hanging="470"/>
      </w:pPr>
      <w:rPr>
        <w:rFonts w:hint="default"/>
        <w:lang w:val="en-US" w:eastAsia="en-US" w:bidi="ar-SA"/>
      </w:rPr>
    </w:lvl>
    <w:lvl w:ilvl="6" w:tplc="1AE88046">
      <w:numFmt w:val="bullet"/>
      <w:lvlText w:val="•"/>
      <w:lvlJc w:val="left"/>
      <w:pPr>
        <w:ind w:left="6843" w:hanging="470"/>
      </w:pPr>
      <w:rPr>
        <w:rFonts w:hint="default"/>
        <w:lang w:val="en-US" w:eastAsia="en-US" w:bidi="ar-SA"/>
      </w:rPr>
    </w:lvl>
    <w:lvl w:ilvl="7" w:tplc="648EF81C">
      <w:numFmt w:val="bullet"/>
      <w:lvlText w:val="•"/>
      <w:lvlJc w:val="left"/>
      <w:pPr>
        <w:ind w:left="7924" w:hanging="470"/>
      </w:pPr>
      <w:rPr>
        <w:rFonts w:hint="default"/>
        <w:lang w:val="en-US" w:eastAsia="en-US" w:bidi="ar-SA"/>
      </w:rPr>
    </w:lvl>
    <w:lvl w:ilvl="8" w:tplc="FD2642BA">
      <w:numFmt w:val="bullet"/>
      <w:lvlText w:val="•"/>
      <w:lvlJc w:val="left"/>
      <w:pPr>
        <w:ind w:left="9004" w:hanging="470"/>
      </w:pPr>
      <w:rPr>
        <w:rFonts w:hint="default"/>
        <w:lang w:val="en-US" w:eastAsia="en-US" w:bidi="ar-SA"/>
      </w:rPr>
    </w:lvl>
  </w:abstractNum>
  <w:abstractNum w:abstractNumId="2" w15:restartNumberingAfterBreak="0">
    <w:nsid w:val="444A7F4D"/>
    <w:multiLevelType w:val="hybridMultilevel"/>
    <w:tmpl w:val="DCC6261E"/>
    <w:styleLink w:val="Numbered"/>
    <w:lvl w:ilvl="0" w:tplc="B372BFEA">
      <w:start w:val="1"/>
      <w:numFmt w:val="decimal"/>
      <w:lvlText w:val="%1."/>
      <w:lvlJc w:val="left"/>
      <w:pPr>
        <w:ind w:left="360" w:hanging="360"/>
      </w:pPr>
      <w:rPr>
        <w:rFonts w:ascii="Arial" w:eastAsia="Microsoft Sans Serif" w:hAnsi="Arial" w:cs="Arial"/>
        <w:caps w:val="0"/>
        <w:smallCaps w:val="0"/>
        <w:strike w:val="0"/>
        <w:dstrike w:val="0"/>
        <w:outline w:val="0"/>
        <w:emboss w:val="0"/>
        <w:imprint w:val="0"/>
        <w:spacing w:val="0"/>
        <w:w w:val="100"/>
        <w:kern w:val="0"/>
        <w:position w:val="0"/>
        <w:highlight w:val="none"/>
        <w:vertAlign w:val="baseline"/>
      </w:rPr>
    </w:lvl>
    <w:lvl w:ilvl="1" w:tplc="0A60849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D6E00D4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A6025D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4AE96B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9844A3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B98E69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660405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CAF6F1E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F930397"/>
    <w:multiLevelType w:val="hybridMultilevel"/>
    <w:tmpl w:val="5BE49FB4"/>
    <w:lvl w:ilvl="0" w:tplc="3D82F454">
      <w:start w:val="1"/>
      <w:numFmt w:val="decimal"/>
      <w:lvlText w:val="%1"/>
      <w:lvlJc w:val="left"/>
      <w:pPr>
        <w:ind w:left="1381" w:hanging="403"/>
      </w:pPr>
      <w:rPr>
        <w:rFonts w:hint="default"/>
        <w:lang w:val="en-US" w:eastAsia="en-US" w:bidi="ar-SA"/>
      </w:rPr>
    </w:lvl>
    <w:lvl w:ilvl="1" w:tplc="BEEE4F2E">
      <w:numFmt w:val="none"/>
      <w:lvlText w:val=""/>
      <w:lvlJc w:val="left"/>
      <w:pPr>
        <w:tabs>
          <w:tab w:val="num" w:pos="360"/>
        </w:tabs>
      </w:pPr>
    </w:lvl>
    <w:lvl w:ilvl="2" w:tplc="FE56F64E">
      <w:numFmt w:val="bullet"/>
      <w:lvlText w:val="•"/>
      <w:lvlJc w:val="left"/>
      <w:pPr>
        <w:ind w:left="3337" w:hanging="403"/>
      </w:pPr>
      <w:rPr>
        <w:rFonts w:hint="default"/>
        <w:lang w:val="en-US" w:eastAsia="en-US" w:bidi="ar-SA"/>
      </w:rPr>
    </w:lvl>
    <w:lvl w:ilvl="3" w:tplc="D8E081F2">
      <w:numFmt w:val="bullet"/>
      <w:lvlText w:val="•"/>
      <w:lvlJc w:val="left"/>
      <w:pPr>
        <w:ind w:left="4315" w:hanging="403"/>
      </w:pPr>
      <w:rPr>
        <w:rFonts w:hint="default"/>
        <w:lang w:val="en-US" w:eastAsia="en-US" w:bidi="ar-SA"/>
      </w:rPr>
    </w:lvl>
    <w:lvl w:ilvl="4" w:tplc="8D3EE992">
      <w:numFmt w:val="bullet"/>
      <w:lvlText w:val="•"/>
      <w:lvlJc w:val="left"/>
      <w:pPr>
        <w:ind w:left="5294" w:hanging="403"/>
      </w:pPr>
      <w:rPr>
        <w:rFonts w:hint="default"/>
        <w:lang w:val="en-US" w:eastAsia="en-US" w:bidi="ar-SA"/>
      </w:rPr>
    </w:lvl>
    <w:lvl w:ilvl="5" w:tplc="4DF40E56">
      <w:numFmt w:val="bullet"/>
      <w:lvlText w:val="•"/>
      <w:lvlJc w:val="left"/>
      <w:pPr>
        <w:ind w:left="6273" w:hanging="403"/>
      </w:pPr>
      <w:rPr>
        <w:rFonts w:hint="default"/>
        <w:lang w:val="en-US" w:eastAsia="en-US" w:bidi="ar-SA"/>
      </w:rPr>
    </w:lvl>
    <w:lvl w:ilvl="6" w:tplc="3870884C">
      <w:numFmt w:val="bullet"/>
      <w:lvlText w:val="•"/>
      <w:lvlJc w:val="left"/>
      <w:pPr>
        <w:ind w:left="7251" w:hanging="403"/>
      </w:pPr>
      <w:rPr>
        <w:rFonts w:hint="default"/>
        <w:lang w:val="en-US" w:eastAsia="en-US" w:bidi="ar-SA"/>
      </w:rPr>
    </w:lvl>
    <w:lvl w:ilvl="7" w:tplc="404645DA">
      <w:numFmt w:val="bullet"/>
      <w:lvlText w:val="•"/>
      <w:lvlJc w:val="left"/>
      <w:pPr>
        <w:ind w:left="8230" w:hanging="403"/>
      </w:pPr>
      <w:rPr>
        <w:rFonts w:hint="default"/>
        <w:lang w:val="en-US" w:eastAsia="en-US" w:bidi="ar-SA"/>
      </w:rPr>
    </w:lvl>
    <w:lvl w:ilvl="8" w:tplc="47DE9C12">
      <w:numFmt w:val="bullet"/>
      <w:lvlText w:val="•"/>
      <w:lvlJc w:val="left"/>
      <w:pPr>
        <w:ind w:left="9209" w:hanging="403"/>
      </w:pPr>
      <w:rPr>
        <w:rFonts w:hint="default"/>
        <w:lang w:val="en-US" w:eastAsia="en-US" w:bidi="ar-SA"/>
      </w:rPr>
    </w:lvl>
  </w:abstractNum>
  <w:abstractNum w:abstractNumId="4" w15:restartNumberingAfterBreak="0">
    <w:nsid w:val="6871087D"/>
    <w:multiLevelType w:val="hybridMultilevel"/>
    <w:tmpl w:val="80D61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E2C68"/>
    <w:multiLevelType w:val="hybridMultilevel"/>
    <w:tmpl w:val="CBD2AE8A"/>
    <w:lvl w:ilvl="0" w:tplc="6C1E1334">
      <w:start w:val="2"/>
      <w:numFmt w:val="decimal"/>
      <w:lvlText w:val="%1"/>
      <w:lvlJc w:val="left"/>
      <w:pPr>
        <w:ind w:left="1448" w:hanging="470"/>
      </w:pPr>
      <w:rPr>
        <w:rFonts w:hint="default"/>
        <w:lang w:val="en-US" w:eastAsia="en-US" w:bidi="ar-SA"/>
      </w:rPr>
    </w:lvl>
    <w:lvl w:ilvl="1" w:tplc="396C5D58">
      <w:numFmt w:val="none"/>
      <w:lvlText w:val=""/>
      <w:lvlJc w:val="left"/>
      <w:pPr>
        <w:tabs>
          <w:tab w:val="num" w:pos="360"/>
        </w:tabs>
      </w:pPr>
    </w:lvl>
    <w:lvl w:ilvl="2" w:tplc="89B0A4E0">
      <w:numFmt w:val="bullet"/>
      <w:lvlText w:val="•"/>
      <w:lvlJc w:val="left"/>
      <w:pPr>
        <w:ind w:left="3385" w:hanging="470"/>
      </w:pPr>
      <w:rPr>
        <w:rFonts w:hint="default"/>
        <w:lang w:val="en-US" w:eastAsia="en-US" w:bidi="ar-SA"/>
      </w:rPr>
    </w:lvl>
    <w:lvl w:ilvl="3" w:tplc="A8BCDCF0">
      <w:numFmt w:val="bullet"/>
      <w:lvlText w:val="•"/>
      <w:lvlJc w:val="left"/>
      <w:pPr>
        <w:ind w:left="4357" w:hanging="470"/>
      </w:pPr>
      <w:rPr>
        <w:rFonts w:hint="default"/>
        <w:lang w:val="en-US" w:eastAsia="en-US" w:bidi="ar-SA"/>
      </w:rPr>
    </w:lvl>
    <w:lvl w:ilvl="4" w:tplc="7C846ECE">
      <w:numFmt w:val="bullet"/>
      <w:lvlText w:val="•"/>
      <w:lvlJc w:val="left"/>
      <w:pPr>
        <w:ind w:left="5330" w:hanging="470"/>
      </w:pPr>
      <w:rPr>
        <w:rFonts w:hint="default"/>
        <w:lang w:val="en-US" w:eastAsia="en-US" w:bidi="ar-SA"/>
      </w:rPr>
    </w:lvl>
    <w:lvl w:ilvl="5" w:tplc="4C84F642">
      <w:numFmt w:val="bullet"/>
      <w:lvlText w:val="•"/>
      <w:lvlJc w:val="left"/>
      <w:pPr>
        <w:ind w:left="6303" w:hanging="470"/>
      </w:pPr>
      <w:rPr>
        <w:rFonts w:hint="default"/>
        <w:lang w:val="en-US" w:eastAsia="en-US" w:bidi="ar-SA"/>
      </w:rPr>
    </w:lvl>
    <w:lvl w:ilvl="6" w:tplc="F7565EB0">
      <w:numFmt w:val="bullet"/>
      <w:lvlText w:val="•"/>
      <w:lvlJc w:val="left"/>
      <w:pPr>
        <w:ind w:left="7275" w:hanging="470"/>
      </w:pPr>
      <w:rPr>
        <w:rFonts w:hint="default"/>
        <w:lang w:val="en-US" w:eastAsia="en-US" w:bidi="ar-SA"/>
      </w:rPr>
    </w:lvl>
    <w:lvl w:ilvl="7" w:tplc="ECFAE2AC">
      <w:numFmt w:val="bullet"/>
      <w:lvlText w:val="•"/>
      <w:lvlJc w:val="left"/>
      <w:pPr>
        <w:ind w:left="8248" w:hanging="470"/>
      </w:pPr>
      <w:rPr>
        <w:rFonts w:hint="default"/>
        <w:lang w:val="en-US" w:eastAsia="en-US" w:bidi="ar-SA"/>
      </w:rPr>
    </w:lvl>
    <w:lvl w:ilvl="8" w:tplc="9C04BAE8">
      <w:numFmt w:val="bullet"/>
      <w:lvlText w:val="•"/>
      <w:lvlJc w:val="left"/>
      <w:pPr>
        <w:ind w:left="9221" w:hanging="470"/>
      </w:pPr>
      <w:rPr>
        <w:rFonts w:hint="default"/>
        <w:lang w:val="en-US" w:eastAsia="en-US" w:bidi="ar-SA"/>
      </w:rPr>
    </w:lvl>
  </w:abstractNum>
  <w:abstractNum w:abstractNumId="6" w15:restartNumberingAfterBreak="0">
    <w:nsid w:val="6EFD2EB8"/>
    <w:multiLevelType w:val="hybridMultilevel"/>
    <w:tmpl w:val="DCC6261E"/>
    <w:numStyleLink w:val="Numbered"/>
  </w:abstractNum>
  <w:abstractNum w:abstractNumId="7" w15:restartNumberingAfterBreak="0">
    <w:nsid w:val="73777607"/>
    <w:multiLevelType w:val="multilevel"/>
    <w:tmpl w:val="7302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1579278">
    <w:abstractNumId w:val="0"/>
  </w:num>
  <w:num w:numId="2" w16cid:durableId="43218402">
    <w:abstractNumId w:val="5"/>
  </w:num>
  <w:num w:numId="3" w16cid:durableId="1750613585">
    <w:abstractNumId w:val="3"/>
  </w:num>
  <w:num w:numId="4" w16cid:durableId="1365640328">
    <w:abstractNumId w:val="1"/>
  </w:num>
  <w:num w:numId="5" w16cid:durableId="184640974">
    <w:abstractNumId w:val="7"/>
  </w:num>
  <w:num w:numId="6" w16cid:durableId="921987810">
    <w:abstractNumId w:val="2"/>
  </w:num>
  <w:num w:numId="7" w16cid:durableId="737632181">
    <w:abstractNumId w:val="6"/>
    <w:lvlOverride w:ilvl="0">
      <w:lvl w:ilvl="0" w:tplc="62B432C6">
        <w:start w:val="1"/>
        <w:numFmt w:val="decimal"/>
        <w:lvlText w:val="%1."/>
        <w:lvlJc w:val="left"/>
        <w:pPr>
          <w:ind w:left="360" w:hanging="360"/>
        </w:pPr>
        <w:rPr>
          <w:rFonts w:ascii="Arial" w:eastAsia="Microsoft Sans Serif" w:hAnsi="Arial" w:cs="Arial"/>
          <w:caps w:val="0"/>
          <w:smallCaps w:val="0"/>
          <w:strike w:val="0"/>
          <w:dstrike w:val="0"/>
          <w:outline w:val="0"/>
          <w:emboss w:val="0"/>
          <w:imprint w:val="0"/>
          <w:spacing w:val="0"/>
          <w:w w:val="100"/>
          <w:kern w:val="0"/>
          <w:position w:val="0"/>
          <w:highlight w:val="none"/>
          <w:vertAlign w:val="baseline"/>
        </w:rPr>
      </w:lvl>
    </w:lvlOverride>
  </w:num>
  <w:num w:numId="8" w16cid:durableId="10377070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BF"/>
    <w:rsid w:val="00004BDD"/>
    <w:rsid w:val="00062382"/>
    <w:rsid w:val="00092BDB"/>
    <w:rsid w:val="000C3843"/>
    <w:rsid w:val="00120ED3"/>
    <w:rsid w:val="001264EA"/>
    <w:rsid w:val="0016225B"/>
    <w:rsid w:val="001963AF"/>
    <w:rsid w:val="001C4826"/>
    <w:rsid w:val="001C7722"/>
    <w:rsid w:val="001D0380"/>
    <w:rsid w:val="001F4078"/>
    <w:rsid w:val="001F671C"/>
    <w:rsid w:val="00217A17"/>
    <w:rsid w:val="00253869"/>
    <w:rsid w:val="00266CDD"/>
    <w:rsid w:val="002716A7"/>
    <w:rsid w:val="002A2046"/>
    <w:rsid w:val="002A6809"/>
    <w:rsid w:val="003059F0"/>
    <w:rsid w:val="00311641"/>
    <w:rsid w:val="0032568E"/>
    <w:rsid w:val="00325C1C"/>
    <w:rsid w:val="00372CAB"/>
    <w:rsid w:val="003A286B"/>
    <w:rsid w:val="003A4080"/>
    <w:rsid w:val="003F6828"/>
    <w:rsid w:val="004617A8"/>
    <w:rsid w:val="004B00EF"/>
    <w:rsid w:val="00520E94"/>
    <w:rsid w:val="00531B44"/>
    <w:rsid w:val="00551C4F"/>
    <w:rsid w:val="005A4955"/>
    <w:rsid w:val="005B7DBE"/>
    <w:rsid w:val="005C4A15"/>
    <w:rsid w:val="006208F2"/>
    <w:rsid w:val="00622FA2"/>
    <w:rsid w:val="006547BF"/>
    <w:rsid w:val="0069330D"/>
    <w:rsid w:val="006A067F"/>
    <w:rsid w:val="006B36B7"/>
    <w:rsid w:val="006D5D47"/>
    <w:rsid w:val="00770456"/>
    <w:rsid w:val="007C4AF7"/>
    <w:rsid w:val="008101F9"/>
    <w:rsid w:val="00826BBA"/>
    <w:rsid w:val="00872AA9"/>
    <w:rsid w:val="008D378C"/>
    <w:rsid w:val="00921B6F"/>
    <w:rsid w:val="009E6A8C"/>
    <w:rsid w:val="009F314C"/>
    <w:rsid w:val="00A26A13"/>
    <w:rsid w:val="00A90BC7"/>
    <w:rsid w:val="00AA01A3"/>
    <w:rsid w:val="00AB385F"/>
    <w:rsid w:val="00AC0231"/>
    <w:rsid w:val="00AC1281"/>
    <w:rsid w:val="00AC58A8"/>
    <w:rsid w:val="00AD5E47"/>
    <w:rsid w:val="00B10E86"/>
    <w:rsid w:val="00B256F3"/>
    <w:rsid w:val="00B96879"/>
    <w:rsid w:val="00BF0732"/>
    <w:rsid w:val="00C07265"/>
    <w:rsid w:val="00C226A6"/>
    <w:rsid w:val="00C25F33"/>
    <w:rsid w:val="00C64080"/>
    <w:rsid w:val="00C671D3"/>
    <w:rsid w:val="00CB37D4"/>
    <w:rsid w:val="00CC3C5F"/>
    <w:rsid w:val="00D27F61"/>
    <w:rsid w:val="00D4357C"/>
    <w:rsid w:val="00D50663"/>
    <w:rsid w:val="00D53799"/>
    <w:rsid w:val="00D82B81"/>
    <w:rsid w:val="00D90A1F"/>
    <w:rsid w:val="00D979D3"/>
    <w:rsid w:val="00DB255D"/>
    <w:rsid w:val="00DB3772"/>
    <w:rsid w:val="00DC4F60"/>
    <w:rsid w:val="00DE4056"/>
    <w:rsid w:val="00E44FC5"/>
    <w:rsid w:val="00F1286E"/>
    <w:rsid w:val="00F42E0E"/>
    <w:rsid w:val="00F44BAA"/>
    <w:rsid w:val="00F9596D"/>
    <w:rsid w:val="00FE301E"/>
    <w:rsid w:val="00FF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A99C6"/>
  <w15:docId w15:val="{6D308AC0-CEB1-47EB-8801-635E768B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547BF"/>
    <w:rPr>
      <w:rFonts w:ascii="Microsoft Sans Serif" w:eastAsia="Microsoft Sans Serif" w:hAnsi="Microsoft Sans Serif" w:cs="Microsoft Sans Serif"/>
    </w:rPr>
  </w:style>
  <w:style w:type="paragraph" w:styleId="Heading1">
    <w:name w:val="heading 1"/>
    <w:basedOn w:val="Normal"/>
    <w:uiPriority w:val="1"/>
    <w:qFormat/>
    <w:rsid w:val="006547BF"/>
    <w:pPr>
      <w:ind w:left="1448" w:hanging="471"/>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547BF"/>
    <w:pPr>
      <w:jc w:val="both"/>
    </w:pPr>
    <w:rPr>
      <w:sz w:val="24"/>
      <w:szCs w:val="24"/>
    </w:rPr>
  </w:style>
  <w:style w:type="paragraph" w:styleId="Title">
    <w:name w:val="Title"/>
    <w:basedOn w:val="Normal"/>
    <w:uiPriority w:val="1"/>
    <w:qFormat/>
    <w:rsid w:val="006547BF"/>
    <w:pPr>
      <w:spacing w:before="92"/>
      <w:ind w:left="4668" w:right="1186" w:hanging="3495"/>
    </w:pPr>
    <w:rPr>
      <w:rFonts w:ascii="Arial" w:eastAsia="Arial" w:hAnsi="Arial" w:cs="Arial"/>
      <w:b/>
      <w:bCs/>
      <w:sz w:val="28"/>
      <w:szCs w:val="28"/>
    </w:rPr>
  </w:style>
  <w:style w:type="paragraph" w:styleId="ListParagraph">
    <w:name w:val="List Paragraph"/>
    <w:basedOn w:val="Normal"/>
    <w:uiPriority w:val="34"/>
    <w:qFormat/>
    <w:rsid w:val="006547BF"/>
    <w:pPr>
      <w:ind w:left="1619" w:hanging="641"/>
      <w:jc w:val="both"/>
    </w:pPr>
  </w:style>
  <w:style w:type="paragraph" w:customStyle="1" w:styleId="TableParagraph">
    <w:name w:val="Table Paragraph"/>
    <w:basedOn w:val="Normal"/>
    <w:uiPriority w:val="1"/>
    <w:qFormat/>
    <w:rsid w:val="006547BF"/>
    <w:pPr>
      <w:ind w:left="107"/>
    </w:pPr>
    <w:rPr>
      <w:rFonts w:ascii="Calibri" w:eastAsia="Calibri" w:hAnsi="Calibri" w:cs="Calibri"/>
    </w:rPr>
  </w:style>
  <w:style w:type="paragraph" w:styleId="BalloonText">
    <w:name w:val="Balloon Text"/>
    <w:basedOn w:val="Normal"/>
    <w:link w:val="BalloonTextChar"/>
    <w:uiPriority w:val="99"/>
    <w:semiHidden/>
    <w:unhideWhenUsed/>
    <w:rsid w:val="003F6828"/>
    <w:rPr>
      <w:rFonts w:ascii="Tahoma" w:hAnsi="Tahoma" w:cs="Tahoma"/>
      <w:sz w:val="16"/>
      <w:szCs w:val="16"/>
    </w:rPr>
  </w:style>
  <w:style w:type="character" w:customStyle="1" w:styleId="BalloonTextChar">
    <w:name w:val="Balloon Text Char"/>
    <w:basedOn w:val="DefaultParagraphFont"/>
    <w:link w:val="BalloonText"/>
    <w:uiPriority w:val="99"/>
    <w:semiHidden/>
    <w:rsid w:val="003F6828"/>
    <w:rPr>
      <w:rFonts w:ascii="Tahoma" w:eastAsia="Microsoft Sans Serif" w:hAnsi="Tahoma" w:cs="Tahoma"/>
      <w:sz w:val="16"/>
      <w:szCs w:val="16"/>
    </w:rPr>
  </w:style>
  <w:style w:type="paragraph" w:customStyle="1" w:styleId="Affiliation">
    <w:name w:val="Affiliation"/>
    <w:basedOn w:val="Normal"/>
    <w:rsid w:val="00062382"/>
    <w:pPr>
      <w:widowControl/>
      <w:autoSpaceDE/>
      <w:autoSpaceDN/>
      <w:spacing w:after="20" w:line="260" w:lineRule="exact"/>
    </w:pPr>
    <w:rPr>
      <w:rFonts w:ascii="Arial" w:eastAsia="MS Mincho" w:hAnsi="Arial" w:cs="Times New Roman"/>
      <w:color w:val="000000"/>
      <w:sz w:val="20"/>
      <w:szCs w:val="20"/>
      <w:lang w:eastAsia="en-GB"/>
    </w:rPr>
  </w:style>
  <w:style w:type="paragraph" w:customStyle="1" w:styleId="Authors">
    <w:name w:val="Authors"/>
    <w:basedOn w:val="Normal"/>
    <w:qFormat/>
    <w:rsid w:val="00062382"/>
    <w:pPr>
      <w:widowControl/>
      <w:autoSpaceDE/>
      <w:autoSpaceDN/>
      <w:spacing w:after="120" w:line="276" w:lineRule="auto"/>
    </w:pPr>
    <w:rPr>
      <w:rFonts w:ascii="Arial" w:eastAsia="MS Mincho" w:hAnsi="Arial" w:cs="Times New Roman"/>
      <w:color w:val="000000"/>
      <w:szCs w:val="20"/>
      <w:lang w:eastAsia="en-GB"/>
    </w:rPr>
  </w:style>
  <w:style w:type="paragraph" w:styleId="HTMLPreformatted">
    <w:name w:val="HTML Preformatted"/>
    <w:basedOn w:val="Normal"/>
    <w:link w:val="HTMLPreformattedChar"/>
    <w:uiPriority w:val="99"/>
    <w:unhideWhenUsed/>
    <w:rsid w:val="000623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62382"/>
    <w:rPr>
      <w:rFonts w:ascii="Courier New" w:eastAsia="Times New Roman" w:hAnsi="Courier New" w:cs="Courier New"/>
      <w:sz w:val="20"/>
      <w:szCs w:val="20"/>
    </w:rPr>
  </w:style>
  <w:style w:type="character" w:customStyle="1" w:styleId="y2iqfc">
    <w:name w:val="y2iqfc"/>
    <w:basedOn w:val="DefaultParagraphFont"/>
    <w:rsid w:val="00062382"/>
  </w:style>
  <w:style w:type="character" w:styleId="Hyperlink">
    <w:name w:val="Hyperlink"/>
    <w:basedOn w:val="DefaultParagraphFont"/>
    <w:uiPriority w:val="99"/>
    <w:unhideWhenUsed/>
    <w:rsid w:val="00062382"/>
    <w:rPr>
      <w:color w:val="0000FF" w:themeColor="hyperlink"/>
      <w:u w:val="single"/>
    </w:rPr>
  </w:style>
  <w:style w:type="character" w:styleId="UnresolvedMention">
    <w:name w:val="Unresolved Mention"/>
    <w:basedOn w:val="DefaultParagraphFont"/>
    <w:uiPriority w:val="99"/>
    <w:semiHidden/>
    <w:unhideWhenUsed/>
    <w:rsid w:val="00DB3772"/>
    <w:rPr>
      <w:color w:val="605E5C"/>
      <w:shd w:val="clear" w:color="auto" w:fill="E1DFDD"/>
    </w:rPr>
  </w:style>
  <w:style w:type="paragraph" w:customStyle="1" w:styleId="Heading">
    <w:name w:val="Heading"/>
    <w:next w:val="Normal"/>
    <w:rsid w:val="00520E94"/>
    <w:pPr>
      <w:keepNext/>
      <w:widowControl/>
      <w:pBdr>
        <w:top w:val="nil"/>
        <w:left w:val="nil"/>
        <w:bottom w:val="nil"/>
        <w:right w:val="nil"/>
        <w:between w:val="nil"/>
        <w:bar w:val="nil"/>
      </w:pBdr>
      <w:autoSpaceDE/>
      <w:autoSpaceDN/>
      <w:spacing w:after="120"/>
      <w:outlineLvl w:val="0"/>
    </w:pPr>
    <w:rPr>
      <w:rFonts w:ascii="Times New Roman" w:eastAsia="Arial Unicode MS" w:hAnsi="Times New Roman" w:cs="Arial Unicode MS"/>
      <w:b/>
      <w:bCs/>
      <w:color w:val="000000"/>
      <w:sz w:val="24"/>
      <w:szCs w:val="24"/>
      <w:u w:color="000000"/>
      <w:bdr w:val="nil"/>
      <w14:textOutline w14:w="12700" w14:cap="flat" w14:cmpd="sng" w14:algn="ctr">
        <w14:noFill/>
        <w14:prstDash w14:val="solid"/>
        <w14:miter w14:lim="400000"/>
      </w14:textOutline>
    </w:rPr>
  </w:style>
  <w:style w:type="character" w:customStyle="1" w:styleId="None">
    <w:name w:val="None"/>
    <w:rsid w:val="00520E94"/>
  </w:style>
  <w:style w:type="numbering" w:customStyle="1" w:styleId="Numbered">
    <w:name w:val="Numbered"/>
    <w:rsid w:val="00520E94"/>
    <w:pPr>
      <w:numPr>
        <w:numId w:val="6"/>
      </w:numPr>
    </w:pPr>
  </w:style>
  <w:style w:type="table" w:styleId="TableGrid">
    <w:name w:val="Table Grid"/>
    <w:basedOn w:val="TableNormal"/>
    <w:uiPriority w:val="39"/>
    <w:rsid w:val="00520E9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6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nces@lsbu.ac.uk" TargetMode="External"/><Relationship Id="rId13" Type="http://schemas.openxmlformats.org/officeDocument/2006/relationships/hyperlink" Target="http://www.hearingcoachsoftwar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athm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diciary.uk/wp-content/uploads/2019/04/goldscheider-v-roh-judgmen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5264</TotalTime>
  <Pages>1</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stephen dance</cp:lastModifiedBy>
  <cp:revision>28</cp:revision>
  <dcterms:created xsi:type="dcterms:W3CDTF">2022-11-24T17:48:00Z</dcterms:created>
  <dcterms:modified xsi:type="dcterms:W3CDTF">2023-04-11T09:35:00Z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Creator">
    <vt:lpwstr>Microsoft® Word 2016</vt:lpwstr>
  </property>
  <property fmtid="{D5CDD505-2E9C-101B-9397-08002B2CF9AE}" pid="4" name="LastSaved">
    <vt:filetime>2022-01-06T00:00:00Z</vt:filetime>
  </property>
</Properties>
</file>