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E8B5" w14:textId="77777777" w:rsidR="008D3B68" w:rsidRPr="00432550" w:rsidRDefault="008D3B68" w:rsidP="00620039">
      <w:pPr>
        <w:spacing w:after="153" w:line="259" w:lineRule="auto"/>
        <w:ind w:left="0" w:right="0" w:firstLine="0"/>
        <w:jc w:val="left"/>
        <w:rPr>
          <w:color w:val="auto"/>
        </w:rPr>
      </w:pPr>
    </w:p>
    <w:p w14:paraId="5F81B68D" w14:textId="77777777" w:rsidR="00620039" w:rsidRPr="00432550" w:rsidRDefault="00620039" w:rsidP="00620039">
      <w:pPr>
        <w:pStyle w:val="Heading1"/>
        <w:ind w:left="-5" w:right="836"/>
        <w:rPr>
          <w:color w:val="auto"/>
        </w:rPr>
      </w:pPr>
      <w:r w:rsidRPr="00432550">
        <w:rPr>
          <w:color w:val="auto"/>
        </w:rPr>
        <w:t xml:space="preserve">Abstract </w:t>
      </w:r>
    </w:p>
    <w:p w14:paraId="0E4519E4" w14:textId="77777777" w:rsidR="00620039" w:rsidRPr="00432550" w:rsidRDefault="00620039" w:rsidP="00620039">
      <w:pPr>
        <w:spacing w:after="8"/>
        <w:ind w:left="-5" w:right="1058"/>
        <w:rPr>
          <w:color w:val="auto"/>
        </w:rPr>
      </w:pPr>
      <w:r w:rsidRPr="00432550">
        <w:rPr>
          <w:b/>
          <w:color w:val="auto"/>
        </w:rPr>
        <w:t>Objective:</w:t>
      </w:r>
      <w:r w:rsidRPr="00432550">
        <w:rPr>
          <w:color w:val="auto"/>
        </w:rPr>
        <w:t xml:space="preserve"> This study focused on the issues surrounding health literacy in the context of women’s sexual and reproductive health (SRH), the significance and availability of information for midwives and women; and the socio-cultural influences and barriers related to women’s level of health literacy.  </w:t>
      </w:r>
    </w:p>
    <w:p w14:paraId="0BFEEB11" w14:textId="54C50C84" w:rsidR="00620039" w:rsidRPr="00432550" w:rsidRDefault="00620039" w:rsidP="00890938">
      <w:pPr>
        <w:tabs>
          <w:tab w:val="left" w:pos="1950"/>
        </w:tabs>
        <w:spacing w:after="103" w:line="259" w:lineRule="auto"/>
        <w:ind w:left="0" w:right="0" w:firstLine="0"/>
        <w:jc w:val="left"/>
        <w:rPr>
          <w:color w:val="auto"/>
        </w:rPr>
      </w:pPr>
      <w:r w:rsidRPr="00432550">
        <w:rPr>
          <w:color w:val="auto"/>
        </w:rPr>
        <w:t xml:space="preserve"> </w:t>
      </w:r>
      <w:r w:rsidR="00890938" w:rsidRPr="00432550">
        <w:rPr>
          <w:color w:val="auto"/>
        </w:rPr>
        <w:tab/>
      </w:r>
    </w:p>
    <w:p w14:paraId="4D8C973C" w14:textId="77777777" w:rsidR="00620039" w:rsidRPr="00432550" w:rsidRDefault="00620039" w:rsidP="00620039">
      <w:pPr>
        <w:ind w:left="-5" w:right="1058"/>
        <w:rPr>
          <w:color w:val="auto"/>
        </w:rPr>
      </w:pPr>
      <w:r w:rsidRPr="00432550">
        <w:rPr>
          <w:b/>
          <w:color w:val="auto"/>
        </w:rPr>
        <w:t>Methods:</w:t>
      </w:r>
      <w:r w:rsidRPr="00432550">
        <w:rPr>
          <w:color w:val="auto"/>
        </w:rPr>
        <w:t xml:space="preserve"> A cross sectional on-line survey was distributed to 280 student midwives in their 2</w:t>
      </w:r>
      <w:r w:rsidRPr="00432550">
        <w:rPr>
          <w:color w:val="auto"/>
          <w:vertAlign w:val="superscript"/>
        </w:rPr>
        <w:t>nd</w:t>
      </w:r>
      <w:r w:rsidRPr="00432550">
        <w:rPr>
          <w:color w:val="auto"/>
        </w:rPr>
        <w:t xml:space="preserve"> 3</w:t>
      </w:r>
      <w:r w:rsidRPr="00432550">
        <w:rPr>
          <w:color w:val="auto"/>
          <w:vertAlign w:val="superscript"/>
        </w:rPr>
        <w:t>rd</w:t>
      </w:r>
      <w:r w:rsidRPr="00432550">
        <w:rPr>
          <w:color w:val="auto"/>
        </w:rPr>
        <w:t xml:space="preserve"> and 4</w:t>
      </w:r>
      <w:r w:rsidRPr="00432550">
        <w:rPr>
          <w:color w:val="auto"/>
          <w:vertAlign w:val="superscript"/>
        </w:rPr>
        <w:t>th</w:t>
      </w:r>
      <w:r w:rsidRPr="00432550">
        <w:rPr>
          <w:color w:val="auto"/>
        </w:rPr>
        <w:t xml:space="preserve"> year of a midwifery programme. This paper focuses on the responses from 138 students which were analysed using descriptive and non-parametric tests. </w:t>
      </w:r>
    </w:p>
    <w:p w14:paraId="2592AB25" w14:textId="3E01B7D1" w:rsidR="00620039" w:rsidRPr="00432550" w:rsidRDefault="00620039" w:rsidP="00620039">
      <w:pPr>
        <w:spacing w:after="0"/>
        <w:ind w:left="-5" w:right="1056"/>
        <w:rPr>
          <w:color w:val="auto"/>
        </w:rPr>
      </w:pPr>
      <w:r w:rsidRPr="00432550">
        <w:rPr>
          <w:b/>
          <w:color w:val="auto"/>
        </w:rPr>
        <w:t xml:space="preserve">Results: </w:t>
      </w:r>
      <w:r w:rsidRPr="00432550">
        <w:rPr>
          <w:color w:val="auto"/>
        </w:rPr>
        <w:t>Student midwives indicated their level of agreement regarding women’s ability to access,</w:t>
      </w:r>
      <w:r w:rsidRPr="00432550">
        <w:rPr>
          <w:b/>
          <w:color w:val="auto"/>
        </w:rPr>
        <w:t xml:space="preserve"> </w:t>
      </w:r>
      <w:r w:rsidRPr="00432550">
        <w:rPr>
          <w:color w:val="auto"/>
        </w:rPr>
        <w:t xml:space="preserve">understand, and appraise information they received verbally and in written form about the six main SRH topics (namely contraception, STIs, abortion, Pap tests and cervical cancer, and fertility and pregnancy), from their midwife but agreement was much lower regarding women’s access to SRH information from peers and their families. False beliefs were ranked as the most common barrier to accessing information and services. Students ranked being a refugee, being from a rural area, being educated to a primary school level or not formally educated, as having the greatest negative impact on women’s health literacy.  </w:t>
      </w:r>
    </w:p>
    <w:p w14:paraId="06BC75D3" w14:textId="77777777" w:rsidR="00620039" w:rsidRPr="00432550" w:rsidRDefault="00620039" w:rsidP="00620039">
      <w:pPr>
        <w:spacing w:after="103" w:line="259" w:lineRule="auto"/>
        <w:ind w:left="0" w:right="0" w:firstLine="0"/>
        <w:jc w:val="left"/>
        <w:rPr>
          <w:color w:val="auto"/>
        </w:rPr>
      </w:pPr>
      <w:r w:rsidRPr="00432550">
        <w:rPr>
          <w:color w:val="auto"/>
        </w:rPr>
        <w:t xml:space="preserve"> </w:t>
      </w:r>
    </w:p>
    <w:p w14:paraId="0700C8CB" w14:textId="77777777" w:rsidR="00620039" w:rsidRPr="00432550" w:rsidRDefault="00620039" w:rsidP="00620039">
      <w:pPr>
        <w:ind w:left="-5" w:right="1056"/>
        <w:rPr>
          <w:color w:val="auto"/>
        </w:rPr>
      </w:pPr>
      <w:r w:rsidRPr="00432550">
        <w:rPr>
          <w:b/>
          <w:color w:val="auto"/>
        </w:rPr>
        <w:t xml:space="preserve">Conclusions: </w:t>
      </w:r>
      <w:r w:rsidRPr="00432550">
        <w:rPr>
          <w:color w:val="auto"/>
        </w:rPr>
        <w:t>Findings from this study indicate the role that the sociocultural background of Islamic culture plays in the disparities in sexual and reproductive health literacy (SRHL) for women from the perspective of student midwives. Our findings indicate the need for future research to focus on women as participants to gain their first-hand experiences of SRHL.</w:t>
      </w:r>
      <w:r w:rsidRPr="00432550">
        <w:rPr>
          <w:b/>
          <w:color w:val="auto"/>
        </w:rPr>
        <w:t xml:space="preserve"> </w:t>
      </w:r>
    </w:p>
    <w:p w14:paraId="4423BC82" w14:textId="77777777" w:rsidR="00620039" w:rsidRPr="00432550" w:rsidRDefault="00620039" w:rsidP="00620039">
      <w:pPr>
        <w:spacing w:after="271" w:line="259" w:lineRule="auto"/>
        <w:ind w:left="-5" w:right="542"/>
        <w:rPr>
          <w:color w:val="auto"/>
        </w:rPr>
      </w:pPr>
      <w:r w:rsidRPr="00432550">
        <w:rPr>
          <w:color w:val="auto"/>
        </w:rPr>
        <w:t xml:space="preserve">Keywords: student midwives, health literacy, sexual and reproductive health </w:t>
      </w:r>
    </w:p>
    <w:p w14:paraId="2A0399E0" w14:textId="77777777" w:rsidR="00620039" w:rsidRPr="00432550" w:rsidRDefault="00620039" w:rsidP="00620039">
      <w:pPr>
        <w:spacing w:after="151" w:line="259" w:lineRule="auto"/>
        <w:ind w:left="0" w:right="0" w:firstLine="0"/>
        <w:jc w:val="left"/>
        <w:rPr>
          <w:rFonts w:ascii="Calibri" w:eastAsia="Calibri" w:hAnsi="Calibri" w:cs="Calibri"/>
          <w:color w:val="auto"/>
        </w:rPr>
      </w:pPr>
      <w:r w:rsidRPr="00432550">
        <w:rPr>
          <w:rFonts w:ascii="Calibri" w:eastAsia="Calibri" w:hAnsi="Calibri" w:cs="Calibri"/>
          <w:color w:val="auto"/>
        </w:rPr>
        <w:t xml:space="preserve"> </w:t>
      </w:r>
    </w:p>
    <w:p w14:paraId="21318A91" w14:textId="77777777" w:rsidR="008D3B68" w:rsidRPr="00432550" w:rsidRDefault="008D3B68" w:rsidP="00620039">
      <w:pPr>
        <w:spacing w:after="151" w:line="259" w:lineRule="auto"/>
        <w:ind w:left="0" w:right="0" w:firstLine="0"/>
        <w:jc w:val="left"/>
        <w:rPr>
          <w:rFonts w:ascii="Calibri" w:eastAsia="Calibri" w:hAnsi="Calibri" w:cs="Calibri"/>
          <w:color w:val="auto"/>
        </w:rPr>
      </w:pPr>
    </w:p>
    <w:p w14:paraId="56457716" w14:textId="77777777" w:rsidR="00884349" w:rsidRPr="00432550" w:rsidRDefault="00884349" w:rsidP="00620039">
      <w:pPr>
        <w:spacing w:after="151" w:line="259" w:lineRule="auto"/>
        <w:ind w:left="0" w:right="0" w:firstLine="0"/>
        <w:jc w:val="left"/>
        <w:rPr>
          <w:rFonts w:ascii="Calibri" w:eastAsia="Calibri" w:hAnsi="Calibri" w:cs="Calibri"/>
          <w:color w:val="auto"/>
        </w:rPr>
      </w:pPr>
    </w:p>
    <w:p w14:paraId="25326E70" w14:textId="77777777" w:rsidR="00884349" w:rsidRPr="00432550" w:rsidRDefault="00884349" w:rsidP="00620039">
      <w:pPr>
        <w:spacing w:after="151" w:line="259" w:lineRule="auto"/>
        <w:ind w:left="0" w:right="0" w:firstLine="0"/>
        <w:jc w:val="left"/>
        <w:rPr>
          <w:rFonts w:ascii="Calibri" w:eastAsia="Calibri" w:hAnsi="Calibri" w:cs="Calibri"/>
          <w:color w:val="auto"/>
        </w:rPr>
      </w:pPr>
    </w:p>
    <w:p w14:paraId="2BD2784A" w14:textId="77777777" w:rsidR="008D3B68" w:rsidRPr="00432550" w:rsidRDefault="008D3B68" w:rsidP="00620039">
      <w:pPr>
        <w:spacing w:after="151" w:line="259" w:lineRule="auto"/>
        <w:ind w:left="0" w:right="0" w:firstLine="0"/>
        <w:jc w:val="left"/>
        <w:rPr>
          <w:color w:val="auto"/>
        </w:rPr>
      </w:pPr>
    </w:p>
    <w:p w14:paraId="0B00D681" w14:textId="77777777" w:rsidR="008D3B68" w:rsidRPr="00432550" w:rsidRDefault="00620039" w:rsidP="008D3B68">
      <w:pPr>
        <w:spacing w:line="360" w:lineRule="auto"/>
        <w:ind w:left="0" w:firstLine="0"/>
        <w:rPr>
          <w:b/>
          <w:bCs/>
          <w:color w:val="auto"/>
        </w:rPr>
      </w:pPr>
      <w:r w:rsidRPr="00432550">
        <w:rPr>
          <w:b/>
          <w:color w:val="auto"/>
        </w:rPr>
        <w:lastRenderedPageBreak/>
        <w:t xml:space="preserve"> </w:t>
      </w:r>
      <w:r w:rsidR="008D3B68" w:rsidRPr="00432550">
        <w:rPr>
          <w:b/>
          <w:bCs/>
          <w:color w:val="auto"/>
        </w:rPr>
        <w:t>Highlights</w:t>
      </w:r>
    </w:p>
    <w:p w14:paraId="3A31C73D" w14:textId="55A37051" w:rsidR="008D3B68" w:rsidRPr="00432550" w:rsidRDefault="008D3B68" w:rsidP="008D3B68">
      <w:pPr>
        <w:spacing w:line="360" w:lineRule="auto"/>
        <w:ind w:left="0" w:firstLine="0"/>
        <w:rPr>
          <w:color w:val="auto"/>
        </w:rPr>
      </w:pPr>
      <w:r w:rsidRPr="00432550">
        <w:rPr>
          <w:color w:val="auto"/>
        </w:rPr>
        <w:t xml:space="preserve"> </w:t>
      </w:r>
      <w:r w:rsidRPr="00432550">
        <w:rPr>
          <w:color w:val="auto"/>
        </w:rPr>
        <w:sym w:font="Symbol" w:char="F0B7"/>
      </w:r>
      <w:r w:rsidRPr="00432550">
        <w:rPr>
          <w:color w:val="auto"/>
        </w:rPr>
        <w:t xml:space="preserve">  First study to evaluate women’s sexual and reproductive health literacy from the perspective of student midwives.</w:t>
      </w:r>
    </w:p>
    <w:p w14:paraId="22B547BA" w14:textId="77777777" w:rsidR="008D3B68" w:rsidRPr="00432550" w:rsidRDefault="008D3B68" w:rsidP="008D3B68">
      <w:pPr>
        <w:spacing w:line="360" w:lineRule="auto"/>
        <w:ind w:left="0" w:firstLine="0"/>
        <w:rPr>
          <w:color w:val="auto"/>
        </w:rPr>
      </w:pPr>
      <w:r w:rsidRPr="00432550">
        <w:rPr>
          <w:color w:val="auto"/>
        </w:rPr>
        <w:t xml:space="preserve"> </w:t>
      </w:r>
      <w:r w:rsidRPr="00432550">
        <w:rPr>
          <w:color w:val="auto"/>
        </w:rPr>
        <w:sym w:font="Symbol" w:char="F0B7"/>
      </w:r>
      <w:r w:rsidRPr="00432550">
        <w:rPr>
          <w:color w:val="auto"/>
        </w:rPr>
        <w:t xml:space="preserve"> Student midwives expressed strong agreement that sexual and reproductive health literacy should include the right to make autonomous decisions free from the risk of violence.</w:t>
      </w:r>
    </w:p>
    <w:p w14:paraId="1F8D78DF" w14:textId="77777777" w:rsidR="008D3B68" w:rsidRPr="00432550" w:rsidRDefault="008D3B68" w:rsidP="008D3B68">
      <w:pPr>
        <w:spacing w:line="360" w:lineRule="auto"/>
        <w:ind w:left="0" w:firstLine="0"/>
        <w:rPr>
          <w:color w:val="auto"/>
          <w:lang w:val="en-US"/>
        </w:rPr>
      </w:pPr>
      <w:r w:rsidRPr="00432550">
        <w:rPr>
          <w:color w:val="auto"/>
        </w:rPr>
        <w:t xml:space="preserve"> </w:t>
      </w:r>
      <w:r w:rsidRPr="00432550">
        <w:rPr>
          <w:color w:val="auto"/>
        </w:rPr>
        <w:sym w:font="Symbol" w:char="F0B7"/>
      </w:r>
      <w:r w:rsidRPr="00432550">
        <w:rPr>
          <w:color w:val="auto"/>
        </w:rPr>
        <w:t xml:space="preserve"> Findings reflect the important role that the sociocultural background of Islamic culture plays in women’s sexual and reproductive health literacy in Turkey.</w:t>
      </w:r>
    </w:p>
    <w:p w14:paraId="6732E743" w14:textId="1162D5BC" w:rsidR="00620039" w:rsidRPr="00432550" w:rsidRDefault="00620039" w:rsidP="00620039">
      <w:pPr>
        <w:spacing w:after="266" w:line="259" w:lineRule="auto"/>
        <w:ind w:left="0" w:right="0" w:firstLine="0"/>
        <w:jc w:val="left"/>
        <w:rPr>
          <w:color w:val="auto"/>
        </w:rPr>
      </w:pPr>
    </w:p>
    <w:p w14:paraId="519846CB" w14:textId="77777777" w:rsidR="008D3B68" w:rsidRPr="00432550" w:rsidRDefault="008D3B68" w:rsidP="00620039">
      <w:pPr>
        <w:spacing w:after="266" w:line="259" w:lineRule="auto"/>
        <w:ind w:left="0" w:right="0" w:firstLine="0"/>
        <w:jc w:val="left"/>
        <w:rPr>
          <w:color w:val="auto"/>
        </w:rPr>
      </w:pPr>
    </w:p>
    <w:p w14:paraId="1F642FFD" w14:textId="77777777" w:rsidR="008D3B68" w:rsidRPr="00432550" w:rsidRDefault="008D3B68" w:rsidP="00620039">
      <w:pPr>
        <w:spacing w:after="266" w:line="259" w:lineRule="auto"/>
        <w:ind w:left="0" w:right="0" w:firstLine="0"/>
        <w:jc w:val="left"/>
        <w:rPr>
          <w:color w:val="auto"/>
        </w:rPr>
      </w:pPr>
    </w:p>
    <w:p w14:paraId="319524AF" w14:textId="77777777" w:rsidR="008D3B68" w:rsidRPr="00432550" w:rsidRDefault="008D3B68" w:rsidP="00620039">
      <w:pPr>
        <w:spacing w:after="266" w:line="259" w:lineRule="auto"/>
        <w:ind w:left="0" w:right="0" w:firstLine="0"/>
        <w:jc w:val="left"/>
        <w:rPr>
          <w:color w:val="auto"/>
        </w:rPr>
      </w:pPr>
    </w:p>
    <w:p w14:paraId="28DF756D" w14:textId="77777777" w:rsidR="008D3B68" w:rsidRPr="00432550" w:rsidRDefault="008D3B68" w:rsidP="00620039">
      <w:pPr>
        <w:spacing w:after="266" w:line="259" w:lineRule="auto"/>
        <w:ind w:left="0" w:right="0" w:firstLine="0"/>
        <w:jc w:val="left"/>
        <w:rPr>
          <w:color w:val="auto"/>
        </w:rPr>
      </w:pPr>
    </w:p>
    <w:p w14:paraId="2271EDCC" w14:textId="77777777" w:rsidR="008D3B68" w:rsidRPr="00432550" w:rsidRDefault="008D3B68" w:rsidP="00620039">
      <w:pPr>
        <w:spacing w:after="266" w:line="259" w:lineRule="auto"/>
        <w:ind w:left="0" w:right="0" w:firstLine="0"/>
        <w:jc w:val="left"/>
        <w:rPr>
          <w:color w:val="auto"/>
        </w:rPr>
      </w:pPr>
    </w:p>
    <w:p w14:paraId="62F2563A" w14:textId="77777777" w:rsidR="008D3B68" w:rsidRPr="00432550" w:rsidRDefault="008D3B68" w:rsidP="00620039">
      <w:pPr>
        <w:spacing w:after="266" w:line="259" w:lineRule="auto"/>
        <w:ind w:left="0" w:right="0" w:firstLine="0"/>
        <w:jc w:val="left"/>
        <w:rPr>
          <w:color w:val="auto"/>
        </w:rPr>
      </w:pPr>
    </w:p>
    <w:p w14:paraId="6CC5F053" w14:textId="77777777" w:rsidR="008D3B68" w:rsidRPr="00432550" w:rsidRDefault="008D3B68" w:rsidP="00620039">
      <w:pPr>
        <w:spacing w:after="266" w:line="259" w:lineRule="auto"/>
        <w:ind w:left="0" w:right="0" w:firstLine="0"/>
        <w:jc w:val="left"/>
        <w:rPr>
          <w:color w:val="auto"/>
        </w:rPr>
      </w:pPr>
    </w:p>
    <w:p w14:paraId="527221BD" w14:textId="77777777" w:rsidR="008D3B68" w:rsidRPr="00432550" w:rsidRDefault="008D3B68" w:rsidP="00620039">
      <w:pPr>
        <w:spacing w:after="266" w:line="259" w:lineRule="auto"/>
        <w:ind w:left="0" w:right="0" w:firstLine="0"/>
        <w:jc w:val="left"/>
        <w:rPr>
          <w:color w:val="auto"/>
        </w:rPr>
      </w:pPr>
    </w:p>
    <w:p w14:paraId="32149675" w14:textId="77777777" w:rsidR="008D3B68" w:rsidRPr="00432550" w:rsidRDefault="008D3B68" w:rsidP="00620039">
      <w:pPr>
        <w:spacing w:after="266" w:line="259" w:lineRule="auto"/>
        <w:ind w:left="0" w:right="0" w:firstLine="0"/>
        <w:jc w:val="left"/>
        <w:rPr>
          <w:color w:val="auto"/>
        </w:rPr>
      </w:pPr>
    </w:p>
    <w:p w14:paraId="6463FAFD" w14:textId="77777777" w:rsidR="008D3B68" w:rsidRPr="00432550" w:rsidRDefault="008D3B68" w:rsidP="00620039">
      <w:pPr>
        <w:spacing w:after="266" w:line="259" w:lineRule="auto"/>
        <w:ind w:left="0" w:right="0" w:firstLine="0"/>
        <w:jc w:val="left"/>
        <w:rPr>
          <w:color w:val="auto"/>
        </w:rPr>
      </w:pPr>
    </w:p>
    <w:p w14:paraId="2DDCF594" w14:textId="77777777" w:rsidR="008D3B68" w:rsidRPr="00432550" w:rsidRDefault="008D3B68" w:rsidP="00620039">
      <w:pPr>
        <w:spacing w:after="266" w:line="259" w:lineRule="auto"/>
        <w:ind w:left="0" w:right="0" w:firstLine="0"/>
        <w:jc w:val="left"/>
        <w:rPr>
          <w:color w:val="auto"/>
        </w:rPr>
      </w:pPr>
    </w:p>
    <w:p w14:paraId="161D0CD0" w14:textId="77777777" w:rsidR="008D3B68" w:rsidRPr="00432550" w:rsidRDefault="008D3B68" w:rsidP="00620039">
      <w:pPr>
        <w:spacing w:after="266" w:line="259" w:lineRule="auto"/>
        <w:ind w:left="0" w:right="0" w:firstLine="0"/>
        <w:jc w:val="left"/>
        <w:rPr>
          <w:color w:val="auto"/>
        </w:rPr>
      </w:pPr>
    </w:p>
    <w:p w14:paraId="434957B2" w14:textId="77777777" w:rsidR="008D3B68" w:rsidRPr="00432550" w:rsidRDefault="008D3B68" w:rsidP="00620039">
      <w:pPr>
        <w:spacing w:after="266" w:line="259" w:lineRule="auto"/>
        <w:ind w:left="0" w:right="0" w:firstLine="0"/>
        <w:jc w:val="left"/>
        <w:rPr>
          <w:color w:val="auto"/>
        </w:rPr>
      </w:pPr>
    </w:p>
    <w:p w14:paraId="3AAB9277" w14:textId="77777777" w:rsidR="008D3B68" w:rsidRPr="00432550" w:rsidRDefault="008D3B68" w:rsidP="00620039">
      <w:pPr>
        <w:spacing w:after="266" w:line="259" w:lineRule="auto"/>
        <w:ind w:left="0" w:right="0" w:firstLine="0"/>
        <w:jc w:val="left"/>
        <w:rPr>
          <w:color w:val="auto"/>
        </w:rPr>
      </w:pPr>
    </w:p>
    <w:p w14:paraId="2B9AC5A1" w14:textId="77777777" w:rsidR="008D3B68" w:rsidRPr="00432550" w:rsidRDefault="008D3B68" w:rsidP="00620039">
      <w:pPr>
        <w:spacing w:after="266" w:line="259" w:lineRule="auto"/>
        <w:ind w:left="0" w:right="0" w:firstLine="0"/>
        <w:jc w:val="left"/>
        <w:rPr>
          <w:color w:val="auto"/>
        </w:rPr>
      </w:pPr>
    </w:p>
    <w:p w14:paraId="6B94D57C" w14:textId="77777777" w:rsidR="008D3B68" w:rsidRPr="00432550" w:rsidRDefault="008D3B68" w:rsidP="00620039">
      <w:pPr>
        <w:spacing w:after="266" w:line="259" w:lineRule="auto"/>
        <w:ind w:left="0" w:right="0" w:firstLine="0"/>
        <w:jc w:val="left"/>
        <w:rPr>
          <w:color w:val="auto"/>
        </w:rPr>
      </w:pPr>
    </w:p>
    <w:p w14:paraId="66996BB9" w14:textId="77777777" w:rsidR="008D3B68" w:rsidRPr="00432550" w:rsidRDefault="008D3B68" w:rsidP="00620039">
      <w:pPr>
        <w:spacing w:after="266" w:line="259" w:lineRule="auto"/>
        <w:ind w:left="0" w:right="0" w:firstLine="0"/>
        <w:jc w:val="left"/>
        <w:rPr>
          <w:color w:val="auto"/>
        </w:rPr>
      </w:pPr>
    </w:p>
    <w:p w14:paraId="68946456" w14:textId="77777777" w:rsidR="00620039" w:rsidRPr="00432550" w:rsidRDefault="00620039" w:rsidP="00620039">
      <w:pPr>
        <w:pStyle w:val="Heading1"/>
        <w:ind w:left="-5" w:right="836"/>
        <w:rPr>
          <w:color w:val="auto"/>
        </w:rPr>
      </w:pPr>
      <w:r w:rsidRPr="00432550">
        <w:rPr>
          <w:color w:val="auto"/>
        </w:rPr>
        <w:lastRenderedPageBreak/>
        <w:t xml:space="preserve">Introduction </w:t>
      </w:r>
    </w:p>
    <w:p w14:paraId="1FDA1D39" w14:textId="77777777" w:rsidR="00620039" w:rsidRPr="00432550" w:rsidRDefault="00620039" w:rsidP="00620039">
      <w:pPr>
        <w:spacing w:after="0"/>
        <w:ind w:left="-5" w:right="542"/>
        <w:rPr>
          <w:color w:val="auto"/>
        </w:rPr>
      </w:pPr>
      <w:r w:rsidRPr="00432550">
        <w:rPr>
          <w:color w:val="auto"/>
        </w:rPr>
        <w:t xml:space="preserve">Health literacy has been defined as “people’s knowledge, motivation and competences to access, understand, appraise and apply health information in order to make judgements and take decisions in everyday life concerning health care, disease prevention and health promotion to maintain or improve quality of life during the life course” [1]. Results from the European Health Literacy Survey indicated that nearly half of the respondents had inadequate or problematic health literacy [2], and low health literacy has been linked to a variety of negative health outcomes, including poor health status, difficulty in understanding medication instructions, increased hospitalizations and mortality [3]. </w:t>
      </w:r>
    </w:p>
    <w:p w14:paraId="0D9FCF5A" w14:textId="77777777" w:rsidR="00620039" w:rsidRPr="00432550" w:rsidRDefault="00620039" w:rsidP="00620039">
      <w:pPr>
        <w:spacing w:after="115" w:line="259" w:lineRule="auto"/>
        <w:ind w:left="0" w:right="0" w:firstLine="0"/>
        <w:jc w:val="left"/>
        <w:rPr>
          <w:color w:val="auto"/>
        </w:rPr>
      </w:pPr>
      <w:r w:rsidRPr="00432550">
        <w:rPr>
          <w:color w:val="auto"/>
        </w:rPr>
        <w:t xml:space="preserve"> </w:t>
      </w:r>
    </w:p>
    <w:p w14:paraId="46E279A6" w14:textId="77777777" w:rsidR="00620039" w:rsidRPr="00432550" w:rsidRDefault="00620039" w:rsidP="00620039">
      <w:pPr>
        <w:ind w:left="-5" w:right="542"/>
        <w:rPr>
          <w:color w:val="auto"/>
        </w:rPr>
      </w:pPr>
      <w:r w:rsidRPr="00432550">
        <w:rPr>
          <w:color w:val="auto"/>
        </w:rPr>
        <w:t xml:space="preserve">Whilst health literacy research has increased in recent years [4] the importance of women’s health literacy has been raised in relation to the increase impact of disease on women’s physiology and the consequences for pregnancy and maternal and neonatal outcomes [5, 6]. However, women’s sexual and reproductive health literacy (SRHL), remains largely under researched. The key findings of a recent literature review, however, identified that health literacy is related to sexual and reproductive health (SRH) knowledge across many topics. For instance, evidence from the review of 34 papers [5] supports this finding with regards to contraception, fertility, prenatal screening and sexually transmitted infections (STIs). It is suggested that women with lower health literacy are less likely to seek SRH care, as well as exhibiting a lower attendance for STI screening, abnormal cervical screening follow-ups, and delayed attendance for prenatal care. Less clear however, is the association between health literacy and health-related behaviours [5]. Therefore, the need for further research to fully understand the relationship between health literacy and reproductive health outcomes, and to evaluate interventions to address inequalities between women who have different levels of health literacy, is evident. Despite this, current evidence suggests health literacy plays an important role in determining women’s SRH knowledge, behaviour, and outcomes.  </w:t>
      </w:r>
    </w:p>
    <w:p w14:paraId="7961B9DB" w14:textId="77777777" w:rsidR="00620039" w:rsidRPr="00432550" w:rsidRDefault="00620039" w:rsidP="00620039">
      <w:pPr>
        <w:spacing w:after="0"/>
        <w:ind w:left="-5" w:right="542"/>
        <w:rPr>
          <w:color w:val="auto"/>
        </w:rPr>
      </w:pPr>
      <w:r w:rsidRPr="00432550">
        <w:rPr>
          <w:color w:val="auto"/>
        </w:rPr>
        <w:t xml:space="preserve">Health literacy can be understood as an interaction of individual capacities with the wider health literacy environment. Determinants of health literacy are based on this interaction of personal factors with the context of structures such as healthcare systems, educational systems, and societal and cultural factors such as family and the community. These systems can act as both challenges and opportunities for intervention to improve health literacy and related outcomes [7]. Consequently, attitudes to SRH have been established to be directly impacted by contextual factors such as societal values, family influence, and cultural and </w:t>
      </w:r>
      <w:r w:rsidRPr="00432550">
        <w:rPr>
          <w:color w:val="auto"/>
        </w:rPr>
        <w:lastRenderedPageBreak/>
        <w:t xml:space="preserve">religious norms [8]. In a sociocultural context of Muslim-majority countries such as Turkey, strict cultural norms dictate that topics surrounding sexuality and SRH are seen as taboo and not to be discussed openly [9]. As a result, complexities around a number of SRH issues, such as contraception, unplanned pregnancy, and cervical screening, among others, arise. Furthermore, SRH education, provision, and use of services for unmarried women, in particular, are deemed unnecessary and are largely limited in some Islamic cultures, which has been linked to a number of negative health outcomes. For instance, a recent systematic review [10] identified a lack of basic reproductive knowledge, misconceptions and negative attitudes, as barriers to contraceptive use, family planning, and access to SRH services and information, with family and community, as well as fear of stigmatization, having a major influence. Such findings highlight the urgent need to improve women’s access to SRH education and services in this complex cultural landscape, where behaviour is governed by strong cultural, societal and religious norms.  </w:t>
      </w:r>
    </w:p>
    <w:p w14:paraId="3523FD9F" w14:textId="77777777" w:rsidR="00620039" w:rsidRPr="00432550" w:rsidRDefault="00620039" w:rsidP="00620039">
      <w:pPr>
        <w:spacing w:after="107" w:line="259" w:lineRule="auto"/>
        <w:ind w:left="0" w:right="0" w:firstLine="0"/>
        <w:jc w:val="left"/>
        <w:rPr>
          <w:color w:val="auto"/>
        </w:rPr>
      </w:pPr>
      <w:r w:rsidRPr="00432550">
        <w:rPr>
          <w:color w:val="auto"/>
        </w:rPr>
        <w:t xml:space="preserve"> </w:t>
      </w:r>
    </w:p>
    <w:p w14:paraId="40C5885D" w14:textId="77777777" w:rsidR="00620039" w:rsidRPr="00432550" w:rsidRDefault="00620039" w:rsidP="00620039">
      <w:pPr>
        <w:spacing w:after="0"/>
        <w:ind w:left="-5" w:right="542"/>
        <w:rPr>
          <w:color w:val="auto"/>
        </w:rPr>
      </w:pPr>
      <w:r w:rsidRPr="00432550">
        <w:rPr>
          <w:color w:val="auto"/>
        </w:rPr>
        <w:t xml:space="preserve">The midwifery profession is vital for the provision of SRH services [11]. Midwives have an important role in health promotion during pregnancy and following birth, in which they support women and their partners to adopt healthy lifestyles with the anticipation of behaviour change, as a means to prevent illness, reduce health inequalities and a way to increase positive health, obstetric and neonatal outcomes [12]. While in some contexts midwifery care may be confined to pregnancy, birth and postnatal care, the public health focus of midwives has extended beyond reducing maternal and infant mortality, to one which deals with health promotion topics, such as smoking cessation, alcohol consumption and weight management [13]. Whilst there is limited research on the health literacy of women and childbirth, some recent work has highlighted the role of health literacy during pregnancy. The findings of a systematic review indicated a mixed level of health literacy among pregnant women, as well as an association between health literacy and certain outcomes [14]. For example, women with limited health literacy had more negative views regarding medication, a higher probability of smoking and other negative health behaviours. In contrast, women with adequate health literacy made more informed choices in regard to prenatal testing, reflecting an established association between adequate health literacy and adequate health knowledge [1]. </w:t>
      </w:r>
    </w:p>
    <w:p w14:paraId="750D3C30" w14:textId="77777777" w:rsidR="00620039" w:rsidRPr="00432550" w:rsidRDefault="00620039" w:rsidP="00620039">
      <w:pPr>
        <w:spacing w:after="123" w:line="259" w:lineRule="auto"/>
        <w:ind w:left="0" w:right="0" w:firstLine="0"/>
        <w:jc w:val="left"/>
        <w:rPr>
          <w:color w:val="auto"/>
        </w:rPr>
      </w:pPr>
      <w:r w:rsidRPr="00432550">
        <w:rPr>
          <w:color w:val="auto"/>
        </w:rPr>
        <w:t xml:space="preserve"> </w:t>
      </w:r>
    </w:p>
    <w:p w14:paraId="17CAE691" w14:textId="77777777" w:rsidR="00620039" w:rsidRPr="00432550" w:rsidRDefault="00620039" w:rsidP="00620039">
      <w:pPr>
        <w:spacing w:after="0"/>
        <w:ind w:left="-5" w:right="542"/>
        <w:rPr>
          <w:color w:val="auto"/>
        </w:rPr>
      </w:pPr>
      <w:r w:rsidRPr="00432550">
        <w:rPr>
          <w:color w:val="auto"/>
        </w:rPr>
        <w:t xml:space="preserve">The issue of midwives’ knowledge of health literacy is also under-researched [15]. Only a few studies have explored midwives’ knowledge and understanding of health literacy. For instance, in a study which focused on communication about health literacy in the provision of </w:t>
      </w:r>
      <w:r w:rsidRPr="00432550">
        <w:rPr>
          <w:color w:val="auto"/>
        </w:rPr>
        <w:lastRenderedPageBreak/>
        <w:t xml:space="preserve">care for women from different cultures with language challenges [16], midwives’ awareness of communication issues was only evident when women required the use of interpretation services where the risk of low health literacy was potentially higher, but the assessment of health literacy skills for other women was otherwise disregarded. They developed and tested a tool to assess midwives’ knowledge and skills of maternal health literacy and reported that midwives did not have a recollection of receiving any education and training in health literacy and as a result found assessment challenging. Their recommendations focus on the need for more education about health literacy and its assessment [16]. </w:t>
      </w:r>
    </w:p>
    <w:p w14:paraId="5DFBF628" w14:textId="77777777" w:rsidR="00620039" w:rsidRPr="00432550" w:rsidRDefault="00620039" w:rsidP="00620039">
      <w:pPr>
        <w:spacing w:after="112" w:line="259" w:lineRule="auto"/>
        <w:ind w:left="0" w:right="0" w:firstLine="0"/>
        <w:jc w:val="left"/>
        <w:rPr>
          <w:color w:val="auto"/>
        </w:rPr>
      </w:pPr>
      <w:r w:rsidRPr="00432550">
        <w:rPr>
          <w:color w:val="auto"/>
        </w:rPr>
        <w:t xml:space="preserve"> </w:t>
      </w:r>
    </w:p>
    <w:p w14:paraId="261F4030" w14:textId="77777777" w:rsidR="00620039" w:rsidRPr="00432550" w:rsidRDefault="00620039" w:rsidP="00620039">
      <w:pPr>
        <w:spacing w:after="0"/>
        <w:ind w:left="-5" w:right="542"/>
        <w:rPr>
          <w:color w:val="auto"/>
        </w:rPr>
      </w:pPr>
      <w:r w:rsidRPr="00432550">
        <w:rPr>
          <w:color w:val="auto"/>
        </w:rPr>
        <w:t xml:space="preserve">In Turkey, midwifery care includes a broad definition of duties including “health-care services concerning family planning, personal health care, nutrition, first aid, vaccination and fight against, and protection from, sexually transmitted and contagious diseases” [17].Thus, it is suggested that the knowledge and practice of midwives in relation to SRH play a major role in influencing the health of women and their partners, as well as the development and accessibility of public health and family planning services. The challenge of ensuring that women have access to accurate and reliable information is crucial to informed decision making within the wider philosophy of woman-centred care [18]. Health literacy in this context reflects the contribution of external sources and availability of information and services, including the relationship and communication with midwives in addition to the skills of the individual woman. As such, it is seen that in order to improve SRH services and care for women in Turkey, it is critical to understand women’s SRHL from the perspectives of midwives. However, in light of the dearth of literature in relation to midwives and health literacy [16] and the integration of theoretical knowledge in a higher education context with clinical practice in healthcare settings [17]; the roles that student midwives take on are complex and varied. As a result, student midwives provide a unique insight into both educational and healthcare systems, as well as an understanding of the sociocultural context and women’s individual experiences of SRH.  For this reason, the focus of this study was on the issues surrounding health literacy in the context of women’s SRH, the significance and availability of information for midwives and women; and the socio-cultural influences and barriers related to women’s level of health literacy. Subsequently, the main objective was to examine participants views and understanding of several key aspects of women’s SRHL in relation to their experiences as student midwives in Turkey. </w:t>
      </w:r>
    </w:p>
    <w:p w14:paraId="17EE3B3F" w14:textId="77777777" w:rsidR="00620039" w:rsidRPr="00432550" w:rsidRDefault="00620039" w:rsidP="00620039">
      <w:pPr>
        <w:spacing w:after="0"/>
        <w:ind w:left="-5" w:right="542"/>
        <w:rPr>
          <w:color w:val="auto"/>
        </w:rPr>
      </w:pPr>
    </w:p>
    <w:p w14:paraId="29639024" w14:textId="77777777" w:rsidR="00620039" w:rsidRPr="00432550" w:rsidRDefault="00620039" w:rsidP="00620039">
      <w:pPr>
        <w:spacing w:after="0"/>
        <w:ind w:left="-5" w:right="542"/>
        <w:rPr>
          <w:color w:val="auto"/>
        </w:rPr>
      </w:pPr>
      <w:r w:rsidRPr="00432550">
        <w:rPr>
          <w:color w:val="auto"/>
        </w:rPr>
        <w:lastRenderedPageBreak/>
        <w:t xml:space="preserve">Midwifery education in Turkey is offered over four years and structured across two semesters each year. Whilst </w:t>
      </w:r>
      <w:r w:rsidRPr="00432550">
        <w:rPr>
          <w:color w:val="auto"/>
          <w:shd w:val="clear" w:color="auto" w:fill="FFFFFF"/>
        </w:rPr>
        <w:t>students are given detailed information about the concept of ethics and health literacy as part of the basic concepts and principles in midwifery, theoretical and practical information about sexual and reproductive health is developed throughout the programme and presented as a discrete course in the third year with practice placements in hospitals and clinics where students are supported by members of the academic faculty.</w:t>
      </w:r>
    </w:p>
    <w:p w14:paraId="6B9D8E04" w14:textId="77777777" w:rsidR="00620039" w:rsidRPr="00432550" w:rsidRDefault="00620039" w:rsidP="00620039">
      <w:pPr>
        <w:spacing w:after="0" w:line="259" w:lineRule="auto"/>
        <w:ind w:left="0" w:right="0" w:firstLine="0"/>
        <w:jc w:val="left"/>
        <w:rPr>
          <w:color w:val="auto"/>
        </w:rPr>
      </w:pPr>
      <w:r w:rsidRPr="00432550">
        <w:rPr>
          <w:color w:val="auto"/>
        </w:rPr>
        <w:t xml:space="preserve"> </w:t>
      </w:r>
    </w:p>
    <w:p w14:paraId="165E2099" w14:textId="77777777" w:rsidR="00620039" w:rsidRPr="00432550" w:rsidRDefault="00620039" w:rsidP="00620039">
      <w:pPr>
        <w:pStyle w:val="Heading1"/>
        <w:ind w:left="-5" w:right="836"/>
        <w:rPr>
          <w:color w:val="auto"/>
        </w:rPr>
      </w:pPr>
      <w:r w:rsidRPr="00432550">
        <w:rPr>
          <w:color w:val="auto"/>
        </w:rPr>
        <w:t xml:space="preserve">Methods </w:t>
      </w:r>
    </w:p>
    <w:p w14:paraId="34154BD9" w14:textId="77777777" w:rsidR="00620039" w:rsidRPr="00432550" w:rsidRDefault="00620039" w:rsidP="00620039">
      <w:pPr>
        <w:pStyle w:val="Heading2"/>
        <w:ind w:left="-5" w:right="22"/>
        <w:rPr>
          <w:color w:val="auto"/>
        </w:rPr>
      </w:pPr>
      <w:r w:rsidRPr="00432550">
        <w:rPr>
          <w:color w:val="auto"/>
        </w:rPr>
        <w:t xml:space="preserve">Design </w:t>
      </w:r>
    </w:p>
    <w:p w14:paraId="300B9B80" w14:textId="17A4D78D" w:rsidR="00620039" w:rsidRPr="00432550" w:rsidRDefault="00620039" w:rsidP="00620039">
      <w:pPr>
        <w:ind w:left="-5" w:right="542"/>
        <w:rPr>
          <w:color w:val="auto"/>
        </w:rPr>
      </w:pPr>
      <w:r w:rsidRPr="00432550">
        <w:rPr>
          <w:color w:val="auto"/>
        </w:rPr>
        <w:t xml:space="preserve">The design was a cross-sectional survey using self-reported online questionnaire. The research was conducted with student midwives from the Department of Midwifery, </w:t>
      </w:r>
      <w:r w:rsidR="00A82308" w:rsidRPr="00A82308">
        <w:rPr>
          <w:color w:val="auto"/>
          <w:shd w:val="clear" w:color="auto" w:fill="FFFFFF"/>
        </w:rPr>
        <w:t>Atatürk </w:t>
      </w:r>
      <w:r w:rsidRPr="00432550">
        <w:rPr>
          <w:color w:val="auto"/>
        </w:rPr>
        <w:t xml:space="preserve">Turkey. </w:t>
      </w:r>
      <w:r w:rsidR="008B3933">
        <w:rPr>
          <w:color w:val="auto"/>
        </w:rPr>
        <w:t>Data were</w:t>
      </w:r>
      <w:r w:rsidRPr="00432550">
        <w:rPr>
          <w:color w:val="auto"/>
        </w:rPr>
        <w:t xml:space="preserve"> collected between 16 June and 7 July 2021.  </w:t>
      </w:r>
    </w:p>
    <w:p w14:paraId="485944E8" w14:textId="77777777" w:rsidR="00620039" w:rsidRPr="00432550" w:rsidRDefault="00620039" w:rsidP="00620039">
      <w:pPr>
        <w:pStyle w:val="Heading2"/>
        <w:ind w:left="-5" w:right="22"/>
        <w:rPr>
          <w:color w:val="auto"/>
        </w:rPr>
      </w:pPr>
      <w:r w:rsidRPr="00432550">
        <w:rPr>
          <w:color w:val="auto"/>
        </w:rPr>
        <w:t xml:space="preserve">Participants and procedure </w:t>
      </w:r>
    </w:p>
    <w:p w14:paraId="23B55618" w14:textId="479CBFC4" w:rsidR="00620039" w:rsidRPr="00432550" w:rsidRDefault="00620039" w:rsidP="00620039">
      <w:pPr>
        <w:ind w:left="0" w:right="542"/>
        <w:rPr>
          <w:color w:val="auto"/>
        </w:rPr>
      </w:pPr>
      <w:r w:rsidRPr="00432550">
        <w:rPr>
          <w:color w:val="auto"/>
        </w:rPr>
        <w:t xml:space="preserve">Purposive sampling using a total population sampling strategy was used [19]. Second, third, and fourth-year midwifery students were invited via email to participate. First-year students were not included as they had less than one year’s midwifery and academic experience. No further exclusions were included. Email invitations were sent out to 280 student midwives via the University learning platform. Participants were presented with an online consent form which they completed to enable them to proceed with the survey. The research received approval from the Institute of Health and Social Care Ethics Committee at </w:t>
      </w:r>
      <w:r w:rsidR="00432550">
        <w:rPr>
          <w:color w:val="auto"/>
        </w:rPr>
        <w:t>London South Bank University</w:t>
      </w:r>
      <w:r w:rsidRPr="00432550">
        <w:rPr>
          <w:color w:val="auto"/>
        </w:rPr>
        <w:t xml:space="preserve"> (</w:t>
      </w:r>
      <w:r w:rsidRPr="00432550">
        <w:rPr>
          <w:color w:val="auto"/>
          <w:sz w:val="23"/>
        </w:rPr>
        <w:t xml:space="preserve">ETH2021-0045). </w:t>
      </w:r>
      <w:r w:rsidRPr="00432550">
        <w:rPr>
          <w:color w:val="auto"/>
        </w:rPr>
        <w:t xml:space="preserve">The response rate was around 56% with 157 participants initially completing the online survey. During the data analysis, inconsistencies in the responses of 19 participants in relation to the demographic questions of the survey, were detected. As a result, those participant’s responses were excluded from the final analysis to enhance the reliability and validity of findings. Therefore, the responses of 138 participants who completed the online survey were analysed and form the basis of this paper. </w:t>
      </w:r>
    </w:p>
    <w:p w14:paraId="7EB49A13" w14:textId="77777777" w:rsidR="00620039" w:rsidRPr="00432550" w:rsidRDefault="00620039" w:rsidP="00620039">
      <w:pPr>
        <w:pStyle w:val="Heading2"/>
        <w:ind w:left="-5" w:right="22"/>
        <w:rPr>
          <w:color w:val="auto"/>
        </w:rPr>
      </w:pPr>
      <w:r w:rsidRPr="00432550">
        <w:rPr>
          <w:color w:val="auto"/>
        </w:rPr>
        <w:t xml:space="preserve">Measures </w:t>
      </w:r>
    </w:p>
    <w:p w14:paraId="7187D66B" w14:textId="54354715" w:rsidR="00620039" w:rsidRPr="00432550" w:rsidRDefault="00620039" w:rsidP="00620039">
      <w:pPr>
        <w:ind w:left="-5" w:right="542"/>
        <w:rPr>
          <w:color w:val="auto"/>
        </w:rPr>
      </w:pPr>
      <w:r w:rsidRPr="00432550">
        <w:rPr>
          <w:color w:val="auto"/>
        </w:rPr>
        <w:t xml:space="preserve">The survey included a set of demographic questions obtaining participant information about their age, gender, marital status, year of study and religious beliefs. This was followed by a series of questions on topics related to sexual and reproductive health literacy (SRHL) which </w:t>
      </w:r>
      <w:r w:rsidRPr="00432550">
        <w:rPr>
          <w:color w:val="auto"/>
        </w:rPr>
        <w:lastRenderedPageBreak/>
        <w:t xml:space="preserve">was designed using an iterative process based on existing literature reviews on SRHL [5, 20], health literacy in midwives [15] and health literacy in nursing students in Turkey </w:t>
      </w:r>
      <w:r w:rsidR="006333D9" w:rsidRPr="00432550">
        <w:rPr>
          <w:color w:val="auto"/>
        </w:rPr>
        <w:t>[</w:t>
      </w:r>
      <w:r w:rsidRPr="00432550">
        <w:rPr>
          <w:color w:val="auto"/>
        </w:rPr>
        <w:t>21,22</w:t>
      </w:r>
      <w:r w:rsidR="006333D9" w:rsidRPr="00432550">
        <w:rPr>
          <w:color w:val="auto"/>
        </w:rPr>
        <w:t>]</w:t>
      </w:r>
      <w:r w:rsidRPr="00432550">
        <w:rPr>
          <w:color w:val="auto"/>
        </w:rPr>
        <w:t>.</w:t>
      </w:r>
    </w:p>
    <w:p w14:paraId="0339A91B" w14:textId="77777777" w:rsidR="00620039" w:rsidRPr="00432550" w:rsidRDefault="00620039" w:rsidP="00620039">
      <w:pPr>
        <w:ind w:left="-5" w:right="542"/>
        <w:rPr>
          <w:color w:val="auto"/>
        </w:rPr>
      </w:pPr>
      <w:r w:rsidRPr="00432550">
        <w:rPr>
          <w:color w:val="auto"/>
        </w:rPr>
        <w:t xml:space="preserve">The survey was structured around key components of HL and was divided into six sections including 34 questions in total. Questions focused on demographic data, women’s level of HL, the assessment, experience and communication of HL, the significance of HL during and after pregnancy and childbirth, as well as false beliefs and barriers to HL. The survey consisted of 5-point Likert scale questions measuring agreement, ranking order questions, as well as several open answer questions to obtain supplementary qualitative data, designed to capture a detailed picture of student midwives’ understanding and perspectives. 5-point Likert scale questions are a universally understood method for collecting data on attitudes and offers respondents a neutral response, rather than having to select an alternative option that may not reflect their opinion. Additionally, Likert scales with more than four response options perform better over several indices of reliability, validity, and discriminating power [23]. The possible responses ranged from 1 – strongly disagree to 5 - strongly agree.  </w:t>
      </w:r>
    </w:p>
    <w:p w14:paraId="56192961" w14:textId="77777777" w:rsidR="00620039" w:rsidRPr="00432550" w:rsidRDefault="00620039" w:rsidP="00620039">
      <w:pPr>
        <w:ind w:left="-5" w:right="542"/>
        <w:rPr>
          <w:color w:val="auto"/>
        </w:rPr>
      </w:pPr>
      <w:r w:rsidRPr="00432550">
        <w:rPr>
          <w:color w:val="auto"/>
        </w:rPr>
        <w:t xml:space="preserve">Piloting activities were undertaken by researchers from both the UK and Turkey institutions to ensure coherence, accuracy and validity of the measure. Furthermore, the survey was reviewed by the study authors based in Turkey for context, meaning, cultural sensitivity and relevance to midwifery practice, and forward and back translation into Turkish was implemented in order to ensure accuracy and conceptual and cultural equivalence [24]. </w:t>
      </w:r>
    </w:p>
    <w:p w14:paraId="1E554D67" w14:textId="77777777" w:rsidR="00620039" w:rsidRPr="00432550" w:rsidRDefault="00620039" w:rsidP="00620039">
      <w:pPr>
        <w:ind w:left="-5" w:right="542"/>
        <w:rPr>
          <w:color w:val="auto"/>
        </w:rPr>
      </w:pPr>
      <w:r w:rsidRPr="00432550">
        <w:rPr>
          <w:color w:val="auto"/>
        </w:rPr>
        <w:t xml:space="preserve">This present paper reports the results of a part of the survey which focused on student midwives’ perspectives of women’s SRHL. This included women’s level of health literacy relating to accessing, understanding, appraising SRH information, as well as accessing SRH services, making decisions about SRH and factors affecting SRHL; the significance of SRHL during and after pregnancy and childbirth; false beliefs that women hold about SRH; and barriers to SRHL that women experience. </w:t>
      </w:r>
    </w:p>
    <w:p w14:paraId="498726C2" w14:textId="77777777" w:rsidR="00620039" w:rsidRPr="00432550" w:rsidRDefault="00620039" w:rsidP="00620039">
      <w:pPr>
        <w:pStyle w:val="Heading2"/>
        <w:ind w:left="-5" w:right="22"/>
        <w:rPr>
          <w:color w:val="auto"/>
        </w:rPr>
      </w:pPr>
      <w:r w:rsidRPr="00432550">
        <w:rPr>
          <w:color w:val="auto"/>
        </w:rPr>
        <w:t xml:space="preserve">Statistical analysis </w:t>
      </w:r>
    </w:p>
    <w:p w14:paraId="60E6BF1C" w14:textId="77777777" w:rsidR="00620039" w:rsidRPr="00432550" w:rsidRDefault="00620039" w:rsidP="00620039">
      <w:pPr>
        <w:spacing w:after="0"/>
        <w:ind w:left="0" w:right="542"/>
        <w:rPr>
          <w:color w:val="auto"/>
        </w:rPr>
      </w:pPr>
      <w:r w:rsidRPr="00432550">
        <w:rPr>
          <w:color w:val="auto"/>
        </w:rPr>
        <w:t xml:space="preserve">Descriptive statistics of the demographic data and survey responses were produced to identify the central tendency, spread and frequency distributions of the data and identify trends in participants’ responses. Due to the nature of the questionnaire, the data obtained were at the ordinal level of measurement and followed a non-normal distribution. Thus, nonparametric tests were used in order to identify significant differences in student midwives’ median responses for each identified SRHL based on two characteristics. Specifically, </w:t>
      </w:r>
      <w:r w:rsidRPr="00432550">
        <w:rPr>
          <w:color w:val="auto"/>
        </w:rPr>
        <w:lastRenderedPageBreak/>
        <w:t>independent samples Kruskal-Wallis tests were conducted to compare groups based on year of study (second, third and fourth-year students) and familiarity with the term ‘Health Literacy’ (familiar, unfamiliar, and ‘I don’t know’). Due to the ordinal nature of responses obtained using Likert scale questions, independent samples Kruskal-Wallis tests were conducted on the dependent variable of level of agreement. The Kruskal-Wallis test also assumes an independent variable that consists of multiple categorical independent groups. Each of the two independent variables chosen for this analysis is based on three independent categories of participants. For year of study, the three groups were students in their second, third and fourth year of study, while for familiarity with the term health literacy the categories consist of those participants that were familiar, those that were unfamiliar and those that indicated they do not know whether they were familiar with the term. The test also assumes independence of observations which was also met following from the three discrete categories under each independent variable tested. The significance level was set at P &lt; 0.05 and data were analysed using SPSS for Windows version 23.0.</w:t>
      </w:r>
    </w:p>
    <w:p w14:paraId="0F3E7ED3" w14:textId="77777777" w:rsidR="00620039" w:rsidRPr="00432550" w:rsidRDefault="00620039" w:rsidP="00620039">
      <w:pPr>
        <w:spacing w:after="12"/>
        <w:ind w:left="-5" w:right="542"/>
        <w:rPr>
          <w:color w:val="auto"/>
        </w:rPr>
      </w:pPr>
      <w:r w:rsidRPr="00432550">
        <w:rPr>
          <w:color w:val="auto"/>
        </w:rPr>
        <w:t xml:space="preserve"> </w:t>
      </w:r>
    </w:p>
    <w:p w14:paraId="6B941C79" w14:textId="77777777" w:rsidR="00620039" w:rsidRPr="00432550" w:rsidRDefault="00620039" w:rsidP="00620039">
      <w:pPr>
        <w:pStyle w:val="Heading1"/>
        <w:ind w:left="-5" w:right="836"/>
        <w:rPr>
          <w:color w:val="auto"/>
        </w:rPr>
      </w:pPr>
      <w:r w:rsidRPr="00432550">
        <w:rPr>
          <w:color w:val="auto"/>
        </w:rPr>
        <w:t xml:space="preserve">Results </w:t>
      </w:r>
    </w:p>
    <w:p w14:paraId="2C153429" w14:textId="77777777" w:rsidR="00620039" w:rsidRPr="00432550" w:rsidRDefault="00620039" w:rsidP="00620039">
      <w:pPr>
        <w:pStyle w:val="Heading1"/>
        <w:ind w:left="-5" w:right="836"/>
        <w:rPr>
          <w:color w:val="auto"/>
        </w:rPr>
      </w:pPr>
      <w:r w:rsidRPr="00432550">
        <w:rPr>
          <w:color w:val="auto"/>
        </w:rPr>
        <w:t xml:space="preserve">Participant characteristics </w:t>
      </w:r>
    </w:p>
    <w:p w14:paraId="447ED971" w14:textId="77777777" w:rsidR="00620039" w:rsidRPr="00432550" w:rsidRDefault="00620039" w:rsidP="00620039">
      <w:pPr>
        <w:spacing w:after="196"/>
        <w:ind w:left="-5" w:right="542"/>
        <w:rPr>
          <w:color w:val="auto"/>
        </w:rPr>
      </w:pPr>
      <w:r w:rsidRPr="00432550">
        <w:rPr>
          <w:color w:val="auto"/>
        </w:rPr>
        <w:t xml:space="preserve">The average age of participants was 20.75 ± 1.31 years (range: 18-24) and all of the 138 student midwives in this sample were female. The majority were single (99.3%) and 65.9% were in their second year of study, 16.7% were in their third year of study, and 17.4% were in their fourth. Most of the participants’ religion was Islam (96.4%). Table 1 provides an overview of participant characteristics. </w:t>
      </w:r>
    </w:p>
    <w:p w14:paraId="5168A801" w14:textId="77777777" w:rsidR="00620039" w:rsidRPr="00432550" w:rsidRDefault="00620039" w:rsidP="00620039">
      <w:pPr>
        <w:spacing w:after="33"/>
        <w:ind w:left="-5" w:right="542"/>
        <w:rPr>
          <w:color w:val="auto"/>
        </w:rPr>
      </w:pPr>
      <w:r w:rsidRPr="00432550">
        <w:rPr>
          <w:color w:val="auto"/>
        </w:rPr>
        <w:t>When asked whether they were familiar with the term ‘health literacy’ just over half answered yes (55.8%), while the other half indicated that they were not familiar with the term (30.4%) or that they didn’t know (13.8%). As Figure 1 illustrates, a similar distribution of responses was observed between different class years, where just over half of respondents indicated they are familiar with the term (50.5% of 2</w:t>
      </w:r>
      <w:r w:rsidRPr="00432550">
        <w:rPr>
          <w:color w:val="auto"/>
          <w:vertAlign w:val="superscript"/>
        </w:rPr>
        <w:t>nd</w:t>
      </w:r>
      <w:r w:rsidRPr="00432550">
        <w:rPr>
          <w:color w:val="auto"/>
        </w:rPr>
        <w:t xml:space="preserve"> year, 69.6% of 3</w:t>
      </w:r>
      <w:r w:rsidRPr="00432550">
        <w:rPr>
          <w:color w:val="auto"/>
          <w:vertAlign w:val="superscript"/>
        </w:rPr>
        <w:t>rd</w:t>
      </w:r>
      <w:r w:rsidRPr="00432550">
        <w:rPr>
          <w:color w:val="auto"/>
        </w:rPr>
        <w:t xml:space="preserve"> year and 61.9% of 4</w:t>
      </w:r>
      <w:r w:rsidRPr="00432550">
        <w:rPr>
          <w:color w:val="auto"/>
          <w:vertAlign w:val="superscript"/>
        </w:rPr>
        <w:t>th</w:t>
      </w:r>
      <w:r w:rsidRPr="00432550">
        <w:rPr>
          <w:color w:val="auto"/>
        </w:rPr>
        <w:t xml:space="preserve"> year students), around a third indicated they are not familiar with the term (31.9% of 2</w:t>
      </w:r>
      <w:r w:rsidRPr="00432550">
        <w:rPr>
          <w:color w:val="auto"/>
          <w:vertAlign w:val="superscript"/>
        </w:rPr>
        <w:t>nd</w:t>
      </w:r>
      <w:r w:rsidRPr="00432550">
        <w:rPr>
          <w:color w:val="auto"/>
        </w:rPr>
        <w:t>, 21.7% of 3</w:t>
      </w:r>
      <w:r w:rsidRPr="00432550">
        <w:rPr>
          <w:color w:val="auto"/>
          <w:vertAlign w:val="superscript"/>
        </w:rPr>
        <w:t>rd</w:t>
      </w:r>
      <w:r w:rsidRPr="00432550">
        <w:rPr>
          <w:color w:val="auto"/>
        </w:rPr>
        <w:t>, and 31% of 4</w:t>
      </w:r>
      <w:r w:rsidRPr="00432550">
        <w:rPr>
          <w:color w:val="auto"/>
          <w:vertAlign w:val="superscript"/>
        </w:rPr>
        <w:t>th</w:t>
      </w:r>
      <w:r w:rsidRPr="00432550">
        <w:rPr>
          <w:color w:val="auto"/>
        </w:rPr>
        <w:t xml:space="preserve"> year students) and the remainder said that they ‘didn’t know’. Third year students had the highest proportion of participants who were familiar with the term out of all year groups.  </w:t>
      </w:r>
    </w:p>
    <w:p w14:paraId="3702140B" w14:textId="77777777" w:rsidR="00620039" w:rsidRPr="00432550" w:rsidRDefault="00620039" w:rsidP="00620039">
      <w:pPr>
        <w:spacing w:after="33" w:line="240" w:lineRule="auto"/>
        <w:ind w:left="-5" w:right="542"/>
        <w:rPr>
          <w:color w:val="auto"/>
        </w:rPr>
      </w:pPr>
    </w:p>
    <w:p w14:paraId="65C7B021" w14:textId="77777777" w:rsidR="00620039" w:rsidRPr="00432550" w:rsidRDefault="00620039" w:rsidP="00620039">
      <w:pPr>
        <w:pStyle w:val="Heading2"/>
        <w:spacing w:after="114"/>
        <w:ind w:left="-5" w:right="22"/>
        <w:rPr>
          <w:color w:val="auto"/>
        </w:rPr>
      </w:pPr>
      <w:r w:rsidRPr="00432550">
        <w:rPr>
          <w:color w:val="auto"/>
        </w:rPr>
        <w:lastRenderedPageBreak/>
        <w:t xml:space="preserve">Women’s Level of Health Literacy </w:t>
      </w:r>
    </w:p>
    <w:p w14:paraId="38BCBC6D" w14:textId="77777777" w:rsidR="00620039" w:rsidRPr="00432550" w:rsidRDefault="00620039" w:rsidP="00620039">
      <w:pPr>
        <w:spacing w:after="0"/>
        <w:ind w:left="-5" w:right="542"/>
        <w:rPr>
          <w:color w:val="auto"/>
        </w:rPr>
      </w:pPr>
      <w:r w:rsidRPr="00432550">
        <w:rPr>
          <w:color w:val="auto"/>
        </w:rPr>
        <w:t xml:space="preserve">Student midwives indicated their level of agreement regarding women’s ability to access information about six main SRH topics, namely contraception, STIs, abortion, Pap tests and cervical cancer, fertility, and pregnancy, from four different sources. Figure 2 shows the highest proportions of agreement were observed for accessing information from their midwife about all six topics (median response was 5 signifying ‘strongly agree’, IQR = 1), followed by information online (Mdn = 4, i.e. ‘agree’, IQR = 1). Agreement was much lower regarding women being able to access SRH information from their peers (Mdn was 3, i.e ‘neutral’, IQR = 2 for contraception, STIs, and Pap tests and cervical cancer, and 4, IQR = 1 for abortion, fertility and pregnancy), and even lower about information from their families (median response was 3, IQR = 1-2 for the first four topics, 3.5, IQR = 1 for fertility, and 4, IQR = 1 for pregnancy). </w:t>
      </w:r>
    </w:p>
    <w:p w14:paraId="3B9584A7" w14:textId="77777777" w:rsidR="00620039" w:rsidRPr="00432550" w:rsidRDefault="00620039" w:rsidP="00620039">
      <w:pPr>
        <w:spacing w:after="19"/>
        <w:ind w:left="-5" w:right="542"/>
        <w:rPr>
          <w:color w:val="auto"/>
        </w:rPr>
      </w:pPr>
      <w:r w:rsidRPr="00432550">
        <w:rPr>
          <w:color w:val="auto"/>
        </w:rPr>
        <w:t xml:space="preserve">Student midwives also reported agreement that women are able to understand information they receive both verbally (Mdn = 4, IQR =1) and written (Mdn = 4, IQR = 2) but agreement was slightly lower for information they receive online (Mdn = 3, IQR =1). Median responses indicated overall agreement that women are able to understand information about all six </w:t>
      </w:r>
    </w:p>
    <w:p w14:paraId="720ED973" w14:textId="77777777" w:rsidR="00620039" w:rsidRPr="00432550" w:rsidRDefault="00620039" w:rsidP="00620039">
      <w:pPr>
        <w:spacing w:after="0"/>
        <w:ind w:left="-5" w:right="542"/>
        <w:rPr>
          <w:color w:val="auto"/>
        </w:rPr>
      </w:pPr>
      <w:r w:rsidRPr="00432550">
        <w:rPr>
          <w:color w:val="auto"/>
        </w:rPr>
        <w:t>SRH topics (Mdn = 4, IQR =1). Similarly, student midwives’ median responses were 4 – agree for all statements regarding women being able to appraise information (IQR = 0 - 1). Participants indicated agreement that women in their care are able to access contraceptive, STI testing, abortion, Pap testing, prenatal and postnatal services (Mdn = 4, IQR =1).</w:t>
      </w:r>
      <w:r w:rsidRPr="00432550">
        <w:rPr>
          <w:i/>
          <w:color w:val="auto"/>
        </w:rPr>
        <w:t xml:space="preserve"> </w:t>
      </w:r>
      <w:r w:rsidRPr="00432550">
        <w:rPr>
          <w:color w:val="auto"/>
        </w:rPr>
        <w:t xml:space="preserve">Likewise, median responses indicated overall agreement (Mdn = 4, IQR = 1) that women are able to use information to make decisions about using the most appropriate contraceptive method, getting tested for STIs, terminating a pregnancy, getting a Pap test, and when to get pregnant. See Table 2 for a summary of responses. </w:t>
      </w:r>
    </w:p>
    <w:p w14:paraId="3EB9085D" w14:textId="77777777" w:rsidR="00620039" w:rsidRPr="00432550" w:rsidRDefault="00620039" w:rsidP="00620039">
      <w:pPr>
        <w:spacing w:after="0" w:line="276" w:lineRule="auto"/>
        <w:ind w:left="0" w:right="542" w:firstLine="0"/>
        <w:rPr>
          <w:color w:val="auto"/>
        </w:rPr>
      </w:pPr>
    </w:p>
    <w:p w14:paraId="5B82ADBA" w14:textId="77777777" w:rsidR="00620039" w:rsidRPr="00432550" w:rsidRDefault="00620039" w:rsidP="00620039">
      <w:pPr>
        <w:spacing w:after="0" w:line="276" w:lineRule="auto"/>
        <w:ind w:left="0" w:right="542" w:firstLine="0"/>
        <w:rPr>
          <w:color w:val="auto"/>
        </w:rPr>
      </w:pPr>
    </w:p>
    <w:p w14:paraId="3F4F9F86" w14:textId="77777777" w:rsidR="00620039" w:rsidRPr="00432550" w:rsidRDefault="00620039" w:rsidP="00620039">
      <w:pPr>
        <w:spacing w:line="360" w:lineRule="auto"/>
        <w:ind w:left="0" w:firstLine="0"/>
        <w:rPr>
          <w:color w:val="auto"/>
          <w:lang w:val="en-US"/>
        </w:rPr>
      </w:pPr>
      <w:r w:rsidRPr="00432550">
        <w:rPr>
          <w:color w:val="auto"/>
          <w:lang w:val="en-US"/>
        </w:rPr>
        <w:t>Comparing year groups’ median level of agreement regarding women’s ability to access information online revealed statistically significant differences for two of the six subtopics: Pap tests and cervical cancer (</w:t>
      </w:r>
      <w:r w:rsidRPr="00432550">
        <w:rPr>
          <w:i/>
          <w:color w:val="auto"/>
          <w:lang w:val="en-US"/>
        </w:rPr>
        <w:t>H</w:t>
      </w:r>
      <w:r w:rsidRPr="00432550">
        <w:rPr>
          <w:color w:val="auto"/>
          <w:lang w:val="en-US"/>
        </w:rPr>
        <w:t xml:space="preserve">(2) = 8.17, </w:t>
      </w:r>
      <w:r w:rsidRPr="00432550">
        <w:rPr>
          <w:i/>
          <w:color w:val="auto"/>
          <w:lang w:val="en-US"/>
        </w:rPr>
        <w:t>p</w:t>
      </w:r>
      <w:r w:rsidRPr="00432550">
        <w:rPr>
          <w:color w:val="auto"/>
          <w:lang w:val="en-US"/>
        </w:rPr>
        <w:t xml:space="preserve"> = .017) and fertility (</w:t>
      </w:r>
      <w:r w:rsidRPr="00432550">
        <w:rPr>
          <w:i/>
          <w:color w:val="auto"/>
          <w:lang w:val="en-US"/>
        </w:rPr>
        <w:t>H</w:t>
      </w:r>
      <w:r w:rsidRPr="00432550">
        <w:rPr>
          <w:color w:val="auto"/>
          <w:lang w:val="en-US"/>
        </w:rPr>
        <w:t xml:space="preserve">(2) = 6.95, </w:t>
      </w:r>
      <w:r w:rsidRPr="00432550">
        <w:rPr>
          <w:i/>
          <w:color w:val="auto"/>
          <w:lang w:val="en-US"/>
        </w:rPr>
        <w:t>p</w:t>
      </w:r>
      <w:r w:rsidRPr="00432550">
        <w:rPr>
          <w:color w:val="auto"/>
          <w:lang w:val="en-US"/>
        </w:rPr>
        <w:t xml:space="preserve"> = .031). Pairwise comparisons with adjusted </w:t>
      </w:r>
      <w:r w:rsidRPr="00432550">
        <w:rPr>
          <w:i/>
          <w:color w:val="auto"/>
          <w:lang w:val="en-US"/>
        </w:rPr>
        <w:t>p</w:t>
      </w:r>
      <w:r w:rsidRPr="00432550">
        <w:rPr>
          <w:color w:val="auto"/>
          <w:lang w:val="en-US"/>
        </w:rPr>
        <w:t>-values found a significant difference between median level of agreement of 2</w:t>
      </w:r>
      <w:r w:rsidRPr="00432550">
        <w:rPr>
          <w:color w:val="auto"/>
          <w:vertAlign w:val="superscript"/>
          <w:lang w:val="en-US"/>
        </w:rPr>
        <w:t>nd</w:t>
      </w:r>
      <w:r w:rsidRPr="00432550">
        <w:rPr>
          <w:color w:val="auto"/>
          <w:lang w:val="en-US"/>
        </w:rPr>
        <w:t xml:space="preserve"> class year (mean rank = 64.77) and 3</w:t>
      </w:r>
      <w:r w:rsidRPr="00432550">
        <w:rPr>
          <w:color w:val="auto"/>
          <w:vertAlign w:val="superscript"/>
          <w:lang w:val="en-US"/>
        </w:rPr>
        <w:t>rd</w:t>
      </w:r>
      <w:r w:rsidRPr="00432550">
        <w:rPr>
          <w:color w:val="auto"/>
          <w:lang w:val="en-US"/>
        </w:rPr>
        <w:t xml:space="preserve"> class year (mean rank = 89.91) students for Pap tests and cervical cancer (</w:t>
      </w:r>
      <w:r w:rsidRPr="00432550">
        <w:rPr>
          <w:i/>
          <w:color w:val="auto"/>
          <w:lang w:val="en-US"/>
        </w:rPr>
        <w:t>p</w:t>
      </w:r>
      <w:r w:rsidRPr="00432550">
        <w:rPr>
          <w:color w:val="auto"/>
          <w:lang w:val="en-US"/>
        </w:rPr>
        <w:t xml:space="preserve"> = .013), indicating 3</w:t>
      </w:r>
      <w:r w:rsidRPr="00432550">
        <w:rPr>
          <w:color w:val="auto"/>
          <w:vertAlign w:val="superscript"/>
          <w:lang w:val="en-US"/>
        </w:rPr>
        <w:t>rd</w:t>
      </w:r>
      <w:r w:rsidRPr="00432550">
        <w:rPr>
          <w:color w:val="auto"/>
          <w:lang w:val="en-US"/>
        </w:rPr>
        <w:t>-year students had a higher degree of agreement that women can access information online about Pap tests and cervical cancer than did 2</w:t>
      </w:r>
      <w:r w:rsidRPr="00432550">
        <w:rPr>
          <w:color w:val="auto"/>
          <w:vertAlign w:val="superscript"/>
          <w:lang w:val="en-US"/>
        </w:rPr>
        <w:t>nd</w:t>
      </w:r>
      <w:r w:rsidRPr="00432550">
        <w:rPr>
          <w:color w:val="auto"/>
          <w:lang w:val="en-US"/>
        </w:rPr>
        <w:t xml:space="preserve">-year students. A similar pattern emerged for fertility: median level of </w:t>
      </w:r>
      <w:r w:rsidRPr="00432550">
        <w:rPr>
          <w:color w:val="auto"/>
          <w:lang w:val="en-US"/>
        </w:rPr>
        <w:lastRenderedPageBreak/>
        <w:t>agreement of 2</w:t>
      </w:r>
      <w:r w:rsidRPr="00432550">
        <w:rPr>
          <w:color w:val="auto"/>
          <w:vertAlign w:val="superscript"/>
          <w:lang w:val="en-US"/>
        </w:rPr>
        <w:t>nd</w:t>
      </w:r>
      <w:r w:rsidRPr="00432550">
        <w:rPr>
          <w:color w:val="auto"/>
          <w:lang w:val="en-US"/>
        </w:rPr>
        <w:t xml:space="preserve"> class year students (mean rank = 64.12) was lower than that of 3</w:t>
      </w:r>
      <w:r w:rsidRPr="00432550">
        <w:rPr>
          <w:color w:val="auto"/>
          <w:vertAlign w:val="superscript"/>
          <w:lang w:val="en-US"/>
        </w:rPr>
        <w:t>rd</w:t>
      </w:r>
      <w:r w:rsidRPr="00432550">
        <w:rPr>
          <w:color w:val="auto"/>
          <w:lang w:val="en-US"/>
        </w:rPr>
        <w:t xml:space="preserve"> class year students (mean rank = 86.00) (</w:t>
      </w:r>
      <w:r w:rsidRPr="00432550">
        <w:rPr>
          <w:i/>
          <w:color w:val="auto"/>
          <w:lang w:val="en-US"/>
        </w:rPr>
        <w:t>adj. p</w:t>
      </w:r>
      <w:r w:rsidRPr="00432550">
        <w:rPr>
          <w:color w:val="auto"/>
          <w:lang w:val="en-US"/>
        </w:rPr>
        <w:t xml:space="preserve"> = .032).</w:t>
      </w:r>
    </w:p>
    <w:p w14:paraId="6CA7A12F" w14:textId="77777777" w:rsidR="00620039" w:rsidRPr="00432550" w:rsidRDefault="00620039" w:rsidP="00620039">
      <w:pPr>
        <w:spacing w:line="360" w:lineRule="auto"/>
        <w:ind w:left="0" w:firstLine="0"/>
        <w:rPr>
          <w:color w:val="auto"/>
          <w:lang w:val="en-US"/>
        </w:rPr>
      </w:pPr>
      <w:r w:rsidRPr="00432550">
        <w:rPr>
          <w:color w:val="auto"/>
          <w:lang w:val="en-US"/>
        </w:rPr>
        <w:t>Regarding women accessing information from their midwife, significant differences between year groups emerged for median level of agreement for sexually transmitted infections (</w:t>
      </w:r>
      <w:r w:rsidRPr="00432550">
        <w:rPr>
          <w:i/>
          <w:color w:val="auto"/>
          <w:lang w:val="en-US"/>
        </w:rPr>
        <w:t>H</w:t>
      </w:r>
      <w:r w:rsidRPr="00432550">
        <w:rPr>
          <w:color w:val="auto"/>
          <w:lang w:val="en-US"/>
        </w:rPr>
        <w:t xml:space="preserve">(2) = 7.14, </w:t>
      </w:r>
      <w:r w:rsidRPr="00432550">
        <w:rPr>
          <w:i/>
          <w:color w:val="auto"/>
          <w:lang w:val="en-US"/>
        </w:rPr>
        <w:t>p</w:t>
      </w:r>
      <w:r w:rsidRPr="00432550">
        <w:rPr>
          <w:color w:val="auto"/>
          <w:lang w:val="en-US"/>
        </w:rPr>
        <w:t xml:space="preserve"> = .028), abortion (H(2) = 6.63, </w:t>
      </w:r>
      <w:r w:rsidRPr="00432550">
        <w:rPr>
          <w:i/>
          <w:color w:val="auto"/>
          <w:lang w:val="en-US"/>
        </w:rPr>
        <w:t>p</w:t>
      </w:r>
      <w:r w:rsidRPr="00432550">
        <w:rPr>
          <w:color w:val="auto"/>
          <w:lang w:val="en-US"/>
        </w:rPr>
        <w:t xml:space="preserve"> = .036) and Pap tests and cervical cancer (</w:t>
      </w:r>
      <w:r w:rsidRPr="00432550">
        <w:rPr>
          <w:i/>
          <w:color w:val="auto"/>
          <w:lang w:val="en-US"/>
        </w:rPr>
        <w:t>H</w:t>
      </w:r>
      <w:r w:rsidRPr="00432550">
        <w:rPr>
          <w:color w:val="auto"/>
          <w:lang w:val="en-US"/>
        </w:rPr>
        <w:t xml:space="preserve">(2) = 6.54, </w:t>
      </w:r>
      <w:r w:rsidRPr="00432550">
        <w:rPr>
          <w:i/>
          <w:color w:val="auto"/>
          <w:lang w:val="en-US"/>
        </w:rPr>
        <w:t>p</w:t>
      </w:r>
      <w:r w:rsidRPr="00432550">
        <w:rPr>
          <w:color w:val="auto"/>
          <w:lang w:val="en-US"/>
        </w:rPr>
        <w:t xml:space="preserve"> = .038). Pairwise comparisons with adjusted p-values revealed a significant difference between 2</w:t>
      </w:r>
      <w:r w:rsidRPr="00432550">
        <w:rPr>
          <w:color w:val="auto"/>
          <w:vertAlign w:val="superscript"/>
          <w:lang w:val="en-US"/>
        </w:rPr>
        <w:t>nd</w:t>
      </w:r>
      <w:r w:rsidRPr="00432550">
        <w:rPr>
          <w:color w:val="auto"/>
          <w:lang w:val="en-US"/>
        </w:rPr>
        <w:t xml:space="preserve"> year students (mean rank = 64.85) and 3</w:t>
      </w:r>
      <w:r w:rsidRPr="00432550">
        <w:rPr>
          <w:color w:val="auto"/>
          <w:vertAlign w:val="superscript"/>
          <w:lang w:val="en-US"/>
        </w:rPr>
        <w:t>rd</w:t>
      </w:r>
      <w:r w:rsidRPr="00432550">
        <w:rPr>
          <w:color w:val="auto"/>
          <w:lang w:val="en-US"/>
        </w:rPr>
        <w:t xml:space="preserve"> class year students (mean rank = 84.13) for sexually transmitted infections (</w:t>
      </w:r>
      <w:r w:rsidRPr="00432550">
        <w:rPr>
          <w:i/>
          <w:color w:val="auto"/>
          <w:lang w:val="en-US"/>
        </w:rPr>
        <w:t>p</w:t>
      </w:r>
      <w:r w:rsidRPr="00432550">
        <w:rPr>
          <w:color w:val="auto"/>
          <w:lang w:val="en-US"/>
        </w:rPr>
        <w:t xml:space="preserve"> = .028), abortion (2</w:t>
      </w:r>
      <w:r w:rsidRPr="00432550">
        <w:rPr>
          <w:color w:val="auto"/>
          <w:vertAlign w:val="superscript"/>
          <w:lang w:val="en-US"/>
        </w:rPr>
        <w:t>nd</w:t>
      </w:r>
      <w:r w:rsidRPr="00432550">
        <w:rPr>
          <w:color w:val="auto"/>
          <w:lang w:val="en-US"/>
        </w:rPr>
        <w:t xml:space="preserve"> year mean rank = 65.81, 3</w:t>
      </w:r>
      <w:r w:rsidRPr="00432550">
        <w:rPr>
          <w:color w:val="auto"/>
          <w:vertAlign w:val="superscript"/>
          <w:lang w:val="en-US"/>
        </w:rPr>
        <w:t>rd</w:t>
      </w:r>
      <w:r w:rsidRPr="00432550">
        <w:rPr>
          <w:color w:val="auto"/>
          <w:lang w:val="en-US"/>
        </w:rPr>
        <w:t xml:space="preserve"> year mean rank = 85.13, </w:t>
      </w:r>
      <w:r w:rsidRPr="00432550">
        <w:rPr>
          <w:i/>
          <w:color w:val="auto"/>
          <w:lang w:val="en-US"/>
        </w:rPr>
        <w:t>p</w:t>
      </w:r>
      <w:r w:rsidRPr="00432550">
        <w:rPr>
          <w:color w:val="auto"/>
          <w:lang w:val="en-US"/>
        </w:rPr>
        <w:t xml:space="preserve"> = .031) and Pap tests and cervical cancer (2</w:t>
      </w:r>
      <w:r w:rsidRPr="00432550">
        <w:rPr>
          <w:color w:val="auto"/>
          <w:vertAlign w:val="superscript"/>
          <w:lang w:val="en-US"/>
        </w:rPr>
        <w:t>nd</w:t>
      </w:r>
      <w:r w:rsidRPr="00432550">
        <w:rPr>
          <w:color w:val="auto"/>
          <w:lang w:val="en-US"/>
        </w:rPr>
        <w:t xml:space="preserve"> year mean rank = 65.01, 3</w:t>
      </w:r>
      <w:r w:rsidRPr="00432550">
        <w:rPr>
          <w:color w:val="auto"/>
          <w:vertAlign w:val="superscript"/>
          <w:lang w:val="en-US"/>
        </w:rPr>
        <w:t>rd</w:t>
      </w:r>
      <w:r w:rsidRPr="00432550">
        <w:rPr>
          <w:color w:val="auto"/>
          <w:lang w:val="en-US"/>
        </w:rPr>
        <w:t xml:space="preserve"> year mean rank = 84.59, </w:t>
      </w:r>
      <w:r w:rsidRPr="00432550">
        <w:rPr>
          <w:i/>
          <w:color w:val="auto"/>
          <w:lang w:val="en-US"/>
        </w:rPr>
        <w:t>p</w:t>
      </w:r>
      <w:r w:rsidRPr="00432550">
        <w:rPr>
          <w:color w:val="auto"/>
          <w:lang w:val="en-US"/>
        </w:rPr>
        <w:t xml:space="preserve"> = .035). Thus, level of agreement was higher in the 3</w:t>
      </w:r>
      <w:r w:rsidRPr="00432550">
        <w:rPr>
          <w:color w:val="auto"/>
          <w:vertAlign w:val="superscript"/>
          <w:lang w:val="en-US"/>
        </w:rPr>
        <w:t>rd</w:t>
      </w:r>
      <w:r w:rsidRPr="00432550">
        <w:rPr>
          <w:color w:val="auto"/>
          <w:lang w:val="en-US"/>
        </w:rPr>
        <w:t xml:space="preserve"> year group for all three topics. </w:t>
      </w:r>
    </w:p>
    <w:p w14:paraId="75DF692E" w14:textId="77777777" w:rsidR="00620039" w:rsidRPr="00432550" w:rsidRDefault="00620039" w:rsidP="00620039">
      <w:pPr>
        <w:spacing w:line="360" w:lineRule="auto"/>
        <w:ind w:left="0" w:firstLine="0"/>
        <w:rPr>
          <w:color w:val="auto"/>
          <w:lang w:val="en-US"/>
        </w:rPr>
      </w:pPr>
      <w:r w:rsidRPr="00432550">
        <w:rPr>
          <w:color w:val="auto"/>
          <w:lang w:val="en-US"/>
        </w:rPr>
        <w:t>When comparing class year groups in their level of agreement regarding women accessing information from their families, differences were found for the topics of sexually transmitted infections (</w:t>
      </w:r>
      <w:r w:rsidRPr="00432550">
        <w:rPr>
          <w:i/>
          <w:color w:val="auto"/>
          <w:lang w:val="en-US"/>
        </w:rPr>
        <w:t>H</w:t>
      </w:r>
      <w:r w:rsidRPr="00432550">
        <w:rPr>
          <w:color w:val="auto"/>
          <w:lang w:val="en-US"/>
        </w:rPr>
        <w:t xml:space="preserve">(2) = 8.23, </w:t>
      </w:r>
      <w:r w:rsidRPr="00432550">
        <w:rPr>
          <w:i/>
          <w:color w:val="auto"/>
          <w:lang w:val="en-US"/>
        </w:rPr>
        <w:t>p</w:t>
      </w:r>
      <w:r w:rsidRPr="00432550">
        <w:rPr>
          <w:color w:val="auto"/>
          <w:lang w:val="en-US"/>
        </w:rPr>
        <w:t xml:space="preserve"> = .016) and abortion (</w:t>
      </w:r>
      <w:r w:rsidRPr="00432550">
        <w:rPr>
          <w:i/>
          <w:color w:val="auto"/>
          <w:lang w:val="en-US"/>
        </w:rPr>
        <w:t>H</w:t>
      </w:r>
      <w:r w:rsidRPr="00432550">
        <w:rPr>
          <w:color w:val="auto"/>
          <w:lang w:val="en-US"/>
        </w:rPr>
        <w:t xml:space="preserve">(2) = 8.62, </w:t>
      </w:r>
      <w:r w:rsidRPr="00432550">
        <w:rPr>
          <w:i/>
          <w:color w:val="auto"/>
          <w:lang w:val="en-US"/>
        </w:rPr>
        <w:t>p</w:t>
      </w:r>
      <w:r w:rsidRPr="00432550">
        <w:rPr>
          <w:color w:val="auto"/>
          <w:lang w:val="en-US"/>
        </w:rPr>
        <w:t xml:space="preserve"> = .013). Pairwise comparisons with adjusted p-values revealed a significant difference was present when comparing 2</w:t>
      </w:r>
      <w:r w:rsidRPr="00432550">
        <w:rPr>
          <w:color w:val="auto"/>
          <w:vertAlign w:val="superscript"/>
          <w:lang w:val="en-US"/>
        </w:rPr>
        <w:t>nd</w:t>
      </w:r>
      <w:r w:rsidRPr="00432550">
        <w:rPr>
          <w:color w:val="auto"/>
          <w:lang w:val="en-US"/>
        </w:rPr>
        <w:t xml:space="preserve"> (mean rank = 66.32) and 4</w:t>
      </w:r>
      <w:r w:rsidRPr="00432550">
        <w:rPr>
          <w:color w:val="auto"/>
          <w:vertAlign w:val="superscript"/>
          <w:lang w:val="en-US"/>
        </w:rPr>
        <w:t>th</w:t>
      </w:r>
      <w:r w:rsidRPr="00432550">
        <w:rPr>
          <w:color w:val="auto"/>
          <w:lang w:val="en-US"/>
        </w:rPr>
        <w:t xml:space="preserve"> (mean rank = 70.48) class year for sexually transmitted infections (</w:t>
      </w:r>
      <w:r w:rsidRPr="00432550">
        <w:rPr>
          <w:i/>
          <w:color w:val="auto"/>
          <w:lang w:val="en-US"/>
        </w:rPr>
        <w:t>p</w:t>
      </w:r>
      <w:r w:rsidRPr="00432550">
        <w:rPr>
          <w:color w:val="auto"/>
          <w:lang w:val="en-US"/>
        </w:rPr>
        <w:t xml:space="preserve"> =.009), and again between 2</w:t>
      </w:r>
      <w:r w:rsidRPr="00432550">
        <w:rPr>
          <w:color w:val="auto"/>
          <w:vertAlign w:val="superscript"/>
          <w:lang w:val="en-US"/>
        </w:rPr>
        <w:t>nd</w:t>
      </w:r>
      <w:r w:rsidRPr="00432550">
        <w:rPr>
          <w:color w:val="auto"/>
          <w:lang w:val="en-US"/>
        </w:rPr>
        <w:t xml:space="preserve"> (mean rank = 67.74) and 4</w:t>
      </w:r>
      <w:r w:rsidRPr="00432550">
        <w:rPr>
          <w:color w:val="auto"/>
          <w:vertAlign w:val="superscript"/>
          <w:lang w:val="en-US"/>
        </w:rPr>
        <w:t>th</w:t>
      </w:r>
      <w:r w:rsidRPr="00432550">
        <w:rPr>
          <w:color w:val="auto"/>
          <w:lang w:val="en-US"/>
        </w:rPr>
        <w:t xml:space="preserve"> class year (mean rank = 63.85) for abortion (</w:t>
      </w:r>
      <w:r w:rsidRPr="00432550">
        <w:rPr>
          <w:i/>
          <w:color w:val="auto"/>
          <w:lang w:val="en-US"/>
        </w:rPr>
        <w:t>p</w:t>
      </w:r>
      <w:r w:rsidRPr="00432550">
        <w:rPr>
          <w:color w:val="auto"/>
          <w:lang w:val="en-US"/>
        </w:rPr>
        <w:t xml:space="preserve"> = .002). This indicates that level of agreement was lower for the 2</w:t>
      </w:r>
      <w:r w:rsidRPr="00432550">
        <w:rPr>
          <w:color w:val="auto"/>
          <w:vertAlign w:val="superscript"/>
          <w:lang w:val="en-US"/>
        </w:rPr>
        <w:t>nd</w:t>
      </w:r>
      <w:r w:rsidRPr="00432550">
        <w:rPr>
          <w:color w:val="auto"/>
          <w:lang w:val="en-US"/>
        </w:rPr>
        <w:t xml:space="preserve"> year students for women’s ability to access information about sexually transmitted infections from their families, while for abortion 4</w:t>
      </w:r>
      <w:r w:rsidRPr="00432550">
        <w:rPr>
          <w:color w:val="auto"/>
          <w:vertAlign w:val="superscript"/>
          <w:lang w:val="en-US"/>
        </w:rPr>
        <w:t>th</w:t>
      </w:r>
      <w:r w:rsidRPr="00432550">
        <w:rPr>
          <w:color w:val="auto"/>
          <w:lang w:val="en-US"/>
        </w:rPr>
        <w:t xml:space="preserve"> year students had higher agreement. </w:t>
      </w:r>
    </w:p>
    <w:p w14:paraId="16D2F323" w14:textId="77777777" w:rsidR="00620039" w:rsidRPr="00432550" w:rsidRDefault="00620039" w:rsidP="00620039">
      <w:pPr>
        <w:spacing w:line="360" w:lineRule="auto"/>
        <w:ind w:left="0" w:firstLine="0"/>
        <w:rPr>
          <w:color w:val="auto"/>
          <w:lang w:val="en-US"/>
        </w:rPr>
      </w:pPr>
      <w:r w:rsidRPr="00432550">
        <w:rPr>
          <w:color w:val="auto"/>
          <w:lang w:val="en-US"/>
        </w:rPr>
        <w:t>There was a significant difference between HL familiarity groups level of agreement with the statement:</w:t>
      </w:r>
      <w:r w:rsidRPr="00432550">
        <w:rPr>
          <w:i/>
          <w:color w:val="auto"/>
          <w:lang w:val="en-US"/>
        </w:rPr>
        <w:t xml:space="preserve"> Women are comfortable talking about sexual and reproductive health. </w:t>
      </w:r>
      <w:r w:rsidRPr="00432550">
        <w:rPr>
          <w:color w:val="auto"/>
          <w:lang w:val="en-US"/>
        </w:rPr>
        <w:t>(</w:t>
      </w:r>
      <w:r w:rsidRPr="00432550">
        <w:rPr>
          <w:i/>
          <w:color w:val="auto"/>
          <w:lang w:val="en-US"/>
        </w:rPr>
        <w:t>H</w:t>
      </w:r>
      <w:r w:rsidRPr="00432550">
        <w:rPr>
          <w:color w:val="auto"/>
          <w:lang w:val="en-US"/>
        </w:rPr>
        <w:t xml:space="preserve">(2) = 6.41, </w:t>
      </w:r>
      <w:r w:rsidRPr="00432550">
        <w:rPr>
          <w:i/>
          <w:color w:val="auto"/>
          <w:lang w:val="en-US"/>
        </w:rPr>
        <w:t>p</w:t>
      </w:r>
      <w:r w:rsidRPr="00432550">
        <w:rPr>
          <w:color w:val="auto"/>
          <w:lang w:val="en-US"/>
        </w:rPr>
        <w:t xml:space="preserve"> = .041). Pairwise comparisons revealed the difference was between the ‘Yes’ group (those familiar with HL) who had a mean rank of 74.59 and the ‘I don’t know’ group (not sure if familiar with HL) with a mean rank of 50.76 (</w:t>
      </w:r>
      <w:r w:rsidRPr="00432550">
        <w:rPr>
          <w:i/>
          <w:color w:val="auto"/>
          <w:lang w:val="en-US"/>
        </w:rPr>
        <w:t>adj p</w:t>
      </w:r>
      <w:r w:rsidRPr="00432550">
        <w:rPr>
          <w:color w:val="auto"/>
          <w:lang w:val="en-US"/>
        </w:rPr>
        <w:t xml:space="preserve"> = .035). No differences were detected in median rankings of topics that women find easy/difficult to talk about when discussing SRH.</w:t>
      </w:r>
    </w:p>
    <w:p w14:paraId="35C64F12" w14:textId="77777777" w:rsidR="00620039" w:rsidRPr="00432550" w:rsidRDefault="00620039" w:rsidP="00620039">
      <w:pPr>
        <w:pStyle w:val="Heading2"/>
        <w:spacing w:after="105"/>
        <w:ind w:left="-5" w:right="22"/>
        <w:rPr>
          <w:color w:val="auto"/>
        </w:rPr>
      </w:pPr>
      <w:r w:rsidRPr="00432550">
        <w:rPr>
          <w:color w:val="auto"/>
        </w:rPr>
        <w:t xml:space="preserve">Factors Affecting Women’s Health Literacy </w:t>
      </w:r>
    </w:p>
    <w:p w14:paraId="13D438B6" w14:textId="77777777" w:rsidR="00620039" w:rsidRPr="00432550" w:rsidRDefault="00620039" w:rsidP="00620039">
      <w:pPr>
        <w:spacing w:after="0"/>
        <w:ind w:left="-5" w:right="542"/>
        <w:rPr>
          <w:color w:val="auto"/>
        </w:rPr>
      </w:pPr>
      <w:r w:rsidRPr="00432550">
        <w:rPr>
          <w:color w:val="auto"/>
        </w:rPr>
        <w:t xml:space="preserve">Table 3 shows a descriptive summary for rankings of each factor. The factors that were ranked as having the greatest negative impact on women’s health literacy were: being a refugee, being from a rural area, being educated to a primary school level or not formally educated, being aged under 18, being from a low-income household, and being unmarried.  </w:t>
      </w:r>
    </w:p>
    <w:p w14:paraId="4F90696B" w14:textId="77777777" w:rsidR="00620039" w:rsidRPr="00432550" w:rsidRDefault="00620039" w:rsidP="00620039">
      <w:pPr>
        <w:spacing w:after="0"/>
        <w:ind w:left="-5" w:right="542"/>
        <w:rPr>
          <w:color w:val="auto"/>
        </w:rPr>
      </w:pPr>
    </w:p>
    <w:p w14:paraId="72291CC3" w14:textId="77777777" w:rsidR="00620039" w:rsidRPr="00432550" w:rsidRDefault="00620039" w:rsidP="00620039">
      <w:pPr>
        <w:spacing w:line="360" w:lineRule="auto"/>
        <w:ind w:left="0" w:firstLine="0"/>
        <w:rPr>
          <w:color w:val="auto"/>
          <w:lang w:val="en-US"/>
        </w:rPr>
      </w:pPr>
      <w:r w:rsidRPr="00432550">
        <w:rPr>
          <w:color w:val="auto"/>
          <w:lang w:val="en-US"/>
        </w:rPr>
        <w:lastRenderedPageBreak/>
        <w:t>The factors that were found to differ between groups in their median ranking were; being from an urban area (</w:t>
      </w:r>
      <w:r w:rsidRPr="00432550">
        <w:rPr>
          <w:i/>
          <w:color w:val="auto"/>
          <w:lang w:val="en-US"/>
        </w:rPr>
        <w:t>H</w:t>
      </w:r>
      <w:r w:rsidRPr="00432550">
        <w:rPr>
          <w:color w:val="auto"/>
          <w:lang w:val="en-US"/>
        </w:rPr>
        <w:t xml:space="preserve">(2) = 8.60, </w:t>
      </w:r>
      <w:r w:rsidRPr="00432550">
        <w:rPr>
          <w:i/>
          <w:color w:val="auto"/>
          <w:lang w:val="en-US"/>
        </w:rPr>
        <w:t>p</w:t>
      </w:r>
      <w:r w:rsidRPr="00432550">
        <w:rPr>
          <w:color w:val="auto"/>
          <w:lang w:val="en-US"/>
        </w:rPr>
        <w:t xml:space="preserve"> = .014) where the 2</w:t>
      </w:r>
      <w:r w:rsidRPr="00432550">
        <w:rPr>
          <w:color w:val="auto"/>
          <w:vertAlign w:val="superscript"/>
          <w:lang w:val="en-US"/>
        </w:rPr>
        <w:t>nd</w:t>
      </w:r>
      <w:r w:rsidRPr="00432550">
        <w:rPr>
          <w:color w:val="auto"/>
          <w:lang w:val="en-US"/>
        </w:rPr>
        <w:t xml:space="preserve"> year (mean rank = 63.90) and 4</w:t>
      </w:r>
      <w:r w:rsidRPr="00432550">
        <w:rPr>
          <w:color w:val="auto"/>
          <w:vertAlign w:val="superscript"/>
          <w:lang w:val="en-US"/>
        </w:rPr>
        <w:t>th</w:t>
      </w:r>
      <w:r w:rsidRPr="00432550">
        <w:rPr>
          <w:color w:val="auto"/>
          <w:lang w:val="en-US"/>
        </w:rPr>
        <w:t xml:space="preserve"> year (mean rank = 90.46) groups were found to differ significantly (</w:t>
      </w:r>
      <w:r w:rsidRPr="00432550">
        <w:rPr>
          <w:i/>
          <w:color w:val="auto"/>
          <w:lang w:val="en-US"/>
        </w:rPr>
        <w:t>adj. p</w:t>
      </w:r>
      <w:r w:rsidRPr="00432550">
        <w:rPr>
          <w:color w:val="auto"/>
          <w:lang w:val="en-US"/>
        </w:rPr>
        <w:t xml:space="preserve"> = .010), and being from a high-income household (</w:t>
      </w:r>
      <w:r w:rsidRPr="00432550">
        <w:rPr>
          <w:i/>
          <w:color w:val="auto"/>
          <w:lang w:val="en-US"/>
        </w:rPr>
        <w:t>H</w:t>
      </w:r>
      <w:r w:rsidRPr="00432550">
        <w:rPr>
          <w:color w:val="auto"/>
          <w:lang w:val="en-US"/>
        </w:rPr>
        <w:t xml:space="preserve">(2) = 7.77, </w:t>
      </w:r>
      <w:r w:rsidRPr="00432550">
        <w:rPr>
          <w:i/>
          <w:color w:val="auto"/>
          <w:lang w:val="en-US"/>
        </w:rPr>
        <w:t>p</w:t>
      </w:r>
      <w:r w:rsidRPr="00432550">
        <w:rPr>
          <w:color w:val="auto"/>
          <w:lang w:val="en-US"/>
        </w:rPr>
        <w:t xml:space="preserve"> = .021) where the difference was also between 2</w:t>
      </w:r>
      <w:r w:rsidRPr="00432550">
        <w:rPr>
          <w:color w:val="auto"/>
          <w:vertAlign w:val="superscript"/>
          <w:lang w:val="en-US"/>
        </w:rPr>
        <w:t>nd</w:t>
      </w:r>
      <w:r w:rsidRPr="00432550">
        <w:rPr>
          <w:color w:val="auto"/>
          <w:lang w:val="en-US"/>
        </w:rPr>
        <w:t xml:space="preserve"> (mean rank = 63.14) and 4</w:t>
      </w:r>
      <w:r w:rsidRPr="00432550">
        <w:rPr>
          <w:color w:val="auto"/>
          <w:vertAlign w:val="superscript"/>
          <w:lang w:val="en-US"/>
        </w:rPr>
        <w:t>th</w:t>
      </w:r>
      <w:r w:rsidRPr="00432550">
        <w:rPr>
          <w:color w:val="auto"/>
          <w:lang w:val="en-US"/>
        </w:rPr>
        <w:t xml:space="preserve"> year (mean rank = 86.85) students (</w:t>
      </w:r>
      <w:r w:rsidRPr="00432550">
        <w:rPr>
          <w:i/>
          <w:color w:val="auto"/>
          <w:lang w:val="en-US"/>
        </w:rPr>
        <w:t>adj. p</w:t>
      </w:r>
      <w:r w:rsidRPr="00432550">
        <w:rPr>
          <w:color w:val="auto"/>
          <w:lang w:val="en-US"/>
        </w:rPr>
        <w:t xml:space="preserve"> = .026). Thus, 4</w:t>
      </w:r>
      <w:r w:rsidRPr="00432550">
        <w:rPr>
          <w:color w:val="auto"/>
          <w:vertAlign w:val="superscript"/>
          <w:lang w:val="en-US"/>
        </w:rPr>
        <w:t>th</w:t>
      </w:r>
      <w:r w:rsidRPr="00432550">
        <w:rPr>
          <w:color w:val="auto"/>
          <w:lang w:val="en-US"/>
        </w:rPr>
        <w:t>-year students ranked those two factors as having a more negative impact on women’s health literacy compared to the rankings of 2</w:t>
      </w:r>
      <w:r w:rsidRPr="00432550">
        <w:rPr>
          <w:color w:val="auto"/>
          <w:vertAlign w:val="superscript"/>
          <w:lang w:val="en-US"/>
        </w:rPr>
        <w:t>nd</w:t>
      </w:r>
      <w:r w:rsidRPr="00432550">
        <w:rPr>
          <w:color w:val="auto"/>
          <w:lang w:val="en-US"/>
        </w:rPr>
        <w:t>-year students. No significant differences were found between class year groups median ranking of the remaining factors: being from a rural area, being educated to secondary school level or above, being educated to primary school level or not formally educated, being from a low-income household, being a refugee, being unmarried, being married, being aged under 18, being aged over 18, and other.</w:t>
      </w:r>
    </w:p>
    <w:p w14:paraId="2E415E73" w14:textId="77777777" w:rsidR="00620039" w:rsidRPr="00432550" w:rsidRDefault="00620039" w:rsidP="00620039">
      <w:pPr>
        <w:pStyle w:val="Heading2"/>
        <w:spacing w:after="0" w:line="358" w:lineRule="auto"/>
        <w:ind w:left="-5" w:right="22"/>
        <w:rPr>
          <w:color w:val="auto"/>
        </w:rPr>
      </w:pPr>
      <w:r w:rsidRPr="00432550">
        <w:rPr>
          <w:color w:val="auto"/>
        </w:rPr>
        <w:t xml:space="preserve">The Significance of SRHL in Relation to Sexual and Reproductive Health during and after Pregnancy and Childbirth </w:t>
      </w:r>
    </w:p>
    <w:p w14:paraId="1CD13420" w14:textId="77777777" w:rsidR="00620039" w:rsidRPr="00432550" w:rsidRDefault="00620039" w:rsidP="00620039">
      <w:pPr>
        <w:ind w:left="-5" w:right="542"/>
        <w:rPr>
          <w:b/>
          <w:i/>
          <w:color w:val="auto"/>
        </w:rPr>
      </w:pPr>
      <w:r w:rsidRPr="00432550">
        <w:rPr>
          <w:color w:val="auto"/>
        </w:rPr>
        <w:t xml:space="preserve">Student midwives overall showed high agreement with statements in this section of the questionnaire (see Table 4 for a descriptive summary of responses). While still reflecting agreement, median responses were slightly lower (Mdn = 4, IQR = 1) with the statements that SRHL should include the right to make autonomous decisions about SRH free from the influence of others, and free from the influence of a male partner. The majority of student midwives expressed strong agreement (Mdn = 5, IQR =1), however, that SRHL should include the right to make autonomous decisions about SRH free from the risk of violence. </w:t>
      </w:r>
      <w:r w:rsidRPr="00432550">
        <w:rPr>
          <w:b/>
          <w:i/>
          <w:color w:val="auto"/>
        </w:rPr>
        <w:t xml:space="preserve"> </w:t>
      </w:r>
    </w:p>
    <w:p w14:paraId="20C97B01" w14:textId="77777777" w:rsidR="00620039" w:rsidRPr="00432550" w:rsidRDefault="00620039" w:rsidP="00620039">
      <w:pPr>
        <w:spacing w:line="360" w:lineRule="auto"/>
        <w:ind w:left="0" w:firstLine="0"/>
        <w:rPr>
          <w:i/>
          <w:color w:val="auto"/>
          <w:lang w:val="en-US"/>
        </w:rPr>
      </w:pPr>
      <w:r w:rsidRPr="00432550">
        <w:rPr>
          <w:color w:val="auto"/>
          <w:lang w:val="en-US"/>
        </w:rPr>
        <w:t>A significant difference in median level of agreement between class year groups was identified for the statement ‘</w:t>
      </w:r>
      <w:r w:rsidRPr="00432550">
        <w:rPr>
          <w:i/>
          <w:color w:val="auto"/>
          <w:lang w:val="en-US"/>
        </w:rPr>
        <w:t xml:space="preserve">Having access to sexual and reproductive health information provides women with opportunities to increase their knowledge of sexual and reproductive health issues during pregnancy and following childbirth.’ </w:t>
      </w:r>
      <w:r w:rsidRPr="00432550">
        <w:rPr>
          <w:color w:val="auto"/>
          <w:lang w:val="en-US"/>
        </w:rPr>
        <w:t xml:space="preserve">(H(2) = 6.83, </w:t>
      </w:r>
      <w:r w:rsidRPr="00432550">
        <w:rPr>
          <w:i/>
          <w:color w:val="auto"/>
          <w:lang w:val="en-US"/>
        </w:rPr>
        <w:t xml:space="preserve">p = </w:t>
      </w:r>
      <w:r w:rsidRPr="00432550">
        <w:rPr>
          <w:color w:val="auto"/>
          <w:lang w:val="en-US"/>
        </w:rPr>
        <w:t>.033), but adjustment for pairwise comparisons resulted in this difference being no longer significant. No other significant differences in median level of agreement between year groups were found for the following statements: ‘</w:t>
      </w:r>
      <w:r w:rsidRPr="00432550">
        <w:rPr>
          <w:i/>
          <w:color w:val="auto"/>
          <w:lang w:val="en-US"/>
        </w:rPr>
        <w:t>It is important to understand a women’s level of health literacy to be able to support her in relation to her sexual and reproductive health during pregnancy and following childbirth.’</w:t>
      </w:r>
      <w:r w:rsidRPr="00432550">
        <w:rPr>
          <w:color w:val="auto"/>
          <w:lang w:val="en-US"/>
        </w:rPr>
        <w:t>,</w:t>
      </w:r>
      <w:r w:rsidRPr="00432550">
        <w:rPr>
          <w:i/>
          <w:color w:val="auto"/>
          <w:lang w:val="en-US"/>
        </w:rPr>
        <w:t xml:space="preserve"> </w:t>
      </w:r>
      <w:r w:rsidRPr="00432550">
        <w:rPr>
          <w:color w:val="auto"/>
          <w:lang w:val="en-US"/>
        </w:rPr>
        <w:t>and ‘</w:t>
      </w:r>
      <w:r w:rsidRPr="00432550">
        <w:rPr>
          <w:i/>
          <w:color w:val="auto"/>
          <w:lang w:val="en-US"/>
        </w:rPr>
        <w:t>Being able to understand and appraise sexual and reproductive health information is important for women to make appropriate decisions about their sexual and reproductive health during pregnancy and following childbirth.’.</w:t>
      </w:r>
      <w:r w:rsidRPr="00432550">
        <w:rPr>
          <w:color w:val="auto"/>
          <w:lang w:val="en-US"/>
        </w:rPr>
        <w:t xml:space="preserve"> No significant differences in median level of agreement between year groups were found for the following statements about what sexual and reproductive health literacy should include: </w:t>
      </w:r>
      <w:r w:rsidRPr="00432550">
        <w:rPr>
          <w:i/>
          <w:color w:val="auto"/>
          <w:lang w:val="en-US"/>
        </w:rPr>
        <w:t xml:space="preserve">‘The right to make autonomous </w:t>
      </w:r>
      <w:r w:rsidRPr="00432550">
        <w:rPr>
          <w:i/>
          <w:color w:val="auto"/>
          <w:lang w:val="en-US"/>
        </w:rPr>
        <w:lastRenderedPageBreak/>
        <w:t xml:space="preserve">decisions about sexual and reproductive health free from influence of others’, ‘The right to make autonomous decisions about sexual and reproductive health free from influence of a male partner’, </w:t>
      </w:r>
      <w:r w:rsidRPr="00432550">
        <w:rPr>
          <w:color w:val="auto"/>
          <w:lang w:val="en-US"/>
        </w:rPr>
        <w:t>and ‘</w:t>
      </w:r>
      <w:r w:rsidRPr="00432550">
        <w:rPr>
          <w:i/>
          <w:color w:val="auto"/>
          <w:lang w:val="en-US"/>
        </w:rPr>
        <w:t>The right to make autonomous decisions about sexual and reproductive health free from risk of violence’.</w:t>
      </w:r>
    </w:p>
    <w:p w14:paraId="6C80A4DC" w14:textId="77777777" w:rsidR="00620039" w:rsidRPr="00432550" w:rsidRDefault="00620039" w:rsidP="00620039">
      <w:pPr>
        <w:pStyle w:val="Heading2"/>
        <w:spacing w:after="105"/>
        <w:ind w:left="-5" w:right="22"/>
        <w:rPr>
          <w:color w:val="auto"/>
        </w:rPr>
      </w:pPr>
      <w:r w:rsidRPr="00432550">
        <w:rPr>
          <w:color w:val="auto"/>
        </w:rPr>
        <w:t xml:space="preserve">False Beliefs </w:t>
      </w:r>
    </w:p>
    <w:p w14:paraId="1E418169" w14:textId="77777777" w:rsidR="00620039" w:rsidRPr="00432550" w:rsidRDefault="00620039" w:rsidP="00620039">
      <w:pPr>
        <w:spacing w:after="2"/>
        <w:ind w:left="-5" w:right="542"/>
        <w:rPr>
          <w:color w:val="auto"/>
        </w:rPr>
      </w:pPr>
      <w:r w:rsidRPr="00432550">
        <w:rPr>
          <w:color w:val="auto"/>
        </w:rPr>
        <w:t>Student midwives reported high levels of agreement that women in their care hold false beliefs about SRH issues. The median response across statements was 4 (IQR = 1 - 2) and the combined proportion of ‘agree’ and ‘strongly agree’ responses ranged from 71.7% to 86.9%</w:t>
      </w:r>
    </w:p>
    <w:p w14:paraId="520E6BCA" w14:textId="77777777" w:rsidR="00620039" w:rsidRPr="00432550" w:rsidRDefault="00620039" w:rsidP="00620039">
      <w:pPr>
        <w:spacing w:after="2" w:line="276" w:lineRule="auto"/>
        <w:ind w:left="-5" w:right="542"/>
        <w:rPr>
          <w:color w:val="auto"/>
        </w:rPr>
      </w:pPr>
    </w:p>
    <w:p w14:paraId="0E4A0BA3" w14:textId="77777777" w:rsidR="00620039" w:rsidRPr="00432550" w:rsidRDefault="00620039" w:rsidP="00620039">
      <w:pPr>
        <w:spacing w:line="360" w:lineRule="auto"/>
        <w:ind w:left="0" w:firstLine="0"/>
        <w:rPr>
          <w:b/>
          <w:color w:val="auto"/>
          <w:lang w:val="en-US"/>
        </w:rPr>
      </w:pPr>
      <w:r w:rsidRPr="00432550">
        <w:rPr>
          <w:b/>
          <w:color w:val="auto"/>
          <w:lang w:val="en-US"/>
        </w:rPr>
        <w:t>Contraception</w:t>
      </w:r>
    </w:p>
    <w:p w14:paraId="49AD2B3B" w14:textId="77777777" w:rsidR="00620039" w:rsidRPr="00432550" w:rsidRDefault="00620039" w:rsidP="00620039">
      <w:pPr>
        <w:spacing w:line="360" w:lineRule="auto"/>
        <w:ind w:left="0" w:firstLine="0"/>
        <w:rPr>
          <w:color w:val="auto"/>
          <w:lang w:val="en-US"/>
        </w:rPr>
      </w:pPr>
      <w:r w:rsidRPr="00432550">
        <w:rPr>
          <w:color w:val="auto"/>
          <w:lang w:val="en-US"/>
        </w:rPr>
        <w:t xml:space="preserve">Year groups differed significantly in their median level of agreement with the statement: </w:t>
      </w:r>
      <w:r w:rsidRPr="00432550">
        <w:rPr>
          <w:i/>
          <w:color w:val="auto"/>
          <w:lang w:val="en-US"/>
        </w:rPr>
        <w:t>‘Women in my care hold false beliefs about contraception and its effects on fertility.’</w:t>
      </w:r>
      <w:r w:rsidRPr="00432550">
        <w:rPr>
          <w:color w:val="auto"/>
          <w:lang w:val="en-US"/>
        </w:rPr>
        <w:t xml:space="preserve"> (H(2) = 14.92, </w:t>
      </w:r>
      <w:r w:rsidRPr="00432550">
        <w:rPr>
          <w:i/>
          <w:color w:val="auto"/>
          <w:lang w:val="en-US"/>
        </w:rPr>
        <w:t xml:space="preserve">p = </w:t>
      </w:r>
      <w:r w:rsidRPr="00432550">
        <w:rPr>
          <w:color w:val="auto"/>
          <w:lang w:val="en-US"/>
        </w:rPr>
        <w:t>.001). Pairwise comparisons revealed a significant difference between 2</w:t>
      </w:r>
      <w:r w:rsidRPr="00432550">
        <w:rPr>
          <w:color w:val="auto"/>
          <w:vertAlign w:val="superscript"/>
          <w:lang w:val="en-US"/>
        </w:rPr>
        <w:t>nd</w:t>
      </w:r>
      <w:r w:rsidRPr="00432550">
        <w:rPr>
          <w:color w:val="auto"/>
          <w:lang w:val="en-US"/>
        </w:rPr>
        <w:t xml:space="preserve"> class year students (mean rank = 61.85) and 4</w:t>
      </w:r>
      <w:r w:rsidRPr="00432550">
        <w:rPr>
          <w:color w:val="auto"/>
          <w:vertAlign w:val="superscript"/>
          <w:lang w:val="en-US"/>
        </w:rPr>
        <w:t>th</w:t>
      </w:r>
      <w:r w:rsidRPr="00432550">
        <w:rPr>
          <w:color w:val="auto"/>
          <w:lang w:val="en-US"/>
        </w:rPr>
        <w:t xml:space="preserve"> class year students (mean rank = 93.00) (</w:t>
      </w:r>
      <w:r w:rsidRPr="00432550">
        <w:rPr>
          <w:i/>
          <w:color w:val="auto"/>
          <w:lang w:val="en-US"/>
        </w:rPr>
        <w:t>adj. p</w:t>
      </w:r>
      <w:r w:rsidRPr="00432550">
        <w:rPr>
          <w:color w:val="auto"/>
          <w:lang w:val="en-US"/>
        </w:rPr>
        <w:t xml:space="preserve"> &lt; .001). Furthermore, class year groups were found to differ significantly regarding the statement </w:t>
      </w:r>
      <w:r w:rsidRPr="00432550">
        <w:rPr>
          <w:i/>
          <w:color w:val="auto"/>
          <w:lang w:val="en-US"/>
        </w:rPr>
        <w:t xml:space="preserve">‘Women in my care hold false beliefs about the side effects of contraception.’ </w:t>
      </w:r>
      <w:r w:rsidRPr="00432550">
        <w:rPr>
          <w:color w:val="auto"/>
          <w:lang w:val="en-US"/>
        </w:rPr>
        <w:t xml:space="preserve">(H(2) = 7.04, </w:t>
      </w:r>
      <w:r w:rsidRPr="00432550">
        <w:rPr>
          <w:i/>
          <w:color w:val="auto"/>
          <w:lang w:val="en-US"/>
        </w:rPr>
        <w:t xml:space="preserve">p = </w:t>
      </w:r>
      <w:r w:rsidRPr="00432550">
        <w:rPr>
          <w:color w:val="auto"/>
          <w:lang w:val="en-US"/>
        </w:rPr>
        <w:t>.030) which differences being again between the 2</w:t>
      </w:r>
      <w:r w:rsidRPr="00432550">
        <w:rPr>
          <w:color w:val="auto"/>
          <w:vertAlign w:val="superscript"/>
          <w:lang w:val="en-US"/>
        </w:rPr>
        <w:t>nd</w:t>
      </w:r>
      <w:r w:rsidRPr="00432550">
        <w:rPr>
          <w:color w:val="auto"/>
          <w:lang w:val="en-US"/>
        </w:rPr>
        <w:t xml:space="preserve"> (mean rank = 64.18) and 4</w:t>
      </w:r>
      <w:r w:rsidRPr="00432550">
        <w:rPr>
          <w:color w:val="auto"/>
          <w:vertAlign w:val="superscript"/>
          <w:lang w:val="en-US"/>
        </w:rPr>
        <w:t>th</w:t>
      </w:r>
      <w:r w:rsidRPr="00432550">
        <w:rPr>
          <w:color w:val="auto"/>
          <w:lang w:val="en-US"/>
        </w:rPr>
        <w:t xml:space="preserve"> (mean rank = 85.83) year students (</w:t>
      </w:r>
      <w:r w:rsidRPr="00432550">
        <w:rPr>
          <w:i/>
          <w:color w:val="auto"/>
          <w:lang w:val="en-US"/>
        </w:rPr>
        <w:t>adj. p</w:t>
      </w:r>
      <w:r w:rsidRPr="00432550">
        <w:rPr>
          <w:color w:val="auto"/>
          <w:lang w:val="en-US"/>
        </w:rPr>
        <w:t xml:space="preserve"> = .029), indicating significantly higher agreement from 4</w:t>
      </w:r>
      <w:r w:rsidRPr="00432550">
        <w:rPr>
          <w:color w:val="auto"/>
          <w:vertAlign w:val="superscript"/>
          <w:lang w:val="en-US"/>
        </w:rPr>
        <w:t>th</w:t>
      </w:r>
      <w:r w:rsidRPr="00432550">
        <w:rPr>
          <w:color w:val="auto"/>
          <w:lang w:val="en-US"/>
        </w:rPr>
        <w:t xml:space="preserve">-year students with those two statements. </w:t>
      </w:r>
    </w:p>
    <w:p w14:paraId="1360470F" w14:textId="77777777" w:rsidR="00620039" w:rsidRPr="00432550" w:rsidRDefault="00620039" w:rsidP="00620039">
      <w:pPr>
        <w:spacing w:line="360" w:lineRule="auto"/>
        <w:ind w:left="0" w:firstLine="0"/>
        <w:rPr>
          <w:b/>
          <w:color w:val="auto"/>
          <w:lang w:val="en-US"/>
        </w:rPr>
      </w:pPr>
      <w:r w:rsidRPr="00432550">
        <w:rPr>
          <w:b/>
          <w:color w:val="auto"/>
          <w:lang w:val="en-US"/>
        </w:rPr>
        <w:t>Sexually Transmitted Infections</w:t>
      </w:r>
    </w:p>
    <w:p w14:paraId="6F92CF02" w14:textId="77777777" w:rsidR="00620039" w:rsidRPr="00432550" w:rsidRDefault="00620039" w:rsidP="00620039">
      <w:pPr>
        <w:spacing w:line="360" w:lineRule="auto"/>
        <w:ind w:left="0" w:firstLine="0"/>
        <w:rPr>
          <w:color w:val="auto"/>
          <w:lang w:val="en-US"/>
        </w:rPr>
      </w:pPr>
      <w:r w:rsidRPr="00432550">
        <w:rPr>
          <w:color w:val="auto"/>
          <w:lang w:val="en-US"/>
        </w:rPr>
        <w:t xml:space="preserve">Year groups differed significantly in their median level of agreement with the statement: </w:t>
      </w:r>
      <w:r w:rsidRPr="00432550">
        <w:rPr>
          <w:i/>
          <w:color w:val="auto"/>
          <w:lang w:val="en-US"/>
        </w:rPr>
        <w:t>‘Women in my care hold false beliefs about</w:t>
      </w:r>
      <w:r w:rsidRPr="00432550">
        <w:rPr>
          <w:color w:val="auto"/>
          <w:lang w:val="en-US"/>
        </w:rPr>
        <w:t xml:space="preserve"> </w:t>
      </w:r>
      <w:r w:rsidRPr="00432550">
        <w:rPr>
          <w:i/>
          <w:color w:val="auto"/>
          <w:lang w:val="en-US"/>
        </w:rPr>
        <w:t>who is at risk of sexually transmitted infections</w:t>
      </w:r>
      <w:r w:rsidRPr="00432550">
        <w:rPr>
          <w:color w:val="auto"/>
          <w:lang w:val="en-US"/>
        </w:rPr>
        <w:t xml:space="preserve">.’ </w:t>
      </w:r>
      <w:r w:rsidRPr="00432550">
        <w:rPr>
          <w:i/>
          <w:color w:val="auto"/>
          <w:lang w:val="en-US"/>
        </w:rPr>
        <w:t xml:space="preserve"> </w:t>
      </w:r>
      <w:r w:rsidRPr="00432550">
        <w:rPr>
          <w:color w:val="auto"/>
          <w:lang w:val="en-US"/>
        </w:rPr>
        <w:t xml:space="preserve">(H(2) = 9.34, </w:t>
      </w:r>
      <w:r w:rsidRPr="00432550">
        <w:rPr>
          <w:i/>
          <w:color w:val="auto"/>
          <w:lang w:val="en-US"/>
        </w:rPr>
        <w:t xml:space="preserve">p = </w:t>
      </w:r>
      <w:r w:rsidRPr="00432550">
        <w:rPr>
          <w:color w:val="auto"/>
          <w:lang w:val="en-US"/>
        </w:rPr>
        <w:t>.008) where level of agreement differed between 2</w:t>
      </w:r>
      <w:r w:rsidRPr="00432550">
        <w:rPr>
          <w:color w:val="auto"/>
          <w:vertAlign w:val="superscript"/>
          <w:lang w:val="en-US"/>
        </w:rPr>
        <w:t>nd</w:t>
      </w:r>
      <w:r w:rsidRPr="00432550">
        <w:rPr>
          <w:color w:val="auto"/>
          <w:lang w:val="en-US"/>
        </w:rPr>
        <w:t xml:space="preserve"> year students (mean rank = 64.09) and 4</w:t>
      </w:r>
      <w:r w:rsidRPr="00432550">
        <w:rPr>
          <w:color w:val="auto"/>
          <w:vertAlign w:val="superscript"/>
          <w:lang w:val="en-US"/>
        </w:rPr>
        <w:t>th</w:t>
      </w:r>
      <w:r w:rsidRPr="00432550">
        <w:rPr>
          <w:color w:val="auto"/>
          <w:lang w:val="en-US"/>
        </w:rPr>
        <w:t xml:space="preserve"> year students (mean rank = 90.00) (</w:t>
      </w:r>
      <w:r w:rsidRPr="00432550">
        <w:rPr>
          <w:i/>
          <w:color w:val="auto"/>
          <w:lang w:val="en-US"/>
        </w:rPr>
        <w:t>adj. p</w:t>
      </w:r>
      <w:r w:rsidRPr="00432550">
        <w:rPr>
          <w:color w:val="auto"/>
          <w:lang w:val="en-US"/>
        </w:rPr>
        <w:t xml:space="preserve"> = .006), as well as </w:t>
      </w:r>
      <w:r w:rsidRPr="00432550">
        <w:rPr>
          <w:i/>
          <w:color w:val="auto"/>
          <w:lang w:val="en-US"/>
        </w:rPr>
        <w:t>‘Women in my care hold false beliefs about</w:t>
      </w:r>
      <w:r w:rsidRPr="00432550">
        <w:rPr>
          <w:color w:val="auto"/>
          <w:lang w:val="en-US"/>
        </w:rPr>
        <w:t xml:space="preserve"> </w:t>
      </w:r>
      <w:r w:rsidRPr="00432550">
        <w:rPr>
          <w:i/>
          <w:color w:val="auto"/>
          <w:lang w:val="en-US"/>
        </w:rPr>
        <w:t>methods of preventing sexually transmitted infections.’</w:t>
      </w:r>
      <w:r w:rsidRPr="00432550">
        <w:rPr>
          <w:color w:val="auto"/>
          <w:lang w:val="en-US"/>
        </w:rPr>
        <w:t xml:space="preserve"> (</w:t>
      </w:r>
      <w:r w:rsidRPr="00432550">
        <w:rPr>
          <w:i/>
          <w:color w:val="auto"/>
          <w:lang w:val="en-US"/>
        </w:rPr>
        <w:t>H</w:t>
      </w:r>
      <w:r w:rsidRPr="00432550">
        <w:rPr>
          <w:color w:val="auto"/>
          <w:lang w:val="en-US"/>
        </w:rPr>
        <w:t xml:space="preserve">(2) = 9.02, </w:t>
      </w:r>
      <w:r w:rsidRPr="00432550">
        <w:rPr>
          <w:i/>
          <w:color w:val="auto"/>
          <w:lang w:val="en-US"/>
        </w:rPr>
        <w:t xml:space="preserve">p = </w:t>
      </w:r>
      <w:r w:rsidRPr="00432550">
        <w:rPr>
          <w:color w:val="auto"/>
          <w:lang w:val="en-US"/>
        </w:rPr>
        <w:t>.011) where 2</w:t>
      </w:r>
      <w:r w:rsidRPr="00432550">
        <w:rPr>
          <w:color w:val="auto"/>
          <w:vertAlign w:val="superscript"/>
          <w:lang w:val="en-US"/>
        </w:rPr>
        <w:t>nd</w:t>
      </w:r>
      <w:r w:rsidRPr="00432550">
        <w:rPr>
          <w:color w:val="auto"/>
          <w:lang w:val="en-US"/>
        </w:rPr>
        <w:t xml:space="preserve"> year students had a significantly lower level of agreement (mean rank = 65.31) as compared to 4</w:t>
      </w:r>
      <w:r w:rsidRPr="00432550">
        <w:rPr>
          <w:color w:val="auto"/>
          <w:vertAlign w:val="superscript"/>
          <w:lang w:val="en-US"/>
        </w:rPr>
        <w:t>th</w:t>
      </w:r>
      <w:r w:rsidRPr="00432550">
        <w:rPr>
          <w:color w:val="auto"/>
          <w:lang w:val="en-US"/>
        </w:rPr>
        <w:t xml:space="preserve"> year student (mean rank = 89.90) (</w:t>
      </w:r>
      <w:r w:rsidRPr="00432550">
        <w:rPr>
          <w:i/>
          <w:color w:val="auto"/>
          <w:lang w:val="en-US"/>
        </w:rPr>
        <w:t>adj. p</w:t>
      </w:r>
      <w:r w:rsidRPr="00432550">
        <w:rPr>
          <w:color w:val="auto"/>
          <w:lang w:val="en-US"/>
        </w:rPr>
        <w:t xml:space="preserve"> = .010). No difference was found in level of agreement for false beliefs about the symptoms of sexually transmitted infections, however.</w:t>
      </w:r>
    </w:p>
    <w:p w14:paraId="6E1C6148" w14:textId="77777777" w:rsidR="00620039" w:rsidRPr="00432550" w:rsidRDefault="00620039" w:rsidP="00620039">
      <w:pPr>
        <w:spacing w:line="360" w:lineRule="auto"/>
        <w:ind w:left="0" w:firstLine="0"/>
        <w:rPr>
          <w:color w:val="auto"/>
          <w:lang w:val="en-US"/>
        </w:rPr>
      </w:pPr>
      <w:r w:rsidRPr="00432550">
        <w:rPr>
          <w:color w:val="auto"/>
          <w:lang w:val="en-US"/>
        </w:rPr>
        <w:lastRenderedPageBreak/>
        <w:t xml:space="preserve">A significant difference between HL familiarity groups emerged for the statement </w:t>
      </w:r>
      <w:r w:rsidRPr="00432550">
        <w:rPr>
          <w:i/>
          <w:color w:val="auto"/>
          <w:lang w:val="en-US"/>
        </w:rPr>
        <w:t>‘Women in my care hold false beliefs about</w:t>
      </w:r>
      <w:r w:rsidRPr="00432550">
        <w:rPr>
          <w:color w:val="auto"/>
          <w:lang w:val="en-US"/>
        </w:rPr>
        <w:t xml:space="preserve"> </w:t>
      </w:r>
      <w:r w:rsidRPr="00432550">
        <w:rPr>
          <w:i/>
          <w:color w:val="auto"/>
          <w:lang w:val="en-US"/>
        </w:rPr>
        <w:t>methods of preventing sexually transmitted infections.’</w:t>
      </w:r>
      <w:r w:rsidRPr="00432550">
        <w:rPr>
          <w:color w:val="auto"/>
          <w:lang w:val="en-US"/>
        </w:rPr>
        <w:t xml:space="preserve"> (</w:t>
      </w:r>
      <w:r w:rsidRPr="00432550">
        <w:rPr>
          <w:i/>
          <w:color w:val="auto"/>
          <w:lang w:val="en-US"/>
        </w:rPr>
        <w:t>H</w:t>
      </w:r>
      <w:r w:rsidRPr="00432550">
        <w:rPr>
          <w:color w:val="auto"/>
          <w:lang w:val="en-US"/>
        </w:rPr>
        <w:t xml:space="preserve">(2) = 6.92, </w:t>
      </w:r>
      <w:r w:rsidRPr="00432550">
        <w:rPr>
          <w:i/>
          <w:color w:val="auto"/>
          <w:lang w:val="en-US"/>
        </w:rPr>
        <w:t xml:space="preserve">p = </w:t>
      </w:r>
      <w:r w:rsidRPr="00432550">
        <w:rPr>
          <w:color w:val="auto"/>
          <w:lang w:val="en-US"/>
        </w:rPr>
        <w:t xml:space="preserve">.045) but the difference was no longer significant after adjustment. </w:t>
      </w:r>
    </w:p>
    <w:p w14:paraId="51CCF42D" w14:textId="77777777" w:rsidR="00620039" w:rsidRPr="00432550" w:rsidRDefault="00620039" w:rsidP="00620039">
      <w:pPr>
        <w:spacing w:line="360" w:lineRule="auto"/>
        <w:ind w:left="0" w:firstLine="0"/>
        <w:rPr>
          <w:b/>
          <w:color w:val="auto"/>
          <w:lang w:val="en-US"/>
        </w:rPr>
      </w:pPr>
      <w:r w:rsidRPr="00432550">
        <w:rPr>
          <w:b/>
          <w:color w:val="auto"/>
          <w:lang w:val="en-US"/>
        </w:rPr>
        <w:t>Pap Tests and Cervical Cancer</w:t>
      </w:r>
    </w:p>
    <w:p w14:paraId="3EC04747" w14:textId="77777777" w:rsidR="00620039" w:rsidRPr="00432550" w:rsidRDefault="00620039" w:rsidP="00620039">
      <w:pPr>
        <w:spacing w:line="360" w:lineRule="auto"/>
        <w:ind w:left="0" w:firstLine="0"/>
        <w:rPr>
          <w:color w:val="auto"/>
          <w:lang w:val="en-US"/>
        </w:rPr>
      </w:pPr>
      <w:r w:rsidRPr="00432550">
        <w:rPr>
          <w:color w:val="auto"/>
          <w:lang w:val="en-US"/>
        </w:rPr>
        <w:t>There was a significant difference between HL familiarity groups’ level of agreement regarding women holding false beliefs about the health consequences of terminating a pregnancy (</w:t>
      </w:r>
      <w:r w:rsidRPr="00432550">
        <w:rPr>
          <w:i/>
          <w:color w:val="auto"/>
          <w:lang w:val="en-US"/>
        </w:rPr>
        <w:t>H</w:t>
      </w:r>
      <w:r w:rsidRPr="00432550">
        <w:rPr>
          <w:color w:val="auto"/>
          <w:lang w:val="en-US"/>
        </w:rPr>
        <w:t xml:space="preserve">(2) = 7.04, </w:t>
      </w:r>
      <w:r w:rsidRPr="00432550">
        <w:rPr>
          <w:i/>
          <w:color w:val="auto"/>
          <w:lang w:val="en-US"/>
        </w:rPr>
        <w:t>p</w:t>
      </w:r>
      <w:r w:rsidRPr="00432550">
        <w:rPr>
          <w:color w:val="auto"/>
          <w:lang w:val="en-US"/>
        </w:rPr>
        <w:t xml:space="preserve"> = .030). Pairwise comparisons with adjusted </w:t>
      </w:r>
      <w:r w:rsidRPr="00432550">
        <w:rPr>
          <w:i/>
          <w:color w:val="auto"/>
          <w:lang w:val="en-US"/>
        </w:rPr>
        <w:t>p</w:t>
      </w:r>
      <w:r w:rsidRPr="00432550">
        <w:rPr>
          <w:color w:val="auto"/>
          <w:lang w:val="en-US"/>
        </w:rPr>
        <w:t>-values found that level of agreement differed between the ‘No’ group (i.e. unfamiliar with HL) (mean rank = 75.89) and the ‘I don’t know’ group (i.e. unsure if familiar with HL) (mean rank = 49.58) (</w:t>
      </w:r>
      <w:r w:rsidRPr="00432550">
        <w:rPr>
          <w:i/>
          <w:color w:val="auto"/>
          <w:lang w:val="en-US"/>
        </w:rPr>
        <w:t>adj. p</w:t>
      </w:r>
      <w:r w:rsidRPr="00432550">
        <w:rPr>
          <w:color w:val="auto"/>
          <w:lang w:val="en-US"/>
        </w:rPr>
        <w:t xml:space="preserve"> = .028). Thus, participants that were not familiar with the term indicated a higher level of agreement than the participants who said they don’t know whether they are familiar with HL.</w:t>
      </w:r>
    </w:p>
    <w:p w14:paraId="717B3BF7" w14:textId="77777777" w:rsidR="00620039" w:rsidRPr="00432550" w:rsidRDefault="00620039" w:rsidP="00620039">
      <w:pPr>
        <w:spacing w:line="360" w:lineRule="auto"/>
        <w:ind w:left="0" w:firstLine="0"/>
        <w:rPr>
          <w:color w:val="auto"/>
          <w:lang w:val="en-US"/>
        </w:rPr>
      </w:pPr>
      <w:r w:rsidRPr="00432550">
        <w:rPr>
          <w:color w:val="auto"/>
          <w:lang w:val="en-US"/>
        </w:rPr>
        <w:t>There was a significant difference between HL familiarity groups level of agreement regarding false beliefs women hold about the cause of cervical cancer (</w:t>
      </w:r>
      <w:r w:rsidRPr="00432550">
        <w:rPr>
          <w:i/>
          <w:color w:val="auto"/>
          <w:lang w:val="en-US"/>
        </w:rPr>
        <w:t>H</w:t>
      </w:r>
      <w:r w:rsidRPr="00432550">
        <w:rPr>
          <w:color w:val="auto"/>
          <w:lang w:val="en-US"/>
        </w:rPr>
        <w:t xml:space="preserve">(2) = 6.75, </w:t>
      </w:r>
      <w:r w:rsidRPr="00432550">
        <w:rPr>
          <w:i/>
          <w:color w:val="auto"/>
          <w:lang w:val="en-US"/>
        </w:rPr>
        <w:t>p</w:t>
      </w:r>
      <w:r w:rsidRPr="00432550">
        <w:rPr>
          <w:color w:val="auto"/>
          <w:lang w:val="en-US"/>
        </w:rPr>
        <w:t xml:space="preserve"> = .034). Pairwise comparisons identified the groups that differed were the ‘Yes’ group (mean rank = 74.15) which showed higher agreement than the ‘I don’t know’ group (mean rank = 49.18) (</w:t>
      </w:r>
      <w:r w:rsidRPr="00432550">
        <w:rPr>
          <w:i/>
          <w:color w:val="auto"/>
          <w:lang w:val="en-US"/>
        </w:rPr>
        <w:t>adj. p</w:t>
      </w:r>
      <w:r w:rsidRPr="00432550">
        <w:rPr>
          <w:color w:val="auto"/>
          <w:lang w:val="en-US"/>
        </w:rPr>
        <w:t xml:space="preserve"> = .028). A difference also emerged for level of agreement regarding false beliefs women hold about how often they should get a Pap test (</w:t>
      </w:r>
      <w:r w:rsidRPr="00432550">
        <w:rPr>
          <w:i/>
          <w:color w:val="auto"/>
          <w:lang w:val="en-US"/>
        </w:rPr>
        <w:t>H</w:t>
      </w:r>
      <w:r w:rsidRPr="00432550">
        <w:rPr>
          <w:color w:val="auto"/>
          <w:lang w:val="en-US"/>
        </w:rPr>
        <w:t xml:space="preserve">(2) = 7.61, </w:t>
      </w:r>
      <w:r w:rsidRPr="00432550">
        <w:rPr>
          <w:i/>
          <w:color w:val="auto"/>
          <w:lang w:val="en-US"/>
        </w:rPr>
        <w:t>p</w:t>
      </w:r>
      <w:r w:rsidRPr="00432550">
        <w:rPr>
          <w:color w:val="auto"/>
          <w:lang w:val="en-US"/>
        </w:rPr>
        <w:t xml:space="preserve"> = .022). Pairwise comparisons identified 2 sets of groups that differed significantly in their median agreement for this statement. Those were the ‘Yes’ (mean rank = 71.49) and ‘I don’t know’ (mean rank = 48.26) groups (</w:t>
      </w:r>
      <w:r w:rsidRPr="00432550">
        <w:rPr>
          <w:i/>
          <w:color w:val="auto"/>
          <w:lang w:val="en-US"/>
        </w:rPr>
        <w:t>adj. p</w:t>
      </w:r>
      <w:r w:rsidRPr="00432550">
        <w:rPr>
          <w:color w:val="auto"/>
          <w:lang w:val="en-US"/>
        </w:rPr>
        <w:t xml:space="preserve"> = .042), and ‘No’ (mean rank = 75.46) and ‘I don’t know’ familiarity groups (</w:t>
      </w:r>
      <w:r w:rsidRPr="00432550">
        <w:rPr>
          <w:i/>
          <w:color w:val="auto"/>
          <w:lang w:val="en-US"/>
        </w:rPr>
        <w:t>adj. p</w:t>
      </w:r>
      <w:r w:rsidRPr="00432550">
        <w:rPr>
          <w:color w:val="auto"/>
          <w:lang w:val="en-US"/>
        </w:rPr>
        <w:t xml:space="preserve"> = .023). Thus, agreement with this statement was higher for students familiar with the term HL than those who were unsure if familiar, as well as for those who were not familiar, compared to those who were unsure. </w:t>
      </w:r>
    </w:p>
    <w:p w14:paraId="1FB87662" w14:textId="77777777" w:rsidR="00620039" w:rsidRPr="00432550" w:rsidRDefault="00620039" w:rsidP="00620039">
      <w:pPr>
        <w:pStyle w:val="Heading2"/>
        <w:spacing w:after="105"/>
        <w:ind w:left="-5" w:right="22"/>
        <w:rPr>
          <w:color w:val="auto"/>
        </w:rPr>
      </w:pPr>
      <w:r w:rsidRPr="00432550">
        <w:rPr>
          <w:color w:val="auto"/>
        </w:rPr>
        <w:t>Barriers to SRHL</w:t>
      </w:r>
      <w:r w:rsidRPr="00432550">
        <w:rPr>
          <w:i w:val="0"/>
          <w:color w:val="auto"/>
        </w:rPr>
        <w:t xml:space="preserve"> </w:t>
      </w:r>
    </w:p>
    <w:p w14:paraId="02A246A0" w14:textId="77777777" w:rsidR="00620039" w:rsidRPr="00432550" w:rsidRDefault="00620039" w:rsidP="00620039">
      <w:pPr>
        <w:ind w:left="-5" w:right="542"/>
        <w:rPr>
          <w:color w:val="auto"/>
        </w:rPr>
      </w:pPr>
      <w:r w:rsidRPr="00432550">
        <w:rPr>
          <w:color w:val="auto"/>
        </w:rPr>
        <w:t xml:space="preserve">Student midwives also indicated agreement (Mdn = 4, IQR = 1 - 2) that the women to whom they provide care experience barriers to accessing, understanding, and appraising SRH information, as well as to accessing services and making decisions about their SRH (see Table 5 for a descriptive summary). Table 6 outlines the average ranking, standard deviation and median to what participants believe are the most common barriers to SRHL for women. False beliefs were ranked as the most common barrier, followed by lack of knowledge, embarrassment, family influence and illiteracy. </w:t>
      </w:r>
    </w:p>
    <w:p w14:paraId="267C245F" w14:textId="77777777" w:rsidR="00620039" w:rsidRPr="00432550" w:rsidRDefault="00620039" w:rsidP="00620039">
      <w:pPr>
        <w:ind w:left="-5" w:right="542"/>
        <w:rPr>
          <w:b/>
          <w:color w:val="auto"/>
        </w:rPr>
      </w:pPr>
      <w:r w:rsidRPr="00432550">
        <w:rPr>
          <w:color w:val="auto"/>
          <w:lang w:val="en-US"/>
        </w:rPr>
        <w:lastRenderedPageBreak/>
        <w:t>Median rankings of perceived barriers to sexual and reproductive health differed between HL familiarity groups for lack of knowledge (</w:t>
      </w:r>
      <w:r w:rsidRPr="00432550">
        <w:rPr>
          <w:i/>
          <w:color w:val="auto"/>
          <w:lang w:val="en-US"/>
        </w:rPr>
        <w:t>H</w:t>
      </w:r>
      <w:r w:rsidRPr="00432550">
        <w:rPr>
          <w:color w:val="auto"/>
          <w:lang w:val="en-US"/>
        </w:rPr>
        <w:t xml:space="preserve">(2) = 7.41, </w:t>
      </w:r>
      <w:r w:rsidRPr="00432550">
        <w:rPr>
          <w:i/>
          <w:color w:val="auto"/>
          <w:lang w:val="en-US"/>
        </w:rPr>
        <w:t>p</w:t>
      </w:r>
      <w:r w:rsidRPr="00432550">
        <w:rPr>
          <w:color w:val="auto"/>
          <w:lang w:val="en-US"/>
        </w:rPr>
        <w:t xml:space="preserve"> = .025) between the ‘No’ (mean rank = 58.10) and ‘I don’t know’ (mean rank = 85.00) groups </w:t>
      </w:r>
      <w:r w:rsidRPr="00432550">
        <w:rPr>
          <w:i/>
          <w:color w:val="auto"/>
          <w:lang w:val="en-US"/>
        </w:rPr>
        <w:t>(adj. p</w:t>
      </w:r>
      <w:r w:rsidRPr="00432550">
        <w:rPr>
          <w:color w:val="auto"/>
          <w:lang w:val="en-US"/>
        </w:rPr>
        <w:t xml:space="preserve"> = .029) suggesting lack of knowledge was ranked higher in the unfamiliar group than the unsure if familiar group. A difference was also present for ranking of false beliefs (</w:t>
      </w:r>
      <w:r w:rsidRPr="00432550">
        <w:rPr>
          <w:i/>
          <w:color w:val="auto"/>
          <w:lang w:val="en-US"/>
        </w:rPr>
        <w:t>H</w:t>
      </w:r>
      <w:r w:rsidRPr="00432550">
        <w:rPr>
          <w:color w:val="auto"/>
          <w:lang w:val="en-US"/>
        </w:rPr>
        <w:t xml:space="preserve">(2) = 6.30, </w:t>
      </w:r>
      <w:r w:rsidRPr="00432550">
        <w:rPr>
          <w:i/>
          <w:color w:val="auto"/>
          <w:lang w:val="en-US"/>
        </w:rPr>
        <w:t>p</w:t>
      </w:r>
      <w:r w:rsidRPr="00432550">
        <w:rPr>
          <w:color w:val="auto"/>
          <w:lang w:val="en-US"/>
        </w:rPr>
        <w:t xml:space="preserve"> = .043) which again was between the ‘No’ (mean rank = 61.83) and ‘I don’t know’ (mean rank = 87.68) groups (</w:t>
      </w:r>
      <w:r w:rsidRPr="00432550">
        <w:rPr>
          <w:i/>
          <w:color w:val="auto"/>
          <w:lang w:val="en-US"/>
        </w:rPr>
        <w:t>adj. p</w:t>
      </w:r>
      <w:r w:rsidRPr="00432550">
        <w:rPr>
          <w:color w:val="auto"/>
          <w:lang w:val="en-US"/>
        </w:rPr>
        <w:t xml:space="preserve"> = .036) reflecting higher ranking of this barrier by the unfamiliar with HL group. Ranking of religious beliefs also differed significantly between groups (H(2) = 6.61, p = .037) whereby the difference was again between the ‘No’ group which ranked this barrier as more common (mean rank = 60.29) than did the ‘I don’t know’ group (mean rank = 87.79) (adj. p = .031). </w:t>
      </w:r>
    </w:p>
    <w:p w14:paraId="038C057E" w14:textId="77777777" w:rsidR="00620039" w:rsidRPr="00432550" w:rsidRDefault="00620039" w:rsidP="00620039">
      <w:pPr>
        <w:pStyle w:val="Heading1"/>
        <w:ind w:left="-5" w:right="836"/>
        <w:rPr>
          <w:color w:val="auto"/>
        </w:rPr>
      </w:pPr>
      <w:r w:rsidRPr="00432550">
        <w:rPr>
          <w:color w:val="auto"/>
        </w:rPr>
        <w:t xml:space="preserve">Discussion </w:t>
      </w:r>
    </w:p>
    <w:p w14:paraId="2DBB6700" w14:textId="77777777" w:rsidR="00620039" w:rsidRPr="00432550" w:rsidRDefault="00620039" w:rsidP="00620039">
      <w:pPr>
        <w:ind w:left="-5" w:right="542"/>
        <w:rPr>
          <w:color w:val="auto"/>
        </w:rPr>
      </w:pPr>
      <w:r w:rsidRPr="00432550">
        <w:rPr>
          <w:color w:val="auto"/>
        </w:rPr>
        <w:t xml:space="preserve">Midwives are at the centre of providing SRH care to women, and despite this, no study to date has evaluated women’s health literacy in relation to SRH from the perspective of midwives. This study is the first to explore SRHL from the perspectives of student midwives and has raised a number of issues which merit further discussion. </w:t>
      </w:r>
    </w:p>
    <w:p w14:paraId="096B35A2" w14:textId="7213C6FF" w:rsidR="00620039" w:rsidRPr="00432550" w:rsidRDefault="00620039" w:rsidP="00620039">
      <w:pPr>
        <w:ind w:left="-5" w:right="542"/>
        <w:rPr>
          <w:color w:val="auto"/>
        </w:rPr>
      </w:pPr>
      <w:r w:rsidRPr="00432550">
        <w:rPr>
          <w:color w:val="auto"/>
        </w:rPr>
        <w:t>From the statistical analysis presented, it is worth noting that significant differences between the 2</w:t>
      </w:r>
      <w:r w:rsidRPr="00432550">
        <w:rPr>
          <w:color w:val="auto"/>
          <w:vertAlign w:val="superscript"/>
        </w:rPr>
        <w:t>nd</w:t>
      </w:r>
      <w:r w:rsidRPr="00432550">
        <w:rPr>
          <w:color w:val="auto"/>
        </w:rPr>
        <w:t xml:space="preserve"> year and 4</w:t>
      </w:r>
      <w:r w:rsidRPr="00432550">
        <w:rPr>
          <w:color w:val="auto"/>
          <w:vertAlign w:val="superscript"/>
        </w:rPr>
        <w:t>th</w:t>
      </w:r>
      <w:r w:rsidRPr="00432550">
        <w:rPr>
          <w:color w:val="auto"/>
        </w:rPr>
        <w:t xml:space="preserve"> year student responses relating to a range of sexual and reproductive health issues can be explained by the fact that sexual and reproductive health is a focus within the 3</w:t>
      </w:r>
      <w:r w:rsidRPr="00432550">
        <w:rPr>
          <w:color w:val="auto"/>
          <w:vertAlign w:val="superscript"/>
        </w:rPr>
        <w:t>rd</w:t>
      </w:r>
      <w:r w:rsidRPr="00432550">
        <w:rPr>
          <w:color w:val="auto"/>
        </w:rPr>
        <w:t xml:space="preserve"> year and by the 4</w:t>
      </w:r>
      <w:r w:rsidRPr="00432550">
        <w:rPr>
          <w:color w:val="auto"/>
          <w:vertAlign w:val="superscript"/>
        </w:rPr>
        <w:t>th</w:t>
      </w:r>
      <w:r w:rsidRPr="00432550">
        <w:rPr>
          <w:color w:val="auto"/>
        </w:rPr>
        <w:t xml:space="preserve"> year</w:t>
      </w:r>
      <w:r w:rsidR="006333D9" w:rsidRPr="00432550">
        <w:rPr>
          <w:color w:val="auto"/>
        </w:rPr>
        <w:t>,</w:t>
      </w:r>
      <w:r w:rsidRPr="00432550">
        <w:rPr>
          <w:color w:val="auto"/>
        </w:rPr>
        <w:t xml:space="preserve"> students have increased knowledge and practice experience of working with women and their families. However, what is less clear is why some students responded that they were unfamiliar or didn’t know about the term health literacy. The term is included in the midwifery programme and careful translation was undertaken during the development of the questionnaire to limit any misunderstanding. Therefore, as this was an unexpected result, differences between the ‘</w:t>
      </w:r>
      <w:r w:rsidRPr="00432550">
        <w:rPr>
          <w:color w:val="auto"/>
          <w:lang w:val="en-US"/>
        </w:rPr>
        <w:t xml:space="preserve">No’ and ‘I don’t know’ groups in relation to barriers for example, may reflect their understanding of the wider issue of sexual and reproductive issues, rather than </w:t>
      </w:r>
      <w:r w:rsidR="006333D9" w:rsidRPr="00432550">
        <w:rPr>
          <w:color w:val="auto"/>
          <w:lang w:val="en-US"/>
        </w:rPr>
        <w:t xml:space="preserve">reveal </w:t>
      </w:r>
      <w:r w:rsidRPr="00432550">
        <w:rPr>
          <w:color w:val="auto"/>
          <w:lang w:val="en-US"/>
        </w:rPr>
        <w:t>differences</w:t>
      </w:r>
      <w:r w:rsidR="006333D9" w:rsidRPr="00432550">
        <w:rPr>
          <w:color w:val="auto"/>
          <w:lang w:val="en-US"/>
        </w:rPr>
        <w:t xml:space="preserve"> between groups</w:t>
      </w:r>
      <w:r w:rsidRPr="00432550">
        <w:rPr>
          <w:color w:val="auto"/>
          <w:lang w:val="en-US"/>
        </w:rPr>
        <w:t xml:space="preserve"> in </w:t>
      </w:r>
      <w:r w:rsidR="006333D9" w:rsidRPr="00432550">
        <w:rPr>
          <w:color w:val="auto"/>
          <w:lang w:val="en-US"/>
        </w:rPr>
        <w:t xml:space="preserve">their </w:t>
      </w:r>
      <w:r w:rsidRPr="00432550">
        <w:rPr>
          <w:color w:val="auto"/>
          <w:lang w:val="en-US"/>
        </w:rPr>
        <w:t>understanding</w:t>
      </w:r>
      <w:r w:rsidR="006333D9" w:rsidRPr="00432550">
        <w:rPr>
          <w:color w:val="auto"/>
          <w:lang w:val="en-US"/>
        </w:rPr>
        <w:t xml:space="preserve"> of </w:t>
      </w:r>
      <w:r w:rsidRPr="00432550">
        <w:rPr>
          <w:color w:val="auto"/>
          <w:lang w:val="en-US"/>
        </w:rPr>
        <w:t xml:space="preserve"> health literacy.</w:t>
      </w:r>
    </w:p>
    <w:p w14:paraId="70F53807" w14:textId="77777777" w:rsidR="00620039" w:rsidRPr="00432550" w:rsidRDefault="00620039" w:rsidP="00620039">
      <w:pPr>
        <w:ind w:left="0" w:right="542" w:firstLine="0"/>
        <w:rPr>
          <w:color w:val="auto"/>
        </w:rPr>
      </w:pPr>
      <w:r w:rsidRPr="00432550">
        <w:rPr>
          <w:color w:val="auto"/>
        </w:rPr>
        <w:t xml:space="preserve">Findings from this study indicate the important role that the sociocultural background of Islamic culture plays in SRHL in Turkey. Our results strongly suggest that women are not readily able to access SRH information from their peers or their families and contraception, STIs, and Pap testing and cervical cancer were identified as the topics that are least acceptable to discuss. This is consistent with previous literature outlining the cultural </w:t>
      </w:r>
      <w:r w:rsidRPr="00432550">
        <w:rPr>
          <w:color w:val="auto"/>
        </w:rPr>
        <w:lastRenderedPageBreak/>
        <w:t xml:space="preserve">sensitivity of topics around sexuality which suggests that screening practices are seen as threatening Muslim cultural and religious values [25]. In addition, there is a major lack of information and widespread misconceptions around the availability of services for single women, as it is generally assumed they are not sexually active [10]. In contrast, participants in this study reported that women are able to access SRH information from their midwives, as well as and to a lesser extent online. Our findings further indicate that when information is made available, women are seen as capable of understanding, appraising and using SRH information well. These findings call for further research to examine women’s self-reported experiences, but equally to emphasise the importance of improving the provision of SRH information from healthcare professionals, such as midwives, as well as making accurate and credible resources available online.  </w:t>
      </w:r>
    </w:p>
    <w:p w14:paraId="0A735CE2" w14:textId="77777777" w:rsidR="00620039" w:rsidRPr="00432550" w:rsidRDefault="00620039" w:rsidP="00620039">
      <w:pPr>
        <w:spacing w:after="0"/>
        <w:ind w:left="-5" w:right="542"/>
        <w:rPr>
          <w:color w:val="auto"/>
        </w:rPr>
      </w:pPr>
      <w:r w:rsidRPr="00432550">
        <w:rPr>
          <w:color w:val="auto"/>
        </w:rPr>
        <w:t xml:space="preserve">Several factors were identified as negatively affecting health literacy. Being a refugee was seen as having the greatest impact, which reflects previous findings of poor SRH amongst refugees and migrants [26]. A systematic review of SRH of Syrian refugee women in Turkey found child marriage and adolescent pregnancy, unmet need for contraception, low awareness and high incidence of STIs, as well as sexual and gender-based violence, amongst a wide range of SRH challenges that refugee women are faced with [27]. While language difficulties and lack of knowledge of a new health system are often implicated as contributing to poor SRHL amongst refugees, often the cultural background of refugees may prohibit the discussion of sexual health topics, leading to limited access to information and services [28]. Qualitative evidence from Sweden has highlighted that shame, taboo and stigmatization are closely associated with SRH in the home countries of Muslim refugee women, who report restricted access to SRH information, widespread misconceptions, and lack of SRH rights such as access to contraception [29].  </w:t>
      </w:r>
    </w:p>
    <w:p w14:paraId="06BEF2CB" w14:textId="77777777" w:rsidR="00620039" w:rsidRPr="00432550" w:rsidRDefault="00620039" w:rsidP="00620039">
      <w:pPr>
        <w:spacing w:after="105" w:line="259" w:lineRule="auto"/>
        <w:ind w:left="0" w:right="0" w:firstLine="0"/>
        <w:jc w:val="left"/>
        <w:rPr>
          <w:color w:val="auto"/>
        </w:rPr>
      </w:pPr>
      <w:r w:rsidRPr="00432550">
        <w:rPr>
          <w:color w:val="auto"/>
        </w:rPr>
        <w:t xml:space="preserve"> </w:t>
      </w:r>
    </w:p>
    <w:p w14:paraId="6674FB0F" w14:textId="77777777" w:rsidR="00620039" w:rsidRPr="00432550" w:rsidRDefault="00620039" w:rsidP="00620039">
      <w:pPr>
        <w:ind w:left="-5" w:right="542"/>
        <w:rPr>
          <w:color w:val="auto"/>
        </w:rPr>
      </w:pPr>
      <w:r w:rsidRPr="00432550">
        <w:rPr>
          <w:color w:val="auto"/>
        </w:rPr>
        <w:t xml:space="preserve">Another culture-specific aspect of SRHL for women is the issues surrounding reproductive rights, family planning, and the lack of autonomy and control over decision making. According to a large body of evidence, family and community factors are primary determinants of family planning methods in Muslim culture [30]. In addition to unmarried women facing greater difficulties in accessing SRH services such as contraception, married women also lack control over their SRH. It is common in Islamic cultures for husbands to be the key decision-makers in family planning, often influenced by family interference from the mother-in-law and other family members, and decision making is rarely shared between husband and wife. As a result, </w:t>
      </w:r>
      <w:r w:rsidRPr="00432550">
        <w:rPr>
          <w:color w:val="auto"/>
        </w:rPr>
        <w:lastRenderedPageBreak/>
        <w:t xml:space="preserve">women often have no access to contraception and no control over their own fertility [9,10]. Our results showed that a higher proportion of students expressed disagreement that women should have the right to make autonomous decisions about SRH free from the influence of a male partner, compared to other statements in this section of the questionnaire, likely reflecting these cultural values. Despite this, the student midwives in this study generally expressed agreement that women have a right to autonomy in their SRH decision-making. </w:t>
      </w:r>
    </w:p>
    <w:p w14:paraId="30D059D3" w14:textId="77777777" w:rsidR="00620039" w:rsidRPr="00432550" w:rsidRDefault="00620039" w:rsidP="00620039">
      <w:pPr>
        <w:ind w:left="-5" w:right="542"/>
        <w:rPr>
          <w:color w:val="auto"/>
        </w:rPr>
      </w:pPr>
      <w:r w:rsidRPr="00432550">
        <w:rPr>
          <w:color w:val="auto"/>
        </w:rPr>
        <w:t xml:space="preserve">A common finding in the literature concerns the myths, false beliefs and misconceptions around SRH topics as a result of limited information, and the shame associated with discussions of sexuality [31.32]. The current study echoed those findings, with as much as 86% of students agreeing that women in their care hold certain false beliefs. While the proportion of agreement was high across all statements about false beliefs, the largest proportion of agreement was observed for false beliefs about the side effects of contraception use and its effects on fertility, who is at risk of STIs and methods of preventing STIs, as well as the procedure and health consequences of terminating a pregnancy. Misconceptions about contraception including that it can cause infertility [10, 31], reflect our findings of false beliefs around contraception. Furthermore, students ranked false beliefs as the most common barrier to women’s SRHL, suggesting this might be a key issue to be tackled in improving health literacy. Lack of knowledge, embarrassment, and family influence were amongst the other barriers ranked as most common by the student midwives in this study. Thus, it seems that sociocultural factors that discourage open discussion of SRH contribute to misinformation and lack of knowledge, in addition to family and community factors influencing women’s access to SRH information and care.  </w:t>
      </w:r>
    </w:p>
    <w:p w14:paraId="4412B24B" w14:textId="77777777" w:rsidR="00620039" w:rsidRPr="00432550" w:rsidRDefault="00620039" w:rsidP="00620039">
      <w:pPr>
        <w:spacing w:after="0"/>
        <w:ind w:left="-5" w:right="542"/>
        <w:rPr>
          <w:color w:val="auto"/>
        </w:rPr>
      </w:pPr>
      <w:r w:rsidRPr="00432550">
        <w:rPr>
          <w:color w:val="auto"/>
        </w:rPr>
        <w:t xml:space="preserve">Our findings also reflect the social groups that are at risk of having poorer SRHL, such as refugees, women from rural areas, and those with lower educational and socioeconomic status. It is likely that the lack of comprehensive education and access to information is amplified by these factors and resources and services should be developed with this in mind to improve engagement with health information for those vulnerable groups. Based on our results women rely on the provision of information from midwives and other healthcare practitioners, as well as online resources and more focus is needed on ensuring women get the right information from these sources. Interventions that are culturally sensitive have the potential to challenge issues of lack of information and knowledge and provide both married and unmarried women with reliable information to improve both their health literacy and access to services. Evidence from interventions with refugee women in their new country </w:t>
      </w:r>
      <w:r w:rsidRPr="00432550">
        <w:rPr>
          <w:color w:val="auto"/>
        </w:rPr>
        <w:lastRenderedPageBreak/>
        <w:t xml:space="preserve">suggests that women are receptive to new, accurate information and open to challenging their misconceptions, which also improved their self-confidence and communication of sensitive topics with their husbands and family members. Such information is both desired and appreciated by women when presented in a culturally sensitive way, including gender sensitive and culturally competent communicators, as well as the facilitation of information using pictures, videos, and having group discussions [29]. </w:t>
      </w:r>
    </w:p>
    <w:p w14:paraId="1C4EBB65" w14:textId="77777777" w:rsidR="00620039" w:rsidRPr="00432550" w:rsidRDefault="00620039" w:rsidP="00620039">
      <w:pPr>
        <w:spacing w:after="0"/>
        <w:ind w:left="-5" w:right="542"/>
        <w:rPr>
          <w:color w:val="auto"/>
        </w:rPr>
      </w:pPr>
    </w:p>
    <w:p w14:paraId="1377C47F" w14:textId="7AD99E6D" w:rsidR="00620039" w:rsidRPr="00432550" w:rsidRDefault="00620039" w:rsidP="00620039">
      <w:pPr>
        <w:spacing w:after="0"/>
        <w:ind w:left="-15" w:right="542" w:firstLine="0"/>
        <w:rPr>
          <w:color w:val="auto"/>
        </w:rPr>
      </w:pPr>
      <w:r w:rsidRPr="00432550">
        <w:rPr>
          <w:color w:val="auto"/>
        </w:rPr>
        <w:t>Whilst this study has generated interesting data in relation to women’s sexual and reproductive health literacy, it has also focused on the wider issues of health literacy in relation to midwifery education. A specific strength of this study is the way in which it has illustrated how important it is for student midwives to recognise the significance of health literacy for women in addressing their individual sexual and reproductive health needs; and in so doing, the need to focus on health literacy within midwifery education. As a result, this study may be useful to other midwifery educators to explore SRHL in relation to their curricula. In addition, it does add to the current limited literature on issues of sexual and reproductive health in Turkey, further highlighting the cultural issues associated with the subject</w:t>
      </w:r>
      <w:r w:rsidR="00E50A26" w:rsidRPr="00432550">
        <w:rPr>
          <w:color w:val="auto"/>
        </w:rPr>
        <w:t>.</w:t>
      </w:r>
    </w:p>
    <w:p w14:paraId="74B9F574" w14:textId="77777777" w:rsidR="00620039" w:rsidRPr="00432550" w:rsidRDefault="00620039" w:rsidP="00620039">
      <w:pPr>
        <w:spacing w:after="0"/>
        <w:ind w:left="-5" w:right="542"/>
        <w:rPr>
          <w:color w:val="auto"/>
        </w:rPr>
      </w:pPr>
    </w:p>
    <w:p w14:paraId="1D0A619F" w14:textId="77777777" w:rsidR="00620039" w:rsidRPr="00432550" w:rsidRDefault="00620039" w:rsidP="00620039">
      <w:pPr>
        <w:spacing w:after="0"/>
        <w:ind w:left="0" w:right="542" w:firstLine="0"/>
        <w:rPr>
          <w:color w:val="auto"/>
        </w:rPr>
      </w:pPr>
      <w:r w:rsidRPr="00432550">
        <w:rPr>
          <w:color w:val="auto"/>
        </w:rPr>
        <w:t xml:space="preserve">There are several limitations to consider. First, issues relating to the student sample. As this study focused on students from one University in Turkey, the findings as a result may not be generalisable to other student populations. A larger sample across Universities in Turkey may yield more diverse student perspectives on sexual and reproductive issues and the services available to women. However, it is worth noting that sexuality remains taboo and some Universities may have issues with participation in such studies (33). Furthermore, as a survey of student midwives may present unique perspectives, it is also possible that these may be influenced by specific personal or professional experiences in clinical practice, which this survey did not explore, and in so doing present a rather distorted picture of women’s SRHL. For this reason, a survey of mothers’ experiences is vitally important to provide a more comprehensive picture of their SRHL in Turkey and in so doing, highlight the efficacy of health interventions to challenge issues of health literacy in a systematic way, to inform future policy and practice. Secondly, as a cross-sectional survey, the development of the questionnaire was novel in the absence of an alternative validated questionnaire and was developed from the available but limited literature and was subject to limited testing. Whilst a focus was placed on accurate translation to ensure accuracy and conceptual and cultural equivalence, further testing of measures of reliability and validity should be undertaken. However, the responses </w:t>
      </w:r>
      <w:r w:rsidRPr="00432550">
        <w:rPr>
          <w:color w:val="auto"/>
        </w:rPr>
        <w:lastRenderedPageBreak/>
        <w:t>of students confirmed findings from the literature which does provide a degree of reassurance. Third, a reasonable response rate for online surveys was achieved. However, since differences between those who participated and those who did not, remain unclear, we suggest that the study may be susceptible to non-response bias (34). It is also important to note specific challenges in the completion of the questionnaires, namely those which were not subject to analysis due to erroneous demographic responses, and unexpected participants responses regarding their familiarity with the term health literacy; both of which raise potential issues of bias.</w:t>
      </w:r>
    </w:p>
    <w:p w14:paraId="324FDB9E" w14:textId="77777777" w:rsidR="00620039" w:rsidRPr="00432550" w:rsidRDefault="00620039" w:rsidP="00620039">
      <w:pPr>
        <w:spacing w:after="0"/>
        <w:ind w:left="0" w:right="542" w:firstLine="0"/>
        <w:rPr>
          <w:color w:val="auto"/>
        </w:rPr>
      </w:pPr>
    </w:p>
    <w:p w14:paraId="3CA9017C" w14:textId="77777777" w:rsidR="00620039" w:rsidRPr="00432550" w:rsidRDefault="00620039" w:rsidP="00620039">
      <w:pPr>
        <w:pStyle w:val="Heading1"/>
        <w:spacing w:after="110"/>
        <w:ind w:left="0" w:right="836" w:firstLine="0"/>
        <w:rPr>
          <w:color w:val="auto"/>
        </w:rPr>
      </w:pPr>
      <w:r w:rsidRPr="00432550">
        <w:rPr>
          <w:color w:val="auto"/>
        </w:rPr>
        <w:t xml:space="preserve">Conclusion </w:t>
      </w:r>
    </w:p>
    <w:p w14:paraId="3AAAB7A8" w14:textId="77777777" w:rsidR="00620039" w:rsidRDefault="00620039" w:rsidP="00620039">
      <w:pPr>
        <w:spacing w:after="0"/>
        <w:ind w:left="-5" w:right="542"/>
      </w:pPr>
      <w:r w:rsidRPr="00432550">
        <w:rPr>
          <w:color w:val="auto"/>
        </w:rPr>
        <w:t xml:space="preserve">Taken together, these findings highlight the potential challenges </w:t>
      </w:r>
      <w:r>
        <w:t xml:space="preserve">of SRHL for women in Turkey, from the perspective of student midwives. The present study echoed various aspects and challenges to SRHL in other recent empirical work. The area of women’s SRHL remains under researched, and our results indicate future research would benefit from including women as participants to gain their first-hand insight, perspectives and experiences and identify how they access and use SRH information and services, the specific false beliefs that they hold, the barriers to SRH they experience as well as the role of their family and culture in their decision-making process in terms of their SRH.  </w:t>
      </w:r>
    </w:p>
    <w:p w14:paraId="4254780E" w14:textId="77777777" w:rsidR="00620039" w:rsidRDefault="00620039" w:rsidP="00620039">
      <w:pPr>
        <w:spacing w:after="105" w:line="259" w:lineRule="auto"/>
        <w:ind w:left="0" w:right="0" w:firstLine="0"/>
        <w:jc w:val="left"/>
      </w:pPr>
      <w:r>
        <w:t xml:space="preserve"> </w:t>
      </w:r>
    </w:p>
    <w:p w14:paraId="3D8E8AA0" w14:textId="77777777" w:rsidR="00620039" w:rsidRDefault="00620039" w:rsidP="00620039">
      <w:pPr>
        <w:spacing w:after="105" w:line="259" w:lineRule="auto"/>
        <w:ind w:left="-5" w:right="836"/>
        <w:jc w:val="left"/>
      </w:pPr>
      <w:r>
        <w:rPr>
          <w:b/>
        </w:rPr>
        <w:t>Declaration of Interest</w:t>
      </w:r>
      <w:r>
        <w:t xml:space="preserve"> </w:t>
      </w:r>
    </w:p>
    <w:p w14:paraId="2068F84A" w14:textId="77777777" w:rsidR="00620039" w:rsidRDefault="00620039" w:rsidP="00620039">
      <w:pPr>
        <w:spacing w:after="261" w:line="259" w:lineRule="auto"/>
        <w:ind w:left="-5" w:right="542"/>
      </w:pPr>
      <w:r>
        <w:t xml:space="preserve">The authors have declared that no conflict of interest exists. </w:t>
      </w:r>
    </w:p>
    <w:p w14:paraId="7609F264" w14:textId="77777777" w:rsidR="00620039" w:rsidRDefault="00620039" w:rsidP="00620039">
      <w:pPr>
        <w:pStyle w:val="Heading1"/>
        <w:ind w:left="-5" w:right="836"/>
      </w:pPr>
      <w:r>
        <w:t xml:space="preserve">Funding </w:t>
      </w:r>
    </w:p>
    <w:p w14:paraId="76A4D96A" w14:textId="77777777" w:rsidR="00620039" w:rsidRDefault="00620039" w:rsidP="00620039">
      <w:pPr>
        <w:ind w:left="-5" w:right="542"/>
      </w:pPr>
      <w:r>
        <w:t xml:space="preserve">This research was supported with funding from the Global Challenges Research Fund (GCRF) Scheme 2019 The funders have not been involved in the design, data collection and analysis, or decision to publish this manuscript. </w:t>
      </w:r>
    </w:p>
    <w:p w14:paraId="2D35B7B6" w14:textId="77777777" w:rsidR="00620039" w:rsidRDefault="00620039" w:rsidP="00620039">
      <w:pPr>
        <w:spacing w:after="271" w:line="259" w:lineRule="auto"/>
        <w:ind w:left="-5" w:right="836"/>
        <w:jc w:val="left"/>
      </w:pPr>
      <w:r>
        <w:rPr>
          <w:b/>
        </w:rPr>
        <w:t xml:space="preserve">Acknowledgements  </w:t>
      </w:r>
    </w:p>
    <w:p w14:paraId="00D592DE" w14:textId="77777777" w:rsidR="00620039" w:rsidRDefault="00620039" w:rsidP="00620039">
      <w:pPr>
        <w:spacing w:after="299" w:line="259" w:lineRule="auto"/>
        <w:ind w:left="-5" w:right="542"/>
      </w:pPr>
      <w:r>
        <w:t xml:space="preserve">The authors would like to thank all the students that participated in this study. </w:t>
      </w:r>
    </w:p>
    <w:p w14:paraId="1C7008A5" w14:textId="77777777" w:rsidR="00620039" w:rsidRDefault="00620039" w:rsidP="00620039">
      <w:pPr>
        <w:pStyle w:val="Heading1"/>
        <w:ind w:left="-5" w:right="836"/>
      </w:pPr>
      <w:r>
        <w:t xml:space="preserve">Authors’ contributions </w:t>
      </w:r>
    </w:p>
    <w:p w14:paraId="11086C0D" w14:textId="62413239" w:rsidR="00620039" w:rsidRDefault="00803816" w:rsidP="00620039">
      <w:pPr>
        <w:ind w:left="-5" w:right="542"/>
        <w:rPr>
          <w:b/>
        </w:rPr>
      </w:pPr>
      <w:r>
        <w:t xml:space="preserve">SC </w:t>
      </w:r>
      <w:r w:rsidR="00620039">
        <w:t xml:space="preserve">conceptualised the study. </w:t>
      </w:r>
      <w:r>
        <w:t>SC</w:t>
      </w:r>
      <w:r w:rsidR="00620039">
        <w:t xml:space="preserve"> </w:t>
      </w:r>
      <w:r>
        <w:t>RM</w:t>
      </w:r>
      <w:r w:rsidR="00620039">
        <w:t xml:space="preserve"> </w:t>
      </w:r>
      <w:r w:rsidR="00BA1EC8">
        <w:t>SE AG</w:t>
      </w:r>
      <w:r w:rsidR="00BA1EC8">
        <w:t xml:space="preserve"> </w:t>
      </w:r>
      <w:r w:rsidR="00620039">
        <w:t xml:space="preserve">developed the questionnaire </w:t>
      </w:r>
      <w:r w:rsidR="009204F2">
        <w:t xml:space="preserve">SC RM YS </w:t>
      </w:r>
      <w:r w:rsidR="00620039">
        <w:t xml:space="preserve"> identified papers and </w:t>
      </w:r>
      <w:r w:rsidR="00BA1EC8">
        <w:t>SC YS</w:t>
      </w:r>
      <w:r w:rsidR="00620039">
        <w:t xml:space="preserve"> analysed data. </w:t>
      </w:r>
      <w:r w:rsidR="00B76F00">
        <w:t>SC</w:t>
      </w:r>
      <w:r w:rsidR="00620039">
        <w:t xml:space="preserve"> </w:t>
      </w:r>
      <w:r w:rsidR="00B76F00">
        <w:t>Y</w:t>
      </w:r>
      <w:r w:rsidR="00207C21">
        <w:t>S</w:t>
      </w:r>
      <w:r w:rsidR="00620039">
        <w:t xml:space="preserve"> wrote the initial draft of the manuscript with revisions from </w:t>
      </w:r>
      <w:r w:rsidR="00207C21">
        <w:t>SE</w:t>
      </w:r>
      <w:r w:rsidR="00620039">
        <w:t xml:space="preserve"> </w:t>
      </w:r>
      <w:r w:rsidR="00207C21">
        <w:t>AG</w:t>
      </w:r>
      <w:r w:rsidR="00620039">
        <w:t xml:space="preserve">. </w:t>
      </w:r>
      <w:r w:rsidR="00207C21">
        <w:t>SC</w:t>
      </w:r>
      <w:r w:rsidR="00620039">
        <w:t xml:space="preserve"> </w:t>
      </w:r>
      <w:r w:rsidR="00207C21">
        <w:t>YS</w:t>
      </w:r>
      <w:r w:rsidR="00620039">
        <w:t xml:space="preserve"> </w:t>
      </w:r>
      <w:r w:rsidR="00207C21">
        <w:t>SE AG</w:t>
      </w:r>
      <w:r w:rsidR="00207C21">
        <w:t xml:space="preserve"> </w:t>
      </w:r>
      <w:r w:rsidR="00620039">
        <w:t>have contributed to the final manuscript.</w:t>
      </w:r>
      <w:r w:rsidR="00620039">
        <w:rPr>
          <w:b/>
        </w:rPr>
        <w:t xml:space="preserve"> </w:t>
      </w:r>
    </w:p>
    <w:p w14:paraId="2CB9312E" w14:textId="77777777" w:rsidR="00620039" w:rsidRPr="003D7EE8" w:rsidRDefault="00620039" w:rsidP="000A210B">
      <w:pPr>
        <w:pStyle w:val="Heading2"/>
        <w:spacing w:before="240" w:after="297"/>
        <w:ind w:left="0" w:firstLine="0"/>
      </w:pPr>
      <w:r w:rsidRPr="003D7EE8">
        <w:rPr>
          <w:i w:val="0"/>
        </w:rPr>
        <w:lastRenderedPageBreak/>
        <w:t xml:space="preserve">References </w:t>
      </w:r>
    </w:p>
    <w:p w14:paraId="57A06BDB" w14:textId="77777777" w:rsidR="00620039" w:rsidRPr="003D7EE8" w:rsidRDefault="00620039" w:rsidP="000A210B">
      <w:pPr>
        <w:numPr>
          <w:ilvl w:val="0"/>
          <w:numId w:val="1"/>
        </w:numPr>
        <w:spacing w:before="240" w:after="14" w:line="353" w:lineRule="auto"/>
        <w:ind w:right="552" w:hanging="360"/>
      </w:pPr>
      <w:r w:rsidRPr="003D7EE8">
        <w:t xml:space="preserve">Sørensen K, Van den Broucke S, Fullam J, Doyle G, Pelikan J, Slonska Z, Brand H. Health literacy and public health: a systematic review and integration of definitions and models. BMC public health. 2012 Dec;12(1):1-3. </w:t>
      </w:r>
    </w:p>
    <w:p w14:paraId="4056889A" w14:textId="77777777" w:rsidR="00620039" w:rsidRPr="003D7EE8" w:rsidRDefault="00620039" w:rsidP="000A210B">
      <w:pPr>
        <w:numPr>
          <w:ilvl w:val="0"/>
          <w:numId w:val="1"/>
        </w:numPr>
        <w:spacing w:before="240" w:after="14" w:line="353" w:lineRule="auto"/>
        <w:ind w:right="552" w:hanging="360"/>
      </w:pPr>
      <w:r w:rsidRPr="003D7EE8">
        <w:t xml:space="preserve">Sørensen K, Pelikan JM, Röthlin F, Ganahl K, Slonska Z, Doyle G, Fullam J, Kondilis B, Agrafiotis D, Uiters E, Falcon M, Mensing M,Tchamov K, van der Brouke S, Brand H. Health literacy in Europe: comparative results of the European health literacy survey (HLS-EU). European journal of public health. 2015 Dec 1;25(6):1053-8. </w:t>
      </w:r>
    </w:p>
    <w:p w14:paraId="52C33FD4" w14:textId="77777777" w:rsidR="00620039" w:rsidRPr="003D7EE8" w:rsidRDefault="00620039" w:rsidP="000A210B">
      <w:pPr>
        <w:numPr>
          <w:ilvl w:val="0"/>
          <w:numId w:val="1"/>
        </w:numPr>
        <w:spacing w:before="240" w:after="42" w:line="353" w:lineRule="auto"/>
        <w:ind w:right="552" w:hanging="360"/>
      </w:pPr>
      <w:r w:rsidRPr="003D7EE8">
        <w:t xml:space="preserve">Berkman ND, Sheridan SL, Donahue KE, Halpern DJ, Viera A, Crotty K, Holland A, Brasure M, Lohr KN, Harden E, Tant E, Wallace I, Viswanathan M. Health literacy interventions and outcomes: an updated systematic review. Evidence report/technology assessment. 2011 Mar 1(199):1-941. </w:t>
      </w:r>
    </w:p>
    <w:p w14:paraId="6727CEE3" w14:textId="77777777" w:rsidR="000A210B" w:rsidRDefault="00620039" w:rsidP="000A210B">
      <w:pPr>
        <w:numPr>
          <w:ilvl w:val="0"/>
          <w:numId w:val="1"/>
        </w:numPr>
        <w:spacing w:before="240" w:after="14" w:line="353" w:lineRule="auto"/>
        <w:ind w:right="552" w:hanging="360"/>
      </w:pPr>
      <w:r w:rsidRPr="003D7EE8">
        <w:t xml:space="preserve">Weiss BD. Health literacy research: Isn’t there something better we could be doing? Health Communication. 2015 Dec 2;30(12):1173-5. </w:t>
      </w:r>
    </w:p>
    <w:p w14:paraId="3EE81ABA" w14:textId="7919A04E" w:rsidR="00620039" w:rsidRPr="003D7EE8" w:rsidRDefault="00620039" w:rsidP="000A210B">
      <w:pPr>
        <w:numPr>
          <w:ilvl w:val="0"/>
          <w:numId w:val="1"/>
        </w:numPr>
        <w:spacing w:before="240" w:after="14" w:line="353" w:lineRule="auto"/>
        <w:ind w:right="552" w:hanging="360"/>
      </w:pPr>
      <w:r w:rsidRPr="003D7EE8">
        <w:t xml:space="preserve">Kilfoyle KA, Vitko M, O'Conor R, Bailey SC. Health literacy and Women's reproductive health: a systematic review. Journal of women's health. 2016 Dec 1;25(12):1237-55. </w:t>
      </w:r>
    </w:p>
    <w:p w14:paraId="6956251D" w14:textId="77777777" w:rsidR="00620039" w:rsidRPr="003D7EE8" w:rsidRDefault="00620039" w:rsidP="000A210B">
      <w:pPr>
        <w:numPr>
          <w:ilvl w:val="0"/>
          <w:numId w:val="1"/>
        </w:numPr>
        <w:spacing w:before="240" w:after="20" w:line="355" w:lineRule="auto"/>
        <w:ind w:right="552" w:hanging="360"/>
      </w:pPr>
      <w:r w:rsidRPr="003D7EE8">
        <w:t xml:space="preserve">Tehrani, H., Rahmani, M., Jafari, A. Health literacy and Its relationship with general health of women referring to health care centers. </w:t>
      </w:r>
      <w:r w:rsidRPr="003D7EE8">
        <w:rPr>
          <w:i/>
        </w:rPr>
        <w:t>Journal of Health Literacy</w:t>
      </w:r>
      <w:r w:rsidRPr="003D7EE8">
        <w:t xml:space="preserve">, 2018; 3(3): 191-198. doi: 10.22038/jhl.2018.36901.1021 </w:t>
      </w:r>
    </w:p>
    <w:p w14:paraId="28DAB7AE" w14:textId="77777777" w:rsidR="00620039" w:rsidRPr="003D7EE8" w:rsidRDefault="00620039" w:rsidP="000A210B">
      <w:pPr>
        <w:numPr>
          <w:ilvl w:val="0"/>
          <w:numId w:val="1"/>
        </w:numPr>
        <w:spacing w:before="240" w:after="14" w:line="353" w:lineRule="auto"/>
        <w:ind w:right="552" w:hanging="360"/>
      </w:pPr>
      <w:r w:rsidRPr="003D7EE8">
        <w:t xml:space="preserve">Kindig DA, Panzer AM, Nielsen-Bohlman L, editors. Health literacy: a prescription to end confusion; 2004. </w:t>
      </w:r>
    </w:p>
    <w:p w14:paraId="69C5687F" w14:textId="77777777" w:rsidR="00620039" w:rsidRPr="003D7EE8" w:rsidRDefault="00620039" w:rsidP="000A210B">
      <w:pPr>
        <w:numPr>
          <w:ilvl w:val="0"/>
          <w:numId w:val="1"/>
        </w:numPr>
        <w:spacing w:before="240" w:after="14" w:line="353" w:lineRule="auto"/>
        <w:ind w:right="552" w:hanging="360"/>
      </w:pPr>
      <w:r w:rsidRPr="003D7EE8">
        <w:t xml:space="preserve">Arousell J, Carlbom A. Culture and religious beliefs in relation to reproductive health. Best practice &amp; research Clinical obstetrics &amp; gynaecology. 2016 Apr 1;32: 77-87.  </w:t>
      </w:r>
    </w:p>
    <w:p w14:paraId="5546CB9E" w14:textId="77777777" w:rsidR="00620039" w:rsidRPr="003D7EE8" w:rsidRDefault="00620039" w:rsidP="000A210B">
      <w:pPr>
        <w:numPr>
          <w:ilvl w:val="0"/>
          <w:numId w:val="1"/>
        </w:numPr>
        <w:spacing w:before="240" w:after="14" w:line="353" w:lineRule="auto"/>
        <w:ind w:right="552" w:hanging="360"/>
      </w:pPr>
      <w:r w:rsidRPr="003D7EE8">
        <w:t xml:space="preserve">Alomair N, Alageel S, Davies N, Bailey JV. Sexual and reproductive health knowledge, perceptions and experiences of women in Saudi Arabia: a qualitative study. Ethnicity &amp; Health. 2021 Jan 19:1-9. </w:t>
      </w:r>
    </w:p>
    <w:p w14:paraId="17FE536D" w14:textId="77777777" w:rsidR="00620039" w:rsidRPr="003D7EE8" w:rsidRDefault="00620039" w:rsidP="000A210B">
      <w:pPr>
        <w:numPr>
          <w:ilvl w:val="0"/>
          <w:numId w:val="1"/>
        </w:numPr>
        <w:spacing w:before="240" w:after="14" w:line="353" w:lineRule="auto"/>
        <w:ind w:right="552" w:hanging="360"/>
      </w:pPr>
      <w:r w:rsidRPr="003D7EE8">
        <w:t xml:space="preserve">Alomair N, Alageel S, Davies N, Bailey JV. Factors influencing sexual and reproductive health of Muslim women: a systematic review. Reproductive health. 2020 Dec;17(1):1-5. </w:t>
      </w:r>
    </w:p>
    <w:p w14:paraId="12D34D13" w14:textId="77777777" w:rsidR="00620039" w:rsidRPr="003D7EE8" w:rsidRDefault="00620039" w:rsidP="000A210B">
      <w:pPr>
        <w:numPr>
          <w:ilvl w:val="0"/>
          <w:numId w:val="1"/>
        </w:numPr>
        <w:spacing w:before="240" w:after="14" w:line="353" w:lineRule="auto"/>
        <w:ind w:right="552" w:hanging="360"/>
      </w:pPr>
      <w:r w:rsidRPr="003D7EE8">
        <w:lastRenderedPageBreak/>
        <w:t xml:space="preserve">Renfrew MJ, McFadden A, Bastos MH, Campbell J, Channon AA, Cheung NF, Silva DR, Downe S, Kennedy HP, Malata A, McCormick F. Midwifery and quality care: findings from a new evidence-informed framework for maternal and newborn care. The Lancet. 2014 Sep 20;384(9948):1129-45. </w:t>
      </w:r>
    </w:p>
    <w:p w14:paraId="4F408886" w14:textId="77777777" w:rsidR="00620039" w:rsidRPr="003D7EE8" w:rsidRDefault="00620039" w:rsidP="000A210B">
      <w:pPr>
        <w:numPr>
          <w:ilvl w:val="0"/>
          <w:numId w:val="1"/>
        </w:numPr>
        <w:spacing w:before="240" w:after="14" w:line="353" w:lineRule="auto"/>
        <w:ind w:right="552" w:hanging="360"/>
      </w:pPr>
      <w:r w:rsidRPr="003D7EE8">
        <w:t xml:space="preserve">McNeill J, Lynn F, Alderdice F. Public health interventions in midwifery: a systematic review of systematic reviews. BMC Public Health. 2012 Dec;12(1):1-23. </w:t>
      </w:r>
    </w:p>
    <w:p w14:paraId="79C2667A" w14:textId="77777777" w:rsidR="00620039" w:rsidRPr="003D7EE8" w:rsidRDefault="00620039" w:rsidP="000A210B">
      <w:pPr>
        <w:numPr>
          <w:ilvl w:val="0"/>
          <w:numId w:val="1"/>
        </w:numPr>
        <w:spacing w:before="240" w:after="14" w:line="353" w:lineRule="auto"/>
        <w:ind w:right="552" w:hanging="360"/>
      </w:pPr>
      <w:r w:rsidRPr="003D7EE8">
        <w:t xml:space="preserve">Finlay H. Public health, midwifery and government policy. InHealth Promotion in Midwifery 2016 Nov 25 (pp. 13-30). Routledge. </w:t>
      </w:r>
    </w:p>
    <w:p w14:paraId="31E24271" w14:textId="072984EE" w:rsidR="00620039" w:rsidRPr="003D7EE8" w:rsidRDefault="000A3010" w:rsidP="000A210B">
      <w:pPr>
        <w:spacing w:before="240" w:after="67" w:line="353" w:lineRule="auto"/>
        <w:ind w:left="0" w:right="552" w:hanging="426"/>
      </w:pPr>
      <w:r>
        <w:t>14.</w:t>
      </w:r>
      <w:r w:rsidR="00620039" w:rsidRPr="003D7EE8">
        <w:t xml:space="preserve">Nawabi F, Krebs F, Vennedey V, Shukri A, Lorenz L, Stock S. Health Literacy in Pregnant Women: A Systematic Review. Int J Environ Res Public Health. 2021 Apr 6;18(7):3847. doi: 10.3390/ijerph18073847. PMID: 33917631; PMCID: PMC8038834 </w:t>
      </w:r>
    </w:p>
    <w:p w14:paraId="501BC716" w14:textId="77777777" w:rsidR="00620039" w:rsidRPr="003D7EE8" w:rsidRDefault="00620039" w:rsidP="000A210B">
      <w:pPr>
        <w:numPr>
          <w:ilvl w:val="0"/>
          <w:numId w:val="1"/>
        </w:numPr>
        <w:spacing w:before="240" w:after="14" w:line="353" w:lineRule="auto"/>
        <w:ind w:right="552" w:hanging="360"/>
      </w:pPr>
      <w:r w:rsidRPr="003D7EE8">
        <w:t xml:space="preserve">Creedy DK, Gamble J, Boorman R, Allen J. Midwives’ self-reported knowledge and skills to assess and promote maternal health literacy: A national cross-sectional survey. Women and Birth. 2021 Mar 1;34(2):e188-95. </w:t>
      </w:r>
    </w:p>
    <w:p w14:paraId="54B16F42" w14:textId="77777777" w:rsidR="00620039" w:rsidRPr="003D7EE8" w:rsidRDefault="00620039" w:rsidP="000A210B">
      <w:pPr>
        <w:numPr>
          <w:ilvl w:val="0"/>
          <w:numId w:val="1"/>
        </w:numPr>
        <w:spacing w:before="240" w:after="46" w:line="353" w:lineRule="auto"/>
        <w:ind w:right="552" w:hanging="360"/>
      </w:pPr>
      <w:r w:rsidRPr="003D7EE8">
        <w:t>Hughson JA, Marshall F, Daly JO, Woodward-Kron R, Hajek J, Story D. Health professionals' views on health literacy issues for culturally and linguistically diverse women in maternity care: barriers, enablers and the need for an integrated approach. Aust Health Rev. 2018;42(1):10–20.</w:t>
      </w:r>
      <w:hyperlink r:id="rId8">
        <w:r w:rsidRPr="003D7EE8">
          <w:t xml:space="preserve"> </w:t>
        </w:r>
      </w:hyperlink>
      <w:hyperlink r:id="rId9">
        <w:r w:rsidRPr="003D7EE8">
          <w:rPr>
            <w:u w:val="single" w:color="000000"/>
          </w:rPr>
          <w:t>https://doi.org/10.1071/AH17067</w:t>
        </w:r>
      </w:hyperlink>
      <w:hyperlink r:id="rId10">
        <w:r w:rsidRPr="003D7EE8">
          <w:t>.</w:t>
        </w:r>
      </w:hyperlink>
      <w:r w:rsidRPr="003D7EE8">
        <w:t xml:space="preserve"> </w:t>
      </w:r>
    </w:p>
    <w:p w14:paraId="36060FC4" w14:textId="77777777" w:rsidR="00620039" w:rsidRPr="003D7EE8" w:rsidRDefault="00620039" w:rsidP="000A210B">
      <w:pPr>
        <w:numPr>
          <w:ilvl w:val="0"/>
          <w:numId w:val="1"/>
        </w:numPr>
        <w:spacing w:before="240" w:after="45" w:line="353" w:lineRule="auto"/>
        <w:ind w:right="552" w:hanging="360"/>
      </w:pPr>
      <w:r w:rsidRPr="003D7EE8">
        <w:t xml:space="preserve">Sogukpinar N, Saydam BK, Bozkurt ÖD, Ozturk H, Pelik A. Past and present midwifery education in Turkey. Midwifery. 2007 Dec 1;23(4):433-42. </w:t>
      </w:r>
    </w:p>
    <w:p w14:paraId="2197B569" w14:textId="77777777" w:rsidR="00620039" w:rsidRPr="003D7EE8" w:rsidRDefault="00620039" w:rsidP="000A210B">
      <w:pPr>
        <w:numPr>
          <w:ilvl w:val="0"/>
          <w:numId w:val="1"/>
        </w:numPr>
        <w:spacing w:before="240" w:after="14" w:line="353" w:lineRule="auto"/>
        <w:ind w:right="552" w:hanging="360"/>
      </w:pPr>
      <w:r w:rsidRPr="003D7EE8">
        <w:t xml:space="preserve">Yuill C, McCourt C, Cheyne H, Leister N. Women’s experiences of decision-making and informed choice about pregnancy and birth care: a systematic review and meta-synthesis of qualitative research. BMC pregnancy and childbirth. 2020 Dec;20(1):1-21. </w:t>
      </w:r>
    </w:p>
    <w:p w14:paraId="45197D97" w14:textId="77777777" w:rsidR="000A210B" w:rsidRDefault="00620039" w:rsidP="000A210B">
      <w:pPr>
        <w:numPr>
          <w:ilvl w:val="0"/>
          <w:numId w:val="1"/>
        </w:numPr>
        <w:spacing w:before="240" w:after="14" w:line="353" w:lineRule="auto"/>
        <w:ind w:right="552" w:hanging="360"/>
      </w:pPr>
      <w:r w:rsidRPr="003D7EE8">
        <w:t xml:space="preserve">Trobia A, Lavrakas PJ. Encyclopedia of survey research methods. Encyclopedia of Survey Research Methods. first ed. Sage Publications, Inc. 2011:169-70. </w:t>
      </w:r>
    </w:p>
    <w:p w14:paraId="1B8574D9" w14:textId="588A1A22" w:rsidR="00620039" w:rsidRPr="000A210B" w:rsidRDefault="00620039" w:rsidP="000A210B">
      <w:pPr>
        <w:numPr>
          <w:ilvl w:val="0"/>
          <w:numId w:val="1"/>
        </w:numPr>
        <w:spacing w:before="240" w:after="14" w:line="353" w:lineRule="auto"/>
        <w:ind w:right="552" w:hanging="360"/>
      </w:pPr>
      <w:r w:rsidRPr="000A210B">
        <w:rPr>
          <w:color w:val="212121"/>
          <w:shd w:val="clear" w:color="auto" w:fill="FFFFFF"/>
        </w:rPr>
        <w:t>Corrarino JE. Health literacy and women's health: challenges and opportunities. J Midwifery Womens Health. 2013 May-Jun;58(3):257-64. doi: 10.1111/jmwh.12018. Epub 2013 Apr 30. PMID: 23631442.</w:t>
      </w:r>
    </w:p>
    <w:p w14:paraId="69E05929" w14:textId="77777777" w:rsidR="00620039" w:rsidRPr="003D7EE8" w:rsidRDefault="00620039" w:rsidP="000A210B">
      <w:pPr>
        <w:pStyle w:val="ListParagraph"/>
        <w:spacing w:before="240"/>
        <w:ind w:left="0"/>
        <w:rPr>
          <w:color w:val="0D0D0D" w:themeColor="text1" w:themeTint="F2"/>
          <w:shd w:val="clear" w:color="auto" w:fill="FFFFFF"/>
        </w:rPr>
      </w:pPr>
    </w:p>
    <w:p w14:paraId="5EC959CD" w14:textId="0CC1EAD8" w:rsidR="00620039" w:rsidRPr="003D7EE8" w:rsidRDefault="000E62CD" w:rsidP="000A210B">
      <w:pPr>
        <w:pStyle w:val="ListParagraph"/>
        <w:spacing w:before="240" w:line="360" w:lineRule="auto"/>
        <w:ind w:left="0" w:right="542" w:firstLine="0"/>
        <w:rPr>
          <w:color w:val="0D0D0D" w:themeColor="text1" w:themeTint="F2"/>
          <w:shd w:val="clear" w:color="auto" w:fill="FFFFFF"/>
        </w:rPr>
      </w:pPr>
      <w:r>
        <w:rPr>
          <w:color w:val="0D0D0D" w:themeColor="text1" w:themeTint="F2"/>
          <w:shd w:val="clear" w:color="auto" w:fill="FFFFFF"/>
        </w:rPr>
        <w:t>20.</w:t>
      </w:r>
      <w:r w:rsidR="00620039" w:rsidRPr="003D7EE8">
        <w:rPr>
          <w:color w:val="0D0D0D" w:themeColor="text1" w:themeTint="F2"/>
          <w:shd w:val="clear" w:color="auto" w:fill="FFFFFF"/>
        </w:rPr>
        <w:t>McCleary-Jones V. Assessing nursing students' knowledge of health literacy. Nurse Educ. 2012 Sep-Oct;37(5):214-7. doi: 10.1097/NNE.0b013e318262ead3. PMID: 22914282.</w:t>
      </w:r>
    </w:p>
    <w:p w14:paraId="6D86FA7E" w14:textId="77777777" w:rsidR="00620039" w:rsidRPr="003D7EE8" w:rsidRDefault="00620039" w:rsidP="000A210B">
      <w:pPr>
        <w:spacing w:before="240" w:line="360" w:lineRule="auto"/>
        <w:ind w:left="0" w:right="542" w:firstLine="0"/>
        <w:rPr>
          <w:color w:val="0D0D0D" w:themeColor="text1" w:themeTint="F2"/>
        </w:rPr>
      </w:pPr>
      <w:r w:rsidRPr="003D7EE8">
        <w:rPr>
          <w:color w:val="0D0D0D" w:themeColor="text1" w:themeTint="F2"/>
          <w:shd w:val="clear" w:color="auto" w:fill="FFFFFF"/>
        </w:rPr>
        <w:t>21.Ozen N, Bal Ozkaptan B, Coskun S, Terzioglu F. Health literacy of nursing students and its effective factors. Nurs Forum. 2019 Jul;54(3):396-402. doi: 10.1111/nuf.12346. Epub 2019 Apr 17. PMID: 30997673.</w:t>
      </w:r>
    </w:p>
    <w:p w14:paraId="6E4498A0" w14:textId="77777777" w:rsidR="00620039" w:rsidRPr="003D7EE8" w:rsidRDefault="00620039" w:rsidP="000A210B">
      <w:pPr>
        <w:spacing w:before="240" w:after="14" w:line="353" w:lineRule="auto"/>
        <w:ind w:left="0" w:right="552" w:firstLine="0"/>
      </w:pPr>
      <w:r w:rsidRPr="003D7EE8">
        <w:t>2</w:t>
      </w:r>
      <w:r>
        <w:t>3</w:t>
      </w:r>
      <w:r w:rsidRPr="003D7EE8">
        <w:t xml:space="preserve">.Preston CC, Colman AM. Optimal number of response categories in rating scales: reliability, validity, discriminating power, and respondent preferences. Acta psychologica. 2000 Mar 1;104(1):1-5. </w:t>
      </w:r>
    </w:p>
    <w:p w14:paraId="58A01ED8" w14:textId="77777777" w:rsidR="00620039" w:rsidRPr="003D7EE8" w:rsidRDefault="00620039" w:rsidP="000A210B">
      <w:pPr>
        <w:spacing w:before="240" w:after="14" w:line="353" w:lineRule="auto"/>
        <w:ind w:left="0" w:right="552" w:firstLine="0"/>
      </w:pPr>
      <w:r w:rsidRPr="003D7EE8">
        <w:t>2</w:t>
      </w:r>
      <w:r>
        <w:t>4</w:t>
      </w:r>
      <w:r w:rsidRPr="003D7EE8">
        <w:t xml:space="preserve">.Tyupa S. A theoretical framework for back-translation as a quality assessment tool. New Voices in Translation Studies. 2011;7(1):35-46. </w:t>
      </w:r>
    </w:p>
    <w:p w14:paraId="11CC33E4" w14:textId="77777777" w:rsidR="00620039" w:rsidRPr="003D7EE8" w:rsidRDefault="00620039" w:rsidP="000A210B">
      <w:pPr>
        <w:spacing w:before="240" w:after="14" w:line="353" w:lineRule="auto"/>
        <w:ind w:left="0" w:right="552" w:firstLine="0"/>
      </w:pPr>
      <w:r w:rsidRPr="003D7EE8">
        <w:t>2</w:t>
      </w:r>
      <w:r>
        <w:t>5</w:t>
      </w:r>
      <w:r w:rsidRPr="003D7EE8">
        <w:t xml:space="preserve">.Matin, M. and LeBaron, S. Attitudes toward cervical cancer screening among Muslim women: a pilot study. </w:t>
      </w:r>
      <w:r w:rsidRPr="003D7EE8">
        <w:rPr>
          <w:i/>
        </w:rPr>
        <w:t>Women &amp; health</w:t>
      </w:r>
      <w:r w:rsidRPr="003D7EE8">
        <w:t xml:space="preserve">, 2004 </w:t>
      </w:r>
      <w:r w:rsidRPr="003D7EE8">
        <w:rPr>
          <w:i/>
        </w:rPr>
        <w:t>39</w:t>
      </w:r>
      <w:r w:rsidRPr="003D7EE8">
        <w:t xml:space="preserve">(3), pp.63-77. </w:t>
      </w:r>
    </w:p>
    <w:p w14:paraId="61EF6920" w14:textId="77777777" w:rsidR="00620039" w:rsidRPr="003D7EE8" w:rsidRDefault="00620039" w:rsidP="000A210B">
      <w:pPr>
        <w:spacing w:before="240" w:after="48" w:line="353" w:lineRule="auto"/>
        <w:ind w:left="0" w:right="552" w:firstLine="0"/>
      </w:pPr>
      <w:r w:rsidRPr="003D7EE8">
        <w:t>2</w:t>
      </w:r>
      <w:r>
        <w:t>6</w:t>
      </w:r>
      <w:r w:rsidRPr="003D7EE8">
        <w:t xml:space="preserve">.Alarcão V, Stefanovska-Petkovska M, Virgolino A, Santos O, Costa A. Intersections of immigration and sexual/reproductive health: an umbrella literature review with a focus on health equity. Social Sciences. 2021 Feb;10(2):63. </w:t>
      </w:r>
    </w:p>
    <w:p w14:paraId="38A0CC6A" w14:textId="77777777" w:rsidR="00620039" w:rsidRPr="003D7EE8" w:rsidRDefault="00620039" w:rsidP="000A210B">
      <w:pPr>
        <w:spacing w:before="240" w:after="14" w:line="353" w:lineRule="auto"/>
        <w:ind w:left="0" w:right="552" w:firstLine="0"/>
      </w:pPr>
      <w:r w:rsidRPr="003D7EE8">
        <w:t>2</w:t>
      </w:r>
      <w:r>
        <w:t>7</w:t>
      </w:r>
      <w:r w:rsidRPr="003D7EE8">
        <w:t xml:space="preserve">.Çöl M, Aykut NB, Mut AU, Koçak C, Uzun SU, Akın A, Say L, Kobeissi L. Sexual and reproductive health of Syrian refugee women in Turkey: a scoping review within the framework of the MISP objectives. Reproductive health. 2020 Dec;17(1):1-2. </w:t>
      </w:r>
    </w:p>
    <w:p w14:paraId="0BCEC58B" w14:textId="77777777" w:rsidR="00620039" w:rsidRPr="003D7EE8" w:rsidRDefault="00620039" w:rsidP="000A210B">
      <w:pPr>
        <w:spacing w:before="240" w:after="14" w:line="353" w:lineRule="auto"/>
        <w:ind w:left="0" w:right="552" w:firstLine="0"/>
      </w:pPr>
      <w:r w:rsidRPr="003D7EE8">
        <w:t>2</w:t>
      </w:r>
      <w:r>
        <w:t>8</w:t>
      </w:r>
      <w:r w:rsidRPr="003D7EE8">
        <w:t xml:space="preserve">.Mengesha ZB, Perz J, Dune T, Ussher J. Talking about sexual and reproductive health through interpreters: The experiences of health care professionals consulting refugee and migrant women. Sexual &amp; reproductive healthcare. 2018 Jun 1;16: 199-205. </w:t>
      </w:r>
    </w:p>
    <w:p w14:paraId="167D2078" w14:textId="77777777" w:rsidR="00620039" w:rsidRPr="003D7EE8" w:rsidRDefault="00620039" w:rsidP="000A210B">
      <w:pPr>
        <w:spacing w:before="240" w:after="14" w:line="353" w:lineRule="auto"/>
        <w:ind w:left="0" w:right="552" w:firstLine="0"/>
      </w:pPr>
      <w:r w:rsidRPr="003D7EE8">
        <w:t>2</w:t>
      </w:r>
      <w:r>
        <w:t>9</w:t>
      </w:r>
      <w:r w:rsidRPr="003D7EE8">
        <w:t xml:space="preserve">.Svensson P, Carlzén K, Agardh A. Exposure to culturally sensitive sexual health information and impact on health literacy: a qualitative study among newly arrived refugee women in Sweden. Culture, health &amp; sexuality. 2017 Jul 3;19(7):752-66. </w:t>
      </w:r>
    </w:p>
    <w:p w14:paraId="59534D32" w14:textId="77777777" w:rsidR="00620039" w:rsidRPr="003D7EE8" w:rsidRDefault="00620039" w:rsidP="000A210B">
      <w:pPr>
        <w:spacing w:before="240" w:after="14" w:line="353" w:lineRule="auto"/>
        <w:ind w:left="0" w:right="552" w:firstLine="0"/>
      </w:pPr>
      <w:r>
        <w:t>30.</w:t>
      </w:r>
      <w:r w:rsidRPr="003D7EE8">
        <w:t xml:space="preserve">Abdi B, Okal J, Serour G, Temmerman M. “Children are a blessing from God”–a qualitative study exploring the socio-cultural factors influencing contraceptive use in two Muslim communities in Kenya. Reproductive health. 2020 Dec;17(1):1-1. </w:t>
      </w:r>
    </w:p>
    <w:p w14:paraId="6BC55A71" w14:textId="77777777" w:rsidR="00620039" w:rsidRPr="003D7EE8" w:rsidRDefault="00620039" w:rsidP="000A210B">
      <w:pPr>
        <w:spacing w:before="240" w:after="14" w:line="353" w:lineRule="auto"/>
        <w:ind w:left="0" w:right="552" w:firstLine="0"/>
      </w:pPr>
      <w:r>
        <w:lastRenderedPageBreak/>
        <w:t>31.</w:t>
      </w:r>
      <w:r w:rsidRPr="003D7EE8">
        <w:t xml:space="preserve">Selam, G., Erensoy, H., &amp; Luş MG. Investigation of the relationship between sexual myths and parent attitudes of Turkish women. Nesne, 2020 8(17), 180-188. DOI: 10.7816/nesne-0817-02 </w:t>
      </w:r>
    </w:p>
    <w:p w14:paraId="0D2B94BE" w14:textId="77777777" w:rsidR="00620039" w:rsidRDefault="00620039" w:rsidP="000A210B">
      <w:pPr>
        <w:spacing w:before="240" w:after="183" w:line="353" w:lineRule="auto"/>
        <w:ind w:left="0" w:right="552" w:firstLine="0"/>
      </w:pPr>
      <w:r>
        <w:t xml:space="preserve">32. </w:t>
      </w:r>
      <w:r w:rsidRPr="003D7EE8">
        <w:t xml:space="preserve">Bal, M. D., &amp; Aydın Özkan, S. Misconceptions about family planning of women in Turkey. </w:t>
      </w:r>
      <w:r w:rsidRPr="003D7EE8">
        <w:rPr>
          <w:i/>
        </w:rPr>
        <w:t>Journal of Human Sciences</w:t>
      </w:r>
      <w:r w:rsidRPr="003D7EE8">
        <w:t xml:space="preserve">,2015 </w:t>
      </w:r>
      <w:r w:rsidRPr="003D7EE8">
        <w:rPr>
          <w:i/>
        </w:rPr>
        <w:t>12</w:t>
      </w:r>
      <w:r w:rsidRPr="003D7EE8">
        <w:t>(1), 1319–1329</w:t>
      </w:r>
    </w:p>
    <w:p w14:paraId="5BF601E2" w14:textId="77777777" w:rsidR="00620039" w:rsidRDefault="00620039" w:rsidP="000A210B">
      <w:pPr>
        <w:pStyle w:val="ltr"/>
        <w:shd w:val="clear" w:color="auto" w:fill="FFFFFF"/>
        <w:jc w:val="both"/>
        <w:rPr>
          <w:rFonts w:ascii="Arial" w:hAnsi="Arial" w:cs="Arial"/>
          <w:color w:val="333333"/>
          <w:sz w:val="22"/>
          <w:szCs w:val="22"/>
        </w:rPr>
      </w:pPr>
      <w:r w:rsidRPr="008022F0">
        <w:rPr>
          <w:rFonts w:ascii="Arial" w:hAnsi="Arial" w:cs="Arial"/>
          <w:sz w:val="22"/>
          <w:szCs w:val="22"/>
        </w:rPr>
        <w:t xml:space="preserve">33. </w:t>
      </w:r>
      <w:r w:rsidRPr="008022F0">
        <w:rPr>
          <w:rFonts w:ascii="Arial" w:hAnsi="Arial" w:cs="Arial"/>
          <w:color w:val="333333"/>
          <w:sz w:val="22"/>
          <w:szCs w:val="22"/>
        </w:rPr>
        <w:t xml:space="preserve">Ören B, Zengin N, Yazıcı S, Akıncı A. Attitudes, beliefs and comfort levels of </w:t>
      </w:r>
      <w:r>
        <w:rPr>
          <w:rFonts w:ascii="Arial" w:hAnsi="Arial" w:cs="Arial"/>
          <w:color w:val="333333"/>
          <w:sz w:val="22"/>
          <w:szCs w:val="22"/>
        </w:rPr>
        <w:t xml:space="preserve">  </w:t>
      </w:r>
      <w:r w:rsidRPr="008022F0">
        <w:rPr>
          <w:rFonts w:ascii="Arial" w:hAnsi="Arial" w:cs="Arial"/>
          <w:color w:val="333333"/>
          <w:sz w:val="22"/>
          <w:szCs w:val="22"/>
        </w:rPr>
        <w:t>midwifery students regarding sexual counselling in Turkey. Midwifery. 2018; 56: 152-157.</w:t>
      </w:r>
    </w:p>
    <w:p w14:paraId="07B3122C" w14:textId="77777777" w:rsidR="00620039" w:rsidRPr="008022F0" w:rsidRDefault="00620039" w:rsidP="000A210B">
      <w:pPr>
        <w:pStyle w:val="ltr"/>
        <w:shd w:val="clear" w:color="auto" w:fill="FFFFFF"/>
        <w:spacing w:line="276" w:lineRule="auto"/>
        <w:jc w:val="both"/>
        <w:rPr>
          <w:rFonts w:ascii="Arial" w:hAnsi="Arial" w:cs="Arial"/>
          <w:color w:val="333333"/>
          <w:sz w:val="22"/>
          <w:szCs w:val="22"/>
        </w:rPr>
      </w:pPr>
      <w:r>
        <w:rPr>
          <w:rFonts w:ascii="Arial" w:hAnsi="Arial" w:cs="Arial"/>
          <w:sz w:val="22"/>
          <w:szCs w:val="22"/>
        </w:rPr>
        <w:t>34.</w:t>
      </w:r>
      <w:r>
        <w:rPr>
          <w:rFonts w:ascii="Arial" w:hAnsi="Arial" w:cs="Arial"/>
          <w:color w:val="333333"/>
          <w:sz w:val="22"/>
          <w:szCs w:val="22"/>
        </w:rPr>
        <w:t xml:space="preserve"> </w:t>
      </w:r>
      <w:r w:rsidRPr="009E52AF">
        <w:rPr>
          <w:rFonts w:ascii="Arial" w:hAnsi="Arial" w:cs="Arial"/>
          <w:color w:val="333333"/>
          <w:sz w:val="22"/>
          <w:szCs w:val="22"/>
          <w:shd w:val="clear" w:color="auto" w:fill="FFFFFF"/>
        </w:rPr>
        <w:t>Cheung, K.L., ten Klooster, P.M., Smit, C. </w:t>
      </w:r>
      <w:r w:rsidRPr="009E52AF">
        <w:rPr>
          <w:rFonts w:ascii="Arial" w:hAnsi="Arial" w:cs="Arial"/>
          <w:i/>
          <w:iCs/>
          <w:color w:val="333333"/>
          <w:sz w:val="22"/>
          <w:szCs w:val="22"/>
          <w:shd w:val="clear" w:color="auto" w:fill="FFFFFF"/>
        </w:rPr>
        <w:t>et al.</w:t>
      </w:r>
      <w:r w:rsidRPr="009E52AF">
        <w:rPr>
          <w:rFonts w:ascii="Arial" w:hAnsi="Arial" w:cs="Arial"/>
          <w:color w:val="333333"/>
          <w:sz w:val="22"/>
          <w:szCs w:val="22"/>
          <w:shd w:val="clear" w:color="auto" w:fill="FFFFFF"/>
        </w:rPr>
        <w:t> The impact of non-response bias due to sampling in public health studies: A comparison of voluntary versus mandatory recruitment in a Dutch national survey on adolescent health. </w:t>
      </w:r>
      <w:r w:rsidRPr="009E52AF">
        <w:rPr>
          <w:rFonts w:ascii="Arial" w:hAnsi="Arial" w:cs="Arial"/>
          <w:i/>
          <w:iCs/>
          <w:color w:val="333333"/>
          <w:sz w:val="22"/>
          <w:szCs w:val="22"/>
          <w:shd w:val="clear" w:color="auto" w:fill="FFFFFF"/>
        </w:rPr>
        <w:t>BMC Public Health</w:t>
      </w:r>
      <w:r w:rsidRPr="009E52AF">
        <w:rPr>
          <w:rFonts w:ascii="Arial" w:hAnsi="Arial" w:cs="Arial"/>
          <w:color w:val="333333"/>
          <w:sz w:val="22"/>
          <w:szCs w:val="22"/>
          <w:shd w:val="clear" w:color="auto" w:fill="FFFFFF"/>
        </w:rPr>
        <w:t> </w:t>
      </w:r>
      <w:r w:rsidRPr="009E52AF">
        <w:rPr>
          <w:rFonts w:ascii="Arial" w:hAnsi="Arial" w:cs="Arial"/>
          <w:b/>
          <w:bCs/>
          <w:color w:val="333333"/>
          <w:sz w:val="22"/>
          <w:szCs w:val="22"/>
          <w:shd w:val="clear" w:color="auto" w:fill="FFFFFF"/>
        </w:rPr>
        <w:t>17</w:t>
      </w:r>
      <w:r w:rsidRPr="009E52AF">
        <w:rPr>
          <w:rFonts w:ascii="Arial" w:hAnsi="Arial" w:cs="Arial"/>
          <w:color w:val="333333"/>
          <w:sz w:val="22"/>
          <w:szCs w:val="22"/>
          <w:shd w:val="clear" w:color="auto" w:fill="FFFFFF"/>
        </w:rPr>
        <w:t>, 276 (2017). https://doi.org/10.1186/s12889-017-4189-8</w:t>
      </w:r>
    </w:p>
    <w:p w14:paraId="085B2C25" w14:textId="77777777" w:rsidR="00620039" w:rsidRDefault="00620039" w:rsidP="00620039">
      <w:pPr>
        <w:ind w:left="-5" w:right="542"/>
        <w:rPr>
          <w:b/>
        </w:rPr>
      </w:pPr>
    </w:p>
    <w:p w14:paraId="6BDAB5B6" w14:textId="77777777" w:rsidR="00A6443F" w:rsidRDefault="00A6443F"/>
    <w:p w14:paraId="05CB68BA" w14:textId="77777777" w:rsidR="00F26677" w:rsidRDefault="00F26677"/>
    <w:p w14:paraId="4E517615" w14:textId="77777777" w:rsidR="00F26677" w:rsidRDefault="00F26677"/>
    <w:p w14:paraId="7EC774A3" w14:textId="77777777" w:rsidR="00F26677" w:rsidRDefault="00F26677"/>
    <w:p w14:paraId="5D77C3BD" w14:textId="77777777" w:rsidR="00F26677" w:rsidRDefault="00F26677"/>
    <w:p w14:paraId="604E7AA9" w14:textId="77777777" w:rsidR="00F26677" w:rsidRDefault="00F26677"/>
    <w:p w14:paraId="3B6DD7A0" w14:textId="77777777" w:rsidR="00F26677" w:rsidRDefault="00F26677"/>
    <w:p w14:paraId="19812409" w14:textId="77777777" w:rsidR="00F26677" w:rsidRDefault="00F26677"/>
    <w:p w14:paraId="3E4199DA" w14:textId="77777777" w:rsidR="00F26677" w:rsidRDefault="00F26677"/>
    <w:p w14:paraId="347AC98B" w14:textId="77777777" w:rsidR="00F26677" w:rsidRDefault="00F26677"/>
    <w:p w14:paraId="473EC431" w14:textId="77777777" w:rsidR="00F26677" w:rsidRDefault="00F26677"/>
    <w:p w14:paraId="72F3DF4D" w14:textId="77777777" w:rsidR="00F26677" w:rsidRDefault="00F26677"/>
    <w:p w14:paraId="42C269AF" w14:textId="77777777" w:rsidR="00F26677" w:rsidRDefault="00F26677"/>
    <w:p w14:paraId="0FAB9C47" w14:textId="77777777" w:rsidR="00F26677" w:rsidRDefault="00F26677"/>
    <w:p w14:paraId="4C1AAE9C" w14:textId="77777777" w:rsidR="00F26677" w:rsidRDefault="00F26677"/>
    <w:p w14:paraId="1F452CA2" w14:textId="77777777" w:rsidR="00F26677" w:rsidRDefault="00F26677"/>
    <w:p w14:paraId="2907D012" w14:textId="77777777" w:rsidR="00F26677" w:rsidRDefault="00F26677" w:rsidP="00F26677">
      <w:pPr>
        <w:pStyle w:val="Heading1"/>
        <w:spacing w:after="230"/>
        <w:ind w:left="-5" w:right="836"/>
      </w:pPr>
      <w:r>
        <w:t xml:space="preserve">Tables, Figures, and Supplementary material </w:t>
      </w:r>
    </w:p>
    <w:p w14:paraId="2BC60AB2" w14:textId="77777777" w:rsidR="00F26677" w:rsidRDefault="00F26677" w:rsidP="00F26677">
      <w:pPr>
        <w:spacing w:after="276" w:line="259" w:lineRule="auto"/>
        <w:ind w:left="0" w:right="0" w:firstLine="0"/>
        <w:jc w:val="left"/>
      </w:pPr>
      <w:r>
        <w:rPr>
          <w:b/>
          <w:sz w:val="18"/>
        </w:rPr>
        <w:t xml:space="preserve"> </w:t>
      </w:r>
    </w:p>
    <w:p w14:paraId="6795256E" w14:textId="77777777" w:rsidR="00F26677" w:rsidRDefault="00F26677" w:rsidP="00F26677">
      <w:pPr>
        <w:spacing w:after="163" w:line="359" w:lineRule="auto"/>
        <w:ind w:left="-5" w:right="20"/>
        <w:jc w:val="left"/>
        <w:rPr>
          <w:b/>
          <w:sz w:val="18"/>
        </w:rPr>
      </w:pPr>
      <w:r>
        <w:rPr>
          <w:b/>
          <w:sz w:val="18"/>
        </w:rPr>
        <w:t xml:space="preserve">Figure 1. Proportion of participants (%, N = 138) familiarity with the term “Health Literacy” by year of study. </w:t>
      </w:r>
    </w:p>
    <w:p w14:paraId="5FC9D3D6"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r>
        <w:rPr>
          <w:rFonts w:ascii="Times New Roman" w:eastAsiaTheme="minorEastAsia" w:hAnsi="Times New Roman" w:cs="Times New Roman"/>
          <w:noProof/>
          <w:color w:val="auto"/>
          <w:sz w:val="24"/>
          <w:szCs w:val="24"/>
        </w:rPr>
        <w:drawing>
          <wp:inline distT="0" distB="0" distL="0" distR="0" wp14:anchorId="0D43C8E4" wp14:editId="7C7E7943">
            <wp:extent cx="5972175" cy="3514725"/>
            <wp:effectExtent l="0" t="0" r="9525" b="952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5CD0A1A4"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3EC5E82A"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43A1A71C"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0562C710"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5077FD63"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17C581EA"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4ECF21F7"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4DC407F2"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45869B41"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67D34DB5"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64618936"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17AC7301"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0F54BC00"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2D683F95"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490D44ED"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0EE0D6D3"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660E45F3"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74A989BC"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0F4ED3B7"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1425B2DB"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31AE4E8E"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664876E7" w14:textId="77777777" w:rsidR="00F26677" w:rsidRDefault="00F26677" w:rsidP="00F26677">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4AD5F5CE" w14:textId="77777777" w:rsidR="00F26677" w:rsidRDefault="00F26677" w:rsidP="00F26677">
      <w:pPr>
        <w:spacing w:after="0" w:line="259" w:lineRule="auto"/>
        <w:ind w:left="0" w:right="0" w:firstLine="0"/>
        <w:jc w:val="left"/>
      </w:pPr>
    </w:p>
    <w:p w14:paraId="137B31A3" w14:textId="77777777" w:rsidR="00F26677" w:rsidRDefault="00F26677" w:rsidP="00F26677">
      <w:pPr>
        <w:spacing w:after="30" w:line="243" w:lineRule="auto"/>
        <w:ind w:left="0" w:right="555" w:firstLine="0"/>
      </w:pPr>
      <w:r>
        <w:rPr>
          <w:b/>
          <w:sz w:val="18"/>
        </w:rPr>
        <w:t xml:space="preserve">Figure 2. </w:t>
      </w:r>
      <w:r>
        <w:rPr>
          <w:sz w:val="18"/>
        </w:rPr>
        <w:t xml:space="preserve">Proportion of participants (%) agreement that women to whom they provide care are able to access information about SRH topics (contraception, STIs, Pap test and cervical cancer, fertility and pregnancy) either online, from their midwife, from their peers, or from their families.  </w:t>
      </w:r>
    </w:p>
    <w:p w14:paraId="782BFE2C" w14:textId="77777777" w:rsidR="00F26677" w:rsidRDefault="00F26677" w:rsidP="00F26677">
      <w:pPr>
        <w:spacing w:after="0" w:line="259" w:lineRule="auto"/>
        <w:ind w:left="0" w:right="0" w:firstLine="0"/>
        <w:jc w:val="left"/>
      </w:pPr>
      <w:r>
        <w:rPr>
          <w:noProof/>
        </w:rPr>
        <w:drawing>
          <wp:inline distT="0" distB="0" distL="0" distR="0" wp14:anchorId="4AC2D485" wp14:editId="2F5FD9F2">
            <wp:extent cx="6045709" cy="3564636"/>
            <wp:effectExtent l="0" t="0" r="0" b="0"/>
            <wp:docPr id="3225" name="Picture 3225" descr="Chart, surface chart&#10;&#10;Description automatically generated"/>
            <wp:cNvGraphicFramePr/>
            <a:graphic xmlns:a="http://schemas.openxmlformats.org/drawingml/2006/main">
              <a:graphicData uri="http://schemas.openxmlformats.org/drawingml/2006/picture">
                <pic:pic xmlns:pic="http://schemas.openxmlformats.org/drawingml/2006/picture">
                  <pic:nvPicPr>
                    <pic:cNvPr id="3225" name="Picture 3225" descr="Chart, surface chart&#10;&#10;Description automatically generated"/>
                    <pic:cNvPicPr/>
                  </pic:nvPicPr>
                  <pic:blipFill>
                    <a:blip r:embed="rId12"/>
                    <a:stretch>
                      <a:fillRect/>
                    </a:stretch>
                  </pic:blipFill>
                  <pic:spPr>
                    <a:xfrm>
                      <a:off x="0" y="0"/>
                      <a:ext cx="6045709" cy="3564636"/>
                    </a:xfrm>
                    <a:prstGeom prst="rect">
                      <a:avLst/>
                    </a:prstGeom>
                  </pic:spPr>
                </pic:pic>
              </a:graphicData>
            </a:graphic>
          </wp:inline>
        </w:drawing>
      </w:r>
      <w:r>
        <w:rPr>
          <w:b/>
        </w:rPr>
        <w:t xml:space="preserve"> </w:t>
      </w:r>
    </w:p>
    <w:p w14:paraId="20CB0EE9" w14:textId="77777777" w:rsidR="00F26677" w:rsidRDefault="00F26677"/>
    <w:p w14:paraId="63283634" w14:textId="77777777" w:rsidR="00F26677" w:rsidRDefault="00F26677"/>
    <w:p w14:paraId="566831FE" w14:textId="77777777" w:rsidR="00F26677" w:rsidRDefault="00F26677"/>
    <w:p w14:paraId="6010B0A4" w14:textId="77777777" w:rsidR="00F26677" w:rsidRDefault="00F26677"/>
    <w:p w14:paraId="3BC7F2B0" w14:textId="77777777" w:rsidR="00F26677" w:rsidRDefault="00F26677"/>
    <w:p w14:paraId="675091E9" w14:textId="77777777" w:rsidR="00F26677" w:rsidRDefault="00F26677"/>
    <w:p w14:paraId="5D926025" w14:textId="77777777" w:rsidR="00F26677" w:rsidRDefault="00F26677"/>
    <w:p w14:paraId="548ECCF5" w14:textId="77777777" w:rsidR="00F26677" w:rsidRDefault="00F26677"/>
    <w:p w14:paraId="5CD585CD" w14:textId="77777777" w:rsidR="00F26677" w:rsidRDefault="00F26677"/>
    <w:p w14:paraId="5710271D" w14:textId="77777777" w:rsidR="00F26677" w:rsidRDefault="00F26677"/>
    <w:p w14:paraId="62A1369E" w14:textId="77777777" w:rsidR="00F26677" w:rsidRDefault="00F26677"/>
    <w:p w14:paraId="64586423" w14:textId="77777777" w:rsidR="00F26677" w:rsidRDefault="00F26677" w:rsidP="00F26677">
      <w:pPr>
        <w:spacing w:after="197" w:line="359" w:lineRule="auto"/>
        <w:ind w:left="-5" w:right="20"/>
        <w:jc w:val="left"/>
      </w:pPr>
      <w:r>
        <w:rPr>
          <w:b/>
          <w:sz w:val="18"/>
        </w:rPr>
        <w:t>Figure 3.</w:t>
      </w:r>
      <w:r>
        <w:rPr>
          <w:sz w:val="18"/>
        </w:rPr>
        <w:t xml:space="preserve"> </w:t>
      </w:r>
      <w:r>
        <w:rPr>
          <w:b/>
          <w:sz w:val="18"/>
        </w:rPr>
        <w:t>Proportion of participants (%) agreement with statements about false beliefs that women hold about contraception, STIs, abortion, and Pap test and cervical cancer.</w:t>
      </w:r>
      <w:r>
        <w:rPr>
          <w:sz w:val="18"/>
        </w:rPr>
        <w:t xml:space="preserve"> </w:t>
      </w:r>
    </w:p>
    <w:p w14:paraId="2E0691B8" w14:textId="77777777" w:rsidR="00F26677" w:rsidRDefault="00F26677" w:rsidP="00F26677">
      <w:pPr>
        <w:spacing w:after="0" w:line="259" w:lineRule="auto"/>
        <w:ind w:left="0" w:right="252" w:firstLine="0"/>
        <w:jc w:val="right"/>
      </w:pPr>
      <w:r>
        <w:rPr>
          <w:noProof/>
        </w:rPr>
        <w:drawing>
          <wp:inline distT="0" distB="0" distL="0" distR="0" wp14:anchorId="4601AEF2" wp14:editId="49A157A6">
            <wp:extent cx="5885688" cy="3744468"/>
            <wp:effectExtent l="0" t="0" r="0" b="0"/>
            <wp:docPr id="3288" name="Picture 3288"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3288" name="Picture 3288" descr="A picture containing table&#10;&#10;Description automatically generated"/>
                    <pic:cNvPicPr/>
                  </pic:nvPicPr>
                  <pic:blipFill>
                    <a:blip r:embed="rId13"/>
                    <a:stretch>
                      <a:fillRect/>
                    </a:stretch>
                  </pic:blipFill>
                  <pic:spPr>
                    <a:xfrm>
                      <a:off x="0" y="0"/>
                      <a:ext cx="5885688" cy="3744468"/>
                    </a:xfrm>
                    <a:prstGeom prst="rect">
                      <a:avLst/>
                    </a:prstGeom>
                  </pic:spPr>
                </pic:pic>
              </a:graphicData>
            </a:graphic>
          </wp:inline>
        </w:drawing>
      </w:r>
      <w:r>
        <w:t xml:space="preserve"> </w:t>
      </w:r>
    </w:p>
    <w:p w14:paraId="4D11151D" w14:textId="77777777" w:rsidR="00F26677" w:rsidRDefault="00F26677" w:rsidP="00F26677">
      <w:pPr>
        <w:spacing w:after="0" w:line="259" w:lineRule="auto"/>
        <w:ind w:left="0" w:right="0" w:firstLine="0"/>
        <w:jc w:val="left"/>
      </w:pPr>
      <w:r>
        <w:t xml:space="preserve"> </w:t>
      </w:r>
    </w:p>
    <w:p w14:paraId="00CB8D06" w14:textId="77777777" w:rsidR="00435064" w:rsidRDefault="00435064" w:rsidP="00F26677">
      <w:pPr>
        <w:spacing w:after="0" w:line="259" w:lineRule="auto"/>
        <w:ind w:left="0" w:right="0" w:firstLine="0"/>
        <w:jc w:val="left"/>
      </w:pPr>
    </w:p>
    <w:p w14:paraId="0EBCDCF0" w14:textId="77777777" w:rsidR="00435064" w:rsidRDefault="00435064" w:rsidP="00F26677">
      <w:pPr>
        <w:spacing w:after="0" w:line="259" w:lineRule="auto"/>
        <w:ind w:left="0" w:right="0" w:firstLine="0"/>
        <w:jc w:val="left"/>
      </w:pPr>
    </w:p>
    <w:p w14:paraId="5CB7577B" w14:textId="77777777" w:rsidR="00435064" w:rsidRDefault="00435064" w:rsidP="00F26677">
      <w:pPr>
        <w:spacing w:after="0" w:line="259" w:lineRule="auto"/>
        <w:ind w:left="0" w:right="0" w:firstLine="0"/>
        <w:jc w:val="left"/>
      </w:pPr>
    </w:p>
    <w:p w14:paraId="2C0B89F4" w14:textId="77777777" w:rsidR="00435064" w:rsidRDefault="00435064" w:rsidP="00F26677">
      <w:pPr>
        <w:spacing w:after="0" w:line="259" w:lineRule="auto"/>
        <w:ind w:left="0" w:right="0" w:firstLine="0"/>
        <w:jc w:val="left"/>
      </w:pPr>
    </w:p>
    <w:p w14:paraId="214A6723" w14:textId="77777777" w:rsidR="00435064" w:rsidRDefault="00435064" w:rsidP="00F26677">
      <w:pPr>
        <w:spacing w:after="0" w:line="259" w:lineRule="auto"/>
        <w:ind w:left="0" w:right="0" w:firstLine="0"/>
        <w:jc w:val="left"/>
      </w:pPr>
    </w:p>
    <w:p w14:paraId="06624250" w14:textId="77777777" w:rsidR="00435064" w:rsidRDefault="00435064" w:rsidP="00F26677">
      <w:pPr>
        <w:spacing w:after="0" w:line="259" w:lineRule="auto"/>
        <w:ind w:left="0" w:right="0" w:firstLine="0"/>
        <w:jc w:val="left"/>
      </w:pPr>
    </w:p>
    <w:p w14:paraId="66927EE7" w14:textId="77777777" w:rsidR="00435064" w:rsidRDefault="00435064" w:rsidP="00F26677">
      <w:pPr>
        <w:spacing w:after="0" w:line="259" w:lineRule="auto"/>
        <w:ind w:left="0" w:right="0" w:firstLine="0"/>
        <w:jc w:val="left"/>
      </w:pPr>
    </w:p>
    <w:p w14:paraId="3A05F9AD" w14:textId="77777777" w:rsidR="00435064" w:rsidRDefault="00435064" w:rsidP="00F26677">
      <w:pPr>
        <w:spacing w:after="0" w:line="259" w:lineRule="auto"/>
        <w:ind w:left="0" w:right="0" w:firstLine="0"/>
        <w:jc w:val="left"/>
      </w:pPr>
    </w:p>
    <w:p w14:paraId="78715D3E" w14:textId="77777777" w:rsidR="00435064" w:rsidRDefault="00435064" w:rsidP="00F26677">
      <w:pPr>
        <w:spacing w:after="0" w:line="259" w:lineRule="auto"/>
        <w:ind w:left="0" w:right="0" w:firstLine="0"/>
        <w:jc w:val="left"/>
      </w:pPr>
    </w:p>
    <w:p w14:paraId="68080B62" w14:textId="77777777" w:rsidR="00435064" w:rsidRDefault="00435064" w:rsidP="00F26677">
      <w:pPr>
        <w:spacing w:after="0" w:line="259" w:lineRule="auto"/>
        <w:ind w:left="0" w:right="0" w:firstLine="0"/>
        <w:jc w:val="left"/>
      </w:pPr>
    </w:p>
    <w:p w14:paraId="6059AC66" w14:textId="77777777" w:rsidR="00435064" w:rsidRDefault="00435064" w:rsidP="00F26677">
      <w:pPr>
        <w:spacing w:after="0" w:line="259" w:lineRule="auto"/>
        <w:ind w:left="0" w:right="0" w:firstLine="0"/>
        <w:jc w:val="left"/>
      </w:pPr>
    </w:p>
    <w:p w14:paraId="5280CA36" w14:textId="77777777" w:rsidR="00435064" w:rsidRDefault="00435064" w:rsidP="00F26677">
      <w:pPr>
        <w:spacing w:after="0" w:line="259" w:lineRule="auto"/>
        <w:ind w:left="0" w:right="0" w:firstLine="0"/>
        <w:jc w:val="left"/>
      </w:pPr>
    </w:p>
    <w:p w14:paraId="22CE5E00" w14:textId="77777777" w:rsidR="00435064" w:rsidRDefault="00435064" w:rsidP="00F26677">
      <w:pPr>
        <w:spacing w:after="0" w:line="259" w:lineRule="auto"/>
        <w:ind w:left="0" w:right="0" w:firstLine="0"/>
        <w:jc w:val="left"/>
      </w:pPr>
    </w:p>
    <w:p w14:paraId="27287C0A" w14:textId="77777777" w:rsidR="00435064" w:rsidRDefault="00435064" w:rsidP="00F26677">
      <w:pPr>
        <w:spacing w:after="0" w:line="259" w:lineRule="auto"/>
        <w:ind w:left="0" w:right="0" w:firstLine="0"/>
        <w:jc w:val="left"/>
      </w:pPr>
    </w:p>
    <w:p w14:paraId="34F23AE0" w14:textId="77777777" w:rsidR="00435064" w:rsidRDefault="00435064" w:rsidP="00F26677">
      <w:pPr>
        <w:spacing w:after="0" w:line="259" w:lineRule="auto"/>
        <w:ind w:left="0" w:right="0" w:firstLine="0"/>
        <w:jc w:val="left"/>
      </w:pPr>
    </w:p>
    <w:p w14:paraId="08C1DC17" w14:textId="77777777" w:rsidR="00435064" w:rsidRDefault="00435064" w:rsidP="00F26677">
      <w:pPr>
        <w:spacing w:after="0" w:line="259" w:lineRule="auto"/>
        <w:ind w:left="0" w:right="0" w:firstLine="0"/>
        <w:jc w:val="left"/>
      </w:pPr>
    </w:p>
    <w:p w14:paraId="7B96CE1D" w14:textId="77777777" w:rsidR="00435064" w:rsidRDefault="00435064" w:rsidP="00F26677">
      <w:pPr>
        <w:spacing w:after="0" w:line="259" w:lineRule="auto"/>
        <w:ind w:left="0" w:right="0" w:firstLine="0"/>
        <w:jc w:val="left"/>
      </w:pPr>
    </w:p>
    <w:p w14:paraId="13C7A8A3" w14:textId="77777777" w:rsidR="00435064" w:rsidRDefault="00435064" w:rsidP="00F26677">
      <w:pPr>
        <w:spacing w:after="0" w:line="259" w:lineRule="auto"/>
        <w:ind w:left="0" w:right="0" w:firstLine="0"/>
        <w:jc w:val="left"/>
      </w:pPr>
    </w:p>
    <w:p w14:paraId="06DDA13F" w14:textId="77777777" w:rsidR="00435064" w:rsidRDefault="00435064" w:rsidP="00435064">
      <w:pPr>
        <w:spacing w:after="0" w:line="259" w:lineRule="auto"/>
        <w:ind w:left="0" w:right="0" w:firstLine="0"/>
        <w:jc w:val="left"/>
      </w:pPr>
    </w:p>
    <w:p w14:paraId="7F7F9C90" w14:textId="77777777" w:rsidR="00435064" w:rsidRDefault="00435064" w:rsidP="00435064">
      <w:pPr>
        <w:spacing w:after="0" w:line="259" w:lineRule="auto"/>
        <w:ind w:left="-5" w:right="20"/>
        <w:jc w:val="left"/>
      </w:pPr>
      <w:r>
        <w:rPr>
          <w:b/>
          <w:sz w:val="18"/>
        </w:rPr>
        <w:t xml:space="preserve">Table 1. Demographic characteristics of the participants (N = 138). </w:t>
      </w:r>
    </w:p>
    <w:tbl>
      <w:tblPr>
        <w:tblStyle w:val="TableGrid"/>
        <w:tblW w:w="6244" w:type="dxa"/>
        <w:tblInd w:w="-123" w:type="dxa"/>
        <w:tblCellMar>
          <w:top w:w="7" w:type="dxa"/>
          <w:right w:w="115" w:type="dxa"/>
        </w:tblCellMar>
        <w:tblLook w:val="04A0" w:firstRow="1" w:lastRow="0" w:firstColumn="1" w:lastColumn="0" w:noHBand="0" w:noVBand="1"/>
      </w:tblPr>
      <w:tblGrid>
        <w:gridCol w:w="2499"/>
        <w:gridCol w:w="3745"/>
      </w:tblGrid>
      <w:tr w:rsidR="00435064" w14:paraId="1254BD2F" w14:textId="77777777" w:rsidTr="00473E8B">
        <w:trPr>
          <w:trHeight w:val="319"/>
        </w:trPr>
        <w:tc>
          <w:tcPr>
            <w:tcW w:w="2499" w:type="dxa"/>
            <w:tcBorders>
              <w:top w:val="single" w:sz="4" w:space="0" w:color="000000"/>
              <w:left w:val="nil"/>
              <w:bottom w:val="single" w:sz="4" w:space="0" w:color="000000"/>
              <w:right w:val="nil"/>
            </w:tcBorders>
          </w:tcPr>
          <w:p w14:paraId="5DA646BB" w14:textId="77777777" w:rsidR="00435064" w:rsidRDefault="00435064" w:rsidP="00473E8B">
            <w:pPr>
              <w:spacing w:after="0" w:line="259" w:lineRule="auto"/>
              <w:ind w:left="123" w:right="0" w:firstLine="0"/>
              <w:jc w:val="left"/>
            </w:pPr>
            <w:r>
              <w:rPr>
                <w:sz w:val="18"/>
              </w:rPr>
              <w:t xml:space="preserve">Characteristic </w:t>
            </w:r>
          </w:p>
        </w:tc>
        <w:tc>
          <w:tcPr>
            <w:tcW w:w="3745" w:type="dxa"/>
            <w:tcBorders>
              <w:top w:val="single" w:sz="4" w:space="0" w:color="000000"/>
              <w:left w:val="nil"/>
              <w:bottom w:val="single" w:sz="4" w:space="0" w:color="000000"/>
              <w:right w:val="nil"/>
            </w:tcBorders>
          </w:tcPr>
          <w:p w14:paraId="4EF46F0A" w14:textId="77777777" w:rsidR="00435064" w:rsidRDefault="00435064" w:rsidP="00473E8B">
            <w:pPr>
              <w:spacing w:after="0" w:line="259" w:lineRule="auto"/>
              <w:ind w:left="0" w:right="0" w:firstLine="0"/>
              <w:jc w:val="left"/>
            </w:pPr>
            <w:r>
              <w:rPr>
                <w:i/>
                <w:sz w:val="18"/>
              </w:rPr>
              <w:t xml:space="preserve">n (%) </w:t>
            </w:r>
          </w:p>
        </w:tc>
      </w:tr>
      <w:tr w:rsidR="00435064" w14:paraId="08BAC52A" w14:textId="77777777" w:rsidTr="00473E8B">
        <w:trPr>
          <w:trHeight w:val="577"/>
        </w:trPr>
        <w:tc>
          <w:tcPr>
            <w:tcW w:w="2499" w:type="dxa"/>
            <w:tcBorders>
              <w:top w:val="single" w:sz="4" w:space="0" w:color="000000"/>
              <w:left w:val="nil"/>
              <w:bottom w:val="nil"/>
              <w:right w:val="nil"/>
            </w:tcBorders>
          </w:tcPr>
          <w:p w14:paraId="57EA72CA" w14:textId="77777777" w:rsidR="00435064" w:rsidRDefault="00435064" w:rsidP="00473E8B">
            <w:pPr>
              <w:spacing w:after="91" w:line="259" w:lineRule="auto"/>
              <w:ind w:left="123" w:right="0" w:firstLine="0"/>
              <w:jc w:val="left"/>
            </w:pPr>
            <w:r>
              <w:rPr>
                <w:b/>
                <w:sz w:val="18"/>
              </w:rPr>
              <w:t xml:space="preserve">Age (Yrs) </w:t>
            </w:r>
          </w:p>
          <w:p w14:paraId="58428A7F" w14:textId="77777777" w:rsidR="00435064" w:rsidRDefault="00435064" w:rsidP="00473E8B">
            <w:pPr>
              <w:spacing w:after="0" w:line="259" w:lineRule="auto"/>
              <w:ind w:left="123" w:right="0" w:firstLine="0"/>
              <w:jc w:val="left"/>
            </w:pPr>
            <w:r>
              <w:rPr>
                <w:sz w:val="18"/>
              </w:rPr>
              <w:t xml:space="preserve">Range </w:t>
            </w:r>
          </w:p>
        </w:tc>
        <w:tc>
          <w:tcPr>
            <w:tcW w:w="3745" w:type="dxa"/>
            <w:tcBorders>
              <w:top w:val="single" w:sz="4" w:space="0" w:color="000000"/>
              <w:left w:val="nil"/>
              <w:bottom w:val="nil"/>
              <w:right w:val="nil"/>
            </w:tcBorders>
          </w:tcPr>
          <w:p w14:paraId="0BC7FF2F" w14:textId="77777777" w:rsidR="00435064" w:rsidRDefault="00435064" w:rsidP="00473E8B">
            <w:pPr>
              <w:spacing w:after="86" w:line="259" w:lineRule="auto"/>
              <w:ind w:left="0" w:right="0" w:firstLine="0"/>
              <w:jc w:val="left"/>
            </w:pPr>
            <w:r>
              <w:rPr>
                <w:sz w:val="18"/>
              </w:rPr>
              <w:t xml:space="preserve"> </w:t>
            </w:r>
          </w:p>
          <w:p w14:paraId="129567C6" w14:textId="77777777" w:rsidR="00435064" w:rsidRDefault="00435064" w:rsidP="00473E8B">
            <w:pPr>
              <w:spacing w:after="0" w:line="259" w:lineRule="auto"/>
              <w:ind w:left="0" w:right="0" w:firstLine="0"/>
              <w:jc w:val="left"/>
            </w:pPr>
            <w:r>
              <w:rPr>
                <w:sz w:val="18"/>
              </w:rPr>
              <w:t xml:space="preserve">18 - 24  </w:t>
            </w:r>
          </w:p>
        </w:tc>
      </w:tr>
      <w:tr w:rsidR="00435064" w14:paraId="3CCE8171" w14:textId="77777777" w:rsidTr="00473E8B">
        <w:trPr>
          <w:trHeight w:val="308"/>
        </w:trPr>
        <w:tc>
          <w:tcPr>
            <w:tcW w:w="2499" w:type="dxa"/>
            <w:tcBorders>
              <w:top w:val="nil"/>
              <w:left w:val="nil"/>
              <w:bottom w:val="nil"/>
              <w:right w:val="nil"/>
            </w:tcBorders>
          </w:tcPr>
          <w:p w14:paraId="002A9283" w14:textId="77777777" w:rsidR="00435064" w:rsidRDefault="00435064" w:rsidP="00473E8B">
            <w:pPr>
              <w:spacing w:after="0" w:line="259" w:lineRule="auto"/>
              <w:ind w:left="123" w:right="0" w:firstLine="0"/>
              <w:jc w:val="left"/>
            </w:pPr>
            <w:r>
              <w:rPr>
                <w:sz w:val="18"/>
              </w:rPr>
              <w:t xml:space="preserve">Mean ± SD </w:t>
            </w:r>
          </w:p>
        </w:tc>
        <w:tc>
          <w:tcPr>
            <w:tcW w:w="3745" w:type="dxa"/>
            <w:tcBorders>
              <w:top w:val="nil"/>
              <w:left w:val="nil"/>
              <w:bottom w:val="nil"/>
              <w:right w:val="nil"/>
            </w:tcBorders>
          </w:tcPr>
          <w:p w14:paraId="7C434C2E" w14:textId="77777777" w:rsidR="00435064" w:rsidRDefault="00435064" w:rsidP="00473E8B">
            <w:pPr>
              <w:spacing w:after="0" w:line="259" w:lineRule="auto"/>
              <w:ind w:left="0" w:right="0" w:firstLine="0"/>
              <w:jc w:val="left"/>
            </w:pPr>
            <w:r>
              <w:rPr>
                <w:sz w:val="18"/>
              </w:rPr>
              <w:t xml:space="preserve">20.75 ± 1.31 </w:t>
            </w:r>
          </w:p>
        </w:tc>
      </w:tr>
      <w:tr w:rsidR="00435064" w14:paraId="4BAE80D4" w14:textId="77777777" w:rsidTr="00473E8B">
        <w:trPr>
          <w:trHeight w:val="620"/>
        </w:trPr>
        <w:tc>
          <w:tcPr>
            <w:tcW w:w="2499" w:type="dxa"/>
            <w:tcBorders>
              <w:top w:val="nil"/>
              <w:left w:val="nil"/>
              <w:bottom w:val="nil"/>
              <w:right w:val="nil"/>
            </w:tcBorders>
          </w:tcPr>
          <w:p w14:paraId="59489029" w14:textId="77777777" w:rsidR="00435064" w:rsidRDefault="00435064" w:rsidP="00473E8B">
            <w:pPr>
              <w:spacing w:after="91" w:line="259" w:lineRule="auto"/>
              <w:ind w:left="123" w:right="0" w:firstLine="0"/>
              <w:jc w:val="left"/>
            </w:pPr>
            <w:r>
              <w:rPr>
                <w:b/>
                <w:sz w:val="18"/>
              </w:rPr>
              <w:t xml:space="preserve">Gender </w:t>
            </w:r>
          </w:p>
          <w:p w14:paraId="4FCF5301" w14:textId="77777777" w:rsidR="00435064" w:rsidRDefault="00435064" w:rsidP="00473E8B">
            <w:pPr>
              <w:spacing w:after="0" w:line="259" w:lineRule="auto"/>
              <w:ind w:left="123" w:right="0" w:firstLine="0"/>
              <w:jc w:val="left"/>
            </w:pPr>
            <w:r>
              <w:rPr>
                <w:sz w:val="18"/>
              </w:rPr>
              <w:t xml:space="preserve">Female </w:t>
            </w:r>
          </w:p>
        </w:tc>
        <w:tc>
          <w:tcPr>
            <w:tcW w:w="3745" w:type="dxa"/>
            <w:tcBorders>
              <w:top w:val="nil"/>
              <w:left w:val="nil"/>
              <w:bottom w:val="nil"/>
              <w:right w:val="nil"/>
            </w:tcBorders>
          </w:tcPr>
          <w:p w14:paraId="5FB02C98" w14:textId="77777777" w:rsidR="00435064" w:rsidRDefault="00435064" w:rsidP="00473E8B">
            <w:pPr>
              <w:spacing w:after="86" w:line="259" w:lineRule="auto"/>
              <w:ind w:left="0" w:right="0" w:firstLine="0"/>
              <w:jc w:val="left"/>
            </w:pPr>
            <w:r>
              <w:rPr>
                <w:sz w:val="18"/>
              </w:rPr>
              <w:t xml:space="preserve"> </w:t>
            </w:r>
          </w:p>
          <w:p w14:paraId="04ABBE41" w14:textId="77777777" w:rsidR="00435064" w:rsidRDefault="00435064" w:rsidP="00473E8B">
            <w:pPr>
              <w:spacing w:after="0" w:line="259" w:lineRule="auto"/>
              <w:ind w:left="0" w:right="0" w:firstLine="0"/>
              <w:jc w:val="left"/>
            </w:pPr>
            <w:r>
              <w:rPr>
                <w:sz w:val="18"/>
              </w:rPr>
              <w:t xml:space="preserve">138 (100) </w:t>
            </w:r>
          </w:p>
        </w:tc>
      </w:tr>
      <w:tr w:rsidR="00435064" w14:paraId="1B9CDF5A" w14:textId="77777777" w:rsidTr="00473E8B">
        <w:trPr>
          <w:trHeight w:val="624"/>
        </w:trPr>
        <w:tc>
          <w:tcPr>
            <w:tcW w:w="2499" w:type="dxa"/>
            <w:tcBorders>
              <w:top w:val="nil"/>
              <w:left w:val="nil"/>
              <w:bottom w:val="nil"/>
              <w:right w:val="nil"/>
            </w:tcBorders>
          </w:tcPr>
          <w:p w14:paraId="00912E38" w14:textId="77777777" w:rsidR="00435064" w:rsidRDefault="00435064" w:rsidP="00473E8B">
            <w:pPr>
              <w:spacing w:after="93" w:line="259" w:lineRule="auto"/>
              <w:ind w:left="123" w:right="0" w:firstLine="0"/>
              <w:jc w:val="left"/>
            </w:pPr>
            <w:r>
              <w:rPr>
                <w:b/>
                <w:sz w:val="18"/>
              </w:rPr>
              <w:t xml:space="preserve">Marital status </w:t>
            </w:r>
          </w:p>
          <w:p w14:paraId="5CA6CEB8" w14:textId="77777777" w:rsidR="00435064" w:rsidRDefault="00435064" w:rsidP="00473E8B">
            <w:pPr>
              <w:spacing w:after="0" w:line="259" w:lineRule="auto"/>
              <w:ind w:left="123" w:right="0" w:firstLine="0"/>
              <w:jc w:val="left"/>
            </w:pPr>
            <w:r>
              <w:rPr>
                <w:sz w:val="18"/>
              </w:rPr>
              <w:t xml:space="preserve">Single  </w:t>
            </w:r>
          </w:p>
        </w:tc>
        <w:tc>
          <w:tcPr>
            <w:tcW w:w="3745" w:type="dxa"/>
            <w:tcBorders>
              <w:top w:val="nil"/>
              <w:left w:val="nil"/>
              <w:bottom w:val="nil"/>
              <w:right w:val="nil"/>
            </w:tcBorders>
          </w:tcPr>
          <w:p w14:paraId="0655416A" w14:textId="77777777" w:rsidR="00435064" w:rsidRDefault="00435064" w:rsidP="00473E8B">
            <w:pPr>
              <w:spacing w:after="88" w:line="259" w:lineRule="auto"/>
              <w:ind w:left="0" w:right="0" w:firstLine="0"/>
              <w:jc w:val="left"/>
            </w:pPr>
            <w:r>
              <w:rPr>
                <w:sz w:val="18"/>
              </w:rPr>
              <w:t xml:space="preserve"> </w:t>
            </w:r>
          </w:p>
          <w:p w14:paraId="0FBB32E9" w14:textId="77777777" w:rsidR="00435064" w:rsidRDefault="00435064" w:rsidP="00473E8B">
            <w:pPr>
              <w:spacing w:after="0" w:line="259" w:lineRule="auto"/>
              <w:ind w:left="0" w:right="0" w:firstLine="0"/>
              <w:jc w:val="left"/>
            </w:pPr>
            <w:r>
              <w:rPr>
                <w:sz w:val="18"/>
              </w:rPr>
              <w:t xml:space="preserve">137 (99.3) </w:t>
            </w:r>
          </w:p>
        </w:tc>
      </w:tr>
      <w:tr w:rsidR="00435064" w14:paraId="408B7B23" w14:textId="77777777" w:rsidTr="00473E8B">
        <w:trPr>
          <w:trHeight w:val="308"/>
        </w:trPr>
        <w:tc>
          <w:tcPr>
            <w:tcW w:w="2499" w:type="dxa"/>
            <w:tcBorders>
              <w:top w:val="nil"/>
              <w:left w:val="nil"/>
              <w:bottom w:val="nil"/>
              <w:right w:val="nil"/>
            </w:tcBorders>
          </w:tcPr>
          <w:p w14:paraId="6C3136D7" w14:textId="77777777" w:rsidR="00435064" w:rsidRDefault="00435064" w:rsidP="00473E8B">
            <w:pPr>
              <w:spacing w:after="0" w:line="259" w:lineRule="auto"/>
              <w:ind w:left="123" w:right="0" w:firstLine="0"/>
              <w:jc w:val="left"/>
            </w:pPr>
            <w:r>
              <w:rPr>
                <w:sz w:val="18"/>
              </w:rPr>
              <w:t xml:space="preserve">Married </w:t>
            </w:r>
          </w:p>
        </w:tc>
        <w:tc>
          <w:tcPr>
            <w:tcW w:w="3745" w:type="dxa"/>
            <w:tcBorders>
              <w:top w:val="nil"/>
              <w:left w:val="nil"/>
              <w:bottom w:val="nil"/>
              <w:right w:val="nil"/>
            </w:tcBorders>
          </w:tcPr>
          <w:p w14:paraId="3711CA52" w14:textId="77777777" w:rsidR="00435064" w:rsidRDefault="00435064" w:rsidP="00473E8B">
            <w:pPr>
              <w:spacing w:after="0" w:line="259" w:lineRule="auto"/>
              <w:ind w:left="0" w:right="0" w:firstLine="0"/>
              <w:jc w:val="left"/>
            </w:pPr>
            <w:r>
              <w:rPr>
                <w:sz w:val="18"/>
              </w:rPr>
              <w:t xml:space="preserve">1 (0.7) </w:t>
            </w:r>
          </w:p>
        </w:tc>
      </w:tr>
      <w:tr w:rsidR="00435064" w14:paraId="312A503B" w14:textId="77777777" w:rsidTr="00473E8B">
        <w:trPr>
          <w:trHeight w:val="621"/>
        </w:trPr>
        <w:tc>
          <w:tcPr>
            <w:tcW w:w="2499" w:type="dxa"/>
            <w:tcBorders>
              <w:top w:val="nil"/>
              <w:left w:val="nil"/>
              <w:bottom w:val="nil"/>
              <w:right w:val="nil"/>
            </w:tcBorders>
          </w:tcPr>
          <w:p w14:paraId="41FFD544" w14:textId="77777777" w:rsidR="00435064" w:rsidRDefault="00435064" w:rsidP="00473E8B">
            <w:pPr>
              <w:spacing w:after="86" w:line="259" w:lineRule="auto"/>
              <w:ind w:left="123" w:right="0" w:firstLine="0"/>
              <w:jc w:val="left"/>
            </w:pPr>
            <w:r>
              <w:rPr>
                <w:b/>
                <w:sz w:val="18"/>
              </w:rPr>
              <w:t xml:space="preserve">Year of study </w:t>
            </w:r>
          </w:p>
          <w:p w14:paraId="0EA56C98" w14:textId="77777777" w:rsidR="00435064" w:rsidRDefault="00435064" w:rsidP="00473E8B">
            <w:pPr>
              <w:spacing w:after="0" w:line="259" w:lineRule="auto"/>
              <w:ind w:left="123" w:right="0" w:firstLine="0"/>
              <w:jc w:val="left"/>
            </w:pPr>
            <w:r>
              <w:rPr>
                <w:sz w:val="18"/>
              </w:rPr>
              <w:t>2</w:t>
            </w:r>
            <w:r>
              <w:rPr>
                <w:sz w:val="18"/>
                <w:vertAlign w:val="superscript"/>
              </w:rPr>
              <w:t>nd</w:t>
            </w:r>
            <w:r>
              <w:rPr>
                <w:sz w:val="18"/>
              </w:rPr>
              <w:t xml:space="preserve"> class year </w:t>
            </w:r>
          </w:p>
        </w:tc>
        <w:tc>
          <w:tcPr>
            <w:tcW w:w="3745" w:type="dxa"/>
            <w:tcBorders>
              <w:top w:val="nil"/>
              <w:left w:val="nil"/>
              <w:bottom w:val="nil"/>
              <w:right w:val="nil"/>
            </w:tcBorders>
          </w:tcPr>
          <w:p w14:paraId="7B43C35B" w14:textId="77777777" w:rsidR="00435064" w:rsidRDefault="00435064" w:rsidP="00473E8B">
            <w:pPr>
              <w:spacing w:after="88" w:line="259" w:lineRule="auto"/>
              <w:ind w:left="0" w:right="0" w:firstLine="0"/>
              <w:jc w:val="left"/>
            </w:pPr>
            <w:r>
              <w:rPr>
                <w:sz w:val="18"/>
              </w:rPr>
              <w:t xml:space="preserve"> </w:t>
            </w:r>
          </w:p>
          <w:p w14:paraId="71AA667A" w14:textId="77777777" w:rsidR="00435064" w:rsidRDefault="00435064" w:rsidP="00473E8B">
            <w:pPr>
              <w:spacing w:after="0" w:line="259" w:lineRule="auto"/>
              <w:ind w:left="0" w:right="0" w:firstLine="0"/>
              <w:jc w:val="left"/>
            </w:pPr>
            <w:r>
              <w:rPr>
                <w:sz w:val="18"/>
              </w:rPr>
              <w:t xml:space="preserve">91 (65.9) </w:t>
            </w:r>
          </w:p>
        </w:tc>
      </w:tr>
      <w:tr w:rsidR="00435064" w14:paraId="5147B513" w14:textId="77777777" w:rsidTr="00473E8B">
        <w:trPr>
          <w:trHeight w:val="311"/>
        </w:trPr>
        <w:tc>
          <w:tcPr>
            <w:tcW w:w="2499" w:type="dxa"/>
            <w:tcBorders>
              <w:top w:val="nil"/>
              <w:left w:val="nil"/>
              <w:bottom w:val="nil"/>
              <w:right w:val="nil"/>
            </w:tcBorders>
          </w:tcPr>
          <w:p w14:paraId="3F54AF4A" w14:textId="77777777" w:rsidR="00435064" w:rsidRDefault="00435064" w:rsidP="00473E8B">
            <w:pPr>
              <w:spacing w:after="0" w:line="259" w:lineRule="auto"/>
              <w:ind w:left="123" w:right="0" w:firstLine="0"/>
              <w:jc w:val="left"/>
            </w:pPr>
            <w:r>
              <w:rPr>
                <w:sz w:val="18"/>
              </w:rPr>
              <w:t>3</w:t>
            </w:r>
            <w:r>
              <w:rPr>
                <w:sz w:val="18"/>
                <w:vertAlign w:val="superscript"/>
              </w:rPr>
              <w:t>rd</w:t>
            </w:r>
            <w:r>
              <w:rPr>
                <w:sz w:val="18"/>
              </w:rPr>
              <w:t xml:space="preserve"> class year </w:t>
            </w:r>
          </w:p>
        </w:tc>
        <w:tc>
          <w:tcPr>
            <w:tcW w:w="3745" w:type="dxa"/>
            <w:tcBorders>
              <w:top w:val="nil"/>
              <w:left w:val="nil"/>
              <w:bottom w:val="nil"/>
              <w:right w:val="nil"/>
            </w:tcBorders>
          </w:tcPr>
          <w:p w14:paraId="2ED58B24" w14:textId="77777777" w:rsidR="00435064" w:rsidRDefault="00435064" w:rsidP="00473E8B">
            <w:pPr>
              <w:spacing w:after="0" w:line="259" w:lineRule="auto"/>
              <w:ind w:left="0" w:right="0" w:firstLine="0"/>
              <w:jc w:val="left"/>
            </w:pPr>
            <w:r>
              <w:rPr>
                <w:sz w:val="18"/>
              </w:rPr>
              <w:t xml:space="preserve">23 (16.7) </w:t>
            </w:r>
          </w:p>
        </w:tc>
      </w:tr>
      <w:tr w:rsidR="00435064" w14:paraId="00779145" w14:textId="77777777" w:rsidTr="00473E8B">
        <w:trPr>
          <w:trHeight w:val="311"/>
        </w:trPr>
        <w:tc>
          <w:tcPr>
            <w:tcW w:w="2499" w:type="dxa"/>
            <w:tcBorders>
              <w:top w:val="nil"/>
              <w:left w:val="nil"/>
              <w:bottom w:val="nil"/>
              <w:right w:val="nil"/>
            </w:tcBorders>
          </w:tcPr>
          <w:p w14:paraId="46FA814E" w14:textId="77777777" w:rsidR="00435064" w:rsidRDefault="00435064" w:rsidP="00473E8B">
            <w:pPr>
              <w:spacing w:after="0" w:line="259" w:lineRule="auto"/>
              <w:ind w:left="123" w:right="0" w:firstLine="0"/>
              <w:jc w:val="left"/>
            </w:pPr>
            <w:r>
              <w:rPr>
                <w:sz w:val="18"/>
              </w:rPr>
              <w:t>4</w:t>
            </w:r>
            <w:r>
              <w:rPr>
                <w:sz w:val="18"/>
                <w:vertAlign w:val="superscript"/>
              </w:rPr>
              <w:t>th</w:t>
            </w:r>
            <w:r>
              <w:rPr>
                <w:sz w:val="18"/>
              </w:rPr>
              <w:t xml:space="preserve"> class year </w:t>
            </w:r>
          </w:p>
        </w:tc>
        <w:tc>
          <w:tcPr>
            <w:tcW w:w="3745" w:type="dxa"/>
            <w:tcBorders>
              <w:top w:val="nil"/>
              <w:left w:val="nil"/>
              <w:bottom w:val="nil"/>
              <w:right w:val="nil"/>
            </w:tcBorders>
          </w:tcPr>
          <w:p w14:paraId="133F5A4A" w14:textId="77777777" w:rsidR="00435064" w:rsidRDefault="00435064" w:rsidP="00473E8B">
            <w:pPr>
              <w:spacing w:after="0" w:line="259" w:lineRule="auto"/>
              <w:ind w:left="0" w:right="0" w:firstLine="0"/>
              <w:jc w:val="left"/>
            </w:pPr>
            <w:r>
              <w:rPr>
                <w:sz w:val="18"/>
              </w:rPr>
              <w:t xml:space="preserve">24 (17.4) </w:t>
            </w:r>
          </w:p>
        </w:tc>
      </w:tr>
      <w:tr w:rsidR="00435064" w14:paraId="6D9C1EB2" w14:textId="77777777" w:rsidTr="00473E8B">
        <w:trPr>
          <w:trHeight w:val="623"/>
        </w:trPr>
        <w:tc>
          <w:tcPr>
            <w:tcW w:w="2499" w:type="dxa"/>
            <w:tcBorders>
              <w:top w:val="nil"/>
              <w:left w:val="nil"/>
              <w:bottom w:val="nil"/>
              <w:right w:val="nil"/>
            </w:tcBorders>
          </w:tcPr>
          <w:p w14:paraId="060CA304" w14:textId="77777777" w:rsidR="00435064" w:rsidRDefault="00435064" w:rsidP="00473E8B">
            <w:pPr>
              <w:spacing w:after="91" w:line="259" w:lineRule="auto"/>
              <w:ind w:left="123" w:right="0" w:firstLine="0"/>
              <w:jc w:val="left"/>
            </w:pPr>
            <w:r>
              <w:rPr>
                <w:b/>
                <w:sz w:val="18"/>
              </w:rPr>
              <w:t xml:space="preserve">Religion </w:t>
            </w:r>
          </w:p>
          <w:p w14:paraId="2DD6849B" w14:textId="77777777" w:rsidR="00435064" w:rsidRDefault="00435064" w:rsidP="00473E8B">
            <w:pPr>
              <w:spacing w:after="0" w:line="259" w:lineRule="auto"/>
              <w:ind w:left="123" w:right="0" w:firstLine="0"/>
              <w:jc w:val="left"/>
            </w:pPr>
            <w:r>
              <w:rPr>
                <w:sz w:val="18"/>
              </w:rPr>
              <w:t xml:space="preserve">Islam </w:t>
            </w:r>
          </w:p>
        </w:tc>
        <w:tc>
          <w:tcPr>
            <w:tcW w:w="3745" w:type="dxa"/>
            <w:tcBorders>
              <w:top w:val="nil"/>
              <w:left w:val="nil"/>
              <w:bottom w:val="nil"/>
              <w:right w:val="nil"/>
            </w:tcBorders>
          </w:tcPr>
          <w:p w14:paraId="19A9FD78" w14:textId="77777777" w:rsidR="00435064" w:rsidRDefault="00435064" w:rsidP="00473E8B">
            <w:pPr>
              <w:spacing w:after="86" w:line="259" w:lineRule="auto"/>
              <w:ind w:left="0" w:right="0" w:firstLine="0"/>
              <w:jc w:val="left"/>
            </w:pPr>
            <w:r>
              <w:rPr>
                <w:sz w:val="18"/>
              </w:rPr>
              <w:t xml:space="preserve"> </w:t>
            </w:r>
          </w:p>
          <w:p w14:paraId="296D9FE7" w14:textId="77777777" w:rsidR="00435064" w:rsidRDefault="00435064" w:rsidP="00473E8B">
            <w:pPr>
              <w:spacing w:after="0" w:line="259" w:lineRule="auto"/>
              <w:ind w:left="0" w:right="0" w:firstLine="0"/>
              <w:jc w:val="left"/>
            </w:pPr>
            <w:r>
              <w:rPr>
                <w:sz w:val="18"/>
              </w:rPr>
              <w:t xml:space="preserve">133 (96.4) </w:t>
            </w:r>
          </w:p>
        </w:tc>
      </w:tr>
      <w:tr w:rsidR="00435064" w14:paraId="7AE60D63" w14:textId="77777777" w:rsidTr="00473E8B">
        <w:trPr>
          <w:trHeight w:val="311"/>
        </w:trPr>
        <w:tc>
          <w:tcPr>
            <w:tcW w:w="2499" w:type="dxa"/>
            <w:tcBorders>
              <w:top w:val="nil"/>
              <w:left w:val="nil"/>
              <w:bottom w:val="nil"/>
              <w:right w:val="nil"/>
            </w:tcBorders>
          </w:tcPr>
          <w:p w14:paraId="19527695" w14:textId="77777777" w:rsidR="00435064" w:rsidRDefault="00435064" w:rsidP="00473E8B">
            <w:pPr>
              <w:spacing w:after="0" w:line="259" w:lineRule="auto"/>
              <w:ind w:left="123" w:right="0" w:firstLine="0"/>
              <w:jc w:val="left"/>
            </w:pPr>
            <w:r>
              <w:rPr>
                <w:sz w:val="18"/>
              </w:rPr>
              <w:t xml:space="preserve">Christianity </w:t>
            </w:r>
          </w:p>
        </w:tc>
        <w:tc>
          <w:tcPr>
            <w:tcW w:w="3745" w:type="dxa"/>
            <w:tcBorders>
              <w:top w:val="nil"/>
              <w:left w:val="nil"/>
              <w:bottom w:val="nil"/>
              <w:right w:val="nil"/>
            </w:tcBorders>
          </w:tcPr>
          <w:p w14:paraId="0B9C012F" w14:textId="77777777" w:rsidR="00435064" w:rsidRDefault="00435064" w:rsidP="00473E8B">
            <w:pPr>
              <w:spacing w:after="0" w:line="259" w:lineRule="auto"/>
              <w:ind w:left="0" w:right="0" w:firstLine="0"/>
              <w:jc w:val="left"/>
            </w:pPr>
            <w:r>
              <w:rPr>
                <w:sz w:val="18"/>
              </w:rPr>
              <w:t xml:space="preserve">1 (0.7) </w:t>
            </w:r>
          </w:p>
        </w:tc>
      </w:tr>
      <w:tr w:rsidR="00435064" w14:paraId="641496E6" w14:textId="77777777" w:rsidTr="00473E8B">
        <w:trPr>
          <w:trHeight w:val="310"/>
        </w:trPr>
        <w:tc>
          <w:tcPr>
            <w:tcW w:w="2499" w:type="dxa"/>
            <w:tcBorders>
              <w:top w:val="nil"/>
              <w:left w:val="nil"/>
              <w:bottom w:val="nil"/>
              <w:right w:val="nil"/>
            </w:tcBorders>
          </w:tcPr>
          <w:p w14:paraId="669C7A56" w14:textId="77777777" w:rsidR="00435064" w:rsidRDefault="00435064" w:rsidP="00473E8B">
            <w:pPr>
              <w:spacing w:after="0" w:line="259" w:lineRule="auto"/>
              <w:ind w:left="123" w:right="0" w:firstLine="0"/>
              <w:jc w:val="left"/>
            </w:pPr>
            <w:r>
              <w:rPr>
                <w:sz w:val="18"/>
              </w:rPr>
              <w:t xml:space="preserve">No religion </w:t>
            </w:r>
          </w:p>
        </w:tc>
        <w:tc>
          <w:tcPr>
            <w:tcW w:w="3745" w:type="dxa"/>
            <w:tcBorders>
              <w:top w:val="nil"/>
              <w:left w:val="nil"/>
              <w:bottom w:val="nil"/>
              <w:right w:val="nil"/>
            </w:tcBorders>
          </w:tcPr>
          <w:p w14:paraId="1C0E1A53" w14:textId="77777777" w:rsidR="00435064" w:rsidRDefault="00435064" w:rsidP="00473E8B">
            <w:pPr>
              <w:spacing w:after="0" w:line="259" w:lineRule="auto"/>
              <w:ind w:left="0" w:right="0" w:firstLine="0"/>
              <w:jc w:val="left"/>
            </w:pPr>
            <w:r>
              <w:rPr>
                <w:sz w:val="18"/>
              </w:rPr>
              <w:t xml:space="preserve">3 (2.2) </w:t>
            </w:r>
          </w:p>
        </w:tc>
      </w:tr>
      <w:tr w:rsidR="00435064" w14:paraId="773E4330" w14:textId="77777777" w:rsidTr="00473E8B">
        <w:trPr>
          <w:trHeight w:val="324"/>
        </w:trPr>
        <w:tc>
          <w:tcPr>
            <w:tcW w:w="2499" w:type="dxa"/>
            <w:tcBorders>
              <w:top w:val="nil"/>
              <w:left w:val="nil"/>
              <w:bottom w:val="nil"/>
              <w:right w:val="nil"/>
            </w:tcBorders>
          </w:tcPr>
          <w:p w14:paraId="04EDF0F7" w14:textId="77777777" w:rsidR="00435064" w:rsidRDefault="00435064" w:rsidP="00473E8B">
            <w:pPr>
              <w:spacing w:after="0" w:line="259" w:lineRule="auto"/>
              <w:ind w:left="123" w:right="0" w:firstLine="0"/>
              <w:jc w:val="left"/>
            </w:pPr>
            <w:r>
              <w:rPr>
                <w:sz w:val="18"/>
              </w:rPr>
              <w:t xml:space="preserve">Other </w:t>
            </w:r>
          </w:p>
        </w:tc>
        <w:tc>
          <w:tcPr>
            <w:tcW w:w="3745" w:type="dxa"/>
            <w:tcBorders>
              <w:top w:val="nil"/>
              <w:left w:val="nil"/>
              <w:bottom w:val="nil"/>
              <w:right w:val="nil"/>
            </w:tcBorders>
          </w:tcPr>
          <w:p w14:paraId="3741ED6D" w14:textId="77777777" w:rsidR="00435064" w:rsidRDefault="00435064" w:rsidP="00473E8B">
            <w:pPr>
              <w:spacing w:after="0" w:line="259" w:lineRule="auto"/>
              <w:ind w:left="0" w:right="0" w:firstLine="0"/>
              <w:jc w:val="left"/>
            </w:pPr>
            <w:r>
              <w:rPr>
                <w:sz w:val="18"/>
              </w:rPr>
              <w:t xml:space="preserve">1 (0.7) </w:t>
            </w:r>
          </w:p>
        </w:tc>
      </w:tr>
      <w:tr w:rsidR="00435064" w14:paraId="5F60F93D" w14:textId="77777777" w:rsidTr="00473E8B">
        <w:trPr>
          <w:trHeight w:val="918"/>
        </w:trPr>
        <w:tc>
          <w:tcPr>
            <w:tcW w:w="2499" w:type="dxa"/>
            <w:tcBorders>
              <w:top w:val="nil"/>
              <w:left w:val="nil"/>
              <w:bottom w:val="nil"/>
              <w:right w:val="nil"/>
            </w:tcBorders>
          </w:tcPr>
          <w:p w14:paraId="2AA48B6A" w14:textId="77777777" w:rsidR="00435064" w:rsidRDefault="00435064" w:rsidP="00473E8B">
            <w:pPr>
              <w:spacing w:after="0" w:line="395" w:lineRule="auto"/>
              <w:ind w:left="123" w:right="0" w:firstLine="0"/>
              <w:jc w:val="left"/>
            </w:pPr>
            <w:r>
              <w:rPr>
                <w:b/>
                <w:sz w:val="18"/>
              </w:rPr>
              <w:t xml:space="preserve">‘Are you familiar with the term health literacy?’ </w:t>
            </w:r>
          </w:p>
          <w:p w14:paraId="05852878" w14:textId="77777777" w:rsidR="00435064" w:rsidRDefault="00435064" w:rsidP="00473E8B">
            <w:pPr>
              <w:spacing w:after="0" w:line="259" w:lineRule="auto"/>
              <w:ind w:left="123" w:right="0" w:firstLine="0"/>
              <w:jc w:val="left"/>
            </w:pPr>
            <w:r>
              <w:rPr>
                <w:sz w:val="18"/>
              </w:rPr>
              <w:t xml:space="preserve">Yes </w:t>
            </w:r>
          </w:p>
        </w:tc>
        <w:tc>
          <w:tcPr>
            <w:tcW w:w="3745" w:type="dxa"/>
            <w:tcBorders>
              <w:top w:val="nil"/>
              <w:left w:val="nil"/>
              <w:bottom w:val="nil"/>
              <w:right w:val="nil"/>
            </w:tcBorders>
          </w:tcPr>
          <w:p w14:paraId="606E3798" w14:textId="77777777" w:rsidR="00435064" w:rsidRDefault="00435064" w:rsidP="00473E8B">
            <w:pPr>
              <w:spacing w:after="396" w:line="259" w:lineRule="auto"/>
              <w:ind w:left="0" w:right="0" w:firstLine="0"/>
              <w:jc w:val="left"/>
            </w:pPr>
            <w:r>
              <w:rPr>
                <w:sz w:val="18"/>
              </w:rPr>
              <w:t xml:space="preserve"> </w:t>
            </w:r>
          </w:p>
          <w:p w14:paraId="7F579E4D" w14:textId="77777777" w:rsidR="00435064" w:rsidRDefault="00435064" w:rsidP="00473E8B">
            <w:pPr>
              <w:spacing w:after="0" w:line="259" w:lineRule="auto"/>
              <w:ind w:left="0" w:right="0" w:firstLine="0"/>
              <w:jc w:val="left"/>
            </w:pPr>
            <w:r>
              <w:rPr>
                <w:sz w:val="18"/>
              </w:rPr>
              <w:t xml:space="preserve">77 (55.8) </w:t>
            </w:r>
          </w:p>
        </w:tc>
      </w:tr>
      <w:tr w:rsidR="00435064" w14:paraId="0EDDFD04" w14:textId="77777777" w:rsidTr="00473E8B">
        <w:trPr>
          <w:trHeight w:val="311"/>
        </w:trPr>
        <w:tc>
          <w:tcPr>
            <w:tcW w:w="2499" w:type="dxa"/>
            <w:tcBorders>
              <w:top w:val="nil"/>
              <w:left w:val="nil"/>
              <w:bottom w:val="nil"/>
              <w:right w:val="nil"/>
            </w:tcBorders>
          </w:tcPr>
          <w:p w14:paraId="2646905F" w14:textId="77777777" w:rsidR="00435064" w:rsidRDefault="00435064" w:rsidP="00473E8B">
            <w:pPr>
              <w:spacing w:after="0" w:line="259" w:lineRule="auto"/>
              <w:ind w:left="123" w:right="0" w:firstLine="0"/>
              <w:jc w:val="left"/>
            </w:pPr>
            <w:r>
              <w:rPr>
                <w:sz w:val="18"/>
              </w:rPr>
              <w:t xml:space="preserve">No </w:t>
            </w:r>
          </w:p>
        </w:tc>
        <w:tc>
          <w:tcPr>
            <w:tcW w:w="3745" w:type="dxa"/>
            <w:tcBorders>
              <w:top w:val="nil"/>
              <w:left w:val="nil"/>
              <w:bottom w:val="nil"/>
              <w:right w:val="nil"/>
            </w:tcBorders>
          </w:tcPr>
          <w:p w14:paraId="7C1D65F9" w14:textId="77777777" w:rsidR="00435064" w:rsidRDefault="00435064" w:rsidP="00473E8B">
            <w:pPr>
              <w:spacing w:after="0" w:line="259" w:lineRule="auto"/>
              <w:ind w:left="0" w:right="0" w:firstLine="0"/>
              <w:jc w:val="left"/>
            </w:pPr>
            <w:r>
              <w:rPr>
                <w:sz w:val="18"/>
              </w:rPr>
              <w:t xml:space="preserve">42 (30.4) </w:t>
            </w:r>
          </w:p>
        </w:tc>
      </w:tr>
      <w:tr w:rsidR="00435064" w14:paraId="7DE54937" w14:textId="77777777" w:rsidTr="00473E8B">
        <w:trPr>
          <w:trHeight w:val="366"/>
        </w:trPr>
        <w:tc>
          <w:tcPr>
            <w:tcW w:w="2499" w:type="dxa"/>
            <w:tcBorders>
              <w:top w:val="nil"/>
              <w:left w:val="nil"/>
              <w:bottom w:val="single" w:sz="4" w:space="0" w:color="000000"/>
              <w:right w:val="nil"/>
            </w:tcBorders>
          </w:tcPr>
          <w:p w14:paraId="75404A28" w14:textId="77777777" w:rsidR="00435064" w:rsidRDefault="00435064" w:rsidP="00473E8B">
            <w:pPr>
              <w:spacing w:after="0" w:line="259" w:lineRule="auto"/>
              <w:ind w:left="123" w:right="0" w:firstLine="0"/>
              <w:jc w:val="left"/>
            </w:pPr>
            <w:r>
              <w:rPr>
                <w:sz w:val="18"/>
              </w:rPr>
              <w:t xml:space="preserve">I don’t know </w:t>
            </w:r>
          </w:p>
        </w:tc>
        <w:tc>
          <w:tcPr>
            <w:tcW w:w="3745" w:type="dxa"/>
            <w:tcBorders>
              <w:top w:val="nil"/>
              <w:left w:val="nil"/>
              <w:bottom w:val="single" w:sz="4" w:space="0" w:color="000000"/>
              <w:right w:val="nil"/>
            </w:tcBorders>
          </w:tcPr>
          <w:p w14:paraId="3E69DA37" w14:textId="77777777" w:rsidR="00435064" w:rsidRDefault="00435064" w:rsidP="00473E8B">
            <w:pPr>
              <w:spacing w:after="0" w:line="259" w:lineRule="auto"/>
              <w:ind w:left="0" w:right="0" w:firstLine="0"/>
              <w:jc w:val="left"/>
            </w:pPr>
            <w:r>
              <w:rPr>
                <w:sz w:val="18"/>
              </w:rPr>
              <w:t xml:space="preserve">19 (13.8) </w:t>
            </w:r>
          </w:p>
        </w:tc>
      </w:tr>
    </w:tbl>
    <w:p w14:paraId="6036CFFE" w14:textId="77777777" w:rsidR="00435064" w:rsidRDefault="00435064" w:rsidP="00435064">
      <w:pPr>
        <w:spacing w:after="86" w:line="259" w:lineRule="auto"/>
        <w:ind w:left="240" w:right="0" w:firstLine="0"/>
        <w:jc w:val="left"/>
      </w:pPr>
      <w:r>
        <w:rPr>
          <w:b/>
          <w:sz w:val="18"/>
        </w:rPr>
        <w:t xml:space="preserve"> </w:t>
      </w:r>
    </w:p>
    <w:p w14:paraId="31D63DC8" w14:textId="77777777" w:rsidR="00435064" w:rsidRDefault="00435064" w:rsidP="00435064">
      <w:pPr>
        <w:spacing w:after="86" w:line="259" w:lineRule="auto"/>
        <w:ind w:left="240" w:right="0" w:firstLine="0"/>
        <w:jc w:val="left"/>
      </w:pPr>
      <w:r>
        <w:rPr>
          <w:b/>
          <w:sz w:val="18"/>
        </w:rPr>
        <w:t xml:space="preserve"> </w:t>
      </w:r>
    </w:p>
    <w:p w14:paraId="030CFAD3" w14:textId="77777777" w:rsidR="00435064" w:rsidRDefault="00435064" w:rsidP="00435064">
      <w:pPr>
        <w:spacing w:after="88" w:line="259" w:lineRule="auto"/>
        <w:ind w:left="240" w:right="0" w:firstLine="0"/>
        <w:jc w:val="left"/>
      </w:pPr>
      <w:r>
        <w:rPr>
          <w:b/>
          <w:sz w:val="18"/>
        </w:rPr>
        <w:t xml:space="preserve"> </w:t>
      </w:r>
    </w:p>
    <w:p w14:paraId="23FF29F9" w14:textId="77777777" w:rsidR="00435064" w:rsidRDefault="00435064" w:rsidP="00435064">
      <w:pPr>
        <w:spacing w:after="86" w:line="259" w:lineRule="auto"/>
        <w:ind w:left="240" w:right="0" w:firstLine="0"/>
        <w:jc w:val="left"/>
      </w:pPr>
      <w:r>
        <w:rPr>
          <w:b/>
          <w:sz w:val="18"/>
        </w:rPr>
        <w:t xml:space="preserve"> </w:t>
      </w:r>
    </w:p>
    <w:p w14:paraId="26995B82" w14:textId="77777777" w:rsidR="00F26677" w:rsidRDefault="00F26677"/>
    <w:p w14:paraId="052FD754" w14:textId="77777777" w:rsidR="00435064" w:rsidRDefault="00435064"/>
    <w:p w14:paraId="01553805" w14:textId="77777777" w:rsidR="00435064" w:rsidRDefault="00435064"/>
    <w:p w14:paraId="2A9EA152" w14:textId="77777777" w:rsidR="00435064" w:rsidRDefault="00435064"/>
    <w:p w14:paraId="5D6F99DD" w14:textId="77777777" w:rsidR="00435064" w:rsidRDefault="00435064"/>
    <w:p w14:paraId="34F7F87F" w14:textId="77777777" w:rsidR="00435064" w:rsidRDefault="00435064"/>
    <w:p w14:paraId="165818DF" w14:textId="77777777" w:rsidR="00435064" w:rsidRDefault="00435064" w:rsidP="00435064">
      <w:pPr>
        <w:spacing w:after="86" w:line="259" w:lineRule="auto"/>
        <w:ind w:left="240" w:right="0" w:firstLine="0"/>
        <w:jc w:val="left"/>
      </w:pPr>
    </w:p>
    <w:p w14:paraId="4CBED537" w14:textId="77777777" w:rsidR="00435064" w:rsidRDefault="00435064" w:rsidP="00435064">
      <w:pPr>
        <w:spacing w:after="29" w:line="259" w:lineRule="auto"/>
        <w:ind w:left="250" w:right="20"/>
        <w:jc w:val="left"/>
      </w:pPr>
      <w:r>
        <w:rPr>
          <w:b/>
          <w:sz w:val="18"/>
        </w:rPr>
        <w:t>Table 2.</w:t>
      </w:r>
      <w:r>
        <w:rPr>
          <w:sz w:val="18"/>
        </w:rPr>
        <w:t xml:space="preserve"> </w:t>
      </w:r>
      <w:r>
        <w:rPr>
          <w:b/>
          <w:sz w:val="18"/>
        </w:rPr>
        <w:t xml:space="preserve">Frequencies of responses, medians, and interquartile ranges for each statement. </w:t>
      </w:r>
    </w:p>
    <w:tbl>
      <w:tblPr>
        <w:tblStyle w:val="TableGrid"/>
        <w:tblW w:w="8762" w:type="dxa"/>
        <w:tblInd w:w="132" w:type="dxa"/>
        <w:tblCellMar>
          <w:top w:w="41" w:type="dxa"/>
          <w:right w:w="123" w:type="dxa"/>
        </w:tblCellMar>
        <w:tblLook w:val="04A0" w:firstRow="1" w:lastRow="0" w:firstColumn="1" w:lastColumn="0" w:noHBand="0" w:noVBand="1"/>
      </w:tblPr>
      <w:tblGrid>
        <w:gridCol w:w="4077"/>
        <w:gridCol w:w="938"/>
        <w:gridCol w:w="884"/>
        <w:gridCol w:w="1015"/>
        <w:gridCol w:w="1085"/>
        <w:gridCol w:w="763"/>
      </w:tblGrid>
      <w:tr w:rsidR="00435064" w14:paraId="17510201" w14:textId="77777777" w:rsidTr="00473E8B">
        <w:trPr>
          <w:trHeight w:val="770"/>
        </w:trPr>
        <w:tc>
          <w:tcPr>
            <w:tcW w:w="4076" w:type="dxa"/>
            <w:tcBorders>
              <w:top w:val="single" w:sz="4" w:space="0" w:color="000000"/>
              <w:left w:val="nil"/>
              <w:bottom w:val="single" w:sz="4" w:space="0" w:color="000000"/>
              <w:right w:val="nil"/>
            </w:tcBorders>
          </w:tcPr>
          <w:p w14:paraId="50066D48" w14:textId="77777777" w:rsidR="00435064" w:rsidRDefault="00435064" w:rsidP="00473E8B">
            <w:pPr>
              <w:spacing w:after="0" w:line="259" w:lineRule="auto"/>
              <w:ind w:left="0" w:right="325" w:firstLine="0"/>
              <w:jc w:val="right"/>
            </w:pPr>
            <w:r>
              <w:rPr>
                <w:sz w:val="18"/>
              </w:rPr>
              <w:t xml:space="preserve">Strongly </w:t>
            </w:r>
          </w:p>
          <w:p w14:paraId="219B35E1" w14:textId="77777777" w:rsidR="00435064" w:rsidRDefault="00435064" w:rsidP="00473E8B">
            <w:pPr>
              <w:spacing w:after="0" w:line="259" w:lineRule="auto"/>
              <w:ind w:left="108" w:right="0" w:firstLine="0"/>
              <w:jc w:val="left"/>
            </w:pPr>
            <w:r>
              <w:rPr>
                <w:sz w:val="18"/>
              </w:rPr>
              <w:t xml:space="preserve"> </w:t>
            </w:r>
          </w:p>
          <w:p w14:paraId="5A6EC098" w14:textId="77777777" w:rsidR="00435064" w:rsidRDefault="00435064" w:rsidP="00473E8B">
            <w:pPr>
              <w:spacing w:after="0" w:line="259" w:lineRule="auto"/>
              <w:ind w:left="0" w:firstLine="0"/>
              <w:jc w:val="right"/>
            </w:pPr>
            <w:r>
              <w:rPr>
                <w:sz w:val="18"/>
              </w:rPr>
              <w:t xml:space="preserve">Agree </w:t>
            </w:r>
          </w:p>
        </w:tc>
        <w:tc>
          <w:tcPr>
            <w:tcW w:w="938" w:type="dxa"/>
            <w:tcBorders>
              <w:top w:val="single" w:sz="4" w:space="0" w:color="000000"/>
              <w:left w:val="nil"/>
              <w:bottom w:val="single" w:sz="4" w:space="0" w:color="000000"/>
              <w:right w:val="nil"/>
            </w:tcBorders>
            <w:vAlign w:val="center"/>
          </w:tcPr>
          <w:p w14:paraId="65DF6879" w14:textId="77777777" w:rsidR="00435064" w:rsidRDefault="00435064" w:rsidP="00473E8B">
            <w:pPr>
              <w:spacing w:after="0" w:line="259" w:lineRule="auto"/>
              <w:ind w:left="0" w:right="0" w:firstLine="0"/>
              <w:jc w:val="left"/>
            </w:pPr>
            <w:r>
              <w:rPr>
                <w:sz w:val="18"/>
              </w:rPr>
              <w:t xml:space="preserve">Agree </w:t>
            </w:r>
          </w:p>
        </w:tc>
        <w:tc>
          <w:tcPr>
            <w:tcW w:w="884" w:type="dxa"/>
            <w:tcBorders>
              <w:top w:val="single" w:sz="4" w:space="0" w:color="000000"/>
              <w:left w:val="nil"/>
              <w:bottom w:val="single" w:sz="4" w:space="0" w:color="000000"/>
              <w:right w:val="nil"/>
            </w:tcBorders>
            <w:vAlign w:val="center"/>
          </w:tcPr>
          <w:p w14:paraId="46B7E151" w14:textId="77777777" w:rsidR="00435064" w:rsidRDefault="00435064" w:rsidP="00473E8B">
            <w:pPr>
              <w:spacing w:after="0" w:line="259" w:lineRule="auto"/>
              <w:ind w:left="0" w:right="0" w:firstLine="0"/>
              <w:jc w:val="left"/>
            </w:pPr>
            <w:r>
              <w:rPr>
                <w:sz w:val="18"/>
              </w:rPr>
              <w:t xml:space="preserve">Neutral </w:t>
            </w:r>
          </w:p>
        </w:tc>
        <w:tc>
          <w:tcPr>
            <w:tcW w:w="1015" w:type="dxa"/>
            <w:tcBorders>
              <w:top w:val="single" w:sz="4" w:space="0" w:color="000000"/>
              <w:left w:val="nil"/>
              <w:bottom w:val="single" w:sz="4" w:space="0" w:color="000000"/>
              <w:right w:val="nil"/>
            </w:tcBorders>
            <w:vAlign w:val="center"/>
          </w:tcPr>
          <w:p w14:paraId="174BC7D4" w14:textId="77777777" w:rsidR="00435064" w:rsidRDefault="00435064" w:rsidP="00473E8B">
            <w:pPr>
              <w:spacing w:after="0" w:line="259" w:lineRule="auto"/>
              <w:ind w:left="0" w:right="0" w:firstLine="0"/>
              <w:jc w:val="left"/>
            </w:pPr>
            <w:r>
              <w:rPr>
                <w:sz w:val="18"/>
              </w:rPr>
              <w:t xml:space="preserve">Disagree </w:t>
            </w:r>
          </w:p>
        </w:tc>
        <w:tc>
          <w:tcPr>
            <w:tcW w:w="1085" w:type="dxa"/>
            <w:tcBorders>
              <w:top w:val="single" w:sz="4" w:space="0" w:color="000000"/>
              <w:left w:val="nil"/>
              <w:bottom w:val="single" w:sz="4" w:space="0" w:color="000000"/>
              <w:right w:val="nil"/>
            </w:tcBorders>
          </w:tcPr>
          <w:p w14:paraId="513DDCF7" w14:textId="77777777" w:rsidR="00435064" w:rsidRDefault="00435064" w:rsidP="00473E8B">
            <w:pPr>
              <w:spacing w:after="0" w:line="259" w:lineRule="auto"/>
              <w:ind w:left="0" w:right="0" w:firstLine="29"/>
              <w:jc w:val="left"/>
            </w:pPr>
            <w:r>
              <w:rPr>
                <w:sz w:val="18"/>
              </w:rPr>
              <w:t xml:space="preserve">Strongly Disagree </w:t>
            </w:r>
          </w:p>
        </w:tc>
        <w:tc>
          <w:tcPr>
            <w:tcW w:w="763" w:type="dxa"/>
            <w:tcBorders>
              <w:top w:val="single" w:sz="4" w:space="0" w:color="000000"/>
              <w:left w:val="nil"/>
              <w:bottom w:val="single" w:sz="4" w:space="0" w:color="000000"/>
              <w:right w:val="nil"/>
            </w:tcBorders>
          </w:tcPr>
          <w:p w14:paraId="4D52DE79" w14:textId="77777777" w:rsidR="00435064" w:rsidRDefault="00435064" w:rsidP="00473E8B">
            <w:pPr>
              <w:spacing w:after="88" w:line="259" w:lineRule="auto"/>
              <w:ind w:left="0" w:right="0" w:firstLine="0"/>
              <w:jc w:val="left"/>
            </w:pPr>
            <w:r>
              <w:rPr>
                <w:sz w:val="18"/>
              </w:rPr>
              <w:t xml:space="preserve">Median </w:t>
            </w:r>
          </w:p>
          <w:p w14:paraId="7F2DB3A0" w14:textId="77777777" w:rsidR="00435064" w:rsidRDefault="00435064" w:rsidP="00473E8B">
            <w:pPr>
              <w:spacing w:after="0" w:line="259" w:lineRule="auto"/>
              <w:ind w:left="77" w:right="0" w:firstLine="0"/>
              <w:jc w:val="left"/>
            </w:pPr>
            <w:r>
              <w:rPr>
                <w:sz w:val="18"/>
              </w:rPr>
              <w:t xml:space="preserve">(IQR) </w:t>
            </w:r>
          </w:p>
        </w:tc>
      </w:tr>
      <w:tr w:rsidR="00435064" w14:paraId="07D799D0" w14:textId="77777777" w:rsidTr="00473E8B">
        <w:trPr>
          <w:trHeight w:val="384"/>
        </w:trPr>
        <w:tc>
          <w:tcPr>
            <w:tcW w:w="4076" w:type="dxa"/>
            <w:tcBorders>
              <w:top w:val="single" w:sz="4" w:space="0" w:color="000000"/>
              <w:left w:val="nil"/>
              <w:bottom w:val="single" w:sz="4" w:space="0" w:color="000000"/>
              <w:right w:val="nil"/>
            </w:tcBorders>
          </w:tcPr>
          <w:p w14:paraId="19C6A407" w14:textId="77777777" w:rsidR="00435064" w:rsidRDefault="00435064" w:rsidP="00473E8B">
            <w:pPr>
              <w:spacing w:after="160" w:line="259" w:lineRule="auto"/>
              <w:ind w:left="0" w:right="0" w:firstLine="0"/>
              <w:jc w:val="left"/>
            </w:pPr>
          </w:p>
        </w:tc>
        <w:tc>
          <w:tcPr>
            <w:tcW w:w="938" w:type="dxa"/>
            <w:tcBorders>
              <w:top w:val="single" w:sz="4" w:space="0" w:color="000000"/>
              <w:left w:val="nil"/>
              <w:bottom w:val="single" w:sz="4" w:space="0" w:color="000000"/>
              <w:right w:val="nil"/>
            </w:tcBorders>
          </w:tcPr>
          <w:p w14:paraId="748F54D7" w14:textId="77777777" w:rsidR="00435064" w:rsidRDefault="00435064" w:rsidP="00473E8B">
            <w:pPr>
              <w:spacing w:after="0" w:line="259" w:lineRule="auto"/>
              <w:ind w:left="74" w:right="0" w:firstLine="0"/>
              <w:jc w:val="left"/>
            </w:pPr>
            <w:r>
              <w:rPr>
                <w:sz w:val="18"/>
              </w:rPr>
              <w:t xml:space="preserve">N (%) </w:t>
            </w:r>
          </w:p>
        </w:tc>
        <w:tc>
          <w:tcPr>
            <w:tcW w:w="884" w:type="dxa"/>
            <w:tcBorders>
              <w:top w:val="single" w:sz="4" w:space="0" w:color="000000"/>
              <w:left w:val="nil"/>
              <w:bottom w:val="single" w:sz="4" w:space="0" w:color="000000"/>
              <w:right w:val="nil"/>
            </w:tcBorders>
          </w:tcPr>
          <w:p w14:paraId="39B6B411" w14:textId="77777777" w:rsidR="00435064" w:rsidRDefault="00435064" w:rsidP="00473E8B">
            <w:pPr>
              <w:spacing w:after="160" w:line="259" w:lineRule="auto"/>
              <w:ind w:left="0" w:right="0" w:firstLine="0"/>
              <w:jc w:val="left"/>
            </w:pPr>
          </w:p>
        </w:tc>
        <w:tc>
          <w:tcPr>
            <w:tcW w:w="1015" w:type="dxa"/>
            <w:tcBorders>
              <w:top w:val="single" w:sz="4" w:space="0" w:color="000000"/>
              <w:left w:val="nil"/>
              <w:bottom w:val="single" w:sz="4" w:space="0" w:color="000000"/>
              <w:right w:val="nil"/>
            </w:tcBorders>
          </w:tcPr>
          <w:p w14:paraId="3126C2AC" w14:textId="77777777" w:rsidR="00435064" w:rsidRDefault="00435064" w:rsidP="00473E8B">
            <w:pPr>
              <w:spacing w:after="160" w:line="259" w:lineRule="auto"/>
              <w:ind w:left="0" w:right="0" w:firstLine="0"/>
              <w:jc w:val="left"/>
            </w:pPr>
          </w:p>
        </w:tc>
        <w:tc>
          <w:tcPr>
            <w:tcW w:w="1085" w:type="dxa"/>
            <w:tcBorders>
              <w:top w:val="single" w:sz="4" w:space="0" w:color="000000"/>
              <w:left w:val="nil"/>
              <w:bottom w:val="single" w:sz="4" w:space="0" w:color="000000"/>
              <w:right w:val="nil"/>
            </w:tcBorders>
          </w:tcPr>
          <w:p w14:paraId="370719CD" w14:textId="77777777" w:rsidR="00435064" w:rsidRDefault="00435064" w:rsidP="00473E8B">
            <w:pPr>
              <w:spacing w:after="160" w:line="259" w:lineRule="auto"/>
              <w:ind w:left="0" w:right="0" w:firstLine="0"/>
              <w:jc w:val="left"/>
            </w:pPr>
          </w:p>
        </w:tc>
        <w:tc>
          <w:tcPr>
            <w:tcW w:w="763" w:type="dxa"/>
            <w:tcBorders>
              <w:top w:val="single" w:sz="4" w:space="0" w:color="000000"/>
              <w:left w:val="nil"/>
              <w:bottom w:val="single" w:sz="4" w:space="0" w:color="000000"/>
              <w:right w:val="nil"/>
            </w:tcBorders>
          </w:tcPr>
          <w:p w14:paraId="267594BB" w14:textId="77777777" w:rsidR="00435064" w:rsidRDefault="00435064" w:rsidP="00473E8B">
            <w:pPr>
              <w:spacing w:after="160" w:line="259" w:lineRule="auto"/>
              <w:ind w:left="0" w:right="0" w:firstLine="0"/>
              <w:jc w:val="left"/>
            </w:pPr>
          </w:p>
        </w:tc>
      </w:tr>
    </w:tbl>
    <w:p w14:paraId="753465CD" w14:textId="77777777" w:rsidR="00435064" w:rsidRDefault="00435064" w:rsidP="00435064">
      <w:pPr>
        <w:spacing w:after="0" w:line="259" w:lineRule="auto"/>
        <w:ind w:left="250" w:right="20"/>
        <w:jc w:val="left"/>
      </w:pPr>
      <w:r>
        <w:rPr>
          <w:b/>
          <w:sz w:val="18"/>
        </w:rPr>
        <w:t xml:space="preserve">Women to whom I provide care, are able to understand health information they receive: </w:t>
      </w:r>
    </w:p>
    <w:tbl>
      <w:tblPr>
        <w:tblStyle w:val="TableGrid"/>
        <w:tblW w:w="8420" w:type="dxa"/>
        <w:tblInd w:w="240" w:type="dxa"/>
        <w:tblLook w:val="04A0" w:firstRow="1" w:lastRow="0" w:firstColumn="1" w:lastColumn="0" w:noHBand="0" w:noVBand="1"/>
      </w:tblPr>
      <w:tblGrid>
        <w:gridCol w:w="4837"/>
        <w:gridCol w:w="1052"/>
        <w:gridCol w:w="1017"/>
        <w:gridCol w:w="984"/>
        <w:gridCol w:w="109"/>
        <w:gridCol w:w="421"/>
      </w:tblGrid>
      <w:tr w:rsidR="00435064" w14:paraId="4475C958" w14:textId="77777777" w:rsidTr="00473E8B">
        <w:trPr>
          <w:trHeight w:val="296"/>
        </w:trPr>
        <w:tc>
          <w:tcPr>
            <w:tcW w:w="7890" w:type="dxa"/>
            <w:gridSpan w:val="4"/>
            <w:tcBorders>
              <w:top w:val="nil"/>
              <w:left w:val="nil"/>
              <w:bottom w:val="nil"/>
              <w:right w:val="nil"/>
            </w:tcBorders>
          </w:tcPr>
          <w:p w14:paraId="76324DE0" w14:textId="77777777" w:rsidR="00435064" w:rsidRDefault="00435064" w:rsidP="00473E8B">
            <w:pPr>
              <w:tabs>
                <w:tab w:val="center" w:pos="3189"/>
                <w:tab w:val="center" w:pos="4208"/>
                <w:tab w:val="center" w:pos="5199"/>
                <w:tab w:val="center" w:pos="6150"/>
                <w:tab w:val="center" w:pos="7167"/>
              </w:tabs>
              <w:spacing w:after="0" w:line="259" w:lineRule="auto"/>
              <w:ind w:left="0" w:right="0" w:firstLine="0"/>
              <w:jc w:val="left"/>
            </w:pPr>
            <w:r>
              <w:rPr>
                <w:sz w:val="18"/>
              </w:rPr>
              <w:t xml:space="preserve">Verbally </w:t>
            </w:r>
            <w:r>
              <w:rPr>
                <w:sz w:val="18"/>
              </w:rPr>
              <w:tab/>
              <w:t xml:space="preserve">57 (41.3) </w:t>
            </w:r>
            <w:r>
              <w:rPr>
                <w:sz w:val="18"/>
              </w:rPr>
              <w:tab/>
              <w:t xml:space="preserve">71 (51.4) </w:t>
            </w:r>
            <w:r>
              <w:rPr>
                <w:sz w:val="18"/>
              </w:rPr>
              <w:tab/>
              <w:t xml:space="preserve">8 (5.8) </w:t>
            </w:r>
            <w:r>
              <w:rPr>
                <w:sz w:val="18"/>
              </w:rPr>
              <w:tab/>
              <w:t xml:space="preserve">1 (0.7) </w:t>
            </w:r>
            <w:r>
              <w:rPr>
                <w:sz w:val="18"/>
              </w:rPr>
              <w:tab/>
              <w:t xml:space="preserve">1 (0.7) </w:t>
            </w:r>
          </w:p>
        </w:tc>
        <w:tc>
          <w:tcPr>
            <w:tcW w:w="530" w:type="dxa"/>
            <w:gridSpan w:val="2"/>
            <w:tcBorders>
              <w:top w:val="nil"/>
              <w:left w:val="nil"/>
              <w:bottom w:val="nil"/>
              <w:right w:val="nil"/>
            </w:tcBorders>
          </w:tcPr>
          <w:p w14:paraId="02E27381" w14:textId="77777777" w:rsidR="00435064" w:rsidRDefault="00435064" w:rsidP="00473E8B">
            <w:pPr>
              <w:spacing w:after="0" w:line="259" w:lineRule="auto"/>
              <w:ind w:left="110" w:right="0" w:firstLine="0"/>
              <w:jc w:val="left"/>
            </w:pPr>
            <w:r>
              <w:rPr>
                <w:sz w:val="18"/>
              </w:rPr>
              <w:t xml:space="preserve">4 (1) </w:t>
            </w:r>
          </w:p>
        </w:tc>
      </w:tr>
      <w:tr w:rsidR="00435064" w14:paraId="2AC4A860" w14:textId="77777777" w:rsidTr="00473E8B">
        <w:trPr>
          <w:trHeight w:val="390"/>
        </w:trPr>
        <w:tc>
          <w:tcPr>
            <w:tcW w:w="7890" w:type="dxa"/>
            <w:gridSpan w:val="4"/>
            <w:tcBorders>
              <w:top w:val="nil"/>
              <w:left w:val="nil"/>
              <w:bottom w:val="nil"/>
              <w:right w:val="nil"/>
            </w:tcBorders>
          </w:tcPr>
          <w:p w14:paraId="75BA189F" w14:textId="77777777" w:rsidR="00435064" w:rsidRDefault="00435064" w:rsidP="00473E8B">
            <w:pPr>
              <w:tabs>
                <w:tab w:val="center" w:pos="3189"/>
                <w:tab w:val="center" w:pos="4209"/>
                <w:tab w:val="center" w:pos="5198"/>
                <w:tab w:val="center" w:pos="6150"/>
                <w:tab w:val="center" w:pos="7165"/>
              </w:tabs>
              <w:spacing w:after="0" w:line="259" w:lineRule="auto"/>
              <w:ind w:left="0" w:right="0" w:firstLine="0"/>
              <w:jc w:val="left"/>
            </w:pPr>
            <w:r>
              <w:rPr>
                <w:sz w:val="18"/>
              </w:rPr>
              <w:t xml:space="preserve">Written </w:t>
            </w:r>
            <w:r>
              <w:rPr>
                <w:sz w:val="18"/>
              </w:rPr>
              <w:tab/>
              <w:t xml:space="preserve">40 (29.0) </w:t>
            </w:r>
            <w:r>
              <w:rPr>
                <w:sz w:val="18"/>
              </w:rPr>
              <w:tab/>
              <w:t xml:space="preserve">52 (37.7) </w:t>
            </w:r>
            <w:r>
              <w:rPr>
                <w:sz w:val="18"/>
              </w:rPr>
              <w:tab/>
              <w:t xml:space="preserve">38 (27.5) </w:t>
            </w:r>
            <w:r>
              <w:rPr>
                <w:sz w:val="18"/>
              </w:rPr>
              <w:tab/>
              <w:t xml:space="preserve">8 (5.8) </w:t>
            </w:r>
            <w:r>
              <w:rPr>
                <w:sz w:val="18"/>
              </w:rPr>
              <w:tab/>
              <w:t xml:space="preserve">0 </w:t>
            </w:r>
          </w:p>
        </w:tc>
        <w:tc>
          <w:tcPr>
            <w:tcW w:w="530" w:type="dxa"/>
            <w:gridSpan w:val="2"/>
            <w:tcBorders>
              <w:top w:val="nil"/>
              <w:left w:val="nil"/>
              <w:bottom w:val="nil"/>
              <w:right w:val="nil"/>
            </w:tcBorders>
          </w:tcPr>
          <w:p w14:paraId="7F4F92EE" w14:textId="77777777" w:rsidR="00435064" w:rsidRDefault="00435064" w:rsidP="00473E8B">
            <w:pPr>
              <w:spacing w:after="0" w:line="259" w:lineRule="auto"/>
              <w:ind w:left="110" w:right="0" w:firstLine="0"/>
              <w:jc w:val="left"/>
            </w:pPr>
            <w:r>
              <w:rPr>
                <w:sz w:val="18"/>
              </w:rPr>
              <w:t xml:space="preserve">4 (2) </w:t>
            </w:r>
          </w:p>
        </w:tc>
      </w:tr>
      <w:tr w:rsidR="00435064" w14:paraId="4E1E8B2C" w14:textId="77777777" w:rsidTr="00473E8B">
        <w:trPr>
          <w:trHeight w:val="778"/>
        </w:trPr>
        <w:tc>
          <w:tcPr>
            <w:tcW w:w="7890" w:type="dxa"/>
            <w:gridSpan w:val="4"/>
            <w:tcBorders>
              <w:top w:val="nil"/>
              <w:left w:val="nil"/>
              <w:bottom w:val="nil"/>
              <w:right w:val="nil"/>
            </w:tcBorders>
          </w:tcPr>
          <w:p w14:paraId="557C44B7" w14:textId="77777777" w:rsidR="00435064" w:rsidRDefault="00435064" w:rsidP="00473E8B">
            <w:pPr>
              <w:tabs>
                <w:tab w:val="center" w:pos="3188"/>
                <w:tab w:val="center" w:pos="4209"/>
                <w:tab w:val="center" w:pos="5198"/>
                <w:tab w:val="center" w:pos="6151"/>
                <w:tab w:val="center" w:pos="7167"/>
              </w:tabs>
              <w:spacing w:after="169" w:line="259" w:lineRule="auto"/>
              <w:ind w:left="0" w:right="0" w:firstLine="0"/>
              <w:jc w:val="left"/>
            </w:pPr>
            <w:r>
              <w:rPr>
                <w:sz w:val="18"/>
              </w:rPr>
              <w:t xml:space="preserve">Online </w:t>
            </w:r>
            <w:r>
              <w:rPr>
                <w:sz w:val="18"/>
              </w:rPr>
              <w:tab/>
              <w:t xml:space="preserve">22 (15.9) </w:t>
            </w:r>
            <w:r>
              <w:rPr>
                <w:sz w:val="18"/>
              </w:rPr>
              <w:tab/>
              <w:t xml:space="preserve">45 (32.6) </w:t>
            </w:r>
            <w:r>
              <w:rPr>
                <w:sz w:val="18"/>
              </w:rPr>
              <w:tab/>
              <w:t xml:space="preserve">50 (36.2) </w:t>
            </w:r>
            <w:r>
              <w:rPr>
                <w:sz w:val="18"/>
              </w:rPr>
              <w:tab/>
              <w:t xml:space="preserve">16 (11.6) </w:t>
            </w:r>
            <w:r>
              <w:rPr>
                <w:sz w:val="18"/>
              </w:rPr>
              <w:tab/>
              <w:t xml:space="preserve">5 (3.6) </w:t>
            </w:r>
          </w:p>
          <w:p w14:paraId="1B64F228" w14:textId="77777777" w:rsidR="00435064" w:rsidRDefault="00435064" w:rsidP="00473E8B">
            <w:pPr>
              <w:spacing w:after="0" w:line="259" w:lineRule="auto"/>
              <w:ind w:left="0" w:right="0" w:firstLine="0"/>
              <w:jc w:val="left"/>
            </w:pPr>
            <w:r>
              <w:rPr>
                <w:b/>
                <w:sz w:val="18"/>
              </w:rPr>
              <w:t xml:space="preserve">Women to whom I provide care, are able to understand information about: </w:t>
            </w:r>
          </w:p>
        </w:tc>
        <w:tc>
          <w:tcPr>
            <w:tcW w:w="530" w:type="dxa"/>
            <w:gridSpan w:val="2"/>
            <w:tcBorders>
              <w:top w:val="nil"/>
              <w:left w:val="nil"/>
              <w:bottom w:val="nil"/>
              <w:right w:val="nil"/>
            </w:tcBorders>
          </w:tcPr>
          <w:p w14:paraId="0AAA9B90" w14:textId="77777777" w:rsidR="00435064" w:rsidRDefault="00435064" w:rsidP="00473E8B">
            <w:pPr>
              <w:spacing w:after="0" w:line="259" w:lineRule="auto"/>
              <w:ind w:left="110" w:right="0" w:firstLine="0"/>
              <w:jc w:val="left"/>
            </w:pPr>
            <w:r>
              <w:rPr>
                <w:sz w:val="18"/>
              </w:rPr>
              <w:t xml:space="preserve">3 (1) </w:t>
            </w:r>
          </w:p>
        </w:tc>
      </w:tr>
      <w:tr w:rsidR="00435064" w14:paraId="03DD6E1F" w14:textId="77777777" w:rsidTr="00473E8B">
        <w:trPr>
          <w:trHeight w:val="392"/>
        </w:trPr>
        <w:tc>
          <w:tcPr>
            <w:tcW w:w="7890" w:type="dxa"/>
            <w:gridSpan w:val="4"/>
            <w:tcBorders>
              <w:top w:val="nil"/>
              <w:left w:val="nil"/>
              <w:bottom w:val="nil"/>
              <w:right w:val="nil"/>
            </w:tcBorders>
          </w:tcPr>
          <w:p w14:paraId="04CE091B" w14:textId="77777777" w:rsidR="00435064" w:rsidRDefault="00435064" w:rsidP="00473E8B">
            <w:pPr>
              <w:tabs>
                <w:tab w:val="center" w:pos="3188"/>
                <w:tab w:val="center" w:pos="4208"/>
                <w:tab w:val="center" w:pos="5197"/>
                <w:tab w:val="center" w:pos="6151"/>
                <w:tab w:val="center" w:pos="7165"/>
              </w:tabs>
              <w:spacing w:after="0" w:line="259" w:lineRule="auto"/>
              <w:ind w:left="0" w:right="0" w:firstLine="0"/>
              <w:jc w:val="left"/>
            </w:pPr>
            <w:r>
              <w:rPr>
                <w:sz w:val="18"/>
              </w:rPr>
              <w:t xml:space="preserve">Contraception </w:t>
            </w:r>
            <w:r>
              <w:rPr>
                <w:sz w:val="18"/>
              </w:rPr>
              <w:tab/>
              <w:t xml:space="preserve">47 (34.1) </w:t>
            </w:r>
            <w:r>
              <w:rPr>
                <w:sz w:val="18"/>
              </w:rPr>
              <w:tab/>
              <w:t xml:space="preserve">63 (45.7) </w:t>
            </w:r>
            <w:r>
              <w:rPr>
                <w:sz w:val="18"/>
              </w:rPr>
              <w:tab/>
              <w:t xml:space="preserve">25 (18.1) </w:t>
            </w:r>
            <w:r>
              <w:rPr>
                <w:sz w:val="18"/>
              </w:rPr>
              <w:tab/>
              <w:t xml:space="preserve">3  (2.2) </w:t>
            </w:r>
            <w:r>
              <w:rPr>
                <w:sz w:val="18"/>
              </w:rPr>
              <w:tab/>
              <w:t xml:space="preserve">0 </w:t>
            </w:r>
          </w:p>
        </w:tc>
        <w:tc>
          <w:tcPr>
            <w:tcW w:w="530" w:type="dxa"/>
            <w:gridSpan w:val="2"/>
            <w:tcBorders>
              <w:top w:val="nil"/>
              <w:left w:val="nil"/>
              <w:bottom w:val="nil"/>
              <w:right w:val="nil"/>
            </w:tcBorders>
          </w:tcPr>
          <w:p w14:paraId="6F3FF66C" w14:textId="77777777" w:rsidR="00435064" w:rsidRDefault="00435064" w:rsidP="00473E8B">
            <w:pPr>
              <w:spacing w:after="0" w:line="259" w:lineRule="auto"/>
              <w:ind w:left="110" w:right="0" w:firstLine="0"/>
              <w:jc w:val="left"/>
            </w:pPr>
            <w:r>
              <w:rPr>
                <w:sz w:val="18"/>
              </w:rPr>
              <w:t xml:space="preserve">4 (1) </w:t>
            </w:r>
          </w:p>
        </w:tc>
      </w:tr>
      <w:tr w:rsidR="00435064" w14:paraId="5EFBF3EC" w14:textId="77777777" w:rsidTr="00473E8B">
        <w:trPr>
          <w:trHeight w:val="390"/>
        </w:trPr>
        <w:tc>
          <w:tcPr>
            <w:tcW w:w="7890" w:type="dxa"/>
            <w:gridSpan w:val="4"/>
            <w:tcBorders>
              <w:top w:val="nil"/>
              <w:left w:val="nil"/>
              <w:bottom w:val="nil"/>
              <w:right w:val="nil"/>
            </w:tcBorders>
          </w:tcPr>
          <w:p w14:paraId="60D6497E" w14:textId="77777777" w:rsidR="00435064" w:rsidRDefault="00435064" w:rsidP="00473E8B">
            <w:pPr>
              <w:tabs>
                <w:tab w:val="center" w:pos="3188"/>
                <w:tab w:val="center" w:pos="4208"/>
                <w:tab w:val="center" w:pos="5197"/>
                <w:tab w:val="center" w:pos="6149"/>
                <w:tab w:val="center" w:pos="7165"/>
              </w:tabs>
              <w:spacing w:after="0" w:line="259" w:lineRule="auto"/>
              <w:ind w:left="0" w:right="0" w:firstLine="0"/>
              <w:jc w:val="left"/>
            </w:pPr>
            <w:r>
              <w:rPr>
                <w:sz w:val="18"/>
              </w:rPr>
              <w:t xml:space="preserve">Sexually Transmitted Infections </w:t>
            </w:r>
            <w:r>
              <w:rPr>
                <w:sz w:val="18"/>
              </w:rPr>
              <w:tab/>
              <w:t xml:space="preserve">47( 34.1) </w:t>
            </w:r>
            <w:r>
              <w:rPr>
                <w:sz w:val="18"/>
              </w:rPr>
              <w:tab/>
              <w:t xml:space="preserve">72 (52.2) </w:t>
            </w:r>
            <w:r>
              <w:rPr>
                <w:sz w:val="18"/>
              </w:rPr>
              <w:tab/>
              <w:t xml:space="preserve">18 (13.0) </w:t>
            </w:r>
            <w:r>
              <w:rPr>
                <w:sz w:val="18"/>
              </w:rPr>
              <w:tab/>
              <w:t xml:space="preserve">1 (0.7) </w:t>
            </w:r>
            <w:r>
              <w:rPr>
                <w:sz w:val="18"/>
              </w:rPr>
              <w:tab/>
              <w:t xml:space="preserve">0 </w:t>
            </w:r>
          </w:p>
        </w:tc>
        <w:tc>
          <w:tcPr>
            <w:tcW w:w="530" w:type="dxa"/>
            <w:gridSpan w:val="2"/>
            <w:tcBorders>
              <w:top w:val="nil"/>
              <w:left w:val="nil"/>
              <w:bottom w:val="nil"/>
              <w:right w:val="nil"/>
            </w:tcBorders>
          </w:tcPr>
          <w:p w14:paraId="17CE4363" w14:textId="77777777" w:rsidR="00435064" w:rsidRDefault="00435064" w:rsidP="00473E8B">
            <w:pPr>
              <w:spacing w:after="0" w:line="259" w:lineRule="auto"/>
              <w:ind w:left="110" w:right="0" w:firstLine="0"/>
              <w:jc w:val="left"/>
            </w:pPr>
            <w:r>
              <w:rPr>
                <w:sz w:val="18"/>
              </w:rPr>
              <w:t xml:space="preserve">4 (1) </w:t>
            </w:r>
          </w:p>
        </w:tc>
      </w:tr>
      <w:tr w:rsidR="00435064" w14:paraId="1B155A88" w14:textId="77777777" w:rsidTr="00473E8B">
        <w:trPr>
          <w:trHeight w:val="390"/>
        </w:trPr>
        <w:tc>
          <w:tcPr>
            <w:tcW w:w="7890" w:type="dxa"/>
            <w:gridSpan w:val="4"/>
            <w:tcBorders>
              <w:top w:val="nil"/>
              <w:left w:val="nil"/>
              <w:bottom w:val="nil"/>
              <w:right w:val="nil"/>
            </w:tcBorders>
          </w:tcPr>
          <w:p w14:paraId="02C97F1A" w14:textId="77777777" w:rsidR="00435064" w:rsidRDefault="00435064" w:rsidP="00473E8B">
            <w:pPr>
              <w:tabs>
                <w:tab w:val="center" w:pos="3188"/>
                <w:tab w:val="center" w:pos="4208"/>
                <w:tab w:val="center" w:pos="5199"/>
                <w:tab w:val="center" w:pos="6149"/>
                <w:tab w:val="center" w:pos="7165"/>
              </w:tabs>
              <w:spacing w:after="0" w:line="259" w:lineRule="auto"/>
              <w:ind w:left="0" w:right="0" w:firstLine="0"/>
              <w:jc w:val="left"/>
            </w:pPr>
            <w:r>
              <w:rPr>
                <w:sz w:val="18"/>
              </w:rPr>
              <w:t xml:space="preserve">Abortion </w:t>
            </w:r>
            <w:r>
              <w:rPr>
                <w:sz w:val="18"/>
              </w:rPr>
              <w:tab/>
              <w:t xml:space="preserve">49 (35.5) </w:t>
            </w:r>
            <w:r>
              <w:rPr>
                <w:sz w:val="18"/>
              </w:rPr>
              <w:tab/>
              <w:t xml:space="preserve">82 (59.4) </w:t>
            </w:r>
            <w:r>
              <w:rPr>
                <w:sz w:val="18"/>
              </w:rPr>
              <w:tab/>
              <w:t xml:space="preserve">6 (4.3) </w:t>
            </w:r>
            <w:r>
              <w:rPr>
                <w:sz w:val="18"/>
              </w:rPr>
              <w:tab/>
              <w:t xml:space="preserve">1 (0.7) </w:t>
            </w:r>
            <w:r>
              <w:rPr>
                <w:sz w:val="18"/>
              </w:rPr>
              <w:tab/>
              <w:t xml:space="preserve">0 </w:t>
            </w:r>
          </w:p>
        </w:tc>
        <w:tc>
          <w:tcPr>
            <w:tcW w:w="530" w:type="dxa"/>
            <w:gridSpan w:val="2"/>
            <w:tcBorders>
              <w:top w:val="nil"/>
              <w:left w:val="nil"/>
              <w:bottom w:val="nil"/>
              <w:right w:val="nil"/>
            </w:tcBorders>
          </w:tcPr>
          <w:p w14:paraId="071DBE2C" w14:textId="77777777" w:rsidR="00435064" w:rsidRDefault="00435064" w:rsidP="00473E8B">
            <w:pPr>
              <w:spacing w:after="0" w:line="259" w:lineRule="auto"/>
              <w:ind w:left="110" w:right="0" w:firstLine="0"/>
              <w:jc w:val="left"/>
            </w:pPr>
            <w:r>
              <w:rPr>
                <w:sz w:val="18"/>
              </w:rPr>
              <w:t xml:space="preserve">4 (1) </w:t>
            </w:r>
          </w:p>
        </w:tc>
      </w:tr>
      <w:tr w:rsidR="00435064" w14:paraId="7138769E" w14:textId="77777777" w:rsidTr="00473E8B">
        <w:trPr>
          <w:trHeight w:val="390"/>
        </w:trPr>
        <w:tc>
          <w:tcPr>
            <w:tcW w:w="7890" w:type="dxa"/>
            <w:gridSpan w:val="4"/>
            <w:tcBorders>
              <w:top w:val="nil"/>
              <w:left w:val="nil"/>
              <w:bottom w:val="nil"/>
              <w:right w:val="nil"/>
            </w:tcBorders>
          </w:tcPr>
          <w:p w14:paraId="1D3ED4E3" w14:textId="77777777" w:rsidR="00435064" w:rsidRDefault="00435064" w:rsidP="00473E8B">
            <w:pPr>
              <w:tabs>
                <w:tab w:val="center" w:pos="3188"/>
                <w:tab w:val="center" w:pos="4208"/>
                <w:tab w:val="center" w:pos="5197"/>
                <w:tab w:val="center" w:pos="6149"/>
                <w:tab w:val="center" w:pos="7167"/>
              </w:tabs>
              <w:spacing w:after="0" w:line="259" w:lineRule="auto"/>
              <w:ind w:left="0" w:right="0" w:firstLine="0"/>
              <w:jc w:val="left"/>
            </w:pPr>
            <w:r>
              <w:rPr>
                <w:sz w:val="18"/>
              </w:rPr>
              <w:t xml:space="preserve">Pap Tests and Cervical Cancer </w:t>
            </w:r>
            <w:r>
              <w:rPr>
                <w:sz w:val="18"/>
              </w:rPr>
              <w:tab/>
              <w:t xml:space="preserve">42 (30.4) </w:t>
            </w:r>
            <w:r>
              <w:rPr>
                <w:sz w:val="18"/>
              </w:rPr>
              <w:tab/>
              <w:t xml:space="preserve">64 (46.4) </w:t>
            </w:r>
            <w:r>
              <w:rPr>
                <w:sz w:val="18"/>
              </w:rPr>
              <w:tab/>
              <w:t xml:space="preserve">29 (21.0) </w:t>
            </w:r>
            <w:r>
              <w:rPr>
                <w:sz w:val="18"/>
              </w:rPr>
              <w:tab/>
              <w:t xml:space="preserve">1 (0.7) </w:t>
            </w:r>
            <w:r>
              <w:rPr>
                <w:sz w:val="18"/>
              </w:rPr>
              <w:tab/>
              <w:t xml:space="preserve">2 (1.4) </w:t>
            </w:r>
          </w:p>
        </w:tc>
        <w:tc>
          <w:tcPr>
            <w:tcW w:w="530" w:type="dxa"/>
            <w:gridSpan w:val="2"/>
            <w:tcBorders>
              <w:top w:val="nil"/>
              <w:left w:val="nil"/>
              <w:bottom w:val="nil"/>
              <w:right w:val="nil"/>
            </w:tcBorders>
          </w:tcPr>
          <w:p w14:paraId="0E79C99E" w14:textId="77777777" w:rsidR="00435064" w:rsidRDefault="00435064" w:rsidP="00473E8B">
            <w:pPr>
              <w:spacing w:after="0" w:line="259" w:lineRule="auto"/>
              <w:ind w:left="110" w:right="0" w:firstLine="0"/>
              <w:jc w:val="left"/>
            </w:pPr>
            <w:r>
              <w:rPr>
                <w:sz w:val="18"/>
              </w:rPr>
              <w:t xml:space="preserve">4 (1) </w:t>
            </w:r>
          </w:p>
        </w:tc>
      </w:tr>
      <w:tr w:rsidR="00435064" w14:paraId="349FAE3B" w14:textId="77777777" w:rsidTr="00473E8B">
        <w:trPr>
          <w:trHeight w:val="390"/>
        </w:trPr>
        <w:tc>
          <w:tcPr>
            <w:tcW w:w="7890" w:type="dxa"/>
            <w:gridSpan w:val="4"/>
            <w:tcBorders>
              <w:top w:val="nil"/>
              <w:left w:val="nil"/>
              <w:bottom w:val="nil"/>
              <w:right w:val="nil"/>
            </w:tcBorders>
          </w:tcPr>
          <w:p w14:paraId="1E2B8725" w14:textId="77777777" w:rsidR="00435064" w:rsidRDefault="00435064" w:rsidP="00473E8B">
            <w:pPr>
              <w:tabs>
                <w:tab w:val="center" w:pos="3188"/>
                <w:tab w:val="center" w:pos="4208"/>
                <w:tab w:val="center" w:pos="5199"/>
                <w:tab w:val="center" w:pos="6149"/>
                <w:tab w:val="center" w:pos="7165"/>
              </w:tabs>
              <w:spacing w:after="0" w:line="259" w:lineRule="auto"/>
              <w:ind w:left="0" w:right="0" w:firstLine="0"/>
              <w:jc w:val="left"/>
            </w:pPr>
            <w:r>
              <w:rPr>
                <w:sz w:val="18"/>
              </w:rPr>
              <w:t xml:space="preserve">Fertility  </w:t>
            </w:r>
            <w:r>
              <w:rPr>
                <w:sz w:val="18"/>
              </w:rPr>
              <w:tab/>
              <w:t xml:space="preserve">59 (42.8) </w:t>
            </w:r>
            <w:r>
              <w:rPr>
                <w:sz w:val="18"/>
              </w:rPr>
              <w:tab/>
              <w:t xml:space="preserve">71 (51.4) </w:t>
            </w:r>
            <w:r>
              <w:rPr>
                <w:sz w:val="18"/>
              </w:rPr>
              <w:tab/>
              <w:t xml:space="preserve">8 (5.8) </w:t>
            </w:r>
            <w:r>
              <w:rPr>
                <w:sz w:val="18"/>
              </w:rPr>
              <w:tab/>
              <w:t xml:space="preserve">0 </w:t>
            </w:r>
            <w:r>
              <w:rPr>
                <w:sz w:val="18"/>
              </w:rPr>
              <w:tab/>
              <w:t xml:space="preserve">0 </w:t>
            </w:r>
          </w:p>
        </w:tc>
        <w:tc>
          <w:tcPr>
            <w:tcW w:w="530" w:type="dxa"/>
            <w:gridSpan w:val="2"/>
            <w:tcBorders>
              <w:top w:val="nil"/>
              <w:left w:val="nil"/>
              <w:bottom w:val="nil"/>
              <w:right w:val="nil"/>
            </w:tcBorders>
          </w:tcPr>
          <w:p w14:paraId="06EC5C5A" w14:textId="77777777" w:rsidR="00435064" w:rsidRDefault="00435064" w:rsidP="00473E8B">
            <w:pPr>
              <w:spacing w:after="0" w:line="259" w:lineRule="auto"/>
              <w:ind w:left="110" w:right="0" w:firstLine="0"/>
              <w:jc w:val="left"/>
            </w:pPr>
            <w:r>
              <w:rPr>
                <w:sz w:val="18"/>
              </w:rPr>
              <w:t xml:space="preserve">4 (1) </w:t>
            </w:r>
          </w:p>
        </w:tc>
      </w:tr>
      <w:tr w:rsidR="00435064" w14:paraId="4769024A" w14:textId="77777777" w:rsidTr="00473E8B">
        <w:trPr>
          <w:trHeight w:val="778"/>
        </w:trPr>
        <w:tc>
          <w:tcPr>
            <w:tcW w:w="7890" w:type="dxa"/>
            <w:gridSpan w:val="4"/>
            <w:tcBorders>
              <w:top w:val="nil"/>
              <w:left w:val="nil"/>
              <w:bottom w:val="nil"/>
              <w:right w:val="nil"/>
            </w:tcBorders>
          </w:tcPr>
          <w:p w14:paraId="6CEBD67C" w14:textId="77777777" w:rsidR="00435064" w:rsidRDefault="00435064" w:rsidP="00473E8B">
            <w:pPr>
              <w:tabs>
                <w:tab w:val="center" w:pos="3188"/>
                <w:tab w:val="center" w:pos="4208"/>
                <w:tab w:val="center" w:pos="5199"/>
                <w:tab w:val="center" w:pos="6149"/>
                <w:tab w:val="center" w:pos="7165"/>
              </w:tabs>
              <w:spacing w:after="166" w:line="259" w:lineRule="auto"/>
              <w:ind w:left="0" w:right="0" w:firstLine="0"/>
              <w:jc w:val="left"/>
            </w:pPr>
            <w:r>
              <w:rPr>
                <w:sz w:val="18"/>
              </w:rPr>
              <w:t xml:space="preserve">Pregnancy </w:t>
            </w:r>
            <w:r>
              <w:rPr>
                <w:sz w:val="18"/>
              </w:rPr>
              <w:tab/>
              <w:t xml:space="preserve">60 (43.5) </w:t>
            </w:r>
            <w:r>
              <w:rPr>
                <w:sz w:val="18"/>
              </w:rPr>
              <w:tab/>
              <w:t xml:space="preserve">73 (52.9) </w:t>
            </w:r>
            <w:r>
              <w:rPr>
                <w:sz w:val="18"/>
              </w:rPr>
              <w:tab/>
              <w:t xml:space="preserve">5 (3.6) </w:t>
            </w:r>
            <w:r>
              <w:rPr>
                <w:sz w:val="18"/>
              </w:rPr>
              <w:tab/>
              <w:t xml:space="preserve">0 </w:t>
            </w:r>
            <w:r>
              <w:rPr>
                <w:sz w:val="18"/>
              </w:rPr>
              <w:tab/>
              <w:t xml:space="preserve">0 </w:t>
            </w:r>
          </w:p>
          <w:p w14:paraId="2E905712" w14:textId="77777777" w:rsidR="00435064" w:rsidRDefault="00435064" w:rsidP="00473E8B">
            <w:pPr>
              <w:spacing w:after="0" w:line="259" w:lineRule="auto"/>
              <w:ind w:left="0" w:right="0" w:firstLine="0"/>
              <w:jc w:val="left"/>
            </w:pPr>
            <w:r>
              <w:rPr>
                <w:b/>
                <w:sz w:val="18"/>
              </w:rPr>
              <w:t xml:space="preserve">Women to whom I provide care, are able to appraise health information they receive: </w:t>
            </w:r>
          </w:p>
        </w:tc>
        <w:tc>
          <w:tcPr>
            <w:tcW w:w="530" w:type="dxa"/>
            <w:gridSpan w:val="2"/>
            <w:tcBorders>
              <w:top w:val="nil"/>
              <w:left w:val="nil"/>
              <w:bottom w:val="nil"/>
              <w:right w:val="nil"/>
            </w:tcBorders>
          </w:tcPr>
          <w:p w14:paraId="72692979" w14:textId="77777777" w:rsidR="00435064" w:rsidRDefault="00435064" w:rsidP="00473E8B">
            <w:pPr>
              <w:spacing w:after="0" w:line="259" w:lineRule="auto"/>
              <w:ind w:left="110" w:right="0" w:firstLine="0"/>
              <w:jc w:val="left"/>
            </w:pPr>
            <w:r>
              <w:rPr>
                <w:sz w:val="18"/>
              </w:rPr>
              <w:t xml:space="preserve">4 (1) </w:t>
            </w:r>
          </w:p>
        </w:tc>
      </w:tr>
      <w:tr w:rsidR="00435064" w14:paraId="58569797" w14:textId="77777777" w:rsidTr="00473E8B">
        <w:trPr>
          <w:trHeight w:val="392"/>
        </w:trPr>
        <w:tc>
          <w:tcPr>
            <w:tcW w:w="6906" w:type="dxa"/>
            <w:gridSpan w:val="3"/>
            <w:tcBorders>
              <w:top w:val="nil"/>
              <w:left w:val="nil"/>
              <w:bottom w:val="nil"/>
              <w:right w:val="nil"/>
            </w:tcBorders>
          </w:tcPr>
          <w:p w14:paraId="2289AA20" w14:textId="77777777" w:rsidR="00435064" w:rsidRDefault="00435064" w:rsidP="00473E8B">
            <w:pPr>
              <w:tabs>
                <w:tab w:val="center" w:pos="3188"/>
                <w:tab w:val="center" w:pos="4208"/>
                <w:tab w:val="center" w:pos="5199"/>
                <w:tab w:val="center" w:pos="6149"/>
              </w:tabs>
              <w:spacing w:after="0" w:line="259" w:lineRule="auto"/>
              <w:ind w:left="0" w:right="0" w:firstLine="0"/>
              <w:jc w:val="left"/>
            </w:pPr>
            <w:r>
              <w:rPr>
                <w:sz w:val="18"/>
              </w:rPr>
              <w:t xml:space="preserve">Verbally </w:t>
            </w:r>
            <w:r>
              <w:rPr>
                <w:sz w:val="18"/>
              </w:rPr>
              <w:tab/>
              <w:t xml:space="preserve">59 (42.8) </w:t>
            </w:r>
            <w:r>
              <w:rPr>
                <w:sz w:val="18"/>
              </w:rPr>
              <w:tab/>
              <w:t xml:space="preserve">67 (48.6) </w:t>
            </w:r>
            <w:r>
              <w:rPr>
                <w:sz w:val="18"/>
              </w:rPr>
              <w:tab/>
              <w:t xml:space="preserve">9 (6.5) </w:t>
            </w:r>
            <w:r>
              <w:rPr>
                <w:sz w:val="18"/>
              </w:rPr>
              <w:tab/>
              <w:t xml:space="preserve">2 (1.4) </w:t>
            </w:r>
          </w:p>
        </w:tc>
        <w:tc>
          <w:tcPr>
            <w:tcW w:w="985" w:type="dxa"/>
            <w:tcBorders>
              <w:top w:val="nil"/>
              <w:left w:val="nil"/>
              <w:bottom w:val="nil"/>
              <w:right w:val="nil"/>
            </w:tcBorders>
          </w:tcPr>
          <w:p w14:paraId="16504DEB" w14:textId="77777777" w:rsidR="00435064" w:rsidRDefault="00435064" w:rsidP="00473E8B">
            <w:pPr>
              <w:spacing w:after="0" w:line="259" w:lineRule="auto"/>
              <w:ind w:left="0" w:right="0" w:firstLine="0"/>
              <w:jc w:val="left"/>
            </w:pPr>
            <w:r>
              <w:rPr>
                <w:sz w:val="18"/>
              </w:rPr>
              <w:t xml:space="preserve">1 (0.7) </w:t>
            </w:r>
          </w:p>
        </w:tc>
        <w:tc>
          <w:tcPr>
            <w:tcW w:w="530" w:type="dxa"/>
            <w:gridSpan w:val="2"/>
            <w:tcBorders>
              <w:top w:val="nil"/>
              <w:left w:val="nil"/>
              <w:bottom w:val="nil"/>
              <w:right w:val="nil"/>
            </w:tcBorders>
          </w:tcPr>
          <w:p w14:paraId="21C9DE01" w14:textId="77777777" w:rsidR="00435064" w:rsidRDefault="00435064" w:rsidP="00473E8B">
            <w:pPr>
              <w:spacing w:after="0" w:line="259" w:lineRule="auto"/>
              <w:ind w:left="110" w:right="0" w:firstLine="0"/>
              <w:jc w:val="left"/>
            </w:pPr>
            <w:r>
              <w:rPr>
                <w:sz w:val="18"/>
              </w:rPr>
              <w:t xml:space="preserve">4 (1) </w:t>
            </w:r>
          </w:p>
        </w:tc>
      </w:tr>
      <w:tr w:rsidR="00435064" w14:paraId="4FECDE32" w14:textId="77777777" w:rsidTr="00473E8B">
        <w:trPr>
          <w:trHeight w:val="390"/>
        </w:trPr>
        <w:tc>
          <w:tcPr>
            <w:tcW w:w="6906" w:type="dxa"/>
            <w:gridSpan w:val="3"/>
            <w:tcBorders>
              <w:top w:val="nil"/>
              <w:left w:val="nil"/>
              <w:bottom w:val="nil"/>
              <w:right w:val="nil"/>
            </w:tcBorders>
          </w:tcPr>
          <w:p w14:paraId="0D0263C9" w14:textId="77777777" w:rsidR="00435064" w:rsidRDefault="00435064" w:rsidP="00473E8B">
            <w:pPr>
              <w:tabs>
                <w:tab w:val="center" w:pos="3188"/>
                <w:tab w:val="center" w:pos="4208"/>
                <w:tab w:val="center" w:pos="5197"/>
                <w:tab w:val="center" w:pos="6149"/>
              </w:tabs>
              <w:spacing w:after="0" w:line="259" w:lineRule="auto"/>
              <w:ind w:left="0" w:right="0" w:firstLine="0"/>
              <w:jc w:val="left"/>
            </w:pPr>
            <w:r>
              <w:rPr>
                <w:sz w:val="18"/>
              </w:rPr>
              <w:t xml:space="preserve">Written </w:t>
            </w:r>
            <w:r>
              <w:rPr>
                <w:sz w:val="18"/>
              </w:rPr>
              <w:tab/>
              <w:t xml:space="preserve">37 (26.8) </w:t>
            </w:r>
            <w:r>
              <w:rPr>
                <w:sz w:val="18"/>
              </w:rPr>
              <w:tab/>
              <w:t xml:space="preserve">65 (47.1) </w:t>
            </w:r>
            <w:r>
              <w:rPr>
                <w:sz w:val="18"/>
              </w:rPr>
              <w:tab/>
              <w:t xml:space="preserve">32 (23.2) </w:t>
            </w:r>
            <w:r>
              <w:rPr>
                <w:sz w:val="18"/>
              </w:rPr>
              <w:tab/>
              <w:t xml:space="preserve">3 (2.2) </w:t>
            </w:r>
          </w:p>
        </w:tc>
        <w:tc>
          <w:tcPr>
            <w:tcW w:w="985" w:type="dxa"/>
            <w:tcBorders>
              <w:top w:val="nil"/>
              <w:left w:val="nil"/>
              <w:bottom w:val="nil"/>
              <w:right w:val="nil"/>
            </w:tcBorders>
          </w:tcPr>
          <w:p w14:paraId="2FBAC706" w14:textId="77777777" w:rsidR="00435064" w:rsidRDefault="00435064" w:rsidP="00473E8B">
            <w:pPr>
              <w:spacing w:after="0" w:line="259" w:lineRule="auto"/>
              <w:ind w:left="0" w:right="0" w:firstLine="0"/>
              <w:jc w:val="left"/>
            </w:pPr>
            <w:r>
              <w:rPr>
                <w:sz w:val="18"/>
              </w:rPr>
              <w:t xml:space="preserve">1 (0.7) </w:t>
            </w:r>
          </w:p>
        </w:tc>
        <w:tc>
          <w:tcPr>
            <w:tcW w:w="530" w:type="dxa"/>
            <w:gridSpan w:val="2"/>
            <w:tcBorders>
              <w:top w:val="nil"/>
              <w:left w:val="nil"/>
              <w:bottom w:val="nil"/>
              <w:right w:val="nil"/>
            </w:tcBorders>
          </w:tcPr>
          <w:p w14:paraId="2B720314" w14:textId="77777777" w:rsidR="00435064" w:rsidRDefault="00435064" w:rsidP="00473E8B">
            <w:pPr>
              <w:spacing w:after="0" w:line="259" w:lineRule="auto"/>
              <w:ind w:left="110" w:right="0" w:firstLine="0"/>
              <w:jc w:val="left"/>
            </w:pPr>
            <w:r>
              <w:rPr>
                <w:sz w:val="18"/>
              </w:rPr>
              <w:t xml:space="preserve">4 (1) </w:t>
            </w:r>
          </w:p>
        </w:tc>
      </w:tr>
      <w:tr w:rsidR="00435064" w14:paraId="51EB9B5C" w14:textId="77777777" w:rsidTr="00473E8B">
        <w:trPr>
          <w:trHeight w:val="778"/>
        </w:trPr>
        <w:tc>
          <w:tcPr>
            <w:tcW w:w="6906" w:type="dxa"/>
            <w:gridSpan w:val="3"/>
            <w:tcBorders>
              <w:top w:val="nil"/>
              <w:left w:val="nil"/>
              <w:bottom w:val="nil"/>
              <w:right w:val="nil"/>
            </w:tcBorders>
          </w:tcPr>
          <w:p w14:paraId="4D150C64" w14:textId="77777777" w:rsidR="00435064" w:rsidRDefault="00435064" w:rsidP="00473E8B">
            <w:pPr>
              <w:tabs>
                <w:tab w:val="center" w:pos="3188"/>
                <w:tab w:val="center" w:pos="4208"/>
                <w:tab w:val="center" w:pos="5197"/>
                <w:tab w:val="center" w:pos="6151"/>
              </w:tabs>
              <w:spacing w:after="166" w:line="259" w:lineRule="auto"/>
              <w:ind w:left="0" w:right="0" w:firstLine="0"/>
              <w:jc w:val="left"/>
            </w:pPr>
            <w:r>
              <w:rPr>
                <w:sz w:val="18"/>
              </w:rPr>
              <w:t xml:space="preserve">Online </w:t>
            </w:r>
            <w:r>
              <w:rPr>
                <w:sz w:val="18"/>
              </w:rPr>
              <w:tab/>
              <w:t xml:space="preserve">28 (20.3) </w:t>
            </w:r>
            <w:r>
              <w:rPr>
                <w:sz w:val="18"/>
              </w:rPr>
              <w:tab/>
              <w:t xml:space="preserve">48 (34.8) </w:t>
            </w:r>
            <w:r>
              <w:rPr>
                <w:sz w:val="18"/>
              </w:rPr>
              <w:tab/>
              <w:t xml:space="preserve">49 (35.5) </w:t>
            </w:r>
            <w:r>
              <w:rPr>
                <w:sz w:val="18"/>
              </w:rPr>
              <w:tab/>
              <w:t xml:space="preserve">10 (7.2) </w:t>
            </w:r>
          </w:p>
          <w:p w14:paraId="3B892535" w14:textId="77777777" w:rsidR="00435064" w:rsidRDefault="00435064" w:rsidP="00473E8B">
            <w:pPr>
              <w:spacing w:after="0" w:line="259" w:lineRule="auto"/>
              <w:ind w:left="0" w:right="0" w:firstLine="0"/>
              <w:jc w:val="left"/>
            </w:pPr>
            <w:r>
              <w:rPr>
                <w:b/>
                <w:sz w:val="18"/>
              </w:rPr>
              <w:t xml:space="preserve">Women to whom I provide care, are able to appraise information about: </w:t>
            </w:r>
          </w:p>
        </w:tc>
        <w:tc>
          <w:tcPr>
            <w:tcW w:w="985" w:type="dxa"/>
            <w:tcBorders>
              <w:top w:val="nil"/>
              <w:left w:val="nil"/>
              <w:bottom w:val="nil"/>
              <w:right w:val="nil"/>
            </w:tcBorders>
          </w:tcPr>
          <w:p w14:paraId="176523AB" w14:textId="77777777" w:rsidR="00435064" w:rsidRDefault="00435064" w:rsidP="00473E8B">
            <w:pPr>
              <w:spacing w:after="0" w:line="259" w:lineRule="auto"/>
              <w:ind w:left="0" w:right="0" w:firstLine="0"/>
              <w:jc w:val="left"/>
            </w:pPr>
            <w:r>
              <w:rPr>
                <w:sz w:val="18"/>
              </w:rPr>
              <w:t xml:space="preserve">3 (2.2) </w:t>
            </w:r>
          </w:p>
        </w:tc>
        <w:tc>
          <w:tcPr>
            <w:tcW w:w="530" w:type="dxa"/>
            <w:gridSpan w:val="2"/>
            <w:tcBorders>
              <w:top w:val="nil"/>
              <w:left w:val="nil"/>
              <w:bottom w:val="nil"/>
              <w:right w:val="nil"/>
            </w:tcBorders>
          </w:tcPr>
          <w:p w14:paraId="1E16208E" w14:textId="77777777" w:rsidR="00435064" w:rsidRDefault="00435064" w:rsidP="00473E8B">
            <w:pPr>
              <w:spacing w:after="0" w:line="259" w:lineRule="auto"/>
              <w:ind w:left="110" w:right="0" w:firstLine="0"/>
              <w:jc w:val="left"/>
            </w:pPr>
            <w:r>
              <w:rPr>
                <w:sz w:val="18"/>
              </w:rPr>
              <w:t xml:space="preserve">4 (1) </w:t>
            </w:r>
          </w:p>
        </w:tc>
      </w:tr>
      <w:tr w:rsidR="00435064" w14:paraId="55752D6D" w14:textId="77777777" w:rsidTr="00473E8B">
        <w:trPr>
          <w:trHeight w:val="392"/>
        </w:trPr>
        <w:tc>
          <w:tcPr>
            <w:tcW w:w="4837" w:type="dxa"/>
            <w:tcBorders>
              <w:top w:val="nil"/>
              <w:left w:val="nil"/>
              <w:bottom w:val="nil"/>
              <w:right w:val="nil"/>
            </w:tcBorders>
          </w:tcPr>
          <w:p w14:paraId="56B405F7" w14:textId="77777777" w:rsidR="00435064" w:rsidRDefault="00435064" w:rsidP="00473E8B">
            <w:pPr>
              <w:tabs>
                <w:tab w:val="center" w:pos="3188"/>
                <w:tab w:val="center" w:pos="4209"/>
              </w:tabs>
              <w:spacing w:after="0" w:line="259" w:lineRule="auto"/>
              <w:ind w:left="0" w:right="0" w:firstLine="0"/>
              <w:jc w:val="left"/>
            </w:pPr>
            <w:r>
              <w:rPr>
                <w:sz w:val="18"/>
              </w:rPr>
              <w:t xml:space="preserve">Contraception </w:t>
            </w:r>
            <w:r>
              <w:rPr>
                <w:sz w:val="18"/>
              </w:rPr>
              <w:tab/>
              <w:t xml:space="preserve">33 (23.9) </w:t>
            </w:r>
            <w:r>
              <w:rPr>
                <w:sz w:val="18"/>
              </w:rPr>
              <w:tab/>
              <w:t xml:space="preserve">76 (55.1) </w:t>
            </w:r>
          </w:p>
        </w:tc>
        <w:tc>
          <w:tcPr>
            <w:tcW w:w="1052" w:type="dxa"/>
            <w:tcBorders>
              <w:top w:val="nil"/>
              <w:left w:val="nil"/>
              <w:bottom w:val="nil"/>
              <w:right w:val="nil"/>
            </w:tcBorders>
          </w:tcPr>
          <w:p w14:paraId="5355C400" w14:textId="77777777" w:rsidR="00435064" w:rsidRDefault="00435064" w:rsidP="00473E8B">
            <w:pPr>
              <w:spacing w:after="0" w:line="259" w:lineRule="auto"/>
              <w:ind w:left="0" w:right="0" w:firstLine="0"/>
              <w:jc w:val="left"/>
            </w:pPr>
            <w:r>
              <w:rPr>
                <w:sz w:val="18"/>
              </w:rPr>
              <w:t xml:space="preserve">26 (18.8) </w:t>
            </w:r>
          </w:p>
        </w:tc>
        <w:tc>
          <w:tcPr>
            <w:tcW w:w="1018" w:type="dxa"/>
            <w:tcBorders>
              <w:top w:val="nil"/>
              <w:left w:val="nil"/>
              <w:bottom w:val="nil"/>
              <w:right w:val="nil"/>
            </w:tcBorders>
          </w:tcPr>
          <w:p w14:paraId="1C4D03BA" w14:textId="77777777" w:rsidR="00435064" w:rsidRDefault="00435064" w:rsidP="00473E8B">
            <w:pPr>
              <w:spacing w:after="0" w:line="259" w:lineRule="auto"/>
              <w:ind w:left="0" w:right="0" w:firstLine="0"/>
              <w:jc w:val="left"/>
            </w:pPr>
            <w:r>
              <w:rPr>
                <w:sz w:val="18"/>
              </w:rPr>
              <w:t xml:space="preserve">2 (1.4) </w:t>
            </w:r>
          </w:p>
        </w:tc>
        <w:tc>
          <w:tcPr>
            <w:tcW w:w="985" w:type="dxa"/>
            <w:tcBorders>
              <w:top w:val="nil"/>
              <w:left w:val="nil"/>
              <w:bottom w:val="nil"/>
              <w:right w:val="nil"/>
            </w:tcBorders>
          </w:tcPr>
          <w:p w14:paraId="5194B43C" w14:textId="77777777" w:rsidR="00435064" w:rsidRDefault="00435064" w:rsidP="00473E8B">
            <w:pPr>
              <w:spacing w:after="0" w:line="259" w:lineRule="auto"/>
              <w:ind w:left="0" w:right="0" w:firstLine="0"/>
              <w:jc w:val="left"/>
            </w:pPr>
            <w:r>
              <w:rPr>
                <w:sz w:val="18"/>
              </w:rPr>
              <w:t xml:space="preserve">1 (0.7) </w:t>
            </w:r>
          </w:p>
        </w:tc>
        <w:tc>
          <w:tcPr>
            <w:tcW w:w="530" w:type="dxa"/>
            <w:gridSpan w:val="2"/>
            <w:tcBorders>
              <w:top w:val="nil"/>
              <w:left w:val="nil"/>
              <w:bottom w:val="nil"/>
              <w:right w:val="nil"/>
            </w:tcBorders>
          </w:tcPr>
          <w:p w14:paraId="50D34E71" w14:textId="77777777" w:rsidR="00435064" w:rsidRDefault="00435064" w:rsidP="00473E8B">
            <w:pPr>
              <w:spacing w:after="0" w:line="259" w:lineRule="auto"/>
              <w:ind w:left="110" w:right="0" w:firstLine="0"/>
              <w:jc w:val="left"/>
            </w:pPr>
            <w:r>
              <w:rPr>
                <w:sz w:val="18"/>
              </w:rPr>
              <w:t xml:space="preserve">4 (0) </w:t>
            </w:r>
          </w:p>
        </w:tc>
      </w:tr>
      <w:tr w:rsidR="00435064" w14:paraId="0C16BE43" w14:textId="77777777" w:rsidTr="00473E8B">
        <w:trPr>
          <w:trHeight w:val="390"/>
        </w:trPr>
        <w:tc>
          <w:tcPr>
            <w:tcW w:w="4837" w:type="dxa"/>
            <w:tcBorders>
              <w:top w:val="nil"/>
              <w:left w:val="nil"/>
              <w:bottom w:val="nil"/>
              <w:right w:val="nil"/>
            </w:tcBorders>
          </w:tcPr>
          <w:p w14:paraId="0B5C896A" w14:textId="77777777" w:rsidR="00435064" w:rsidRDefault="00435064" w:rsidP="00473E8B">
            <w:pPr>
              <w:tabs>
                <w:tab w:val="center" w:pos="3189"/>
                <w:tab w:val="center" w:pos="4209"/>
              </w:tabs>
              <w:spacing w:after="0" w:line="259" w:lineRule="auto"/>
              <w:ind w:left="0" w:right="0" w:firstLine="0"/>
              <w:jc w:val="left"/>
            </w:pPr>
            <w:r>
              <w:rPr>
                <w:sz w:val="18"/>
              </w:rPr>
              <w:t xml:space="preserve">Sexually Transmitted Infections </w:t>
            </w:r>
            <w:r>
              <w:rPr>
                <w:sz w:val="18"/>
              </w:rPr>
              <w:tab/>
              <w:t xml:space="preserve">39 (28.3) </w:t>
            </w:r>
            <w:r>
              <w:rPr>
                <w:sz w:val="18"/>
              </w:rPr>
              <w:tab/>
              <w:t xml:space="preserve">74 (53.6) </w:t>
            </w:r>
          </w:p>
        </w:tc>
        <w:tc>
          <w:tcPr>
            <w:tcW w:w="1052" w:type="dxa"/>
            <w:tcBorders>
              <w:top w:val="nil"/>
              <w:left w:val="nil"/>
              <w:bottom w:val="nil"/>
              <w:right w:val="nil"/>
            </w:tcBorders>
          </w:tcPr>
          <w:p w14:paraId="781060AD" w14:textId="77777777" w:rsidR="00435064" w:rsidRDefault="00435064" w:rsidP="00473E8B">
            <w:pPr>
              <w:spacing w:after="0" w:line="259" w:lineRule="auto"/>
              <w:ind w:left="0" w:right="0" w:firstLine="0"/>
              <w:jc w:val="left"/>
            </w:pPr>
            <w:r>
              <w:rPr>
                <w:sz w:val="18"/>
              </w:rPr>
              <w:t xml:space="preserve">23 (16.7) </w:t>
            </w:r>
          </w:p>
        </w:tc>
        <w:tc>
          <w:tcPr>
            <w:tcW w:w="1018" w:type="dxa"/>
            <w:tcBorders>
              <w:top w:val="nil"/>
              <w:left w:val="nil"/>
              <w:bottom w:val="nil"/>
              <w:right w:val="nil"/>
            </w:tcBorders>
          </w:tcPr>
          <w:p w14:paraId="2759BD64" w14:textId="77777777" w:rsidR="00435064" w:rsidRDefault="00435064" w:rsidP="00473E8B">
            <w:pPr>
              <w:spacing w:after="0" w:line="259" w:lineRule="auto"/>
              <w:ind w:left="0" w:right="0" w:firstLine="0"/>
              <w:jc w:val="left"/>
            </w:pPr>
            <w:r>
              <w:rPr>
                <w:sz w:val="18"/>
              </w:rPr>
              <w:t xml:space="preserve">2 (1.4) </w:t>
            </w:r>
          </w:p>
        </w:tc>
        <w:tc>
          <w:tcPr>
            <w:tcW w:w="985" w:type="dxa"/>
            <w:tcBorders>
              <w:top w:val="nil"/>
              <w:left w:val="nil"/>
              <w:bottom w:val="nil"/>
              <w:right w:val="nil"/>
            </w:tcBorders>
          </w:tcPr>
          <w:p w14:paraId="38C37893" w14:textId="77777777" w:rsidR="00435064" w:rsidRDefault="00435064" w:rsidP="00473E8B">
            <w:pPr>
              <w:spacing w:after="0" w:line="259" w:lineRule="auto"/>
              <w:ind w:left="209" w:right="0" w:firstLine="0"/>
              <w:jc w:val="left"/>
            </w:pPr>
            <w:r>
              <w:rPr>
                <w:sz w:val="18"/>
              </w:rPr>
              <w:t xml:space="preserve">0 </w:t>
            </w:r>
          </w:p>
        </w:tc>
        <w:tc>
          <w:tcPr>
            <w:tcW w:w="530" w:type="dxa"/>
            <w:gridSpan w:val="2"/>
            <w:tcBorders>
              <w:top w:val="nil"/>
              <w:left w:val="nil"/>
              <w:bottom w:val="nil"/>
              <w:right w:val="nil"/>
            </w:tcBorders>
          </w:tcPr>
          <w:p w14:paraId="3DF571AD" w14:textId="77777777" w:rsidR="00435064" w:rsidRDefault="00435064" w:rsidP="00473E8B">
            <w:pPr>
              <w:spacing w:after="0" w:line="259" w:lineRule="auto"/>
              <w:ind w:left="110" w:right="0" w:firstLine="0"/>
              <w:jc w:val="left"/>
            </w:pPr>
            <w:r>
              <w:rPr>
                <w:sz w:val="18"/>
              </w:rPr>
              <w:t xml:space="preserve">4 (1) </w:t>
            </w:r>
          </w:p>
        </w:tc>
      </w:tr>
      <w:tr w:rsidR="00435064" w14:paraId="1F50E822" w14:textId="77777777" w:rsidTr="00473E8B">
        <w:trPr>
          <w:trHeight w:val="390"/>
        </w:trPr>
        <w:tc>
          <w:tcPr>
            <w:tcW w:w="4837" w:type="dxa"/>
            <w:tcBorders>
              <w:top w:val="nil"/>
              <w:left w:val="nil"/>
              <w:bottom w:val="nil"/>
              <w:right w:val="nil"/>
            </w:tcBorders>
          </w:tcPr>
          <w:p w14:paraId="5F8DBD98" w14:textId="77777777" w:rsidR="00435064" w:rsidRDefault="00435064" w:rsidP="00473E8B">
            <w:pPr>
              <w:tabs>
                <w:tab w:val="center" w:pos="3189"/>
                <w:tab w:val="center" w:pos="4209"/>
              </w:tabs>
              <w:spacing w:after="0" w:line="259" w:lineRule="auto"/>
              <w:ind w:left="0" w:right="0" w:firstLine="0"/>
              <w:jc w:val="left"/>
            </w:pPr>
            <w:r>
              <w:rPr>
                <w:sz w:val="18"/>
              </w:rPr>
              <w:t xml:space="preserve">Abortion </w:t>
            </w:r>
            <w:r>
              <w:rPr>
                <w:sz w:val="18"/>
              </w:rPr>
              <w:tab/>
              <w:t xml:space="preserve">39 (28.3) </w:t>
            </w:r>
            <w:r>
              <w:rPr>
                <w:sz w:val="18"/>
              </w:rPr>
              <w:tab/>
              <w:t xml:space="preserve">82 (59.4) </w:t>
            </w:r>
          </w:p>
        </w:tc>
        <w:tc>
          <w:tcPr>
            <w:tcW w:w="1052" w:type="dxa"/>
            <w:tcBorders>
              <w:top w:val="nil"/>
              <w:left w:val="nil"/>
              <w:bottom w:val="nil"/>
              <w:right w:val="nil"/>
            </w:tcBorders>
          </w:tcPr>
          <w:p w14:paraId="5BAF6555" w14:textId="77777777" w:rsidR="00435064" w:rsidRDefault="00435064" w:rsidP="00473E8B">
            <w:pPr>
              <w:spacing w:after="0" w:line="259" w:lineRule="auto"/>
              <w:ind w:left="0" w:right="0" w:firstLine="0"/>
              <w:jc w:val="left"/>
            </w:pPr>
            <w:r>
              <w:rPr>
                <w:sz w:val="18"/>
              </w:rPr>
              <w:t xml:space="preserve">16 (11.6) </w:t>
            </w:r>
          </w:p>
        </w:tc>
        <w:tc>
          <w:tcPr>
            <w:tcW w:w="1018" w:type="dxa"/>
            <w:tcBorders>
              <w:top w:val="nil"/>
              <w:left w:val="nil"/>
              <w:bottom w:val="nil"/>
              <w:right w:val="nil"/>
            </w:tcBorders>
          </w:tcPr>
          <w:p w14:paraId="72CF440B" w14:textId="77777777" w:rsidR="00435064" w:rsidRDefault="00435064" w:rsidP="00473E8B">
            <w:pPr>
              <w:spacing w:after="0" w:line="259" w:lineRule="auto"/>
              <w:ind w:left="0" w:right="0" w:firstLine="0"/>
              <w:jc w:val="left"/>
            </w:pPr>
            <w:r>
              <w:rPr>
                <w:sz w:val="18"/>
              </w:rPr>
              <w:t xml:space="preserve">1 (0.7) </w:t>
            </w:r>
          </w:p>
        </w:tc>
        <w:tc>
          <w:tcPr>
            <w:tcW w:w="985" w:type="dxa"/>
            <w:tcBorders>
              <w:top w:val="nil"/>
              <w:left w:val="nil"/>
              <w:bottom w:val="nil"/>
              <w:right w:val="nil"/>
            </w:tcBorders>
          </w:tcPr>
          <w:p w14:paraId="147255DB" w14:textId="77777777" w:rsidR="00435064" w:rsidRDefault="00435064" w:rsidP="00473E8B">
            <w:pPr>
              <w:spacing w:after="0" w:line="259" w:lineRule="auto"/>
              <w:ind w:left="209" w:right="0" w:firstLine="0"/>
              <w:jc w:val="left"/>
            </w:pPr>
            <w:r>
              <w:rPr>
                <w:sz w:val="18"/>
              </w:rPr>
              <w:t xml:space="preserve">0 </w:t>
            </w:r>
          </w:p>
        </w:tc>
        <w:tc>
          <w:tcPr>
            <w:tcW w:w="530" w:type="dxa"/>
            <w:gridSpan w:val="2"/>
            <w:tcBorders>
              <w:top w:val="nil"/>
              <w:left w:val="nil"/>
              <w:bottom w:val="nil"/>
              <w:right w:val="nil"/>
            </w:tcBorders>
          </w:tcPr>
          <w:p w14:paraId="01546FC7" w14:textId="77777777" w:rsidR="00435064" w:rsidRDefault="00435064" w:rsidP="00473E8B">
            <w:pPr>
              <w:spacing w:after="0" w:line="259" w:lineRule="auto"/>
              <w:ind w:left="110" w:right="0" w:firstLine="0"/>
              <w:jc w:val="left"/>
            </w:pPr>
            <w:r>
              <w:rPr>
                <w:sz w:val="18"/>
              </w:rPr>
              <w:t xml:space="preserve">4 (1) </w:t>
            </w:r>
          </w:p>
        </w:tc>
      </w:tr>
      <w:tr w:rsidR="00435064" w14:paraId="3E2CD848" w14:textId="77777777" w:rsidTr="00473E8B">
        <w:trPr>
          <w:trHeight w:val="390"/>
        </w:trPr>
        <w:tc>
          <w:tcPr>
            <w:tcW w:w="4837" w:type="dxa"/>
            <w:tcBorders>
              <w:top w:val="nil"/>
              <w:left w:val="nil"/>
              <w:bottom w:val="nil"/>
              <w:right w:val="nil"/>
            </w:tcBorders>
          </w:tcPr>
          <w:p w14:paraId="7DE614B9" w14:textId="77777777" w:rsidR="00435064" w:rsidRDefault="00435064" w:rsidP="00473E8B">
            <w:pPr>
              <w:tabs>
                <w:tab w:val="center" w:pos="3189"/>
                <w:tab w:val="center" w:pos="4209"/>
              </w:tabs>
              <w:spacing w:after="0" w:line="259" w:lineRule="auto"/>
              <w:ind w:left="0" w:right="0" w:firstLine="0"/>
              <w:jc w:val="left"/>
            </w:pPr>
            <w:r>
              <w:rPr>
                <w:sz w:val="18"/>
              </w:rPr>
              <w:t xml:space="preserve">Pap Tests and Cervical Cancer </w:t>
            </w:r>
            <w:r>
              <w:rPr>
                <w:sz w:val="18"/>
              </w:rPr>
              <w:tab/>
              <w:t xml:space="preserve">33 (23.9) </w:t>
            </w:r>
            <w:r>
              <w:rPr>
                <w:sz w:val="18"/>
              </w:rPr>
              <w:tab/>
              <w:t xml:space="preserve">68 (49.3) </w:t>
            </w:r>
          </w:p>
        </w:tc>
        <w:tc>
          <w:tcPr>
            <w:tcW w:w="1052" w:type="dxa"/>
            <w:tcBorders>
              <w:top w:val="nil"/>
              <w:left w:val="nil"/>
              <w:bottom w:val="nil"/>
              <w:right w:val="nil"/>
            </w:tcBorders>
          </w:tcPr>
          <w:p w14:paraId="7EB607A2" w14:textId="77777777" w:rsidR="00435064" w:rsidRDefault="00435064" w:rsidP="00473E8B">
            <w:pPr>
              <w:spacing w:after="0" w:line="259" w:lineRule="auto"/>
              <w:ind w:left="0" w:right="0" w:firstLine="0"/>
              <w:jc w:val="left"/>
            </w:pPr>
            <w:r>
              <w:rPr>
                <w:sz w:val="18"/>
              </w:rPr>
              <w:t xml:space="preserve">30 (21.7) </w:t>
            </w:r>
          </w:p>
        </w:tc>
        <w:tc>
          <w:tcPr>
            <w:tcW w:w="1018" w:type="dxa"/>
            <w:tcBorders>
              <w:top w:val="nil"/>
              <w:left w:val="nil"/>
              <w:bottom w:val="nil"/>
              <w:right w:val="nil"/>
            </w:tcBorders>
          </w:tcPr>
          <w:p w14:paraId="284FD534" w14:textId="77777777" w:rsidR="00435064" w:rsidRDefault="00435064" w:rsidP="00473E8B">
            <w:pPr>
              <w:spacing w:after="0" w:line="259" w:lineRule="auto"/>
              <w:ind w:left="0" w:right="0" w:firstLine="0"/>
              <w:jc w:val="left"/>
            </w:pPr>
            <w:r>
              <w:rPr>
                <w:sz w:val="18"/>
              </w:rPr>
              <w:t xml:space="preserve">6 (4.3) </w:t>
            </w:r>
          </w:p>
        </w:tc>
        <w:tc>
          <w:tcPr>
            <w:tcW w:w="985" w:type="dxa"/>
            <w:tcBorders>
              <w:top w:val="nil"/>
              <w:left w:val="nil"/>
              <w:bottom w:val="nil"/>
              <w:right w:val="nil"/>
            </w:tcBorders>
          </w:tcPr>
          <w:p w14:paraId="19B2EF67" w14:textId="77777777" w:rsidR="00435064" w:rsidRDefault="00435064" w:rsidP="00473E8B">
            <w:pPr>
              <w:spacing w:after="0" w:line="259" w:lineRule="auto"/>
              <w:ind w:left="0" w:right="0" w:firstLine="0"/>
              <w:jc w:val="left"/>
            </w:pPr>
            <w:r>
              <w:rPr>
                <w:sz w:val="18"/>
              </w:rPr>
              <w:t xml:space="preserve">1 (0.7) </w:t>
            </w:r>
          </w:p>
        </w:tc>
        <w:tc>
          <w:tcPr>
            <w:tcW w:w="530" w:type="dxa"/>
            <w:gridSpan w:val="2"/>
            <w:tcBorders>
              <w:top w:val="nil"/>
              <w:left w:val="nil"/>
              <w:bottom w:val="nil"/>
              <w:right w:val="nil"/>
            </w:tcBorders>
          </w:tcPr>
          <w:p w14:paraId="00970F26" w14:textId="77777777" w:rsidR="00435064" w:rsidRDefault="00435064" w:rsidP="00473E8B">
            <w:pPr>
              <w:spacing w:after="0" w:line="259" w:lineRule="auto"/>
              <w:ind w:left="110" w:right="0" w:firstLine="0"/>
              <w:jc w:val="left"/>
            </w:pPr>
            <w:r>
              <w:rPr>
                <w:sz w:val="18"/>
              </w:rPr>
              <w:t xml:space="preserve">4 (1) </w:t>
            </w:r>
          </w:p>
        </w:tc>
      </w:tr>
      <w:tr w:rsidR="00435064" w14:paraId="61775EBB" w14:textId="77777777" w:rsidTr="00473E8B">
        <w:trPr>
          <w:trHeight w:val="390"/>
        </w:trPr>
        <w:tc>
          <w:tcPr>
            <w:tcW w:w="4837" w:type="dxa"/>
            <w:tcBorders>
              <w:top w:val="nil"/>
              <w:left w:val="nil"/>
              <w:bottom w:val="nil"/>
              <w:right w:val="nil"/>
            </w:tcBorders>
          </w:tcPr>
          <w:p w14:paraId="597213D4" w14:textId="77777777" w:rsidR="00435064" w:rsidRDefault="00435064" w:rsidP="00473E8B">
            <w:pPr>
              <w:tabs>
                <w:tab w:val="center" w:pos="3189"/>
                <w:tab w:val="center" w:pos="4209"/>
              </w:tabs>
              <w:spacing w:after="0" w:line="259" w:lineRule="auto"/>
              <w:ind w:left="0" w:right="0" w:firstLine="0"/>
              <w:jc w:val="left"/>
            </w:pPr>
            <w:r>
              <w:rPr>
                <w:sz w:val="18"/>
              </w:rPr>
              <w:t xml:space="preserve">Fertility  </w:t>
            </w:r>
            <w:r>
              <w:rPr>
                <w:sz w:val="18"/>
              </w:rPr>
              <w:tab/>
              <w:t xml:space="preserve">43 (31.2) </w:t>
            </w:r>
            <w:r>
              <w:rPr>
                <w:sz w:val="18"/>
              </w:rPr>
              <w:tab/>
              <w:t xml:space="preserve">84 (60.9) </w:t>
            </w:r>
          </w:p>
        </w:tc>
        <w:tc>
          <w:tcPr>
            <w:tcW w:w="1052" w:type="dxa"/>
            <w:tcBorders>
              <w:top w:val="nil"/>
              <w:left w:val="nil"/>
              <w:bottom w:val="nil"/>
              <w:right w:val="nil"/>
            </w:tcBorders>
          </w:tcPr>
          <w:p w14:paraId="086F90DF" w14:textId="77777777" w:rsidR="00435064" w:rsidRDefault="00435064" w:rsidP="00473E8B">
            <w:pPr>
              <w:spacing w:after="0" w:line="259" w:lineRule="auto"/>
              <w:ind w:left="50" w:right="0" w:firstLine="0"/>
              <w:jc w:val="left"/>
            </w:pPr>
            <w:r>
              <w:rPr>
                <w:sz w:val="18"/>
              </w:rPr>
              <w:t xml:space="preserve">11 (8.0) </w:t>
            </w:r>
          </w:p>
        </w:tc>
        <w:tc>
          <w:tcPr>
            <w:tcW w:w="1018" w:type="dxa"/>
            <w:tcBorders>
              <w:top w:val="nil"/>
              <w:left w:val="nil"/>
              <w:bottom w:val="nil"/>
              <w:right w:val="nil"/>
            </w:tcBorders>
          </w:tcPr>
          <w:p w14:paraId="3B158138" w14:textId="77777777" w:rsidR="00435064" w:rsidRDefault="00435064" w:rsidP="00473E8B">
            <w:pPr>
              <w:spacing w:after="0" w:line="259" w:lineRule="auto"/>
              <w:ind w:left="211" w:right="0" w:firstLine="0"/>
              <w:jc w:val="left"/>
            </w:pPr>
            <w:r>
              <w:rPr>
                <w:sz w:val="18"/>
              </w:rPr>
              <w:t xml:space="preserve">0 </w:t>
            </w:r>
          </w:p>
        </w:tc>
        <w:tc>
          <w:tcPr>
            <w:tcW w:w="985" w:type="dxa"/>
            <w:tcBorders>
              <w:top w:val="nil"/>
              <w:left w:val="nil"/>
              <w:bottom w:val="nil"/>
              <w:right w:val="nil"/>
            </w:tcBorders>
          </w:tcPr>
          <w:p w14:paraId="430B22C0" w14:textId="77777777" w:rsidR="00435064" w:rsidRDefault="00435064" w:rsidP="00473E8B">
            <w:pPr>
              <w:spacing w:after="0" w:line="259" w:lineRule="auto"/>
              <w:ind w:left="209" w:right="0" w:firstLine="0"/>
              <w:jc w:val="left"/>
            </w:pPr>
            <w:r>
              <w:rPr>
                <w:sz w:val="18"/>
              </w:rPr>
              <w:t xml:space="preserve">0 </w:t>
            </w:r>
          </w:p>
        </w:tc>
        <w:tc>
          <w:tcPr>
            <w:tcW w:w="530" w:type="dxa"/>
            <w:gridSpan w:val="2"/>
            <w:tcBorders>
              <w:top w:val="nil"/>
              <w:left w:val="nil"/>
              <w:bottom w:val="nil"/>
              <w:right w:val="nil"/>
            </w:tcBorders>
          </w:tcPr>
          <w:p w14:paraId="1D40FEB0" w14:textId="77777777" w:rsidR="00435064" w:rsidRDefault="00435064" w:rsidP="00473E8B">
            <w:pPr>
              <w:spacing w:after="0" w:line="259" w:lineRule="auto"/>
              <w:ind w:left="110" w:right="0" w:firstLine="0"/>
              <w:jc w:val="left"/>
            </w:pPr>
            <w:r>
              <w:rPr>
                <w:sz w:val="18"/>
              </w:rPr>
              <w:t xml:space="preserve">4 (1) </w:t>
            </w:r>
          </w:p>
        </w:tc>
      </w:tr>
      <w:tr w:rsidR="00435064" w14:paraId="2DAB2EA5" w14:textId="77777777" w:rsidTr="00473E8B">
        <w:trPr>
          <w:trHeight w:val="778"/>
        </w:trPr>
        <w:tc>
          <w:tcPr>
            <w:tcW w:w="4837" w:type="dxa"/>
            <w:tcBorders>
              <w:top w:val="nil"/>
              <w:left w:val="nil"/>
              <w:bottom w:val="nil"/>
              <w:right w:val="nil"/>
            </w:tcBorders>
          </w:tcPr>
          <w:p w14:paraId="3B7A2000" w14:textId="77777777" w:rsidR="00435064" w:rsidRDefault="00435064" w:rsidP="00473E8B">
            <w:pPr>
              <w:tabs>
                <w:tab w:val="center" w:pos="3189"/>
                <w:tab w:val="center" w:pos="4209"/>
              </w:tabs>
              <w:spacing w:after="169" w:line="259" w:lineRule="auto"/>
              <w:ind w:left="0" w:right="0" w:firstLine="0"/>
              <w:jc w:val="left"/>
            </w:pPr>
            <w:r>
              <w:rPr>
                <w:sz w:val="18"/>
              </w:rPr>
              <w:t xml:space="preserve">Pregnancy </w:t>
            </w:r>
            <w:r>
              <w:rPr>
                <w:sz w:val="18"/>
              </w:rPr>
              <w:tab/>
              <w:t xml:space="preserve">48 (34.8) </w:t>
            </w:r>
            <w:r>
              <w:rPr>
                <w:sz w:val="18"/>
              </w:rPr>
              <w:tab/>
              <w:t xml:space="preserve">82 (59.4) </w:t>
            </w:r>
          </w:p>
          <w:p w14:paraId="572A6156" w14:textId="77777777" w:rsidR="00435064" w:rsidRDefault="00435064" w:rsidP="00473E8B">
            <w:pPr>
              <w:spacing w:after="0" w:line="259" w:lineRule="auto"/>
              <w:ind w:left="0" w:right="0" w:firstLine="0"/>
              <w:jc w:val="left"/>
            </w:pPr>
            <w:r>
              <w:rPr>
                <w:b/>
                <w:sz w:val="18"/>
              </w:rPr>
              <w:t xml:space="preserve">Women to whom I provide care, are able to access: </w:t>
            </w:r>
          </w:p>
        </w:tc>
        <w:tc>
          <w:tcPr>
            <w:tcW w:w="1052" w:type="dxa"/>
            <w:tcBorders>
              <w:top w:val="nil"/>
              <w:left w:val="nil"/>
              <w:bottom w:val="nil"/>
              <w:right w:val="nil"/>
            </w:tcBorders>
          </w:tcPr>
          <w:p w14:paraId="0FE50912" w14:textId="77777777" w:rsidR="00435064" w:rsidRDefault="00435064" w:rsidP="00473E8B">
            <w:pPr>
              <w:spacing w:after="0" w:line="259" w:lineRule="auto"/>
              <w:ind w:left="101" w:right="0" w:firstLine="0"/>
              <w:jc w:val="left"/>
            </w:pPr>
            <w:r>
              <w:rPr>
                <w:sz w:val="18"/>
              </w:rPr>
              <w:t xml:space="preserve">8 (5.8) </w:t>
            </w:r>
          </w:p>
        </w:tc>
        <w:tc>
          <w:tcPr>
            <w:tcW w:w="1018" w:type="dxa"/>
            <w:tcBorders>
              <w:top w:val="nil"/>
              <w:left w:val="nil"/>
              <w:bottom w:val="nil"/>
              <w:right w:val="nil"/>
            </w:tcBorders>
          </w:tcPr>
          <w:p w14:paraId="6099AF6F" w14:textId="77777777" w:rsidR="00435064" w:rsidRDefault="00435064" w:rsidP="00473E8B">
            <w:pPr>
              <w:spacing w:after="0" w:line="259" w:lineRule="auto"/>
              <w:ind w:left="211" w:right="0" w:firstLine="0"/>
              <w:jc w:val="left"/>
            </w:pPr>
            <w:r>
              <w:rPr>
                <w:sz w:val="18"/>
              </w:rPr>
              <w:t xml:space="preserve">0 </w:t>
            </w:r>
          </w:p>
        </w:tc>
        <w:tc>
          <w:tcPr>
            <w:tcW w:w="985" w:type="dxa"/>
            <w:tcBorders>
              <w:top w:val="nil"/>
              <w:left w:val="nil"/>
              <w:bottom w:val="nil"/>
              <w:right w:val="nil"/>
            </w:tcBorders>
          </w:tcPr>
          <w:p w14:paraId="02EC2280" w14:textId="77777777" w:rsidR="00435064" w:rsidRDefault="00435064" w:rsidP="00473E8B">
            <w:pPr>
              <w:spacing w:after="0" w:line="259" w:lineRule="auto"/>
              <w:ind w:left="209" w:right="0" w:firstLine="0"/>
              <w:jc w:val="left"/>
            </w:pPr>
            <w:r>
              <w:rPr>
                <w:sz w:val="18"/>
              </w:rPr>
              <w:t xml:space="preserve">0 </w:t>
            </w:r>
          </w:p>
        </w:tc>
        <w:tc>
          <w:tcPr>
            <w:tcW w:w="530" w:type="dxa"/>
            <w:gridSpan w:val="2"/>
            <w:tcBorders>
              <w:top w:val="nil"/>
              <w:left w:val="nil"/>
              <w:bottom w:val="nil"/>
              <w:right w:val="nil"/>
            </w:tcBorders>
          </w:tcPr>
          <w:p w14:paraId="37F42E90" w14:textId="77777777" w:rsidR="00435064" w:rsidRDefault="00435064" w:rsidP="00473E8B">
            <w:pPr>
              <w:spacing w:after="0" w:line="259" w:lineRule="auto"/>
              <w:ind w:left="110" w:right="0" w:firstLine="0"/>
              <w:jc w:val="left"/>
            </w:pPr>
            <w:r>
              <w:rPr>
                <w:sz w:val="18"/>
              </w:rPr>
              <w:t xml:space="preserve">4 (1) </w:t>
            </w:r>
          </w:p>
        </w:tc>
      </w:tr>
      <w:tr w:rsidR="00435064" w14:paraId="62172E42" w14:textId="77777777" w:rsidTr="00473E8B">
        <w:trPr>
          <w:trHeight w:val="626"/>
        </w:trPr>
        <w:tc>
          <w:tcPr>
            <w:tcW w:w="4837" w:type="dxa"/>
            <w:tcBorders>
              <w:top w:val="nil"/>
              <w:left w:val="nil"/>
              <w:bottom w:val="nil"/>
              <w:right w:val="nil"/>
            </w:tcBorders>
            <w:vAlign w:val="bottom"/>
          </w:tcPr>
          <w:p w14:paraId="1B2942BD" w14:textId="77777777" w:rsidR="00435064" w:rsidRDefault="00435064" w:rsidP="00473E8B">
            <w:pPr>
              <w:tabs>
                <w:tab w:val="center" w:pos="3189"/>
                <w:tab w:val="center" w:pos="4209"/>
              </w:tabs>
              <w:spacing w:after="133" w:line="259" w:lineRule="auto"/>
              <w:ind w:left="0" w:right="0" w:firstLine="0"/>
              <w:jc w:val="left"/>
            </w:pPr>
            <w:r>
              <w:rPr>
                <w:sz w:val="18"/>
              </w:rPr>
              <w:t xml:space="preserve">Contraceptive Services </w:t>
            </w:r>
            <w:r>
              <w:rPr>
                <w:sz w:val="18"/>
              </w:rPr>
              <w:tab/>
              <w:t xml:space="preserve">47 (34.1) </w:t>
            </w:r>
            <w:r>
              <w:rPr>
                <w:sz w:val="18"/>
              </w:rPr>
              <w:tab/>
              <w:t xml:space="preserve">65 (47.1) </w:t>
            </w:r>
          </w:p>
          <w:p w14:paraId="18F21B7D" w14:textId="77777777" w:rsidR="00435064" w:rsidRDefault="00435064" w:rsidP="00473E8B">
            <w:pPr>
              <w:spacing w:after="0" w:line="259" w:lineRule="auto"/>
              <w:ind w:left="0" w:right="0" w:firstLine="0"/>
              <w:jc w:val="left"/>
            </w:pPr>
            <w:r>
              <w:rPr>
                <w:sz w:val="18"/>
              </w:rPr>
              <w:t xml:space="preserve">Sexually Transmitted Infections </w:t>
            </w:r>
          </w:p>
        </w:tc>
        <w:tc>
          <w:tcPr>
            <w:tcW w:w="1052" w:type="dxa"/>
            <w:tcBorders>
              <w:top w:val="nil"/>
              <w:left w:val="nil"/>
              <w:bottom w:val="nil"/>
              <w:right w:val="nil"/>
            </w:tcBorders>
          </w:tcPr>
          <w:p w14:paraId="1B15412F" w14:textId="77777777" w:rsidR="00435064" w:rsidRDefault="00435064" w:rsidP="00473E8B">
            <w:pPr>
              <w:spacing w:after="0" w:line="259" w:lineRule="auto"/>
              <w:ind w:left="0" w:right="0" w:firstLine="0"/>
              <w:jc w:val="left"/>
            </w:pPr>
            <w:r>
              <w:rPr>
                <w:sz w:val="18"/>
              </w:rPr>
              <w:t xml:space="preserve">24 (17.4) </w:t>
            </w:r>
          </w:p>
        </w:tc>
        <w:tc>
          <w:tcPr>
            <w:tcW w:w="1018" w:type="dxa"/>
            <w:tcBorders>
              <w:top w:val="nil"/>
              <w:left w:val="nil"/>
              <w:bottom w:val="nil"/>
              <w:right w:val="nil"/>
            </w:tcBorders>
          </w:tcPr>
          <w:p w14:paraId="19727973" w14:textId="77777777" w:rsidR="00435064" w:rsidRDefault="00435064" w:rsidP="00473E8B">
            <w:pPr>
              <w:spacing w:after="0" w:line="259" w:lineRule="auto"/>
              <w:ind w:left="0" w:right="0" w:firstLine="0"/>
              <w:jc w:val="left"/>
            </w:pPr>
            <w:r>
              <w:rPr>
                <w:sz w:val="18"/>
              </w:rPr>
              <w:t xml:space="preserve">2 (1.4) </w:t>
            </w:r>
          </w:p>
        </w:tc>
        <w:tc>
          <w:tcPr>
            <w:tcW w:w="985" w:type="dxa"/>
            <w:tcBorders>
              <w:top w:val="nil"/>
              <w:left w:val="nil"/>
              <w:bottom w:val="nil"/>
              <w:right w:val="nil"/>
            </w:tcBorders>
          </w:tcPr>
          <w:p w14:paraId="57A9EE4B" w14:textId="77777777" w:rsidR="00435064" w:rsidRDefault="00435064" w:rsidP="00473E8B">
            <w:pPr>
              <w:spacing w:after="0" w:line="259" w:lineRule="auto"/>
              <w:ind w:left="209" w:right="0" w:firstLine="0"/>
              <w:jc w:val="left"/>
            </w:pPr>
            <w:r>
              <w:rPr>
                <w:sz w:val="18"/>
              </w:rPr>
              <w:t xml:space="preserve">0 </w:t>
            </w:r>
          </w:p>
        </w:tc>
        <w:tc>
          <w:tcPr>
            <w:tcW w:w="530" w:type="dxa"/>
            <w:gridSpan w:val="2"/>
            <w:tcBorders>
              <w:top w:val="nil"/>
              <w:left w:val="nil"/>
              <w:bottom w:val="nil"/>
              <w:right w:val="nil"/>
            </w:tcBorders>
          </w:tcPr>
          <w:p w14:paraId="2D2791F5" w14:textId="77777777" w:rsidR="00435064" w:rsidRDefault="00435064" w:rsidP="00473E8B">
            <w:pPr>
              <w:spacing w:after="0" w:line="259" w:lineRule="auto"/>
              <w:ind w:left="110" w:right="0" w:firstLine="0"/>
              <w:jc w:val="left"/>
            </w:pPr>
            <w:r>
              <w:rPr>
                <w:sz w:val="18"/>
              </w:rPr>
              <w:t xml:space="preserve">4 (1) </w:t>
            </w:r>
          </w:p>
        </w:tc>
      </w:tr>
      <w:tr w:rsidR="00435064" w14:paraId="62B37236" w14:textId="77777777" w:rsidTr="00473E8B">
        <w:trPr>
          <w:trHeight w:val="409"/>
        </w:trPr>
        <w:tc>
          <w:tcPr>
            <w:tcW w:w="4837" w:type="dxa"/>
            <w:tcBorders>
              <w:top w:val="nil"/>
              <w:left w:val="nil"/>
              <w:bottom w:val="nil"/>
              <w:right w:val="nil"/>
            </w:tcBorders>
          </w:tcPr>
          <w:p w14:paraId="2E56740B" w14:textId="77777777" w:rsidR="00435064" w:rsidRDefault="00435064" w:rsidP="00473E8B">
            <w:pPr>
              <w:spacing w:after="0" w:line="259" w:lineRule="auto"/>
              <w:ind w:left="0" w:right="0" w:firstLine="2828"/>
              <w:jc w:val="left"/>
            </w:pPr>
            <w:r>
              <w:rPr>
                <w:sz w:val="18"/>
              </w:rPr>
              <w:t xml:space="preserve">45 (32.6) </w:t>
            </w:r>
            <w:r>
              <w:rPr>
                <w:sz w:val="18"/>
              </w:rPr>
              <w:tab/>
              <w:t xml:space="preserve">62 (44.9) Testing Services </w:t>
            </w:r>
          </w:p>
        </w:tc>
        <w:tc>
          <w:tcPr>
            <w:tcW w:w="1052" w:type="dxa"/>
            <w:tcBorders>
              <w:top w:val="nil"/>
              <w:left w:val="nil"/>
              <w:bottom w:val="nil"/>
              <w:right w:val="nil"/>
            </w:tcBorders>
          </w:tcPr>
          <w:p w14:paraId="45AE8A36" w14:textId="77777777" w:rsidR="00435064" w:rsidRDefault="00435064" w:rsidP="00473E8B">
            <w:pPr>
              <w:spacing w:after="0" w:line="259" w:lineRule="auto"/>
              <w:ind w:left="0" w:right="0" w:firstLine="0"/>
              <w:jc w:val="left"/>
            </w:pPr>
            <w:r>
              <w:rPr>
                <w:sz w:val="18"/>
              </w:rPr>
              <w:t xml:space="preserve">25 (18.1) </w:t>
            </w:r>
          </w:p>
        </w:tc>
        <w:tc>
          <w:tcPr>
            <w:tcW w:w="1018" w:type="dxa"/>
            <w:tcBorders>
              <w:top w:val="nil"/>
              <w:left w:val="nil"/>
              <w:bottom w:val="nil"/>
              <w:right w:val="nil"/>
            </w:tcBorders>
          </w:tcPr>
          <w:p w14:paraId="53F906A5" w14:textId="77777777" w:rsidR="00435064" w:rsidRDefault="00435064" w:rsidP="00473E8B">
            <w:pPr>
              <w:spacing w:after="0" w:line="259" w:lineRule="auto"/>
              <w:ind w:left="0" w:right="0" w:firstLine="0"/>
              <w:jc w:val="left"/>
            </w:pPr>
            <w:r>
              <w:rPr>
                <w:sz w:val="18"/>
              </w:rPr>
              <w:t xml:space="preserve">6 (4.3) </w:t>
            </w:r>
          </w:p>
        </w:tc>
        <w:tc>
          <w:tcPr>
            <w:tcW w:w="985" w:type="dxa"/>
            <w:tcBorders>
              <w:top w:val="nil"/>
              <w:left w:val="nil"/>
              <w:bottom w:val="nil"/>
              <w:right w:val="nil"/>
            </w:tcBorders>
          </w:tcPr>
          <w:p w14:paraId="1380B74B" w14:textId="77777777" w:rsidR="00435064" w:rsidRDefault="00435064" w:rsidP="00473E8B">
            <w:pPr>
              <w:spacing w:after="0" w:line="259" w:lineRule="auto"/>
              <w:ind w:left="209" w:right="0" w:firstLine="0"/>
              <w:jc w:val="left"/>
            </w:pPr>
            <w:r>
              <w:rPr>
                <w:sz w:val="18"/>
              </w:rPr>
              <w:t xml:space="preserve">0 </w:t>
            </w:r>
          </w:p>
        </w:tc>
        <w:tc>
          <w:tcPr>
            <w:tcW w:w="530" w:type="dxa"/>
            <w:gridSpan w:val="2"/>
            <w:tcBorders>
              <w:top w:val="nil"/>
              <w:left w:val="nil"/>
              <w:bottom w:val="nil"/>
              <w:right w:val="nil"/>
            </w:tcBorders>
          </w:tcPr>
          <w:p w14:paraId="4C04796F" w14:textId="77777777" w:rsidR="00435064" w:rsidRDefault="00435064" w:rsidP="00473E8B">
            <w:pPr>
              <w:spacing w:after="0" w:line="259" w:lineRule="auto"/>
              <w:ind w:left="110" w:right="0" w:firstLine="0"/>
              <w:jc w:val="left"/>
            </w:pPr>
            <w:r>
              <w:rPr>
                <w:sz w:val="18"/>
              </w:rPr>
              <w:t xml:space="preserve">4 (1) </w:t>
            </w:r>
          </w:p>
        </w:tc>
      </w:tr>
      <w:tr w:rsidR="00435064" w14:paraId="193FB783" w14:textId="77777777" w:rsidTr="00473E8B">
        <w:trPr>
          <w:trHeight w:val="370"/>
        </w:trPr>
        <w:tc>
          <w:tcPr>
            <w:tcW w:w="4837" w:type="dxa"/>
            <w:tcBorders>
              <w:top w:val="nil"/>
              <w:left w:val="nil"/>
              <w:bottom w:val="nil"/>
              <w:right w:val="nil"/>
            </w:tcBorders>
          </w:tcPr>
          <w:p w14:paraId="1931681F" w14:textId="77777777" w:rsidR="00435064" w:rsidRDefault="00435064" w:rsidP="00473E8B">
            <w:pPr>
              <w:tabs>
                <w:tab w:val="center" w:pos="3189"/>
                <w:tab w:val="center" w:pos="4209"/>
              </w:tabs>
              <w:spacing w:after="0" w:line="259" w:lineRule="auto"/>
              <w:ind w:left="0" w:right="0" w:firstLine="0"/>
              <w:jc w:val="left"/>
            </w:pPr>
            <w:r>
              <w:rPr>
                <w:sz w:val="18"/>
              </w:rPr>
              <w:t xml:space="preserve">Abortion Services </w:t>
            </w:r>
            <w:r>
              <w:rPr>
                <w:sz w:val="18"/>
              </w:rPr>
              <w:tab/>
              <w:t xml:space="preserve">40 (29.0) </w:t>
            </w:r>
            <w:r>
              <w:rPr>
                <w:sz w:val="18"/>
              </w:rPr>
              <w:tab/>
              <w:t xml:space="preserve">77 (55.8) </w:t>
            </w:r>
          </w:p>
        </w:tc>
        <w:tc>
          <w:tcPr>
            <w:tcW w:w="1052" w:type="dxa"/>
            <w:tcBorders>
              <w:top w:val="nil"/>
              <w:left w:val="nil"/>
              <w:bottom w:val="nil"/>
              <w:right w:val="nil"/>
            </w:tcBorders>
          </w:tcPr>
          <w:p w14:paraId="17743353" w14:textId="77777777" w:rsidR="00435064" w:rsidRDefault="00435064" w:rsidP="00473E8B">
            <w:pPr>
              <w:spacing w:after="0" w:line="259" w:lineRule="auto"/>
              <w:ind w:left="0" w:right="0" w:firstLine="0"/>
              <w:jc w:val="left"/>
            </w:pPr>
            <w:r>
              <w:rPr>
                <w:sz w:val="18"/>
              </w:rPr>
              <w:t xml:space="preserve">19 (13.8) </w:t>
            </w:r>
          </w:p>
        </w:tc>
        <w:tc>
          <w:tcPr>
            <w:tcW w:w="1018" w:type="dxa"/>
            <w:tcBorders>
              <w:top w:val="nil"/>
              <w:left w:val="nil"/>
              <w:bottom w:val="nil"/>
              <w:right w:val="nil"/>
            </w:tcBorders>
          </w:tcPr>
          <w:p w14:paraId="5FE1A442" w14:textId="77777777" w:rsidR="00435064" w:rsidRDefault="00435064" w:rsidP="00473E8B">
            <w:pPr>
              <w:spacing w:after="0" w:line="259" w:lineRule="auto"/>
              <w:ind w:left="0" w:right="0" w:firstLine="0"/>
              <w:jc w:val="left"/>
            </w:pPr>
            <w:r>
              <w:rPr>
                <w:sz w:val="18"/>
              </w:rPr>
              <w:t xml:space="preserve">1 (0.7) </w:t>
            </w:r>
          </w:p>
        </w:tc>
        <w:tc>
          <w:tcPr>
            <w:tcW w:w="985" w:type="dxa"/>
            <w:tcBorders>
              <w:top w:val="nil"/>
              <w:left w:val="nil"/>
              <w:bottom w:val="nil"/>
              <w:right w:val="nil"/>
            </w:tcBorders>
          </w:tcPr>
          <w:p w14:paraId="6E675F26" w14:textId="77777777" w:rsidR="00435064" w:rsidRDefault="00435064" w:rsidP="00473E8B">
            <w:pPr>
              <w:spacing w:after="0" w:line="259" w:lineRule="auto"/>
              <w:ind w:left="0" w:right="0" w:firstLine="0"/>
              <w:jc w:val="left"/>
            </w:pPr>
            <w:r>
              <w:rPr>
                <w:sz w:val="18"/>
              </w:rPr>
              <w:t xml:space="preserve">1 (0.7) </w:t>
            </w:r>
          </w:p>
        </w:tc>
        <w:tc>
          <w:tcPr>
            <w:tcW w:w="530" w:type="dxa"/>
            <w:gridSpan w:val="2"/>
            <w:tcBorders>
              <w:top w:val="nil"/>
              <w:left w:val="nil"/>
              <w:bottom w:val="nil"/>
              <w:right w:val="nil"/>
            </w:tcBorders>
          </w:tcPr>
          <w:p w14:paraId="0EBA3995" w14:textId="77777777" w:rsidR="00435064" w:rsidRDefault="00435064" w:rsidP="00473E8B">
            <w:pPr>
              <w:spacing w:after="0" w:line="259" w:lineRule="auto"/>
              <w:ind w:left="110" w:right="0" w:firstLine="0"/>
              <w:jc w:val="left"/>
            </w:pPr>
            <w:r>
              <w:rPr>
                <w:sz w:val="18"/>
              </w:rPr>
              <w:t xml:space="preserve">4 (1) </w:t>
            </w:r>
          </w:p>
        </w:tc>
      </w:tr>
      <w:tr w:rsidR="00435064" w14:paraId="3B5138C0" w14:textId="77777777" w:rsidTr="00473E8B">
        <w:trPr>
          <w:trHeight w:val="390"/>
        </w:trPr>
        <w:tc>
          <w:tcPr>
            <w:tcW w:w="4837" w:type="dxa"/>
            <w:tcBorders>
              <w:top w:val="nil"/>
              <w:left w:val="nil"/>
              <w:bottom w:val="nil"/>
              <w:right w:val="nil"/>
            </w:tcBorders>
          </w:tcPr>
          <w:p w14:paraId="3C6FE0C6" w14:textId="77777777" w:rsidR="00435064" w:rsidRDefault="00435064" w:rsidP="00473E8B">
            <w:pPr>
              <w:tabs>
                <w:tab w:val="center" w:pos="3189"/>
                <w:tab w:val="center" w:pos="4209"/>
              </w:tabs>
              <w:spacing w:after="0" w:line="259" w:lineRule="auto"/>
              <w:ind w:left="0" w:right="0" w:firstLine="0"/>
              <w:jc w:val="left"/>
            </w:pPr>
            <w:r>
              <w:rPr>
                <w:sz w:val="18"/>
              </w:rPr>
              <w:t xml:space="preserve">Pap Testing Services </w:t>
            </w:r>
            <w:r>
              <w:rPr>
                <w:sz w:val="18"/>
              </w:rPr>
              <w:tab/>
              <w:t xml:space="preserve">47 (34.1) </w:t>
            </w:r>
            <w:r>
              <w:rPr>
                <w:sz w:val="18"/>
              </w:rPr>
              <w:tab/>
              <w:t xml:space="preserve">63 (45.7) </w:t>
            </w:r>
          </w:p>
        </w:tc>
        <w:tc>
          <w:tcPr>
            <w:tcW w:w="1052" w:type="dxa"/>
            <w:tcBorders>
              <w:top w:val="nil"/>
              <w:left w:val="nil"/>
              <w:bottom w:val="nil"/>
              <w:right w:val="nil"/>
            </w:tcBorders>
          </w:tcPr>
          <w:p w14:paraId="2B0EF102" w14:textId="77777777" w:rsidR="00435064" w:rsidRDefault="00435064" w:rsidP="00473E8B">
            <w:pPr>
              <w:spacing w:after="0" w:line="259" w:lineRule="auto"/>
              <w:ind w:left="0" w:right="0" w:firstLine="0"/>
              <w:jc w:val="left"/>
            </w:pPr>
            <w:r>
              <w:rPr>
                <w:sz w:val="18"/>
              </w:rPr>
              <w:t xml:space="preserve">24 (17.4) </w:t>
            </w:r>
          </w:p>
        </w:tc>
        <w:tc>
          <w:tcPr>
            <w:tcW w:w="1018" w:type="dxa"/>
            <w:tcBorders>
              <w:top w:val="nil"/>
              <w:left w:val="nil"/>
              <w:bottom w:val="nil"/>
              <w:right w:val="nil"/>
            </w:tcBorders>
          </w:tcPr>
          <w:p w14:paraId="7740B4D6" w14:textId="77777777" w:rsidR="00435064" w:rsidRDefault="00435064" w:rsidP="00473E8B">
            <w:pPr>
              <w:spacing w:after="0" w:line="259" w:lineRule="auto"/>
              <w:ind w:left="0" w:right="0" w:firstLine="0"/>
              <w:jc w:val="left"/>
            </w:pPr>
            <w:r>
              <w:rPr>
                <w:sz w:val="18"/>
              </w:rPr>
              <w:t xml:space="preserve">4 (2.9) </w:t>
            </w:r>
          </w:p>
        </w:tc>
        <w:tc>
          <w:tcPr>
            <w:tcW w:w="985" w:type="dxa"/>
            <w:tcBorders>
              <w:top w:val="nil"/>
              <w:left w:val="nil"/>
              <w:bottom w:val="nil"/>
              <w:right w:val="nil"/>
            </w:tcBorders>
          </w:tcPr>
          <w:p w14:paraId="08667127" w14:textId="77777777" w:rsidR="00435064" w:rsidRDefault="00435064" w:rsidP="00473E8B">
            <w:pPr>
              <w:spacing w:after="0" w:line="259" w:lineRule="auto"/>
              <w:ind w:left="209" w:right="0" w:firstLine="0"/>
              <w:jc w:val="left"/>
            </w:pPr>
            <w:r>
              <w:rPr>
                <w:sz w:val="18"/>
              </w:rPr>
              <w:t xml:space="preserve">0 </w:t>
            </w:r>
          </w:p>
        </w:tc>
        <w:tc>
          <w:tcPr>
            <w:tcW w:w="530" w:type="dxa"/>
            <w:gridSpan w:val="2"/>
            <w:tcBorders>
              <w:top w:val="nil"/>
              <w:left w:val="nil"/>
              <w:bottom w:val="nil"/>
              <w:right w:val="nil"/>
            </w:tcBorders>
          </w:tcPr>
          <w:p w14:paraId="5D0F9EF0" w14:textId="77777777" w:rsidR="00435064" w:rsidRDefault="00435064" w:rsidP="00473E8B">
            <w:pPr>
              <w:spacing w:after="0" w:line="259" w:lineRule="auto"/>
              <w:ind w:left="110" w:right="0" w:firstLine="0"/>
              <w:jc w:val="left"/>
            </w:pPr>
            <w:r>
              <w:rPr>
                <w:sz w:val="18"/>
              </w:rPr>
              <w:t xml:space="preserve">4 (1) </w:t>
            </w:r>
          </w:p>
        </w:tc>
      </w:tr>
      <w:tr w:rsidR="00435064" w14:paraId="1B40A53F" w14:textId="77777777" w:rsidTr="00473E8B">
        <w:trPr>
          <w:trHeight w:val="296"/>
        </w:trPr>
        <w:tc>
          <w:tcPr>
            <w:tcW w:w="4837" w:type="dxa"/>
            <w:tcBorders>
              <w:top w:val="nil"/>
              <w:left w:val="nil"/>
              <w:bottom w:val="nil"/>
              <w:right w:val="nil"/>
            </w:tcBorders>
          </w:tcPr>
          <w:p w14:paraId="35FAF63E" w14:textId="77777777" w:rsidR="00435064" w:rsidRDefault="00435064" w:rsidP="00473E8B">
            <w:pPr>
              <w:tabs>
                <w:tab w:val="center" w:pos="3189"/>
                <w:tab w:val="center" w:pos="4209"/>
              </w:tabs>
              <w:spacing w:after="0" w:line="259" w:lineRule="auto"/>
              <w:ind w:left="0" w:right="0" w:firstLine="0"/>
              <w:jc w:val="left"/>
            </w:pPr>
            <w:r>
              <w:rPr>
                <w:sz w:val="18"/>
              </w:rPr>
              <w:t xml:space="preserve">Prenatal Services </w:t>
            </w:r>
            <w:r>
              <w:rPr>
                <w:sz w:val="18"/>
              </w:rPr>
              <w:tab/>
              <w:t xml:space="preserve">53 (38.4) </w:t>
            </w:r>
            <w:r>
              <w:rPr>
                <w:sz w:val="18"/>
              </w:rPr>
              <w:tab/>
              <w:t xml:space="preserve">67 (48.6) </w:t>
            </w:r>
          </w:p>
        </w:tc>
        <w:tc>
          <w:tcPr>
            <w:tcW w:w="1052" w:type="dxa"/>
            <w:tcBorders>
              <w:top w:val="nil"/>
              <w:left w:val="nil"/>
              <w:bottom w:val="nil"/>
              <w:right w:val="nil"/>
            </w:tcBorders>
          </w:tcPr>
          <w:p w14:paraId="77C56FDA" w14:textId="77777777" w:rsidR="00435064" w:rsidRDefault="00435064" w:rsidP="00473E8B">
            <w:pPr>
              <w:spacing w:after="0" w:line="259" w:lineRule="auto"/>
              <w:ind w:left="0" w:right="0" w:firstLine="0"/>
              <w:jc w:val="left"/>
            </w:pPr>
            <w:r>
              <w:rPr>
                <w:sz w:val="18"/>
              </w:rPr>
              <w:t xml:space="preserve">17 (12.3) </w:t>
            </w:r>
          </w:p>
        </w:tc>
        <w:tc>
          <w:tcPr>
            <w:tcW w:w="1018" w:type="dxa"/>
            <w:tcBorders>
              <w:top w:val="nil"/>
              <w:left w:val="nil"/>
              <w:bottom w:val="nil"/>
              <w:right w:val="nil"/>
            </w:tcBorders>
          </w:tcPr>
          <w:p w14:paraId="6C60FB66" w14:textId="77777777" w:rsidR="00435064" w:rsidRDefault="00435064" w:rsidP="00473E8B">
            <w:pPr>
              <w:spacing w:after="0" w:line="259" w:lineRule="auto"/>
              <w:ind w:left="0" w:right="0" w:firstLine="0"/>
              <w:jc w:val="left"/>
            </w:pPr>
            <w:r>
              <w:rPr>
                <w:sz w:val="18"/>
              </w:rPr>
              <w:t xml:space="preserve">1 (0.7) </w:t>
            </w:r>
          </w:p>
        </w:tc>
        <w:tc>
          <w:tcPr>
            <w:tcW w:w="985" w:type="dxa"/>
            <w:tcBorders>
              <w:top w:val="nil"/>
              <w:left w:val="nil"/>
              <w:bottom w:val="nil"/>
              <w:right w:val="nil"/>
            </w:tcBorders>
          </w:tcPr>
          <w:p w14:paraId="5F9965F9" w14:textId="77777777" w:rsidR="00435064" w:rsidRDefault="00435064" w:rsidP="00473E8B">
            <w:pPr>
              <w:spacing w:after="0" w:line="259" w:lineRule="auto"/>
              <w:ind w:left="209" w:right="0" w:firstLine="0"/>
              <w:jc w:val="left"/>
            </w:pPr>
            <w:r>
              <w:rPr>
                <w:sz w:val="18"/>
              </w:rPr>
              <w:t xml:space="preserve">0 </w:t>
            </w:r>
          </w:p>
        </w:tc>
        <w:tc>
          <w:tcPr>
            <w:tcW w:w="530" w:type="dxa"/>
            <w:gridSpan w:val="2"/>
            <w:tcBorders>
              <w:top w:val="nil"/>
              <w:left w:val="nil"/>
              <w:bottom w:val="nil"/>
              <w:right w:val="nil"/>
            </w:tcBorders>
          </w:tcPr>
          <w:p w14:paraId="1AE9ED48" w14:textId="77777777" w:rsidR="00435064" w:rsidRDefault="00435064" w:rsidP="00473E8B">
            <w:pPr>
              <w:spacing w:after="0" w:line="259" w:lineRule="auto"/>
              <w:ind w:left="110" w:right="0" w:firstLine="0"/>
              <w:jc w:val="left"/>
            </w:pPr>
            <w:r>
              <w:rPr>
                <w:sz w:val="18"/>
              </w:rPr>
              <w:t xml:space="preserve">4 (1) </w:t>
            </w:r>
          </w:p>
        </w:tc>
      </w:tr>
      <w:tr w:rsidR="00435064" w14:paraId="30CA379C" w14:textId="77777777" w:rsidTr="00473E8B">
        <w:trPr>
          <w:trHeight w:val="918"/>
        </w:trPr>
        <w:tc>
          <w:tcPr>
            <w:tcW w:w="8001" w:type="dxa"/>
            <w:gridSpan w:val="5"/>
            <w:tcBorders>
              <w:top w:val="nil"/>
              <w:left w:val="nil"/>
              <w:bottom w:val="nil"/>
              <w:right w:val="nil"/>
            </w:tcBorders>
          </w:tcPr>
          <w:p w14:paraId="1A101D4F" w14:textId="77777777" w:rsidR="00435064" w:rsidRDefault="00435064" w:rsidP="00473E8B">
            <w:pPr>
              <w:tabs>
                <w:tab w:val="center" w:pos="3189"/>
                <w:tab w:val="center" w:pos="4209"/>
                <w:tab w:val="center" w:pos="5198"/>
                <w:tab w:val="center" w:pos="6149"/>
                <w:tab w:val="center" w:pos="7165"/>
              </w:tabs>
              <w:spacing w:after="166" w:line="259" w:lineRule="auto"/>
              <w:ind w:left="0" w:right="0" w:firstLine="0"/>
              <w:jc w:val="left"/>
            </w:pPr>
            <w:r>
              <w:rPr>
                <w:sz w:val="18"/>
              </w:rPr>
              <w:lastRenderedPageBreak/>
              <w:t xml:space="preserve">Postnatal Services </w:t>
            </w:r>
            <w:r>
              <w:rPr>
                <w:sz w:val="18"/>
              </w:rPr>
              <w:tab/>
              <w:t xml:space="preserve">53 (38.4) </w:t>
            </w:r>
            <w:r>
              <w:rPr>
                <w:sz w:val="18"/>
              </w:rPr>
              <w:tab/>
              <w:t xml:space="preserve">69 (50.0) </w:t>
            </w:r>
            <w:r>
              <w:rPr>
                <w:sz w:val="18"/>
              </w:rPr>
              <w:tab/>
              <w:t xml:space="preserve">16 (11.6) </w:t>
            </w:r>
            <w:r>
              <w:rPr>
                <w:sz w:val="18"/>
              </w:rPr>
              <w:tab/>
              <w:t xml:space="preserve">0 </w:t>
            </w:r>
            <w:r>
              <w:rPr>
                <w:sz w:val="18"/>
              </w:rPr>
              <w:tab/>
              <w:t xml:space="preserve">0 </w:t>
            </w:r>
          </w:p>
          <w:p w14:paraId="774114BF" w14:textId="77777777" w:rsidR="00435064" w:rsidRDefault="00435064" w:rsidP="00473E8B">
            <w:pPr>
              <w:spacing w:after="132" w:line="259" w:lineRule="auto"/>
              <w:ind w:left="0" w:right="0" w:firstLine="0"/>
              <w:jc w:val="left"/>
            </w:pPr>
            <w:r>
              <w:rPr>
                <w:b/>
                <w:sz w:val="18"/>
              </w:rPr>
              <w:t xml:space="preserve">Women to whom I provide care are able to use information to make decisions about: </w:t>
            </w:r>
          </w:p>
          <w:p w14:paraId="16C5D44E" w14:textId="77777777" w:rsidR="00435064" w:rsidRDefault="00435064" w:rsidP="00473E8B">
            <w:pPr>
              <w:spacing w:after="0" w:line="259" w:lineRule="auto"/>
              <w:ind w:left="0" w:right="0" w:firstLine="0"/>
              <w:jc w:val="left"/>
            </w:pPr>
            <w:r>
              <w:rPr>
                <w:sz w:val="18"/>
              </w:rPr>
              <w:t xml:space="preserve">Using the most appropriate </w:t>
            </w:r>
          </w:p>
        </w:tc>
        <w:tc>
          <w:tcPr>
            <w:tcW w:w="420" w:type="dxa"/>
            <w:tcBorders>
              <w:top w:val="nil"/>
              <w:left w:val="nil"/>
              <w:bottom w:val="nil"/>
              <w:right w:val="nil"/>
            </w:tcBorders>
          </w:tcPr>
          <w:p w14:paraId="3E6E83FC" w14:textId="77777777" w:rsidR="00435064" w:rsidRDefault="00435064" w:rsidP="00473E8B">
            <w:pPr>
              <w:spacing w:after="0" w:line="259" w:lineRule="auto"/>
              <w:ind w:left="0" w:right="0" w:firstLine="0"/>
            </w:pPr>
            <w:r>
              <w:rPr>
                <w:sz w:val="18"/>
              </w:rPr>
              <w:t xml:space="preserve">4 (1) </w:t>
            </w:r>
          </w:p>
        </w:tc>
      </w:tr>
      <w:tr w:rsidR="00435064" w14:paraId="6C25223D" w14:textId="77777777" w:rsidTr="00473E8B">
        <w:trPr>
          <w:trHeight w:val="622"/>
        </w:trPr>
        <w:tc>
          <w:tcPr>
            <w:tcW w:w="8001" w:type="dxa"/>
            <w:gridSpan w:val="5"/>
            <w:tcBorders>
              <w:top w:val="nil"/>
              <w:left w:val="nil"/>
              <w:bottom w:val="nil"/>
              <w:right w:val="nil"/>
            </w:tcBorders>
          </w:tcPr>
          <w:p w14:paraId="58C42613" w14:textId="77777777" w:rsidR="00435064" w:rsidRDefault="00435064" w:rsidP="00473E8B">
            <w:pPr>
              <w:tabs>
                <w:tab w:val="center" w:pos="3188"/>
                <w:tab w:val="center" w:pos="4208"/>
                <w:tab w:val="center" w:pos="5198"/>
                <w:tab w:val="center" w:pos="6149"/>
                <w:tab w:val="center" w:pos="7165"/>
              </w:tabs>
              <w:spacing w:after="0" w:line="259" w:lineRule="auto"/>
              <w:ind w:left="0" w:right="0" w:firstLine="0"/>
              <w:jc w:val="left"/>
            </w:pPr>
            <w:r>
              <w:rPr>
                <w:rFonts w:ascii="Calibri" w:eastAsia="Calibri" w:hAnsi="Calibri" w:cs="Calibri"/>
              </w:rPr>
              <w:tab/>
            </w:r>
            <w:r>
              <w:rPr>
                <w:sz w:val="18"/>
              </w:rPr>
              <w:t xml:space="preserve">60 (43.5) </w:t>
            </w:r>
            <w:r>
              <w:rPr>
                <w:sz w:val="18"/>
              </w:rPr>
              <w:tab/>
              <w:t xml:space="preserve">65 (47.1) </w:t>
            </w:r>
            <w:r>
              <w:rPr>
                <w:sz w:val="18"/>
              </w:rPr>
              <w:tab/>
              <w:t xml:space="preserve">11 (8) </w:t>
            </w:r>
            <w:r>
              <w:rPr>
                <w:sz w:val="18"/>
              </w:rPr>
              <w:tab/>
              <w:t xml:space="preserve">2 (1.4) </w:t>
            </w:r>
            <w:r>
              <w:rPr>
                <w:sz w:val="18"/>
              </w:rPr>
              <w:tab/>
              <w:t xml:space="preserve">0 </w:t>
            </w:r>
          </w:p>
          <w:p w14:paraId="77F58EE6" w14:textId="77777777" w:rsidR="00435064" w:rsidRDefault="00435064" w:rsidP="00473E8B">
            <w:pPr>
              <w:spacing w:after="0" w:line="259" w:lineRule="auto"/>
              <w:ind w:left="0" w:right="5648" w:firstLine="0"/>
              <w:rPr>
                <w:sz w:val="18"/>
              </w:rPr>
            </w:pPr>
            <w:r>
              <w:rPr>
                <w:sz w:val="18"/>
              </w:rPr>
              <w:t xml:space="preserve">contraceptive method </w:t>
            </w:r>
          </w:p>
          <w:p w14:paraId="22781241" w14:textId="77777777" w:rsidR="00435064" w:rsidRDefault="00435064" w:rsidP="00473E8B">
            <w:pPr>
              <w:spacing w:after="0" w:line="259" w:lineRule="auto"/>
              <w:ind w:left="0" w:right="5648" w:firstLine="0"/>
              <w:rPr>
                <w:sz w:val="18"/>
              </w:rPr>
            </w:pPr>
          </w:p>
          <w:p w14:paraId="73611576" w14:textId="77777777" w:rsidR="00435064" w:rsidRDefault="00435064" w:rsidP="00473E8B">
            <w:pPr>
              <w:spacing w:after="0" w:line="259" w:lineRule="auto"/>
              <w:ind w:left="0" w:right="5648" w:firstLine="0"/>
              <w:rPr>
                <w:sz w:val="18"/>
              </w:rPr>
            </w:pPr>
            <w:r>
              <w:rPr>
                <w:sz w:val="18"/>
              </w:rPr>
              <w:t>Getting tested for sexually</w:t>
            </w:r>
          </w:p>
          <w:p w14:paraId="6E814581" w14:textId="77777777" w:rsidR="00435064" w:rsidRDefault="00435064" w:rsidP="00473E8B">
            <w:pPr>
              <w:spacing w:after="0" w:line="259" w:lineRule="auto"/>
              <w:ind w:left="0" w:right="5648" w:firstLine="0"/>
            </w:pPr>
            <w:r>
              <w:rPr>
                <w:sz w:val="18"/>
              </w:rPr>
              <w:t xml:space="preserve">transmitted infections </w:t>
            </w:r>
          </w:p>
        </w:tc>
        <w:tc>
          <w:tcPr>
            <w:tcW w:w="420" w:type="dxa"/>
            <w:tcBorders>
              <w:top w:val="nil"/>
              <w:left w:val="nil"/>
              <w:bottom w:val="nil"/>
              <w:right w:val="nil"/>
            </w:tcBorders>
          </w:tcPr>
          <w:p w14:paraId="70544698" w14:textId="77777777" w:rsidR="00435064" w:rsidRDefault="00435064" w:rsidP="00473E8B">
            <w:pPr>
              <w:spacing w:after="0" w:line="259" w:lineRule="auto"/>
              <w:ind w:left="0" w:right="0" w:firstLine="0"/>
            </w:pPr>
            <w:r>
              <w:rPr>
                <w:sz w:val="18"/>
              </w:rPr>
              <w:t xml:space="preserve">4 (1) </w:t>
            </w:r>
          </w:p>
        </w:tc>
      </w:tr>
      <w:tr w:rsidR="00435064" w14:paraId="3EA0BC90" w14:textId="77777777" w:rsidTr="00473E8B">
        <w:trPr>
          <w:trHeight w:val="407"/>
        </w:trPr>
        <w:tc>
          <w:tcPr>
            <w:tcW w:w="8001" w:type="dxa"/>
            <w:gridSpan w:val="5"/>
            <w:tcBorders>
              <w:top w:val="nil"/>
              <w:left w:val="nil"/>
              <w:bottom w:val="nil"/>
              <w:right w:val="nil"/>
            </w:tcBorders>
          </w:tcPr>
          <w:p w14:paraId="679F6316" w14:textId="53486616" w:rsidR="00435064" w:rsidRDefault="00435064" w:rsidP="00473E8B">
            <w:pPr>
              <w:spacing w:after="0" w:line="259" w:lineRule="auto"/>
              <w:ind w:left="0" w:right="0" w:firstLine="2828"/>
              <w:jc w:val="left"/>
            </w:pPr>
            <w:r>
              <w:rPr>
                <w:sz w:val="18"/>
              </w:rPr>
              <w:t xml:space="preserve">54 (39.1) </w:t>
            </w:r>
            <w:r>
              <w:rPr>
                <w:sz w:val="18"/>
              </w:rPr>
              <w:tab/>
              <w:t xml:space="preserve">66 (47.8) </w:t>
            </w:r>
            <w:r w:rsidR="005D58B5">
              <w:rPr>
                <w:sz w:val="18"/>
              </w:rPr>
              <w:t xml:space="preserve">          </w:t>
            </w:r>
            <w:r>
              <w:rPr>
                <w:sz w:val="18"/>
              </w:rPr>
              <w:t xml:space="preserve">13 (9.4) </w:t>
            </w:r>
            <w:r>
              <w:rPr>
                <w:sz w:val="18"/>
              </w:rPr>
              <w:tab/>
            </w:r>
            <w:r w:rsidR="005D58B5">
              <w:rPr>
                <w:sz w:val="18"/>
              </w:rPr>
              <w:t xml:space="preserve">   </w:t>
            </w:r>
            <w:r>
              <w:rPr>
                <w:sz w:val="18"/>
              </w:rPr>
              <w:t xml:space="preserve">5 (3.6)    </w:t>
            </w:r>
            <w:r>
              <w:rPr>
                <w:sz w:val="18"/>
              </w:rPr>
              <w:tab/>
              <w:t xml:space="preserve">0  </w:t>
            </w:r>
          </w:p>
        </w:tc>
        <w:tc>
          <w:tcPr>
            <w:tcW w:w="420" w:type="dxa"/>
            <w:tcBorders>
              <w:top w:val="nil"/>
              <w:left w:val="nil"/>
              <w:bottom w:val="nil"/>
              <w:right w:val="nil"/>
            </w:tcBorders>
          </w:tcPr>
          <w:p w14:paraId="68A9369B" w14:textId="77777777" w:rsidR="00435064" w:rsidRDefault="00435064" w:rsidP="00473E8B">
            <w:pPr>
              <w:spacing w:after="0" w:line="259" w:lineRule="auto"/>
              <w:ind w:left="0" w:right="0" w:firstLine="0"/>
            </w:pPr>
            <w:r>
              <w:rPr>
                <w:sz w:val="18"/>
              </w:rPr>
              <w:t xml:space="preserve">4 (1) </w:t>
            </w:r>
          </w:p>
        </w:tc>
      </w:tr>
      <w:tr w:rsidR="00435064" w14:paraId="023FF288" w14:textId="77777777" w:rsidTr="00473E8B">
        <w:trPr>
          <w:trHeight w:val="371"/>
        </w:trPr>
        <w:tc>
          <w:tcPr>
            <w:tcW w:w="8001" w:type="dxa"/>
            <w:gridSpan w:val="5"/>
            <w:tcBorders>
              <w:top w:val="nil"/>
              <w:left w:val="nil"/>
              <w:bottom w:val="nil"/>
              <w:right w:val="nil"/>
            </w:tcBorders>
          </w:tcPr>
          <w:p w14:paraId="376EBB80" w14:textId="77777777" w:rsidR="00435064" w:rsidRDefault="00435064" w:rsidP="00473E8B">
            <w:pPr>
              <w:tabs>
                <w:tab w:val="center" w:pos="3188"/>
                <w:tab w:val="center" w:pos="4208"/>
                <w:tab w:val="center" w:pos="5197"/>
                <w:tab w:val="center" w:pos="6149"/>
                <w:tab w:val="center" w:pos="7167"/>
              </w:tabs>
              <w:spacing w:after="0" w:line="259" w:lineRule="auto"/>
              <w:ind w:left="0" w:right="0" w:firstLine="0"/>
              <w:jc w:val="left"/>
            </w:pPr>
            <w:r>
              <w:rPr>
                <w:sz w:val="18"/>
              </w:rPr>
              <w:t xml:space="preserve">Terminating a pregnancy </w:t>
            </w:r>
            <w:r>
              <w:rPr>
                <w:sz w:val="18"/>
              </w:rPr>
              <w:tab/>
              <w:t xml:space="preserve">50 (36.2) </w:t>
            </w:r>
            <w:r>
              <w:rPr>
                <w:sz w:val="18"/>
              </w:rPr>
              <w:tab/>
              <w:t xml:space="preserve">67 (48.5) </w:t>
            </w:r>
            <w:r>
              <w:rPr>
                <w:sz w:val="18"/>
              </w:rPr>
              <w:tab/>
              <w:t xml:space="preserve">19 (13.8) </w:t>
            </w:r>
            <w:r>
              <w:rPr>
                <w:sz w:val="18"/>
              </w:rPr>
              <w:tab/>
              <w:t xml:space="preserve">1 (0.7) </w:t>
            </w:r>
            <w:r>
              <w:rPr>
                <w:sz w:val="18"/>
              </w:rPr>
              <w:tab/>
              <w:t xml:space="preserve">1 (0.7) </w:t>
            </w:r>
          </w:p>
        </w:tc>
        <w:tc>
          <w:tcPr>
            <w:tcW w:w="420" w:type="dxa"/>
            <w:tcBorders>
              <w:top w:val="nil"/>
              <w:left w:val="nil"/>
              <w:bottom w:val="nil"/>
              <w:right w:val="nil"/>
            </w:tcBorders>
          </w:tcPr>
          <w:p w14:paraId="2E1BF983" w14:textId="77777777" w:rsidR="00435064" w:rsidRDefault="00435064" w:rsidP="00473E8B">
            <w:pPr>
              <w:spacing w:after="0" w:line="259" w:lineRule="auto"/>
              <w:ind w:left="0" w:right="0" w:firstLine="0"/>
            </w:pPr>
            <w:r>
              <w:rPr>
                <w:sz w:val="18"/>
              </w:rPr>
              <w:t xml:space="preserve">4 (1) </w:t>
            </w:r>
          </w:p>
        </w:tc>
      </w:tr>
      <w:tr w:rsidR="00435064" w14:paraId="0445BA6F" w14:textId="77777777" w:rsidTr="00473E8B">
        <w:trPr>
          <w:trHeight w:val="390"/>
        </w:trPr>
        <w:tc>
          <w:tcPr>
            <w:tcW w:w="8001" w:type="dxa"/>
            <w:gridSpan w:val="5"/>
            <w:tcBorders>
              <w:top w:val="nil"/>
              <w:left w:val="nil"/>
              <w:bottom w:val="nil"/>
              <w:right w:val="nil"/>
            </w:tcBorders>
          </w:tcPr>
          <w:p w14:paraId="6A47FA02" w14:textId="77777777" w:rsidR="00435064" w:rsidRDefault="00435064" w:rsidP="00473E8B">
            <w:pPr>
              <w:tabs>
                <w:tab w:val="center" w:pos="3188"/>
                <w:tab w:val="center" w:pos="4208"/>
                <w:tab w:val="center" w:pos="5197"/>
                <w:tab w:val="center" w:pos="6149"/>
                <w:tab w:val="center" w:pos="7165"/>
              </w:tabs>
              <w:spacing w:after="0" w:line="259" w:lineRule="auto"/>
              <w:ind w:left="0" w:right="0" w:firstLine="0"/>
              <w:jc w:val="left"/>
            </w:pPr>
            <w:r>
              <w:rPr>
                <w:sz w:val="18"/>
              </w:rPr>
              <w:t xml:space="preserve">Getting a Pap test </w:t>
            </w:r>
            <w:r>
              <w:rPr>
                <w:sz w:val="18"/>
              </w:rPr>
              <w:tab/>
              <w:t xml:space="preserve">54 (39.1) </w:t>
            </w:r>
            <w:r>
              <w:rPr>
                <w:sz w:val="18"/>
              </w:rPr>
              <w:tab/>
              <w:t xml:space="preserve">60 (43.5) </w:t>
            </w:r>
            <w:r>
              <w:rPr>
                <w:sz w:val="18"/>
              </w:rPr>
              <w:tab/>
              <w:t xml:space="preserve">22 (15.9) </w:t>
            </w:r>
            <w:r>
              <w:rPr>
                <w:sz w:val="18"/>
              </w:rPr>
              <w:tab/>
              <w:t xml:space="preserve">2 (1.4) </w:t>
            </w:r>
            <w:r>
              <w:rPr>
                <w:sz w:val="18"/>
              </w:rPr>
              <w:tab/>
              <w:t xml:space="preserve">0 </w:t>
            </w:r>
          </w:p>
        </w:tc>
        <w:tc>
          <w:tcPr>
            <w:tcW w:w="420" w:type="dxa"/>
            <w:tcBorders>
              <w:top w:val="nil"/>
              <w:left w:val="nil"/>
              <w:bottom w:val="nil"/>
              <w:right w:val="nil"/>
            </w:tcBorders>
          </w:tcPr>
          <w:p w14:paraId="664F1E2E" w14:textId="77777777" w:rsidR="00435064" w:rsidRDefault="00435064" w:rsidP="00473E8B">
            <w:pPr>
              <w:spacing w:after="0" w:line="259" w:lineRule="auto"/>
              <w:ind w:left="0" w:right="0" w:firstLine="0"/>
            </w:pPr>
            <w:r>
              <w:rPr>
                <w:sz w:val="18"/>
              </w:rPr>
              <w:t xml:space="preserve">4 (1) </w:t>
            </w:r>
          </w:p>
        </w:tc>
      </w:tr>
      <w:tr w:rsidR="00435064" w14:paraId="535A1590" w14:textId="77777777" w:rsidTr="00473E8B">
        <w:trPr>
          <w:trHeight w:val="295"/>
        </w:trPr>
        <w:tc>
          <w:tcPr>
            <w:tcW w:w="8001" w:type="dxa"/>
            <w:gridSpan w:val="5"/>
            <w:tcBorders>
              <w:top w:val="nil"/>
              <w:left w:val="nil"/>
              <w:bottom w:val="nil"/>
              <w:right w:val="nil"/>
            </w:tcBorders>
          </w:tcPr>
          <w:p w14:paraId="020DE123" w14:textId="77777777" w:rsidR="00435064" w:rsidRDefault="00435064" w:rsidP="00473E8B">
            <w:pPr>
              <w:tabs>
                <w:tab w:val="center" w:pos="3189"/>
                <w:tab w:val="center" w:pos="4208"/>
                <w:tab w:val="center" w:pos="5197"/>
                <w:tab w:val="center" w:pos="6149"/>
                <w:tab w:val="center" w:pos="7167"/>
              </w:tabs>
              <w:spacing w:after="0" w:line="259" w:lineRule="auto"/>
              <w:ind w:left="0" w:right="0" w:firstLine="0"/>
              <w:jc w:val="left"/>
            </w:pPr>
            <w:r>
              <w:rPr>
                <w:sz w:val="18"/>
              </w:rPr>
              <w:t xml:space="preserve">When to get pregnant </w:t>
            </w:r>
            <w:r>
              <w:rPr>
                <w:sz w:val="18"/>
              </w:rPr>
              <w:tab/>
              <w:t xml:space="preserve">58 (42.0) </w:t>
            </w:r>
            <w:r>
              <w:rPr>
                <w:sz w:val="18"/>
              </w:rPr>
              <w:tab/>
              <w:t xml:space="preserve">66 (47.8) </w:t>
            </w:r>
            <w:r>
              <w:rPr>
                <w:sz w:val="18"/>
              </w:rPr>
              <w:tab/>
              <w:t xml:space="preserve">10 (7.2) </w:t>
            </w:r>
            <w:r>
              <w:rPr>
                <w:sz w:val="18"/>
              </w:rPr>
              <w:tab/>
              <w:t xml:space="preserve">2 (1.4) </w:t>
            </w:r>
            <w:r>
              <w:rPr>
                <w:sz w:val="18"/>
              </w:rPr>
              <w:tab/>
              <w:t xml:space="preserve">2 (1.4) </w:t>
            </w:r>
          </w:p>
        </w:tc>
        <w:tc>
          <w:tcPr>
            <w:tcW w:w="420" w:type="dxa"/>
            <w:tcBorders>
              <w:top w:val="nil"/>
              <w:left w:val="nil"/>
              <w:bottom w:val="nil"/>
              <w:right w:val="nil"/>
            </w:tcBorders>
          </w:tcPr>
          <w:p w14:paraId="6982A0A7" w14:textId="77777777" w:rsidR="00435064" w:rsidRDefault="00435064" w:rsidP="00473E8B">
            <w:pPr>
              <w:spacing w:after="0" w:line="259" w:lineRule="auto"/>
              <w:ind w:left="0" w:right="0" w:firstLine="0"/>
            </w:pPr>
            <w:r>
              <w:rPr>
                <w:sz w:val="18"/>
              </w:rPr>
              <w:t xml:space="preserve">4 (1) </w:t>
            </w:r>
          </w:p>
        </w:tc>
      </w:tr>
    </w:tbl>
    <w:p w14:paraId="41FA1F90" w14:textId="77777777" w:rsidR="00435064" w:rsidRDefault="00435064" w:rsidP="00435064">
      <w:pPr>
        <w:spacing w:after="0" w:line="259" w:lineRule="auto"/>
        <w:ind w:left="118" w:right="0" w:firstLine="0"/>
        <w:jc w:val="left"/>
      </w:pPr>
      <w:r>
        <w:rPr>
          <w:rFonts w:ascii="Calibri" w:eastAsia="Calibri" w:hAnsi="Calibri" w:cs="Calibri"/>
          <w:noProof/>
        </w:rPr>
        <mc:AlternateContent>
          <mc:Choice Requires="wpg">
            <w:drawing>
              <wp:inline distT="0" distB="0" distL="0" distR="0" wp14:anchorId="27AFD38D" wp14:editId="1F539BC5">
                <wp:extent cx="5572710" cy="6096"/>
                <wp:effectExtent l="0" t="0" r="0" b="0"/>
                <wp:docPr id="35905" name="Group 35905"/>
                <wp:cNvGraphicFramePr/>
                <a:graphic xmlns:a="http://schemas.openxmlformats.org/drawingml/2006/main">
                  <a:graphicData uri="http://schemas.microsoft.com/office/word/2010/wordprocessingGroup">
                    <wpg:wgp>
                      <wpg:cNvGrpSpPr/>
                      <wpg:grpSpPr>
                        <a:xfrm>
                          <a:off x="0" y="0"/>
                          <a:ext cx="5572710" cy="6096"/>
                          <a:chOff x="0" y="0"/>
                          <a:chExt cx="5572710" cy="6096"/>
                        </a:xfrm>
                      </wpg:grpSpPr>
                      <wps:wsp>
                        <wps:cNvPr id="45913" name="Shape 45913"/>
                        <wps:cNvSpPr/>
                        <wps:spPr>
                          <a:xfrm>
                            <a:off x="0" y="0"/>
                            <a:ext cx="1777238" cy="9144"/>
                          </a:xfrm>
                          <a:custGeom>
                            <a:avLst/>
                            <a:gdLst/>
                            <a:ahLst/>
                            <a:cxnLst/>
                            <a:rect l="0" t="0" r="0" b="0"/>
                            <a:pathLst>
                              <a:path w="1777238" h="9144">
                                <a:moveTo>
                                  <a:pt x="0" y="0"/>
                                </a:moveTo>
                                <a:lnTo>
                                  <a:pt x="1777238" y="0"/>
                                </a:lnTo>
                                <a:lnTo>
                                  <a:pt x="1777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14" name="Shape 45914"/>
                        <wps:cNvSpPr/>
                        <wps:spPr>
                          <a:xfrm>
                            <a:off x="17681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15" name="Shape 45915"/>
                        <wps:cNvSpPr/>
                        <wps:spPr>
                          <a:xfrm>
                            <a:off x="1774266" y="0"/>
                            <a:ext cx="653796" cy="9144"/>
                          </a:xfrm>
                          <a:custGeom>
                            <a:avLst/>
                            <a:gdLst/>
                            <a:ahLst/>
                            <a:cxnLst/>
                            <a:rect l="0" t="0" r="0" b="0"/>
                            <a:pathLst>
                              <a:path w="653796" h="9144">
                                <a:moveTo>
                                  <a:pt x="0" y="0"/>
                                </a:moveTo>
                                <a:lnTo>
                                  <a:pt x="653796" y="0"/>
                                </a:lnTo>
                                <a:lnTo>
                                  <a:pt x="653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16" name="Shape 45916"/>
                        <wps:cNvSpPr/>
                        <wps:spPr>
                          <a:xfrm>
                            <a:off x="24189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17" name="Shape 45917"/>
                        <wps:cNvSpPr/>
                        <wps:spPr>
                          <a:xfrm>
                            <a:off x="2425015" y="0"/>
                            <a:ext cx="646176" cy="9144"/>
                          </a:xfrm>
                          <a:custGeom>
                            <a:avLst/>
                            <a:gdLst/>
                            <a:ahLst/>
                            <a:cxnLst/>
                            <a:rect l="0" t="0" r="0" b="0"/>
                            <a:pathLst>
                              <a:path w="646176" h="9144">
                                <a:moveTo>
                                  <a:pt x="0" y="0"/>
                                </a:moveTo>
                                <a:lnTo>
                                  <a:pt x="646176" y="0"/>
                                </a:lnTo>
                                <a:lnTo>
                                  <a:pt x="646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18" name="Shape 45918"/>
                        <wps:cNvSpPr/>
                        <wps:spPr>
                          <a:xfrm>
                            <a:off x="30620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19" name="Shape 45919"/>
                        <wps:cNvSpPr/>
                        <wps:spPr>
                          <a:xfrm>
                            <a:off x="3068142" y="0"/>
                            <a:ext cx="617525" cy="9144"/>
                          </a:xfrm>
                          <a:custGeom>
                            <a:avLst/>
                            <a:gdLst/>
                            <a:ahLst/>
                            <a:cxnLst/>
                            <a:rect l="0" t="0" r="0" b="0"/>
                            <a:pathLst>
                              <a:path w="617525" h="9144">
                                <a:moveTo>
                                  <a:pt x="0" y="0"/>
                                </a:moveTo>
                                <a:lnTo>
                                  <a:pt x="617525" y="0"/>
                                </a:lnTo>
                                <a:lnTo>
                                  <a:pt x="617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20" name="Shape 45920"/>
                        <wps:cNvSpPr/>
                        <wps:spPr>
                          <a:xfrm>
                            <a:off x="36764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21" name="Shape 45921"/>
                        <wps:cNvSpPr/>
                        <wps:spPr>
                          <a:xfrm>
                            <a:off x="3682568" y="0"/>
                            <a:ext cx="598932" cy="9144"/>
                          </a:xfrm>
                          <a:custGeom>
                            <a:avLst/>
                            <a:gdLst/>
                            <a:ahLst/>
                            <a:cxnLst/>
                            <a:rect l="0" t="0" r="0" b="0"/>
                            <a:pathLst>
                              <a:path w="598932" h="9144">
                                <a:moveTo>
                                  <a:pt x="0" y="0"/>
                                </a:moveTo>
                                <a:lnTo>
                                  <a:pt x="598932" y="0"/>
                                </a:lnTo>
                                <a:lnTo>
                                  <a:pt x="5989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22" name="Shape 45922"/>
                        <wps:cNvSpPr/>
                        <wps:spPr>
                          <a:xfrm>
                            <a:off x="42723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23" name="Shape 45923"/>
                        <wps:cNvSpPr/>
                        <wps:spPr>
                          <a:xfrm>
                            <a:off x="4278453" y="0"/>
                            <a:ext cx="699821" cy="9144"/>
                          </a:xfrm>
                          <a:custGeom>
                            <a:avLst/>
                            <a:gdLst/>
                            <a:ahLst/>
                            <a:cxnLst/>
                            <a:rect l="0" t="0" r="0" b="0"/>
                            <a:pathLst>
                              <a:path w="699821" h="9144">
                                <a:moveTo>
                                  <a:pt x="0" y="0"/>
                                </a:moveTo>
                                <a:lnTo>
                                  <a:pt x="699821" y="0"/>
                                </a:lnTo>
                                <a:lnTo>
                                  <a:pt x="699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24" name="Shape 45924"/>
                        <wps:cNvSpPr/>
                        <wps:spPr>
                          <a:xfrm>
                            <a:off x="49692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25" name="Shape 45925"/>
                        <wps:cNvSpPr/>
                        <wps:spPr>
                          <a:xfrm>
                            <a:off x="4975302" y="0"/>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6B2A9F" id="Group 35905" o:spid="_x0000_s1026" style="width:438.8pt;height:.5pt;mso-position-horizontal-relative:char;mso-position-vertical-relative:line" coordsize="557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">
                <v:shape id="Shape 45913" o:spid="_x0000_s1027" style="position:absolute;width:17772;height:91;visibility:visible;mso-wrap-style:square;v-text-anchor:top" coordsize="17772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" path="m,l1777238,r,9144l,9144,,e" fillcolor="black" stroked="f" strokeweight="0">
                  <v:stroke miterlimit="83231f" joinstyle="miter"/>
                  <v:path arrowok="t" textboxrect="0,0,1777238,9144"/>
                </v:shape>
                <v:shape id="Shape 45914" o:spid="_x0000_s1028" style="position:absolute;left:176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" path="m,l9144,r,9144l,9144,,e" fillcolor="black" stroked="f" strokeweight="0">
                  <v:stroke miterlimit="83231f" joinstyle="miter"/>
                  <v:path arrowok="t" textboxrect="0,0,9144,9144"/>
                </v:shape>
                <v:shape id="Shape 45915" o:spid="_x0000_s1029" style="position:absolute;left:17742;width:6538;height:91;visibility:visible;mso-wrap-style:square;v-text-anchor:top" coordsize="653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" path="m,l653796,r,9144l,9144,,e" fillcolor="black" stroked="f" strokeweight="0">
                  <v:stroke miterlimit="83231f" joinstyle="miter"/>
                  <v:path arrowok="t" textboxrect="0,0,653796,9144"/>
                </v:shape>
                <v:shape id="Shape 45916" o:spid="_x0000_s1030" style="position:absolute;left:241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" path="m,l9144,r,9144l,9144,,e" fillcolor="black" stroked="f" strokeweight="0">
                  <v:stroke miterlimit="83231f" joinstyle="miter"/>
                  <v:path arrowok="t" textboxrect="0,0,9144,9144"/>
                </v:shape>
                <v:shape id="Shape 45917" o:spid="_x0000_s1031" style="position:absolute;left:24250;width:6461;height:91;visibility:visible;mso-wrap-style:square;v-text-anchor:top" coordsize="646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" path="m,l646176,r,9144l,9144,,e" fillcolor="black" stroked="f" strokeweight="0">
                  <v:stroke miterlimit="83231f" joinstyle="miter"/>
                  <v:path arrowok="t" textboxrect="0,0,646176,9144"/>
                </v:shape>
                <v:shape id="Shape 45918" o:spid="_x0000_s1032" style="position:absolute;left:30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" path="m,l9144,r,9144l,9144,,e" fillcolor="black" stroked="f" strokeweight="0">
                  <v:stroke miterlimit="83231f" joinstyle="miter"/>
                  <v:path arrowok="t" textboxrect="0,0,9144,9144"/>
                </v:shape>
                <v:shape id="Shape 45919" o:spid="_x0000_s1033" style="position:absolute;left:30681;width:6175;height:91;visibility:visible;mso-wrap-style:square;v-text-anchor:top" coordsize="617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" path="m,l617525,r,9144l,9144,,e" fillcolor="black" stroked="f" strokeweight="0">
                  <v:stroke miterlimit="83231f" joinstyle="miter"/>
                  <v:path arrowok="t" textboxrect="0,0,617525,9144"/>
                </v:shape>
                <v:shape id="Shape 45920" o:spid="_x0000_s1034" style="position:absolute;left:367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" path="m,l9144,r,9144l,9144,,e" fillcolor="black" stroked="f" strokeweight="0">
                  <v:stroke miterlimit="83231f" joinstyle="miter"/>
                  <v:path arrowok="t" textboxrect="0,0,9144,9144"/>
                </v:shape>
                <v:shape id="Shape 45921" o:spid="_x0000_s1035" style="position:absolute;left:36825;width:5990;height:91;visibility:visible;mso-wrap-style:square;v-text-anchor:top" coordsize="5989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" path="m,l598932,r,9144l,9144,,e" fillcolor="black" stroked="f" strokeweight="0">
                  <v:stroke miterlimit="83231f" joinstyle="miter"/>
                  <v:path arrowok="t" textboxrect="0,0,598932,9144"/>
                </v:shape>
                <v:shape id="Shape 45922" o:spid="_x0000_s1036" style="position:absolute;left:427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" path="m,l9144,r,9144l,9144,,e" fillcolor="black" stroked="f" strokeweight="0">
                  <v:stroke miterlimit="83231f" joinstyle="miter"/>
                  <v:path arrowok="t" textboxrect="0,0,9144,9144"/>
                </v:shape>
                <v:shape id="Shape 45923" o:spid="_x0000_s1037" style="position:absolute;left:42784;width:6998;height:91;visibility:visible;mso-wrap-style:square;v-text-anchor:top" coordsize="699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" path="m,l699821,r,9144l,9144,,e" fillcolor="black" stroked="f" strokeweight="0">
                  <v:stroke miterlimit="83231f" joinstyle="miter"/>
                  <v:path arrowok="t" textboxrect="0,0,699821,9144"/>
                </v:shape>
                <v:shape id="Shape 45924" o:spid="_x0000_s1038" style="position:absolute;left:496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" path="m,l9144,r,9144l,9144,,e" fillcolor="black" stroked="f" strokeweight="0">
                  <v:stroke miterlimit="83231f" joinstyle="miter"/>
                  <v:path arrowok="t" textboxrect="0,0,9144,9144"/>
                </v:shape>
                <v:shape id="Shape 45925" o:spid="_x0000_s1039" style="position:absolute;left:49753;width:5974;height:91;visibility:visible;mso-wrap-style:square;v-text-anchor:top" coordsize="597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" path="m,l597408,r,9144l,9144,,e" fillcolor="black" stroked="f" strokeweight="0">
                  <v:stroke miterlimit="83231f" joinstyle="miter"/>
                  <v:path arrowok="t" textboxrect="0,0,597408,9144"/>
                </v:shape>
                <w10:anchorlock/>
              </v:group>
            </w:pict>
          </mc:Fallback>
        </mc:AlternateContent>
      </w:r>
    </w:p>
    <w:p w14:paraId="3399A085" w14:textId="77777777" w:rsidR="00435064" w:rsidRDefault="00435064" w:rsidP="00435064">
      <w:pPr>
        <w:spacing w:after="247" w:line="259" w:lineRule="auto"/>
        <w:ind w:left="0" w:right="0" w:firstLine="0"/>
        <w:jc w:val="left"/>
      </w:pPr>
      <w:r>
        <w:rPr>
          <w:b/>
          <w:sz w:val="18"/>
        </w:rPr>
        <w:t xml:space="preserve"> </w:t>
      </w:r>
    </w:p>
    <w:p w14:paraId="41A5F295" w14:textId="77777777" w:rsidR="00435064" w:rsidRDefault="00435064"/>
    <w:p w14:paraId="1A292748" w14:textId="77777777" w:rsidR="00F26677" w:rsidRDefault="00F26677"/>
    <w:p w14:paraId="0033CF30" w14:textId="77777777" w:rsidR="003B4E84" w:rsidRDefault="003B4E84"/>
    <w:p w14:paraId="3E2CC468" w14:textId="77777777" w:rsidR="003B4E84" w:rsidRDefault="003B4E84"/>
    <w:p w14:paraId="46821FCC" w14:textId="77777777" w:rsidR="003B4E84" w:rsidRDefault="003B4E84"/>
    <w:p w14:paraId="78A4806E" w14:textId="77777777" w:rsidR="003B4E84" w:rsidRDefault="003B4E84"/>
    <w:p w14:paraId="00F667B7" w14:textId="77777777" w:rsidR="003B4E84" w:rsidRDefault="003B4E84"/>
    <w:p w14:paraId="726D8456" w14:textId="77777777" w:rsidR="003B4E84" w:rsidRDefault="003B4E84"/>
    <w:p w14:paraId="79CBF081" w14:textId="77777777" w:rsidR="003B4E84" w:rsidRDefault="003B4E84"/>
    <w:p w14:paraId="023A8042" w14:textId="77777777" w:rsidR="003B4E84" w:rsidRDefault="003B4E84"/>
    <w:p w14:paraId="3AAA8BA8" w14:textId="77777777" w:rsidR="003B4E84" w:rsidRDefault="003B4E84"/>
    <w:p w14:paraId="47C7EBF2" w14:textId="77777777" w:rsidR="003B4E84" w:rsidRDefault="003B4E84"/>
    <w:p w14:paraId="107DC183" w14:textId="77777777" w:rsidR="003B4E84" w:rsidRDefault="003B4E84"/>
    <w:p w14:paraId="0C4C805A" w14:textId="77777777" w:rsidR="003B4E84" w:rsidRDefault="003B4E84"/>
    <w:p w14:paraId="77E2E9B1" w14:textId="77777777" w:rsidR="003B4E84" w:rsidRDefault="003B4E84"/>
    <w:p w14:paraId="5099F322" w14:textId="77777777" w:rsidR="003B4E84" w:rsidRDefault="003B4E84"/>
    <w:p w14:paraId="58B1FFA3" w14:textId="77777777" w:rsidR="003B4E84" w:rsidRDefault="003B4E84"/>
    <w:p w14:paraId="4DE5CFBB" w14:textId="77777777" w:rsidR="003B4E84" w:rsidRDefault="003B4E84"/>
    <w:p w14:paraId="0FB3ACA5" w14:textId="77777777" w:rsidR="003B4E84" w:rsidRDefault="003B4E84" w:rsidP="003B4E84">
      <w:pPr>
        <w:spacing w:after="0" w:line="259" w:lineRule="auto"/>
        <w:ind w:left="0" w:right="0" w:firstLine="0"/>
        <w:jc w:val="left"/>
      </w:pPr>
    </w:p>
    <w:p w14:paraId="7AF2E91D" w14:textId="77777777" w:rsidR="003B4E84" w:rsidRDefault="003B4E84" w:rsidP="003B4E84">
      <w:pPr>
        <w:spacing w:after="0" w:line="259" w:lineRule="auto"/>
        <w:ind w:left="-5" w:right="20"/>
        <w:jc w:val="left"/>
      </w:pPr>
      <w:r>
        <w:rPr>
          <w:b/>
          <w:sz w:val="18"/>
        </w:rPr>
        <w:t xml:space="preserve">Table 3. Average ranking, standard deviation and median of each factor affecting women’s health literacy ranked from having the greatest negative impact on women’s health literacy to the least negative impact. </w:t>
      </w:r>
    </w:p>
    <w:tbl>
      <w:tblPr>
        <w:tblStyle w:val="TableGrid"/>
        <w:tblW w:w="9830" w:type="dxa"/>
        <w:tblInd w:w="-123" w:type="dxa"/>
        <w:tblCellMar>
          <w:top w:w="55" w:type="dxa"/>
          <w:right w:w="115" w:type="dxa"/>
        </w:tblCellMar>
        <w:tblLook w:val="04A0" w:firstRow="1" w:lastRow="0" w:firstColumn="1" w:lastColumn="0" w:noHBand="0" w:noVBand="1"/>
      </w:tblPr>
      <w:tblGrid>
        <w:gridCol w:w="5464"/>
        <w:gridCol w:w="4366"/>
      </w:tblGrid>
      <w:tr w:rsidR="003B4E84" w14:paraId="5D4CE19E" w14:textId="77777777" w:rsidTr="00473E8B">
        <w:trPr>
          <w:trHeight w:val="422"/>
        </w:trPr>
        <w:tc>
          <w:tcPr>
            <w:tcW w:w="5464" w:type="dxa"/>
            <w:tcBorders>
              <w:top w:val="single" w:sz="4" w:space="0" w:color="000000"/>
              <w:left w:val="nil"/>
              <w:bottom w:val="single" w:sz="4" w:space="0" w:color="000000"/>
              <w:right w:val="nil"/>
            </w:tcBorders>
          </w:tcPr>
          <w:p w14:paraId="53E6000F" w14:textId="77777777" w:rsidR="003B4E84" w:rsidRDefault="003B4E84" w:rsidP="00473E8B">
            <w:pPr>
              <w:spacing w:after="0" w:line="259" w:lineRule="auto"/>
              <w:ind w:left="123" w:right="0" w:firstLine="0"/>
              <w:jc w:val="left"/>
            </w:pPr>
            <w:r>
              <w:rPr>
                <w:b/>
                <w:sz w:val="18"/>
              </w:rPr>
              <w:t xml:space="preserve">Topic </w:t>
            </w:r>
          </w:p>
        </w:tc>
        <w:tc>
          <w:tcPr>
            <w:tcW w:w="4366" w:type="dxa"/>
            <w:tcBorders>
              <w:top w:val="single" w:sz="4" w:space="0" w:color="000000"/>
              <w:left w:val="nil"/>
              <w:bottom w:val="single" w:sz="4" w:space="0" w:color="000000"/>
              <w:right w:val="nil"/>
            </w:tcBorders>
          </w:tcPr>
          <w:p w14:paraId="399D2979" w14:textId="77777777" w:rsidR="003B4E84" w:rsidRDefault="003B4E84" w:rsidP="00473E8B">
            <w:pPr>
              <w:spacing w:after="0" w:line="259" w:lineRule="auto"/>
              <w:ind w:left="0" w:right="0" w:firstLine="0"/>
              <w:jc w:val="left"/>
            </w:pPr>
            <w:r>
              <w:rPr>
                <w:i/>
                <w:sz w:val="18"/>
              </w:rPr>
              <w:t xml:space="preserve">Mean ± SD (Median) </w:t>
            </w:r>
          </w:p>
        </w:tc>
      </w:tr>
      <w:tr w:rsidR="003B4E84" w14:paraId="34B871D1" w14:textId="77777777" w:rsidTr="00473E8B">
        <w:trPr>
          <w:trHeight w:val="369"/>
        </w:trPr>
        <w:tc>
          <w:tcPr>
            <w:tcW w:w="5464" w:type="dxa"/>
            <w:tcBorders>
              <w:top w:val="single" w:sz="4" w:space="0" w:color="000000"/>
              <w:left w:val="nil"/>
              <w:bottom w:val="nil"/>
              <w:right w:val="nil"/>
            </w:tcBorders>
          </w:tcPr>
          <w:p w14:paraId="6978625B" w14:textId="77777777" w:rsidR="003B4E84" w:rsidRDefault="003B4E84" w:rsidP="00473E8B">
            <w:pPr>
              <w:spacing w:after="0" w:line="259" w:lineRule="auto"/>
              <w:ind w:left="123" w:right="0" w:firstLine="0"/>
              <w:jc w:val="left"/>
            </w:pPr>
            <w:r>
              <w:rPr>
                <w:sz w:val="18"/>
              </w:rPr>
              <w:t xml:space="preserve">Being a refugee </w:t>
            </w:r>
          </w:p>
        </w:tc>
        <w:tc>
          <w:tcPr>
            <w:tcW w:w="4366" w:type="dxa"/>
            <w:tcBorders>
              <w:top w:val="single" w:sz="4" w:space="0" w:color="000000"/>
              <w:left w:val="nil"/>
              <w:bottom w:val="nil"/>
              <w:right w:val="nil"/>
            </w:tcBorders>
          </w:tcPr>
          <w:p w14:paraId="4A6235D8" w14:textId="77777777" w:rsidR="003B4E84" w:rsidRDefault="003B4E84" w:rsidP="00473E8B">
            <w:pPr>
              <w:spacing w:after="0" w:line="259" w:lineRule="auto"/>
              <w:ind w:left="0" w:right="0" w:firstLine="0"/>
              <w:jc w:val="left"/>
            </w:pPr>
            <w:r>
              <w:rPr>
                <w:sz w:val="18"/>
              </w:rPr>
              <w:t xml:space="preserve">3.54 ± 3.39 (2) </w:t>
            </w:r>
          </w:p>
        </w:tc>
      </w:tr>
      <w:tr w:rsidR="003B4E84" w14:paraId="62DAFDDD" w14:textId="77777777" w:rsidTr="00473E8B">
        <w:trPr>
          <w:trHeight w:val="413"/>
        </w:trPr>
        <w:tc>
          <w:tcPr>
            <w:tcW w:w="5464" w:type="dxa"/>
            <w:tcBorders>
              <w:top w:val="nil"/>
              <w:left w:val="nil"/>
              <w:bottom w:val="nil"/>
              <w:right w:val="nil"/>
            </w:tcBorders>
            <w:vAlign w:val="center"/>
          </w:tcPr>
          <w:p w14:paraId="22F32A4E" w14:textId="77777777" w:rsidR="003B4E84" w:rsidRDefault="003B4E84" w:rsidP="00473E8B">
            <w:pPr>
              <w:spacing w:after="0" w:line="259" w:lineRule="auto"/>
              <w:ind w:left="123" w:right="0" w:firstLine="0"/>
              <w:jc w:val="left"/>
            </w:pPr>
            <w:r>
              <w:rPr>
                <w:sz w:val="18"/>
              </w:rPr>
              <w:t xml:space="preserve">Being from a rural area </w:t>
            </w:r>
          </w:p>
        </w:tc>
        <w:tc>
          <w:tcPr>
            <w:tcW w:w="4366" w:type="dxa"/>
            <w:tcBorders>
              <w:top w:val="nil"/>
              <w:left w:val="nil"/>
              <w:bottom w:val="nil"/>
              <w:right w:val="nil"/>
            </w:tcBorders>
            <w:vAlign w:val="center"/>
          </w:tcPr>
          <w:p w14:paraId="65AAC1D5" w14:textId="77777777" w:rsidR="003B4E84" w:rsidRDefault="003B4E84" w:rsidP="00473E8B">
            <w:pPr>
              <w:spacing w:after="0" w:line="259" w:lineRule="auto"/>
              <w:ind w:left="0" w:right="0" w:firstLine="0"/>
              <w:jc w:val="left"/>
            </w:pPr>
            <w:r>
              <w:rPr>
                <w:sz w:val="18"/>
              </w:rPr>
              <w:t xml:space="preserve">3.70 ± 3.07 (3) </w:t>
            </w:r>
          </w:p>
        </w:tc>
      </w:tr>
      <w:tr w:rsidR="003B4E84" w14:paraId="1A570184" w14:textId="77777777" w:rsidTr="00473E8B">
        <w:trPr>
          <w:trHeight w:val="413"/>
        </w:trPr>
        <w:tc>
          <w:tcPr>
            <w:tcW w:w="5464" w:type="dxa"/>
            <w:tcBorders>
              <w:top w:val="nil"/>
              <w:left w:val="nil"/>
              <w:bottom w:val="nil"/>
              <w:right w:val="nil"/>
            </w:tcBorders>
            <w:vAlign w:val="center"/>
          </w:tcPr>
          <w:p w14:paraId="064A004C" w14:textId="77777777" w:rsidR="003B4E84" w:rsidRDefault="003B4E84" w:rsidP="00473E8B">
            <w:pPr>
              <w:spacing w:after="0" w:line="259" w:lineRule="auto"/>
              <w:ind w:left="123" w:right="0" w:firstLine="0"/>
              <w:jc w:val="left"/>
            </w:pPr>
            <w:r>
              <w:rPr>
                <w:sz w:val="18"/>
              </w:rPr>
              <w:t xml:space="preserve">Being educated to primary school level or not formally educated </w:t>
            </w:r>
          </w:p>
        </w:tc>
        <w:tc>
          <w:tcPr>
            <w:tcW w:w="4366" w:type="dxa"/>
            <w:tcBorders>
              <w:top w:val="nil"/>
              <w:left w:val="nil"/>
              <w:bottom w:val="nil"/>
              <w:right w:val="nil"/>
            </w:tcBorders>
            <w:vAlign w:val="center"/>
          </w:tcPr>
          <w:p w14:paraId="5FFA247F" w14:textId="77777777" w:rsidR="003B4E84" w:rsidRDefault="003B4E84" w:rsidP="00473E8B">
            <w:pPr>
              <w:spacing w:after="0" w:line="259" w:lineRule="auto"/>
              <w:ind w:left="0" w:right="0" w:firstLine="0"/>
              <w:jc w:val="left"/>
            </w:pPr>
            <w:r>
              <w:rPr>
                <w:sz w:val="18"/>
              </w:rPr>
              <w:t xml:space="preserve">3.75 ± 3.35 (2) </w:t>
            </w:r>
          </w:p>
        </w:tc>
      </w:tr>
      <w:tr w:rsidR="003B4E84" w14:paraId="3B0198B6" w14:textId="77777777" w:rsidTr="00473E8B">
        <w:trPr>
          <w:trHeight w:val="413"/>
        </w:trPr>
        <w:tc>
          <w:tcPr>
            <w:tcW w:w="5464" w:type="dxa"/>
            <w:tcBorders>
              <w:top w:val="nil"/>
              <w:left w:val="nil"/>
              <w:bottom w:val="nil"/>
              <w:right w:val="nil"/>
            </w:tcBorders>
            <w:vAlign w:val="center"/>
          </w:tcPr>
          <w:p w14:paraId="16E1F594" w14:textId="77777777" w:rsidR="003B4E84" w:rsidRDefault="003B4E84" w:rsidP="00473E8B">
            <w:pPr>
              <w:spacing w:after="0" w:line="259" w:lineRule="auto"/>
              <w:ind w:left="123" w:right="0" w:firstLine="0"/>
              <w:jc w:val="left"/>
            </w:pPr>
            <w:r>
              <w:rPr>
                <w:sz w:val="18"/>
              </w:rPr>
              <w:t xml:space="preserve">Being aged under 18 </w:t>
            </w:r>
          </w:p>
        </w:tc>
        <w:tc>
          <w:tcPr>
            <w:tcW w:w="4366" w:type="dxa"/>
            <w:tcBorders>
              <w:top w:val="nil"/>
              <w:left w:val="nil"/>
              <w:bottom w:val="nil"/>
              <w:right w:val="nil"/>
            </w:tcBorders>
            <w:vAlign w:val="center"/>
          </w:tcPr>
          <w:p w14:paraId="7596F352" w14:textId="77777777" w:rsidR="003B4E84" w:rsidRDefault="003B4E84" w:rsidP="00473E8B">
            <w:pPr>
              <w:spacing w:after="0" w:line="259" w:lineRule="auto"/>
              <w:ind w:left="0" w:right="0" w:firstLine="0"/>
              <w:jc w:val="left"/>
            </w:pPr>
            <w:r>
              <w:rPr>
                <w:sz w:val="18"/>
              </w:rPr>
              <w:t xml:space="preserve">4.13 ± 3.25 (3) </w:t>
            </w:r>
          </w:p>
        </w:tc>
      </w:tr>
      <w:tr w:rsidR="003B4E84" w14:paraId="5016993A" w14:textId="77777777" w:rsidTr="00473E8B">
        <w:trPr>
          <w:trHeight w:val="413"/>
        </w:trPr>
        <w:tc>
          <w:tcPr>
            <w:tcW w:w="5464" w:type="dxa"/>
            <w:tcBorders>
              <w:top w:val="nil"/>
              <w:left w:val="nil"/>
              <w:bottom w:val="nil"/>
              <w:right w:val="nil"/>
            </w:tcBorders>
            <w:vAlign w:val="center"/>
          </w:tcPr>
          <w:p w14:paraId="474C44C6" w14:textId="77777777" w:rsidR="003B4E84" w:rsidRDefault="003B4E84" w:rsidP="00473E8B">
            <w:pPr>
              <w:spacing w:after="0" w:line="259" w:lineRule="auto"/>
              <w:ind w:left="123" w:right="0" w:firstLine="0"/>
              <w:jc w:val="left"/>
            </w:pPr>
            <w:r>
              <w:rPr>
                <w:sz w:val="18"/>
              </w:rPr>
              <w:t xml:space="preserve">Being from a low-income household </w:t>
            </w:r>
          </w:p>
        </w:tc>
        <w:tc>
          <w:tcPr>
            <w:tcW w:w="4366" w:type="dxa"/>
            <w:tcBorders>
              <w:top w:val="nil"/>
              <w:left w:val="nil"/>
              <w:bottom w:val="nil"/>
              <w:right w:val="nil"/>
            </w:tcBorders>
            <w:vAlign w:val="center"/>
          </w:tcPr>
          <w:p w14:paraId="53F744C8" w14:textId="77777777" w:rsidR="003B4E84" w:rsidRDefault="003B4E84" w:rsidP="00473E8B">
            <w:pPr>
              <w:spacing w:after="0" w:line="259" w:lineRule="auto"/>
              <w:ind w:left="0" w:right="0" w:firstLine="0"/>
              <w:jc w:val="left"/>
            </w:pPr>
            <w:r>
              <w:rPr>
                <w:sz w:val="18"/>
              </w:rPr>
              <w:t xml:space="preserve">4.27 ± 2.92 (4) </w:t>
            </w:r>
          </w:p>
        </w:tc>
      </w:tr>
      <w:tr w:rsidR="003B4E84" w14:paraId="06E466C7" w14:textId="77777777" w:rsidTr="00473E8B">
        <w:trPr>
          <w:trHeight w:val="413"/>
        </w:trPr>
        <w:tc>
          <w:tcPr>
            <w:tcW w:w="5464" w:type="dxa"/>
            <w:tcBorders>
              <w:top w:val="nil"/>
              <w:left w:val="nil"/>
              <w:bottom w:val="nil"/>
              <w:right w:val="nil"/>
            </w:tcBorders>
            <w:vAlign w:val="center"/>
          </w:tcPr>
          <w:p w14:paraId="0E01277B" w14:textId="77777777" w:rsidR="003B4E84" w:rsidRDefault="003B4E84" w:rsidP="00473E8B">
            <w:pPr>
              <w:spacing w:after="0" w:line="259" w:lineRule="auto"/>
              <w:ind w:left="123" w:right="0" w:firstLine="0"/>
              <w:jc w:val="left"/>
            </w:pPr>
            <w:r>
              <w:rPr>
                <w:sz w:val="18"/>
              </w:rPr>
              <w:t xml:space="preserve">Being unmarried </w:t>
            </w:r>
          </w:p>
        </w:tc>
        <w:tc>
          <w:tcPr>
            <w:tcW w:w="4366" w:type="dxa"/>
            <w:tcBorders>
              <w:top w:val="nil"/>
              <w:left w:val="nil"/>
              <w:bottom w:val="nil"/>
              <w:right w:val="nil"/>
            </w:tcBorders>
            <w:vAlign w:val="center"/>
          </w:tcPr>
          <w:p w14:paraId="5D545241" w14:textId="77777777" w:rsidR="003B4E84" w:rsidRDefault="003B4E84" w:rsidP="00473E8B">
            <w:pPr>
              <w:spacing w:after="0" w:line="259" w:lineRule="auto"/>
              <w:ind w:left="0" w:right="0" w:firstLine="0"/>
              <w:jc w:val="left"/>
            </w:pPr>
            <w:r>
              <w:rPr>
                <w:sz w:val="18"/>
              </w:rPr>
              <w:t xml:space="preserve">5.54 ± 3.60 (5) </w:t>
            </w:r>
          </w:p>
        </w:tc>
      </w:tr>
      <w:tr w:rsidR="003B4E84" w14:paraId="118C0145" w14:textId="77777777" w:rsidTr="00473E8B">
        <w:trPr>
          <w:trHeight w:val="413"/>
        </w:trPr>
        <w:tc>
          <w:tcPr>
            <w:tcW w:w="5464" w:type="dxa"/>
            <w:tcBorders>
              <w:top w:val="nil"/>
              <w:left w:val="nil"/>
              <w:bottom w:val="nil"/>
              <w:right w:val="nil"/>
            </w:tcBorders>
            <w:vAlign w:val="center"/>
          </w:tcPr>
          <w:p w14:paraId="034787A2" w14:textId="77777777" w:rsidR="003B4E84" w:rsidRDefault="003B4E84" w:rsidP="00473E8B">
            <w:pPr>
              <w:spacing w:after="0" w:line="259" w:lineRule="auto"/>
              <w:ind w:left="123" w:right="0" w:firstLine="0"/>
              <w:jc w:val="left"/>
            </w:pPr>
            <w:r>
              <w:rPr>
                <w:sz w:val="18"/>
              </w:rPr>
              <w:t xml:space="preserve">Being educated to secondary school level or above </w:t>
            </w:r>
          </w:p>
        </w:tc>
        <w:tc>
          <w:tcPr>
            <w:tcW w:w="4366" w:type="dxa"/>
            <w:tcBorders>
              <w:top w:val="nil"/>
              <w:left w:val="nil"/>
              <w:bottom w:val="nil"/>
              <w:right w:val="nil"/>
            </w:tcBorders>
            <w:vAlign w:val="center"/>
          </w:tcPr>
          <w:p w14:paraId="6A2B1330" w14:textId="77777777" w:rsidR="003B4E84" w:rsidRDefault="003B4E84" w:rsidP="00473E8B">
            <w:pPr>
              <w:spacing w:after="0" w:line="259" w:lineRule="auto"/>
              <w:ind w:left="0" w:right="0" w:firstLine="0"/>
              <w:jc w:val="left"/>
            </w:pPr>
            <w:r>
              <w:rPr>
                <w:sz w:val="18"/>
              </w:rPr>
              <w:t xml:space="preserve">6.69 ± 3.69 (6) </w:t>
            </w:r>
          </w:p>
        </w:tc>
      </w:tr>
      <w:tr w:rsidR="003B4E84" w14:paraId="59C513F9" w14:textId="77777777" w:rsidTr="00473E8B">
        <w:trPr>
          <w:trHeight w:val="413"/>
        </w:trPr>
        <w:tc>
          <w:tcPr>
            <w:tcW w:w="5464" w:type="dxa"/>
            <w:tcBorders>
              <w:top w:val="nil"/>
              <w:left w:val="nil"/>
              <w:bottom w:val="nil"/>
              <w:right w:val="nil"/>
            </w:tcBorders>
            <w:vAlign w:val="center"/>
          </w:tcPr>
          <w:p w14:paraId="43195C9A" w14:textId="77777777" w:rsidR="003B4E84" w:rsidRDefault="003B4E84" w:rsidP="00473E8B">
            <w:pPr>
              <w:spacing w:after="0" w:line="259" w:lineRule="auto"/>
              <w:ind w:left="123" w:right="0" w:firstLine="0"/>
              <w:jc w:val="left"/>
            </w:pPr>
            <w:r>
              <w:rPr>
                <w:sz w:val="18"/>
              </w:rPr>
              <w:t xml:space="preserve">Being aged over 18 </w:t>
            </w:r>
          </w:p>
        </w:tc>
        <w:tc>
          <w:tcPr>
            <w:tcW w:w="4366" w:type="dxa"/>
            <w:tcBorders>
              <w:top w:val="nil"/>
              <w:left w:val="nil"/>
              <w:bottom w:val="nil"/>
              <w:right w:val="nil"/>
            </w:tcBorders>
            <w:vAlign w:val="center"/>
          </w:tcPr>
          <w:p w14:paraId="3F02640D" w14:textId="77777777" w:rsidR="003B4E84" w:rsidRDefault="003B4E84" w:rsidP="00473E8B">
            <w:pPr>
              <w:spacing w:after="0" w:line="259" w:lineRule="auto"/>
              <w:ind w:left="0" w:right="0" w:firstLine="0"/>
              <w:jc w:val="left"/>
            </w:pPr>
            <w:r>
              <w:rPr>
                <w:sz w:val="18"/>
              </w:rPr>
              <w:t xml:space="preserve">7.22 ± 3.57 (8) </w:t>
            </w:r>
          </w:p>
        </w:tc>
      </w:tr>
      <w:tr w:rsidR="003B4E84" w14:paraId="0512BC6D" w14:textId="77777777" w:rsidTr="00473E8B">
        <w:trPr>
          <w:trHeight w:val="413"/>
        </w:trPr>
        <w:tc>
          <w:tcPr>
            <w:tcW w:w="5464" w:type="dxa"/>
            <w:tcBorders>
              <w:top w:val="nil"/>
              <w:left w:val="nil"/>
              <w:bottom w:val="nil"/>
              <w:right w:val="nil"/>
            </w:tcBorders>
            <w:vAlign w:val="center"/>
          </w:tcPr>
          <w:p w14:paraId="789C1BB5" w14:textId="77777777" w:rsidR="003B4E84" w:rsidRDefault="003B4E84" w:rsidP="00473E8B">
            <w:pPr>
              <w:spacing w:after="0" w:line="259" w:lineRule="auto"/>
              <w:ind w:left="123" w:right="0" w:firstLine="0"/>
              <w:jc w:val="left"/>
            </w:pPr>
            <w:r>
              <w:rPr>
                <w:sz w:val="18"/>
              </w:rPr>
              <w:t xml:space="preserve">Being married </w:t>
            </w:r>
          </w:p>
        </w:tc>
        <w:tc>
          <w:tcPr>
            <w:tcW w:w="4366" w:type="dxa"/>
            <w:tcBorders>
              <w:top w:val="nil"/>
              <w:left w:val="nil"/>
              <w:bottom w:val="nil"/>
              <w:right w:val="nil"/>
            </w:tcBorders>
            <w:vAlign w:val="center"/>
          </w:tcPr>
          <w:p w14:paraId="17DFF04F" w14:textId="77777777" w:rsidR="003B4E84" w:rsidRDefault="003B4E84" w:rsidP="00473E8B">
            <w:pPr>
              <w:spacing w:after="0" w:line="259" w:lineRule="auto"/>
              <w:ind w:left="0" w:right="0" w:firstLine="0"/>
              <w:jc w:val="left"/>
            </w:pPr>
            <w:r>
              <w:rPr>
                <w:sz w:val="18"/>
              </w:rPr>
              <w:t xml:space="preserve">7.23 ± 3.69 (7) </w:t>
            </w:r>
          </w:p>
        </w:tc>
      </w:tr>
      <w:tr w:rsidR="003B4E84" w14:paraId="03066C91" w14:textId="77777777" w:rsidTr="00473E8B">
        <w:trPr>
          <w:trHeight w:val="413"/>
        </w:trPr>
        <w:tc>
          <w:tcPr>
            <w:tcW w:w="5464" w:type="dxa"/>
            <w:tcBorders>
              <w:top w:val="nil"/>
              <w:left w:val="nil"/>
              <w:bottom w:val="nil"/>
              <w:right w:val="nil"/>
            </w:tcBorders>
            <w:vAlign w:val="center"/>
          </w:tcPr>
          <w:p w14:paraId="3AD35E24" w14:textId="77777777" w:rsidR="003B4E84" w:rsidRDefault="003B4E84" w:rsidP="00473E8B">
            <w:pPr>
              <w:spacing w:after="0" w:line="259" w:lineRule="auto"/>
              <w:ind w:left="123" w:right="0" w:firstLine="0"/>
              <w:jc w:val="left"/>
            </w:pPr>
            <w:r>
              <w:rPr>
                <w:sz w:val="18"/>
              </w:rPr>
              <w:t xml:space="preserve">Other </w:t>
            </w:r>
          </w:p>
        </w:tc>
        <w:tc>
          <w:tcPr>
            <w:tcW w:w="4366" w:type="dxa"/>
            <w:tcBorders>
              <w:top w:val="nil"/>
              <w:left w:val="nil"/>
              <w:bottom w:val="nil"/>
              <w:right w:val="nil"/>
            </w:tcBorders>
            <w:vAlign w:val="center"/>
          </w:tcPr>
          <w:p w14:paraId="59CF5BED" w14:textId="77777777" w:rsidR="003B4E84" w:rsidRDefault="003B4E84" w:rsidP="00473E8B">
            <w:pPr>
              <w:spacing w:after="0" w:line="259" w:lineRule="auto"/>
              <w:ind w:left="0" w:right="0" w:firstLine="0"/>
              <w:jc w:val="left"/>
            </w:pPr>
            <w:r>
              <w:rPr>
                <w:sz w:val="18"/>
              </w:rPr>
              <w:t xml:space="preserve">7.50 ± 3.90 (8) </w:t>
            </w:r>
          </w:p>
        </w:tc>
      </w:tr>
      <w:tr w:rsidR="003B4E84" w14:paraId="63BB6246" w14:textId="77777777" w:rsidTr="00473E8B">
        <w:trPr>
          <w:trHeight w:val="414"/>
        </w:trPr>
        <w:tc>
          <w:tcPr>
            <w:tcW w:w="5464" w:type="dxa"/>
            <w:tcBorders>
              <w:top w:val="nil"/>
              <w:left w:val="nil"/>
              <w:bottom w:val="nil"/>
              <w:right w:val="nil"/>
            </w:tcBorders>
            <w:vAlign w:val="center"/>
          </w:tcPr>
          <w:p w14:paraId="287FA582" w14:textId="77777777" w:rsidR="003B4E84" w:rsidRDefault="003B4E84" w:rsidP="00473E8B">
            <w:pPr>
              <w:spacing w:after="0" w:line="259" w:lineRule="auto"/>
              <w:ind w:left="123" w:right="0" w:firstLine="0"/>
              <w:jc w:val="left"/>
            </w:pPr>
            <w:r>
              <w:rPr>
                <w:sz w:val="18"/>
              </w:rPr>
              <w:t xml:space="preserve">Being from an urban area </w:t>
            </w:r>
          </w:p>
        </w:tc>
        <w:tc>
          <w:tcPr>
            <w:tcW w:w="4366" w:type="dxa"/>
            <w:tcBorders>
              <w:top w:val="nil"/>
              <w:left w:val="nil"/>
              <w:bottom w:val="nil"/>
              <w:right w:val="nil"/>
            </w:tcBorders>
            <w:vAlign w:val="center"/>
          </w:tcPr>
          <w:p w14:paraId="43FD33DC" w14:textId="77777777" w:rsidR="003B4E84" w:rsidRDefault="003B4E84" w:rsidP="00473E8B">
            <w:pPr>
              <w:spacing w:after="0" w:line="259" w:lineRule="auto"/>
              <w:ind w:left="0" w:right="0" w:firstLine="0"/>
              <w:jc w:val="left"/>
            </w:pPr>
            <w:r>
              <w:rPr>
                <w:sz w:val="18"/>
              </w:rPr>
              <w:t xml:space="preserve">8.20 ± 3.80 (10) </w:t>
            </w:r>
          </w:p>
        </w:tc>
      </w:tr>
      <w:tr w:rsidR="003B4E84" w14:paraId="15C3192A" w14:textId="77777777" w:rsidTr="00473E8B">
        <w:trPr>
          <w:trHeight w:val="467"/>
        </w:trPr>
        <w:tc>
          <w:tcPr>
            <w:tcW w:w="5464" w:type="dxa"/>
            <w:tcBorders>
              <w:top w:val="nil"/>
              <w:left w:val="nil"/>
              <w:bottom w:val="single" w:sz="4" w:space="0" w:color="000000"/>
              <w:right w:val="nil"/>
            </w:tcBorders>
            <w:vAlign w:val="center"/>
          </w:tcPr>
          <w:p w14:paraId="26B61217" w14:textId="77777777" w:rsidR="003B4E84" w:rsidRDefault="003B4E84" w:rsidP="00473E8B">
            <w:pPr>
              <w:spacing w:after="0" w:line="259" w:lineRule="auto"/>
              <w:ind w:left="123" w:right="0" w:firstLine="0"/>
              <w:jc w:val="left"/>
            </w:pPr>
            <w:r>
              <w:rPr>
                <w:sz w:val="18"/>
              </w:rPr>
              <w:t xml:space="preserve">Being from a high-income household </w:t>
            </w:r>
          </w:p>
        </w:tc>
        <w:tc>
          <w:tcPr>
            <w:tcW w:w="4366" w:type="dxa"/>
            <w:tcBorders>
              <w:top w:val="nil"/>
              <w:left w:val="nil"/>
              <w:bottom w:val="single" w:sz="4" w:space="0" w:color="000000"/>
              <w:right w:val="nil"/>
            </w:tcBorders>
            <w:vAlign w:val="center"/>
          </w:tcPr>
          <w:p w14:paraId="31E0BD18" w14:textId="77777777" w:rsidR="003B4E84" w:rsidRDefault="003B4E84" w:rsidP="00473E8B">
            <w:pPr>
              <w:spacing w:after="0" w:line="259" w:lineRule="auto"/>
              <w:ind w:left="0" w:right="0" w:firstLine="0"/>
              <w:jc w:val="left"/>
            </w:pPr>
            <w:r>
              <w:rPr>
                <w:sz w:val="18"/>
              </w:rPr>
              <w:t xml:space="preserve">8.17 ± 3.83 (10) </w:t>
            </w:r>
          </w:p>
        </w:tc>
      </w:tr>
    </w:tbl>
    <w:p w14:paraId="78A912C2" w14:textId="77777777" w:rsidR="003B4E84" w:rsidRDefault="003B4E84" w:rsidP="003B4E84">
      <w:pPr>
        <w:spacing w:after="88" w:line="259" w:lineRule="auto"/>
        <w:ind w:left="240" w:right="0" w:firstLine="0"/>
        <w:jc w:val="left"/>
      </w:pPr>
      <w:r>
        <w:rPr>
          <w:b/>
          <w:sz w:val="18"/>
        </w:rPr>
        <w:t xml:space="preserve"> </w:t>
      </w:r>
    </w:p>
    <w:p w14:paraId="094186A7" w14:textId="77777777" w:rsidR="003B4E84" w:rsidRDefault="003B4E84" w:rsidP="003B4E84">
      <w:pPr>
        <w:spacing w:after="86" w:line="259" w:lineRule="auto"/>
        <w:ind w:left="240" w:right="0" w:firstLine="0"/>
        <w:jc w:val="left"/>
      </w:pPr>
      <w:r>
        <w:rPr>
          <w:b/>
          <w:sz w:val="18"/>
        </w:rPr>
        <w:t xml:space="preserve"> </w:t>
      </w:r>
    </w:p>
    <w:p w14:paraId="31D776FB" w14:textId="77777777" w:rsidR="003B4E84" w:rsidRDefault="003B4E84" w:rsidP="003B4E84">
      <w:pPr>
        <w:spacing w:after="86" w:line="259" w:lineRule="auto"/>
        <w:ind w:left="240" w:right="0" w:firstLine="0"/>
        <w:jc w:val="left"/>
      </w:pPr>
      <w:r>
        <w:rPr>
          <w:b/>
          <w:sz w:val="18"/>
        </w:rPr>
        <w:t xml:space="preserve"> </w:t>
      </w:r>
    </w:p>
    <w:p w14:paraId="31FC4B82" w14:textId="77777777" w:rsidR="003B4E84" w:rsidRDefault="003B4E84" w:rsidP="003B4E84">
      <w:pPr>
        <w:spacing w:after="89" w:line="259" w:lineRule="auto"/>
        <w:ind w:left="240" w:right="0" w:firstLine="0"/>
        <w:jc w:val="left"/>
      </w:pPr>
      <w:r>
        <w:rPr>
          <w:b/>
          <w:sz w:val="18"/>
        </w:rPr>
        <w:t xml:space="preserve"> </w:t>
      </w:r>
    </w:p>
    <w:p w14:paraId="36E98947" w14:textId="77777777" w:rsidR="003B4E84" w:rsidRDefault="003B4E84" w:rsidP="003B4E84">
      <w:pPr>
        <w:spacing w:after="86" w:line="259" w:lineRule="auto"/>
        <w:ind w:left="240" w:right="0" w:firstLine="0"/>
        <w:jc w:val="left"/>
      </w:pPr>
      <w:r>
        <w:rPr>
          <w:b/>
          <w:sz w:val="18"/>
        </w:rPr>
        <w:t xml:space="preserve"> </w:t>
      </w:r>
    </w:p>
    <w:p w14:paraId="51038936" w14:textId="77777777" w:rsidR="003B4E84" w:rsidRDefault="003B4E84"/>
    <w:p w14:paraId="48898D37" w14:textId="77777777" w:rsidR="003B4E84" w:rsidRDefault="003B4E84"/>
    <w:p w14:paraId="48E2283E" w14:textId="77777777" w:rsidR="003B4E84" w:rsidRDefault="003B4E84"/>
    <w:p w14:paraId="4626CB7B" w14:textId="77777777" w:rsidR="003B4E84" w:rsidRDefault="003B4E84"/>
    <w:p w14:paraId="47D5CD9A" w14:textId="77777777" w:rsidR="003B4E84" w:rsidRDefault="003B4E84"/>
    <w:p w14:paraId="7DE22718" w14:textId="77777777" w:rsidR="003B4E84" w:rsidRDefault="003B4E84"/>
    <w:p w14:paraId="5B375434" w14:textId="77777777" w:rsidR="003B4E84" w:rsidRDefault="003B4E84" w:rsidP="003B4E84">
      <w:pPr>
        <w:spacing w:after="0" w:line="259" w:lineRule="auto"/>
        <w:ind w:right="0"/>
        <w:jc w:val="left"/>
      </w:pPr>
    </w:p>
    <w:p w14:paraId="74A62A73" w14:textId="77777777" w:rsidR="003B4E84" w:rsidRDefault="003B4E84" w:rsidP="003B4E84">
      <w:pPr>
        <w:spacing w:after="0" w:line="259" w:lineRule="auto"/>
        <w:ind w:left="118" w:right="0" w:firstLine="0"/>
        <w:jc w:val="left"/>
      </w:pPr>
      <w:r>
        <w:rPr>
          <w:rFonts w:ascii="Calibri" w:eastAsia="Calibri" w:hAnsi="Calibri" w:cs="Calibri"/>
          <w:noProof/>
        </w:rPr>
        <mc:AlternateContent>
          <mc:Choice Requires="wpg">
            <w:drawing>
              <wp:inline distT="0" distB="0" distL="0" distR="0" wp14:anchorId="076C9D71" wp14:editId="6CE0A1DC">
                <wp:extent cx="5572634" cy="6096"/>
                <wp:effectExtent l="0" t="0" r="0" b="0"/>
                <wp:docPr id="38322" name="Group 38322"/>
                <wp:cNvGraphicFramePr/>
                <a:graphic xmlns:a="http://schemas.openxmlformats.org/drawingml/2006/main">
                  <a:graphicData uri="http://schemas.microsoft.com/office/word/2010/wordprocessingGroup">
                    <wpg:wgp>
                      <wpg:cNvGrpSpPr/>
                      <wpg:grpSpPr>
                        <a:xfrm>
                          <a:off x="0" y="0"/>
                          <a:ext cx="5572634" cy="6096"/>
                          <a:chOff x="0" y="0"/>
                          <a:chExt cx="5572634" cy="6096"/>
                        </a:xfrm>
                      </wpg:grpSpPr>
                      <wps:wsp>
                        <wps:cNvPr id="45939" name="Shape 45939"/>
                        <wps:cNvSpPr/>
                        <wps:spPr>
                          <a:xfrm>
                            <a:off x="0" y="0"/>
                            <a:ext cx="5572634" cy="9144"/>
                          </a:xfrm>
                          <a:custGeom>
                            <a:avLst/>
                            <a:gdLst/>
                            <a:ahLst/>
                            <a:cxnLst/>
                            <a:rect l="0" t="0" r="0" b="0"/>
                            <a:pathLst>
                              <a:path w="5572634" h="9144">
                                <a:moveTo>
                                  <a:pt x="0" y="0"/>
                                </a:moveTo>
                                <a:lnTo>
                                  <a:pt x="5572634" y="0"/>
                                </a:lnTo>
                                <a:lnTo>
                                  <a:pt x="5572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9A4CD1" id="Group 38322" o:spid="_x0000_s1026" style="width:438.8pt;height:.5pt;mso-position-horizontal-relative:char;mso-position-vertical-relative:line" coordsize="557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">
                <v:shape id="Shape 45939" o:spid="_x0000_s1027" style="position:absolute;width:55726;height:91;visibility:visible;mso-wrap-style:square;v-text-anchor:top" coordsize="5572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" path="m,l5572634,r,9144l,9144,,e" fillcolor="black" stroked="f" strokeweight="0">
                  <v:stroke miterlimit="83231f" joinstyle="miter"/>
                  <v:path arrowok="t" textboxrect="0,0,5572634,9144"/>
                </v:shape>
                <w10:anchorlock/>
              </v:group>
            </w:pict>
          </mc:Fallback>
        </mc:AlternateContent>
      </w:r>
    </w:p>
    <w:p w14:paraId="25B77CA2" w14:textId="77777777" w:rsidR="003B4E84" w:rsidRDefault="003B4E84" w:rsidP="003B4E84">
      <w:pPr>
        <w:spacing w:after="86" w:line="259" w:lineRule="auto"/>
        <w:ind w:left="240" w:right="0" w:firstLine="0"/>
        <w:jc w:val="left"/>
      </w:pPr>
      <w:r>
        <w:rPr>
          <w:b/>
          <w:sz w:val="18"/>
        </w:rPr>
        <w:t xml:space="preserve"> </w:t>
      </w:r>
    </w:p>
    <w:p w14:paraId="0B351A43" w14:textId="77777777" w:rsidR="003B4E84" w:rsidRDefault="003B4E84" w:rsidP="003B4E84">
      <w:pPr>
        <w:spacing w:after="29" w:line="259" w:lineRule="auto"/>
        <w:ind w:left="235" w:right="3056"/>
        <w:jc w:val="left"/>
      </w:pPr>
      <w:r>
        <w:rPr>
          <w:b/>
          <w:sz w:val="18"/>
        </w:rPr>
        <w:t>Table 4.</w:t>
      </w:r>
      <w:r>
        <w:rPr>
          <w:sz w:val="18"/>
        </w:rPr>
        <w:t xml:space="preserve"> Frequencies, medians and interquartile ranges for each statement.</w:t>
      </w:r>
      <w:r>
        <w:rPr>
          <w:b/>
          <w:sz w:val="18"/>
        </w:rPr>
        <w:t xml:space="preserve"> </w:t>
      </w:r>
    </w:p>
    <w:tbl>
      <w:tblPr>
        <w:tblStyle w:val="TableGrid"/>
        <w:tblW w:w="8878" w:type="dxa"/>
        <w:tblInd w:w="118" w:type="dxa"/>
        <w:tblCellMar>
          <w:top w:w="10" w:type="dxa"/>
          <w:bottom w:w="54" w:type="dxa"/>
          <w:right w:w="41" w:type="dxa"/>
        </w:tblCellMar>
        <w:tblLook w:val="04A0" w:firstRow="1" w:lastRow="0" w:firstColumn="1" w:lastColumn="0" w:noHBand="0" w:noVBand="1"/>
      </w:tblPr>
      <w:tblGrid>
        <w:gridCol w:w="2859"/>
        <w:gridCol w:w="971"/>
        <w:gridCol w:w="83"/>
        <w:gridCol w:w="1008"/>
        <w:gridCol w:w="1000"/>
        <w:gridCol w:w="1048"/>
        <w:gridCol w:w="1121"/>
        <w:gridCol w:w="788"/>
      </w:tblGrid>
      <w:tr w:rsidR="003B4E84" w14:paraId="302BEEB5" w14:textId="77777777" w:rsidTr="00804DEB">
        <w:trPr>
          <w:trHeight w:val="705"/>
        </w:trPr>
        <w:tc>
          <w:tcPr>
            <w:tcW w:w="2859" w:type="dxa"/>
            <w:tcBorders>
              <w:top w:val="single" w:sz="4" w:space="0" w:color="000000"/>
              <w:left w:val="nil"/>
              <w:bottom w:val="single" w:sz="4" w:space="0" w:color="000000"/>
              <w:right w:val="nil"/>
            </w:tcBorders>
            <w:vAlign w:val="center"/>
          </w:tcPr>
          <w:p w14:paraId="0F3D33CA" w14:textId="77777777" w:rsidR="003B4E84" w:rsidRDefault="003B4E84" w:rsidP="00473E8B">
            <w:pPr>
              <w:spacing w:after="0" w:line="259" w:lineRule="auto"/>
              <w:ind w:left="122" w:right="0" w:firstLine="0"/>
              <w:jc w:val="left"/>
            </w:pPr>
            <w:r>
              <w:rPr>
                <w:sz w:val="18"/>
              </w:rPr>
              <w:t xml:space="preserve"> </w:t>
            </w:r>
          </w:p>
        </w:tc>
        <w:tc>
          <w:tcPr>
            <w:tcW w:w="1054" w:type="dxa"/>
            <w:gridSpan w:val="2"/>
            <w:tcBorders>
              <w:top w:val="single" w:sz="4" w:space="0" w:color="000000"/>
              <w:left w:val="nil"/>
              <w:bottom w:val="single" w:sz="4" w:space="0" w:color="000000"/>
              <w:right w:val="nil"/>
            </w:tcBorders>
          </w:tcPr>
          <w:p w14:paraId="39F88FBE" w14:textId="77777777" w:rsidR="003B4E84" w:rsidRDefault="003B4E84" w:rsidP="00473E8B">
            <w:pPr>
              <w:spacing w:after="88" w:line="259" w:lineRule="auto"/>
              <w:ind w:left="29" w:right="0" w:firstLine="0"/>
              <w:jc w:val="left"/>
            </w:pPr>
            <w:r>
              <w:rPr>
                <w:sz w:val="18"/>
              </w:rPr>
              <w:t xml:space="preserve">Strongly </w:t>
            </w:r>
          </w:p>
          <w:p w14:paraId="0FAF512E" w14:textId="77777777" w:rsidR="003B4E84" w:rsidRDefault="003B4E84" w:rsidP="00473E8B">
            <w:pPr>
              <w:spacing w:after="0" w:line="259" w:lineRule="auto"/>
              <w:ind w:left="120" w:right="0" w:firstLine="0"/>
              <w:jc w:val="left"/>
            </w:pPr>
            <w:r>
              <w:rPr>
                <w:sz w:val="18"/>
              </w:rPr>
              <w:t xml:space="preserve">Agree </w:t>
            </w:r>
          </w:p>
        </w:tc>
        <w:tc>
          <w:tcPr>
            <w:tcW w:w="1008" w:type="dxa"/>
            <w:tcBorders>
              <w:top w:val="single" w:sz="4" w:space="0" w:color="000000"/>
              <w:left w:val="nil"/>
              <w:bottom w:val="single" w:sz="4" w:space="0" w:color="000000"/>
              <w:right w:val="nil"/>
            </w:tcBorders>
            <w:vAlign w:val="center"/>
          </w:tcPr>
          <w:p w14:paraId="53CA0D6E" w14:textId="77777777" w:rsidR="003B4E84" w:rsidRDefault="003B4E84" w:rsidP="00473E8B">
            <w:pPr>
              <w:spacing w:after="0" w:line="259" w:lineRule="auto"/>
              <w:ind w:left="120" w:right="0" w:firstLine="0"/>
              <w:jc w:val="left"/>
            </w:pPr>
            <w:r>
              <w:rPr>
                <w:sz w:val="18"/>
              </w:rPr>
              <w:t xml:space="preserve">Agree </w:t>
            </w:r>
          </w:p>
        </w:tc>
        <w:tc>
          <w:tcPr>
            <w:tcW w:w="1000" w:type="dxa"/>
            <w:tcBorders>
              <w:top w:val="single" w:sz="4" w:space="0" w:color="000000"/>
              <w:left w:val="nil"/>
              <w:bottom w:val="single" w:sz="4" w:space="0" w:color="000000"/>
              <w:right w:val="nil"/>
            </w:tcBorders>
            <w:vAlign w:val="center"/>
          </w:tcPr>
          <w:p w14:paraId="097205E3" w14:textId="77777777" w:rsidR="003B4E84" w:rsidRDefault="003B4E84" w:rsidP="00473E8B">
            <w:pPr>
              <w:spacing w:after="0" w:line="259" w:lineRule="auto"/>
              <w:ind w:left="84" w:right="0" w:firstLine="0"/>
              <w:jc w:val="left"/>
            </w:pPr>
            <w:r>
              <w:rPr>
                <w:sz w:val="18"/>
              </w:rPr>
              <w:t xml:space="preserve">Neutral </w:t>
            </w:r>
          </w:p>
        </w:tc>
        <w:tc>
          <w:tcPr>
            <w:tcW w:w="1048" w:type="dxa"/>
            <w:tcBorders>
              <w:top w:val="single" w:sz="4" w:space="0" w:color="000000"/>
              <w:left w:val="nil"/>
              <w:bottom w:val="single" w:sz="4" w:space="0" w:color="000000"/>
              <w:right w:val="nil"/>
            </w:tcBorders>
            <w:vAlign w:val="center"/>
          </w:tcPr>
          <w:p w14:paraId="76588F88" w14:textId="77777777" w:rsidR="003B4E84" w:rsidRDefault="003B4E84" w:rsidP="00473E8B">
            <w:pPr>
              <w:spacing w:after="0" w:line="259" w:lineRule="auto"/>
              <w:ind w:left="0" w:right="0" w:firstLine="0"/>
              <w:jc w:val="left"/>
            </w:pPr>
            <w:r>
              <w:rPr>
                <w:sz w:val="18"/>
              </w:rPr>
              <w:t xml:space="preserve">Disagree </w:t>
            </w:r>
          </w:p>
        </w:tc>
        <w:tc>
          <w:tcPr>
            <w:tcW w:w="1121" w:type="dxa"/>
            <w:tcBorders>
              <w:top w:val="single" w:sz="4" w:space="0" w:color="000000"/>
              <w:left w:val="nil"/>
              <w:bottom w:val="single" w:sz="4" w:space="0" w:color="000000"/>
              <w:right w:val="nil"/>
            </w:tcBorders>
          </w:tcPr>
          <w:p w14:paraId="3E874BD8" w14:textId="77777777" w:rsidR="003B4E84" w:rsidRDefault="003B4E84" w:rsidP="00473E8B">
            <w:pPr>
              <w:spacing w:after="0" w:line="259" w:lineRule="auto"/>
              <w:ind w:left="0" w:right="0" w:firstLine="29"/>
              <w:jc w:val="left"/>
            </w:pPr>
            <w:r>
              <w:rPr>
                <w:sz w:val="18"/>
              </w:rPr>
              <w:t xml:space="preserve">Strongly Disagree </w:t>
            </w:r>
          </w:p>
        </w:tc>
        <w:tc>
          <w:tcPr>
            <w:tcW w:w="788" w:type="dxa"/>
            <w:tcBorders>
              <w:top w:val="single" w:sz="4" w:space="0" w:color="000000"/>
              <w:left w:val="nil"/>
              <w:bottom w:val="single" w:sz="4" w:space="0" w:color="000000"/>
              <w:right w:val="nil"/>
            </w:tcBorders>
          </w:tcPr>
          <w:p w14:paraId="6775659F" w14:textId="77777777" w:rsidR="003B4E84" w:rsidRDefault="003B4E84" w:rsidP="00473E8B">
            <w:pPr>
              <w:spacing w:after="88" w:line="259" w:lineRule="auto"/>
              <w:ind w:left="0" w:right="0" w:firstLine="0"/>
              <w:jc w:val="left"/>
            </w:pPr>
            <w:r>
              <w:rPr>
                <w:sz w:val="18"/>
              </w:rPr>
              <w:t xml:space="preserve">Median </w:t>
            </w:r>
          </w:p>
          <w:p w14:paraId="1DC881E5" w14:textId="77777777" w:rsidR="003B4E84" w:rsidRDefault="003B4E84" w:rsidP="00473E8B">
            <w:pPr>
              <w:spacing w:after="0" w:line="259" w:lineRule="auto"/>
              <w:ind w:left="77" w:right="0" w:firstLine="0"/>
              <w:jc w:val="left"/>
            </w:pPr>
            <w:r>
              <w:rPr>
                <w:sz w:val="18"/>
              </w:rPr>
              <w:t xml:space="preserve">(IQR) </w:t>
            </w:r>
          </w:p>
        </w:tc>
      </w:tr>
      <w:tr w:rsidR="003B4E84" w14:paraId="78A329C9" w14:textId="77777777" w:rsidTr="00804DEB">
        <w:trPr>
          <w:trHeight w:val="351"/>
        </w:trPr>
        <w:tc>
          <w:tcPr>
            <w:tcW w:w="2859" w:type="dxa"/>
            <w:tcBorders>
              <w:top w:val="single" w:sz="4" w:space="0" w:color="000000"/>
              <w:left w:val="nil"/>
              <w:bottom w:val="single" w:sz="4" w:space="0" w:color="000000"/>
              <w:right w:val="nil"/>
            </w:tcBorders>
          </w:tcPr>
          <w:p w14:paraId="2071584B" w14:textId="77777777" w:rsidR="003B4E84" w:rsidRDefault="003B4E84" w:rsidP="00473E8B">
            <w:pPr>
              <w:spacing w:after="160" w:line="259" w:lineRule="auto"/>
              <w:ind w:left="0" w:right="0" w:firstLine="0"/>
              <w:jc w:val="left"/>
            </w:pPr>
          </w:p>
        </w:tc>
        <w:tc>
          <w:tcPr>
            <w:tcW w:w="1054" w:type="dxa"/>
            <w:gridSpan w:val="2"/>
            <w:tcBorders>
              <w:top w:val="single" w:sz="4" w:space="0" w:color="000000"/>
              <w:left w:val="nil"/>
              <w:bottom w:val="single" w:sz="4" w:space="0" w:color="000000"/>
              <w:right w:val="nil"/>
            </w:tcBorders>
          </w:tcPr>
          <w:p w14:paraId="3754F41D" w14:textId="77777777" w:rsidR="003B4E84" w:rsidRDefault="003B4E84" w:rsidP="00473E8B">
            <w:pPr>
              <w:spacing w:after="160" w:line="259" w:lineRule="auto"/>
              <w:ind w:left="0" w:right="0" w:firstLine="0"/>
              <w:jc w:val="left"/>
            </w:pPr>
          </w:p>
        </w:tc>
        <w:tc>
          <w:tcPr>
            <w:tcW w:w="1008" w:type="dxa"/>
            <w:tcBorders>
              <w:top w:val="single" w:sz="4" w:space="0" w:color="000000"/>
              <w:left w:val="nil"/>
              <w:bottom w:val="single" w:sz="4" w:space="0" w:color="000000"/>
              <w:right w:val="nil"/>
            </w:tcBorders>
          </w:tcPr>
          <w:p w14:paraId="5125BF38" w14:textId="77777777" w:rsidR="003B4E84" w:rsidRDefault="003B4E84" w:rsidP="00473E8B">
            <w:pPr>
              <w:spacing w:after="0" w:line="259" w:lineRule="auto"/>
              <w:ind w:left="194" w:right="0" w:firstLine="0"/>
              <w:jc w:val="left"/>
            </w:pPr>
            <w:r>
              <w:rPr>
                <w:sz w:val="18"/>
              </w:rPr>
              <w:t xml:space="preserve">N (%) </w:t>
            </w:r>
          </w:p>
        </w:tc>
        <w:tc>
          <w:tcPr>
            <w:tcW w:w="1000" w:type="dxa"/>
            <w:tcBorders>
              <w:top w:val="single" w:sz="4" w:space="0" w:color="000000"/>
              <w:left w:val="nil"/>
              <w:bottom w:val="single" w:sz="4" w:space="0" w:color="000000"/>
              <w:right w:val="nil"/>
            </w:tcBorders>
          </w:tcPr>
          <w:p w14:paraId="3025BA83" w14:textId="77777777" w:rsidR="003B4E84" w:rsidRDefault="003B4E84" w:rsidP="00473E8B">
            <w:pPr>
              <w:spacing w:after="160" w:line="259" w:lineRule="auto"/>
              <w:ind w:left="0" w:right="0" w:firstLine="0"/>
              <w:jc w:val="left"/>
            </w:pPr>
          </w:p>
        </w:tc>
        <w:tc>
          <w:tcPr>
            <w:tcW w:w="1048" w:type="dxa"/>
            <w:tcBorders>
              <w:top w:val="single" w:sz="4" w:space="0" w:color="000000"/>
              <w:left w:val="nil"/>
              <w:bottom w:val="single" w:sz="4" w:space="0" w:color="000000"/>
              <w:right w:val="nil"/>
            </w:tcBorders>
          </w:tcPr>
          <w:p w14:paraId="3270EE09" w14:textId="77777777" w:rsidR="003B4E84" w:rsidRDefault="003B4E84" w:rsidP="00473E8B">
            <w:pPr>
              <w:spacing w:after="160" w:line="259" w:lineRule="auto"/>
              <w:ind w:left="0" w:right="0" w:firstLine="0"/>
              <w:jc w:val="left"/>
            </w:pPr>
          </w:p>
        </w:tc>
        <w:tc>
          <w:tcPr>
            <w:tcW w:w="1121" w:type="dxa"/>
            <w:tcBorders>
              <w:top w:val="single" w:sz="4" w:space="0" w:color="000000"/>
              <w:left w:val="nil"/>
              <w:bottom w:val="single" w:sz="4" w:space="0" w:color="000000"/>
              <w:right w:val="nil"/>
            </w:tcBorders>
          </w:tcPr>
          <w:p w14:paraId="31689CD2" w14:textId="77777777" w:rsidR="003B4E84" w:rsidRDefault="003B4E84" w:rsidP="00473E8B">
            <w:pPr>
              <w:spacing w:after="160" w:line="259" w:lineRule="auto"/>
              <w:ind w:left="0" w:right="0" w:firstLine="0"/>
              <w:jc w:val="left"/>
            </w:pPr>
          </w:p>
        </w:tc>
        <w:tc>
          <w:tcPr>
            <w:tcW w:w="788" w:type="dxa"/>
            <w:tcBorders>
              <w:top w:val="single" w:sz="4" w:space="0" w:color="000000"/>
              <w:left w:val="nil"/>
              <w:bottom w:val="single" w:sz="4" w:space="0" w:color="000000"/>
              <w:right w:val="nil"/>
            </w:tcBorders>
          </w:tcPr>
          <w:p w14:paraId="1554FE0E" w14:textId="77777777" w:rsidR="003B4E84" w:rsidRDefault="003B4E84" w:rsidP="00473E8B">
            <w:pPr>
              <w:spacing w:after="160" w:line="259" w:lineRule="auto"/>
              <w:ind w:left="0" w:right="0" w:firstLine="0"/>
              <w:jc w:val="left"/>
            </w:pPr>
          </w:p>
        </w:tc>
      </w:tr>
      <w:tr w:rsidR="003B4E84" w14:paraId="48D13650" w14:textId="77777777" w:rsidTr="00804DEB">
        <w:trPr>
          <w:trHeight w:val="1951"/>
        </w:trPr>
        <w:tc>
          <w:tcPr>
            <w:tcW w:w="2859" w:type="dxa"/>
            <w:tcBorders>
              <w:top w:val="single" w:sz="4" w:space="0" w:color="000000"/>
              <w:left w:val="nil"/>
              <w:bottom w:val="nil"/>
              <w:right w:val="nil"/>
            </w:tcBorders>
          </w:tcPr>
          <w:p w14:paraId="268707E5" w14:textId="77777777" w:rsidR="003B4E84" w:rsidRDefault="003B4E84" w:rsidP="00473E8B">
            <w:pPr>
              <w:spacing w:after="0" w:line="259" w:lineRule="auto"/>
              <w:ind w:left="122" w:right="97" w:firstLine="0"/>
              <w:jc w:val="left"/>
            </w:pPr>
            <w:r>
              <w:rPr>
                <w:sz w:val="18"/>
              </w:rPr>
              <w:t xml:space="preserve">It is important to understand a women’s level of health literacy to be able to support her in relation to her sexual and reproductive health during pregnancy and following childbirth. </w:t>
            </w:r>
          </w:p>
        </w:tc>
        <w:tc>
          <w:tcPr>
            <w:tcW w:w="1054" w:type="dxa"/>
            <w:gridSpan w:val="2"/>
            <w:tcBorders>
              <w:top w:val="single" w:sz="4" w:space="0" w:color="000000"/>
              <w:left w:val="nil"/>
              <w:bottom w:val="nil"/>
              <w:right w:val="nil"/>
            </w:tcBorders>
            <w:vAlign w:val="center"/>
          </w:tcPr>
          <w:p w14:paraId="2546AA0B" w14:textId="77777777" w:rsidR="003B4E84" w:rsidRDefault="003B4E84" w:rsidP="00473E8B">
            <w:pPr>
              <w:spacing w:after="0" w:line="259" w:lineRule="auto"/>
              <w:ind w:left="0" w:right="0" w:firstLine="0"/>
              <w:jc w:val="left"/>
            </w:pPr>
            <w:r>
              <w:rPr>
                <w:sz w:val="18"/>
              </w:rPr>
              <w:t xml:space="preserve">82 (59.4) </w:t>
            </w:r>
          </w:p>
        </w:tc>
        <w:tc>
          <w:tcPr>
            <w:tcW w:w="1008" w:type="dxa"/>
            <w:tcBorders>
              <w:top w:val="single" w:sz="4" w:space="0" w:color="000000"/>
              <w:left w:val="nil"/>
              <w:bottom w:val="nil"/>
              <w:right w:val="nil"/>
            </w:tcBorders>
            <w:vAlign w:val="center"/>
          </w:tcPr>
          <w:p w14:paraId="22F63746" w14:textId="77777777" w:rsidR="003B4E84" w:rsidRDefault="003B4E84" w:rsidP="00473E8B">
            <w:pPr>
              <w:spacing w:after="0" w:line="259" w:lineRule="auto"/>
              <w:ind w:left="0" w:right="0" w:firstLine="0"/>
              <w:jc w:val="left"/>
            </w:pPr>
            <w:r>
              <w:rPr>
                <w:sz w:val="18"/>
              </w:rPr>
              <w:t xml:space="preserve">52 (37.7) </w:t>
            </w:r>
          </w:p>
        </w:tc>
        <w:tc>
          <w:tcPr>
            <w:tcW w:w="1000" w:type="dxa"/>
            <w:tcBorders>
              <w:top w:val="single" w:sz="4" w:space="0" w:color="000000"/>
              <w:left w:val="nil"/>
              <w:bottom w:val="nil"/>
              <w:right w:val="nil"/>
            </w:tcBorders>
            <w:vAlign w:val="center"/>
          </w:tcPr>
          <w:p w14:paraId="5AB332A6" w14:textId="77777777" w:rsidR="003B4E84" w:rsidRDefault="003B4E84" w:rsidP="00473E8B">
            <w:pPr>
              <w:spacing w:after="0" w:line="259" w:lineRule="auto"/>
              <w:ind w:left="115" w:right="0" w:firstLine="0"/>
              <w:jc w:val="left"/>
            </w:pPr>
            <w:r>
              <w:rPr>
                <w:sz w:val="18"/>
              </w:rPr>
              <w:t xml:space="preserve">3 (2.2) </w:t>
            </w:r>
          </w:p>
        </w:tc>
        <w:tc>
          <w:tcPr>
            <w:tcW w:w="1048" w:type="dxa"/>
            <w:tcBorders>
              <w:top w:val="single" w:sz="4" w:space="0" w:color="000000"/>
              <w:left w:val="nil"/>
              <w:bottom w:val="nil"/>
              <w:right w:val="nil"/>
            </w:tcBorders>
            <w:vAlign w:val="center"/>
          </w:tcPr>
          <w:p w14:paraId="27AAE951" w14:textId="77777777" w:rsidR="003B4E84" w:rsidRDefault="003B4E84" w:rsidP="00473E8B">
            <w:pPr>
              <w:spacing w:after="0" w:line="259" w:lineRule="auto"/>
              <w:ind w:left="98" w:right="0" w:firstLine="0"/>
              <w:jc w:val="left"/>
            </w:pPr>
            <w:r>
              <w:rPr>
                <w:sz w:val="18"/>
              </w:rPr>
              <w:t xml:space="preserve">1 (0.7) </w:t>
            </w:r>
          </w:p>
        </w:tc>
        <w:tc>
          <w:tcPr>
            <w:tcW w:w="1121" w:type="dxa"/>
            <w:tcBorders>
              <w:top w:val="single" w:sz="4" w:space="0" w:color="000000"/>
              <w:left w:val="nil"/>
              <w:bottom w:val="nil"/>
              <w:right w:val="nil"/>
            </w:tcBorders>
            <w:vAlign w:val="center"/>
          </w:tcPr>
          <w:p w14:paraId="62C58830" w14:textId="77777777" w:rsidR="003B4E84" w:rsidRDefault="003B4E84" w:rsidP="00473E8B">
            <w:pPr>
              <w:spacing w:after="0" w:line="259" w:lineRule="auto"/>
              <w:ind w:left="310" w:right="0" w:firstLine="0"/>
              <w:jc w:val="left"/>
            </w:pPr>
            <w:r>
              <w:rPr>
                <w:sz w:val="18"/>
              </w:rPr>
              <w:t xml:space="preserve">0 </w:t>
            </w:r>
          </w:p>
        </w:tc>
        <w:tc>
          <w:tcPr>
            <w:tcW w:w="788" w:type="dxa"/>
            <w:tcBorders>
              <w:top w:val="single" w:sz="4" w:space="0" w:color="000000"/>
              <w:left w:val="nil"/>
              <w:bottom w:val="nil"/>
              <w:right w:val="nil"/>
            </w:tcBorders>
            <w:vAlign w:val="center"/>
          </w:tcPr>
          <w:p w14:paraId="4F068961" w14:textId="77777777" w:rsidR="003B4E84" w:rsidRDefault="003B4E84" w:rsidP="00473E8B">
            <w:pPr>
              <w:spacing w:after="0" w:line="259" w:lineRule="auto"/>
              <w:ind w:left="110" w:right="0" w:firstLine="0"/>
              <w:jc w:val="left"/>
            </w:pPr>
            <w:r>
              <w:rPr>
                <w:sz w:val="18"/>
              </w:rPr>
              <w:t xml:space="preserve">5 (1) </w:t>
            </w:r>
          </w:p>
        </w:tc>
      </w:tr>
      <w:tr w:rsidR="003B4E84" w14:paraId="234F4676" w14:textId="77777777" w:rsidTr="00804DEB">
        <w:trPr>
          <w:trHeight w:val="2274"/>
        </w:trPr>
        <w:tc>
          <w:tcPr>
            <w:tcW w:w="2859" w:type="dxa"/>
            <w:tcBorders>
              <w:top w:val="nil"/>
              <w:left w:val="nil"/>
              <w:bottom w:val="nil"/>
              <w:right w:val="nil"/>
            </w:tcBorders>
          </w:tcPr>
          <w:p w14:paraId="1D1D805E" w14:textId="77777777" w:rsidR="003B4E84" w:rsidRDefault="003B4E84" w:rsidP="00473E8B">
            <w:pPr>
              <w:spacing w:after="0" w:line="259" w:lineRule="auto"/>
              <w:ind w:left="122" w:right="143" w:firstLine="0"/>
              <w:jc w:val="left"/>
            </w:pPr>
            <w:r>
              <w:rPr>
                <w:sz w:val="18"/>
              </w:rPr>
              <w:t xml:space="preserve">Having access to sexual and reproductive health information provides women with opportunities to increase their knowledge of sexual and reproductive health issues during pregnancy and following childbirth. </w:t>
            </w:r>
          </w:p>
        </w:tc>
        <w:tc>
          <w:tcPr>
            <w:tcW w:w="1054" w:type="dxa"/>
            <w:gridSpan w:val="2"/>
            <w:tcBorders>
              <w:top w:val="nil"/>
              <w:left w:val="nil"/>
              <w:bottom w:val="nil"/>
              <w:right w:val="nil"/>
            </w:tcBorders>
            <w:vAlign w:val="center"/>
          </w:tcPr>
          <w:p w14:paraId="0FD25FCE" w14:textId="77777777" w:rsidR="003B4E84" w:rsidRDefault="003B4E84" w:rsidP="00473E8B">
            <w:pPr>
              <w:spacing w:after="0" w:line="259" w:lineRule="auto"/>
              <w:ind w:left="74" w:right="0" w:firstLine="0"/>
              <w:jc w:val="left"/>
            </w:pPr>
            <w:r>
              <w:rPr>
                <w:sz w:val="18"/>
              </w:rPr>
              <w:t xml:space="preserve">80 (58) </w:t>
            </w:r>
          </w:p>
        </w:tc>
        <w:tc>
          <w:tcPr>
            <w:tcW w:w="1008" w:type="dxa"/>
            <w:tcBorders>
              <w:top w:val="nil"/>
              <w:left w:val="nil"/>
              <w:bottom w:val="nil"/>
              <w:right w:val="nil"/>
            </w:tcBorders>
            <w:vAlign w:val="center"/>
          </w:tcPr>
          <w:p w14:paraId="14B22A85" w14:textId="77777777" w:rsidR="003B4E84" w:rsidRDefault="003B4E84" w:rsidP="00473E8B">
            <w:pPr>
              <w:spacing w:after="0" w:line="259" w:lineRule="auto"/>
              <w:ind w:left="0" w:right="0" w:firstLine="0"/>
              <w:jc w:val="left"/>
            </w:pPr>
            <w:r>
              <w:rPr>
                <w:sz w:val="18"/>
              </w:rPr>
              <w:t xml:space="preserve">53 (38.4) </w:t>
            </w:r>
          </w:p>
        </w:tc>
        <w:tc>
          <w:tcPr>
            <w:tcW w:w="1000" w:type="dxa"/>
            <w:tcBorders>
              <w:top w:val="nil"/>
              <w:left w:val="nil"/>
              <w:bottom w:val="nil"/>
              <w:right w:val="nil"/>
            </w:tcBorders>
            <w:vAlign w:val="center"/>
          </w:tcPr>
          <w:p w14:paraId="1215EB23" w14:textId="77777777" w:rsidR="003B4E84" w:rsidRDefault="003B4E84" w:rsidP="00473E8B">
            <w:pPr>
              <w:spacing w:after="0" w:line="259" w:lineRule="auto"/>
              <w:ind w:left="115" w:right="0" w:firstLine="0"/>
              <w:jc w:val="left"/>
            </w:pPr>
            <w:r>
              <w:rPr>
                <w:sz w:val="18"/>
              </w:rPr>
              <w:t xml:space="preserve">3 (2.2) </w:t>
            </w:r>
          </w:p>
        </w:tc>
        <w:tc>
          <w:tcPr>
            <w:tcW w:w="1048" w:type="dxa"/>
            <w:tcBorders>
              <w:top w:val="nil"/>
              <w:left w:val="nil"/>
              <w:bottom w:val="nil"/>
              <w:right w:val="nil"/>
            </w:tcBorders>
            <w:vAlign w:val="center"/>
          </w:tcPr>
          <w:p w14:paraId="6DEA67BE" w14:textId="77777777" w:rsidR="003B4E84" w:rsidRDefault="003B4E84" w:rsidP="00473E8B">
            <w:pPr>
              <w:spacing w:after="0" w:line="259" w:lineRule="auto"/>
              <w:ind w:left="98" w:right="0" w:firstLine="0"/>
              <w:jc w:val="left"/>
            </w:pPr>
            <w:r>
              <w:rPr>
                <w:sz w:val="18"/>
              </w:rPr>
              <w:t xml:space="preserve">2 (1.4) </w:t>
            </w:r>
          </w:p>
        </w:tc>
        <w:tc>
          <w:tcPr>
            <w:tcW w:w="1121" w:type="dxa"/>
            <w:tcBorders>
              <w:top w:val="nil"/>
              <w:left w:val="nil"/>
              <w:bottom w:val="nil"/>
              <w:right w:val="nil"/>
            </w:tcBorders>
            <w:vAlign w:val="center"/>
          </w:tcPr>
          <w:p w14:paraId="549ACF8B" w14:textId="77777777" w:rsidR="003B4E84" w:rsidRDefault="003B4E84" w:rsidP="00473E8B">
            <w:pPr>
              <w:spacing w:after="0" w:line="259" w:lineRule="auto"/>
              <w:ind w:left="310" w:right="0" w:firstLine="0"/>
              <w:jc w:val="left"/>
            </w:pPr>
            <w:r>
              <w:rPr>
                <w:sz w:val="18"/>
              </w:rPr>
              <w:t xml:space="preserve">0 </w:t>
            </w:r>
          </w:p>
        </w:tc>
        <w:tc>
          <w:tcPr>
            <w:tcW w:w="788" w:type="dxa"/>
            <w:tcBorders>
              <w:top w:val="nil"/>
              <w:left w:val="nil"/>
              <w:bottom w:val="nil"/>
              <w:right w:val="nil"/>
            </w:tcBorders>
            <w:vAlign w:val="center"/>
          </w:tcPr>
          <w:p w14:paraId="5218FA83" w14:textId="77777777" w:rsidR="003B4E84" w:rsidRDefault="003B4E84" w:rsidP="00473E8B">
            <w:pPr>
              <w:spacing w:after="0" w:line="259" w:lineRule="auto"/>
              <w:ind w:left="110" w:right="0" w:firstLine="0"/>
              <w:jc w:val="left"/>
            </w:pPr>
            <w:r>
              <w:rPr>
                <w:sz w:val="18"/>
              </w:rPr>
              <w:t xml:space="preserve">5 (1) </w:t>
            </w:r>
          </w:p>
        </w:tc>
      </w:tr>
      <w:tr w:rsidR="00804DEB" w14:paraId="765EA2C6" w14:textId="77777777" w:rsidTr="00804DEB">
        <w:trPr>
          <w:trHeight w:val="2376"/>
        </w:trPr>
        <w:tc>
          <w:tcPr>
            <w:tcW w:w="2859" w:type="dxa"/>
            <w:tcBorders>
              <w:top w:val="nil"/>
              <w:left w:val="nil"/>
              <w:bottom w:val="nil"/>
              <w:right w:val="nil"/>
            </w:tcBorders>
            <w:vAlign w:val="center"/>
          </w:tcPr>
          <w:p w14:paraId="334EF2A9" w14:textId="3B413E3B" w:rsidR="00804DEB" w:rsidRDefault="00804DEB" w:rsidP="00804DEB">
            <w:pPr>
              <w:spacing w:after="0" w:line="259" w:lineRule="auto"/>
              <w:ind w:left="122" w:right="-592" w:firstLine="0"/>
              <w:jc w:val="left"/>
            </w:pPr>
            <w:r w:rsidRPr="00E17782">
              <w:rPr>
                <w:b/>
                <w:sz w:val="18"/>
                <w:szCs w:val="18"/>
                <w:lang w:val="en-US"/>
              </w:rPr>
              <w:t>Sexual and reproductive health</w:t>
            </w:r>
            <w:r>
              <w:rPr>
                <w:b/>
                <w:sz w:val="18"/>
                <w:szCs w:val="18"/>
                <w:lang w:val="en-US"/>
              </w:rPr>
              <w:t xml:space="preserve"> </w:t>
            </w:r>
            <w:r w:rsidRPr="00E17782">
              <w:rPr>
                <w:b/>
                <w:sz w:val="18"/>
                <w:szCs w:val="18"/>
                <w:lang w:val="en-US"/>
              </w:rPr>
              <w:t>literacy should include:</w:t>
            </w:r>
          </w:p>
        </w:tc>
        <w:tc>
          <w:tcPr>
            <w:tcW w:w="971" w:type="dxa"/>
            <w:tcBorders>
              <w:top w:val="nil"/>
              <w:left w:val="nil"/>
              <w:bottom w:val="nil"/>
              <w:right w:val="nil"/>
            </w:tcBorders>
          </w:tcPr>
          <w:p w14:paraId="76C01668" w14:textId="77777777" w:rsidR="00804DEB" w:rsidRDefault="00804DEB" w:rsidP="00804DEB">
            <w:pPr>
              <w:spacing w:after="0" w:line="259" w:lineRule="auto"/>
              <w:ind w:left="-17" w:right="0" w:hanging="141"/>
              <w:jc w:val="left"/>
            </w:pPr>
            <w:r>
              <w:rPr>
                <w:sz w:val="18"/>
              </w:rPr>
              <w:t xml:space="preserve">77 (55.8) </w:t>
            </w:r>
          </w:p>
        </w:tc>
        <w:tc>
          <w:tcPr>
            <w:tcW w:w="1091" w:type="dxa"/>
            <w:gridSpan w:val="2"/>
            <w:tcBorders>
              <w:top w:val="nil"/>
              <w:left w:val="nil"/>
              <w:bottom w:val="nil"/>
              <w:right w:val="nil"/>
            </w:tcBorders>
          </w:tcPr>
          <w:p w14:paraId="42288BE4" w14:textId="77777777" w:rsidR="00804DEB" w:rsidRDefault="00804DEB" w:rsidP="00804DEB">
            <w:pPr>
              <w:spacing w:after="0" w:line="259" w:lineRule="auto"/>
              <w:ind w:left="0" w:right="0" w:firstLine="0"/>
              <w:jc w:val="left"/>
            </w:pPr>
            <w:r>
              <w:rPr>
                <w:sz w:val="18"/>
              </w:rPr>
              <w:t xml:space="preserve">57 (41.3) </w:t>
            </w:r>
          </w:p>
        </w:tc>
        <w:tc>
          <w:tcPr>
            <w:tcW w:w="1000" w:type="dxa"/>
            <w:tcBorders>
              <w:top w:val="nil"/>
              <w:left w:val="nil"/>
              <w:bottom w:val="nil"/>
              <w:right w:val="nil"/>
            </w:tcBorders>
          </w:tcPr>
          <w:p w14:paraId="288B8A43" w14:textId="77777777" w:rsidR="00804DEB" w:rsidRDefault="00804DEB" w:rsidP="00804DEB">
            <w:pPr>
              <w:spacing w:after="0" w:line="259" w:lineRule="auto"/>
              <w:ind w:left="115" w:right="0" w:firstLine="0"/>
              <w:jc w:val="left"/>
            </w:pPr>
            <w:r>
              <w:rPr>
                <w:sz w:val="18"/>
              </w:rPr>
              <w:t xml:space="preserve">4 (2.9) </w:t>
            </w:r>
          </w:p>
        </w:tc>
        <w:tc>
          <w:tcPr>
            <w:tcW w:w="1048" w:type="dxa"/>
            <w:tcBorders>
              <w:top w:val="nil"/>
              <w:left w:val="nil"/>
              <w:bottom w:val="nil"/>
              <w:right w:val="nil"/>
            </w:tcBorders>
          </w:tcPr>
          <w:p w14:paraId="0C43FD6A" w14:textId="77777777" w:rsidR="00804DEB" w:rsidRDefault="00804DEB" w:rsidP="00804DEB">
            <w:pPr>
              <w:spacing w:after="0" w:line="259" w:lineRule="auto"/>
              <w:ind w:left="310" w:right="0" w:firstLine="0"/>
              <w:jc w:val="left"/>
            </w:pPr>
            <w:r>
              <w:rPr>
                <w:sz w:val="18"/>
              </w:rPr>
              <w:t xml:space="preserve">0 </w:t>
            </w:r>
          </w:p>
        </w:tc>
        <w:tc>
          <w:tcPr>
            <w:tcW w:w="1121" w:type="dxa"/>
            <w:tcBorders>
              <w:top w:val="nil"/>
              <w:left w:val="nil"/>
              <w:bottom w:val="nil"/>
              <w:right w:val="nil"/>
            </w:tcBorders>
          </w:tcPr>
          <w:p w14:paraId="275D9384" w14:textId="77777777" w:rsidR="00804DEB" w:rsidRDefault="00804DEB" w:rsidP="00804DEB">
            <w:pPr>
              <w:spacing w:after="0" w:line="259" w:lineRule="auto"/>
              <w:ind w:left="310" w:right="0" w:firstLine="0"/>
              <w:jc w:val="left"/>
            </w:pPr>
            <w:r>
              <w:rPr>
                <w:sz w:val="18"/>
              </w:rPr>
              <w:t xml:space="preserve">0 </w:t>
            </w:r>
          </w:p>
        </w:tc>
        <w:tc>
          <w:tcPr>
            <w:tcW w:w="788" w:type="dxa"/>
            <w:tcBorders>
              <w:top w:val="nil"/>
              <w:left w:val="nil"/>
              <w:bottom w:val="nil"/>
              <w:right w:val="nil"/>
            </w:tcBorders>
          </w:tcPr>
          <w:p w14:paraId="4BF0F7C8" w14:textId="77777777" w:rsidR="00804DEB" w:rsidRDefault="00804DEB" w:rsidP="00804DEB">
            <w:pPr>
              <w:spacing w:after="0" w:line="259" w:lineRule="auto"/>
              <w:ind w:left="110" w:right="0" w:firstLine="0"/>
              <w:jc w:val="left"/>
            </w:pPr>
            <w:r>
              <w:rPr>
                <w:sz w:val="18"/>
              </w:rPr>
              <w:t xml:space="preserve">5 (1) </w:t>
            </w:r>
          </w:p>
        </w:tc>
      </w:tr>
      <w:tr w:rsidR="00804DEB" w14:paraId="6354CA1A" w14:textId="77777777" w:rsidTr="00804DEB">
        <w:trPr>
          <w:trHeight w:val="2376"/>
        </w:trPr>
        <w:tc>
          <w:tcPr>
            <w:tcW w:w="2859" w:type="dxa"/>
            <w:tcBorders>
              <w:top w:val="nil"/>
              <w:left w:val="nil"/>
              <w:bottom w:val="nil"/>
              <w:right w:val="nil"/>
            </w:tcBorders>
            <w:vAlign w:val="center"/>
          </w:tcPr>
          <w:p w14:paraId="778A6D88" w14:textId="46DA40AE" w:rsidR="00804DEB" w:rsidRPr="00E17782" w:rsidRDefault="00804DEB" w:rsidP="00804DEB">
            <w:pPr>
              <w:spacing w:after="0" w:line="259" w:lineRule="auto"/>
              <w:ind w:left="122" w:right="174" w:firstLine="0"/>
              <w:jc w:val="left"/>
              <w:rPr>
                <w:b/>
                <w:sz w:val="18"/>
                <w:szCs w:val="18"/>
                <w:lang w:val="en-US"/>
              </w:rPr>
            </w:pPr>
            <w:r w:rsidRPr="00E17782">
              <w:rPr>
                <w:sz w:val="18"/>
                <w:szCs w:val="18"/>
                <w:lang w:val="en-US"/>
              </w:rPr>
              <w:t>The right to make autonomous decisions about sexual and reproductive health free from the influence of others.</w:t>
            </w:r>
          </w:p>
        </w:tc>
        <w:tc>
          <w:tcPr>
            <w:tcW w:w="971" w:type="dxa"/>
            <w:tcBorders>
              <w:top w:val="nil"/>
              <w:left w:val="nil"/>
              <w:bottom w:val="nil"/>
              <w:right w:val="nil"/>
            </w:tcBorders>
            <w:vAlign w:val="center"/>
          </w:tcPr>
          <w:p w14:paraId="1498DFB6" w14:textId="3DF02901" w:rsidR="00804DEB" w:rsidRDefault="00804DEB" w:rsidP="00804DEB">
            <w:pPr>
              <w:spacing w:after="0" w:line="259" w:lineRule="auto"/>
              <w:ind w:left="0" w:right="0" w:firstLine="0"/>
              <w:jc w:val="left"/>
              <w:rPr>
                <w:sz w:val="18"/>
              </w:rPr>
            </w:pPr>
            <w:r w:rsidRPr="00E17782">
              <w:rPr>
                <w:sz w:val="18"/>
                <w:szCs w:val="18"/>
                <w:lang w:val="en-US"/>
              </w:rPr>
              <w:t>81 (58.7)</w:t>
            </w:r>
          </w:p>
        </w:tc>
        <w:tc>
          <w:tcPr>
            <w:tcW w:w="1091" w:type="dxa"/>
            <w:gridSpan w:val="2"/>
            <w:tcBorders>
              <w:top w:val="nil"/>
              <w:left w:val="nil"/>
              <w:bottom w:val="nil"/>
              <w:right w:val="nil"/>
            </w:tcBorders>
            <w:vAlign w:val="center"/>
          </w:tcPr>
          <w:p w14:paraId="47CB12C6" w14:textId="4161E461" w:rsidR="00804DEB" w:rsidRDefault="00804DEB" w:rsidP="00804DEB">
            <w:pPr>
              <w:spacing w:after="0" w:line="259" w:lineRule="auto"/>
              <w:ind w:left="0" w:right="0" w:firstLine="0"/>
              <w:jc w:val="left"/>
              <w:rPr>
                <w:sz w:val="18"/>
              </w:rPr>
            </w:pPr>
            <w:r w:rsidRPr="00E17782">
              <w:rPr>
                <w:sz w:val="18"/>
                <w:szCs w:val="18"/>
                <w:lang w:val="en-US"/>
              </w:rPr>
              <w:t>49 (35.5)</w:t>
            </w:r>
          </w:p>
        </w:tc>
        <w:tc>
          <w:tcPr>
            <w:tcW w:w="1000" w:type="dxa"/>
            <w:tcBorders>
              <w:top w:val="nil"/>
              <w:left w:val="nil"/>
              <w:bottom w:val="nil"/>
              <w:right w:val="nil"/>
            </w:tcBorders>
            <w:vAlign w:val="center"/>
          </w:tcPr>
          <w:p w14:paraId="549BFE9C" w14:textId="63832EFC" w:rsidR="00804DEB" w:rsidRDefault="00804DEB" w:rsidP="00804DEB">
            <w:pPr>
              <w:spacing w:after="0" w:line="259" w:lineRule="auto"/>
              <w:ind w:left="115" w:right="0" w:firstLine="0"/>
              <w:jc w:val="left"/>
              <w:rPr>
                <w:sz w:val="18"/>
              </w:rPr>
            </w:pPr>
            <w:r w:rsidRPr="00E17782">
              <w:rPr>
                <w:sz w:val="18"/>
                <w:szCs w:val="18"/>
                <w:lang w:val="en-US"/>
              </w:rPr>
              <w:t>8 (5.8)</w:t>
            </w:r>
          </w:p>
        </w:tc>
        <w:tc>
          <w:tcPr>
            <w:tcW w:w="1048" w:type="dxa"/>
            <w:tcBorders>
              <w:top w:val="nil"/>
              <w:left w:val="nil"/>
              <w:bottom w:val="nil"/>
              <w:right w:val="nil"/>
            </w:tcBorders>
            <w:vAlign w:val="center"/>
          </w:tcPr>
          <w:p w14:paraId="7F8387DA" w14:textId="3AAE59E8" w:rsidR="00804DEB" w:rsidRDefault="00804DEB" w:rsidP="00804DEB">
            <w:pPr>
              <w:spacing w:after="0" w:line="259" w:lineRule="auto"/>
              <w:ind w:left="310" w:right="0" w:firstLine="0"/>
              <w:jc w:val="left"/>
              <w:rPr>
                <w:sz w:val="18"/>
              </w:rPr>
            </w:pPr>
            <w:r w:rsidRPr="00E17782">
              <w:rPr>
                <w:sz w:val="18"/>
                <w:szCs w:val="18"/>
                <w:lang w:val="en-US"/>
              </w:rPr>
              <w:t>0</w:t>
            </w:r>
          </w:p>
        </w:tc>
        <w:tc>
          <w:tcPr>
            <w:tcW w:w="1121" w:type="dxa"/>
            <w:tcBorders>
              <w:top w:val="nil"/>
              <w:left w:val="nil"/>
              <w:bottom w:val="nil"/>
              <w:right w:val="nil"/>
            </w:tcBorders>
            <w:vAlign w:val="center"/>
          </w:tcPr>
          <w:p w14:paraId="73FFA696" w14:textId="4DBBE363" w:rsidR="00804DEB" w:rsidRDefault="00804DEB" w:rsidP="00804DEB">
            <w:pPr>
              <w:spacing w:after="0" w:line="259" w:lineRule="auto"/>
              <w:ind w:left="310" w:right="0" w:firstLine="0"/>
              <w:jc w:val="left"/>
              <w:rPr>
                <w:sz w:val="18"/>
              </w:rPr>
            </w:pPr>
            <w:r w:rsidRPr="00E17782">
              <w:rPr>
                <w:sz w:val="18"/>
                <w:szCs w:val="18"/>
                <w:lang w:val="en-US"/>
              </w:rPr>
              <w:t>0</w:t>
            </w:r>
          </w:p>
        </w:tc>
        <w:tc>
          <w:tcPr>
            <w:tcW w:w="788" w:type="dxa"/>
            <w:tcBorders>
              <w:top w:val="nil"/>
              <w:left w:val="nil"/>
              <w:bottom w:val="nil"/>
              <w:right w:val="nil"/>
            </w:tcBorders>
            <w:vAlign w:val="center"/>
          </w:tcPr>
          <w:p w14:paraId="31A6B404" w14:textId="3C0F1918" w:rsidR="00804DEB" w:rsidRDefault="00804DEB" w:rsidP="00804DEB">
            <w:pPr>
              <w:spacing w:after="0" w:line="259" w:lineRule="auto"/>
              <w:ind w:left="110" w:right="0" w:firstLine="0"/>
              <w:jc w:val="left"/>
              <w:rPr>
                <w:sz w:val="18"/>
              </w:rPr>
            </w:pPr>
            <w:r w:rsidRPr="00E17782">
              <w:rPr>
                <w:sz w:val="18"/>
                <w:szCs w:val="18"/>
                <w:lang w:val="en-US"/>
              </w:rPr>
              <w:t>4 (1)</w:t>
            </w:r>
          </w:p>
        </w:tc>
      </w:tr>
      <w:tr w:rsidR="00804DEB" w14:paraId="4E8B86A2" w14:textId="77777777" w:rsidTr="00804DEB">
        <w:trPr>
          <w:trHeight w:val="1007"/>
        </w:trPr>
        <w:tc>
          <w:tcPr>
            <w:tcW w:w="2859" w:type="dxa"/>
            <w:tcBorders>
              <w:top w:val="nil"/>
              <w:left w:val="nil"/>
              <w:bottom w:val="nil"/>
              <w:right w:val="nil"/>
            </w:tcBorders>
            <w:vAlign w:val="center"/>
          </w:tcPr>
          <w:p w14:paraId="0185B6FB" w14:textId="59B8D788" w:rsidR="00804DEB" w:rsidRPr="00E17782" w:rsidRDefault="00804DEB" w:rsidP="00804DEB">
            <w:pPr>
              <w:spacing w:after="0" w:line="259" w:lineRule="auto"/>
              <w:ind w:left="122" w:right="174" w:firstLine="0"/>
              <w:jc w:val="left"/>
              <w:rPr>
                <w:sz w:val="18"/>
                <w:szCs w:val="18"/>
                <w:lang w:val="en-US"/>
              </w:rPr>
            </w:pPr>
            <w:r w:rsidRPr="00E17782">
              <w:rPr>
                <w:sz w:val="18"/>
                <w:szCs w:val="18"/>
                <w:lang w:val="en-US"/>
              </w:rPr>
              <w:t>The right to make autonomous decisions about sexual and reproductive health free from the influence of a male partner.</w:t>
            </w:r>
          </w:p>
        </w:tc>
        <w:tc>
          <w:tcPr>
            <w:tcW w:w="1054" w:type="dxa"/>
            <w:gridSpan w:val="2"/>
            <w:tcBorders>
              <w:top w:val="nil"/>
              <w:left w:val="nil"/>
              <w:bottom w:val="nil"/>
              <w:right w:val="nil"/>
            </w:tcBorders>
            <w:vAlign w:val="center"/>
          </w:tcPr>
          <w:p w14:paraId="01C96C44" w14:textId="23316A2E" w:rsidR="00804DEB" w:rsidRPr="00E17782" w:rsidRDefault="00804DEB" w:rsidP="00804DEB">
            <w:pPr>
              <w:spacing w:after="0" w:line="259" w:lineRule="auto"/>
              <w:ind w:left="0" w:right="0" w:firstLine="0"/>
              <w:jc w:val="left"/>
              <w:rPr>
                <w:sz w:val="18"/>
                <w:szCs w:val="18"/>
                <w:lang w:val="en-US"/>
              </w:rPr>
            </w:pPr>
            <w:r w:rsidRPr="00E17782">
              <w:rPr>
                <w:sz w:val="18"/>
                <w:szCs w:val="18"/>
                <w:lang w:val="en-US"/>
              </w:rPr>
              <w:t>61 (44.2)</w:t>
            </w:r>
          </w:p>
        </w:tc>
        <w:tc>
          <w:tcPr>
            <w:tcW w:w="1008" w:type="dxa"/>
            <w:tcBorders>
              <w:top w:val="nil"/>
              <w:left w:val="nil"/>
              <w:bottom w:val="nil"/>
              <w:right w:val="nil"/>
            </w:tcBorders>
            <w:vAlign w:val="center"/>
          </w:tcPr>
          <w:p w14:paraId="274B1F35" w14:textId="39C31E29" w:rsidR="00804DEB" w:rsidRPr="00E17782" w:rsidRDefault="00804DEB" w:rsidP="00804DEB">
            <w:pPr>
              <w:spacing w:after="0" w:line="259" w:lineRule="auto"/>
              <w:ind w:left="0" w:right="0" w:firstLine="0"/>
              <w:jc w:val="left"/>
              <w:rPr>
                <w:sz w:val="18"/>
                <w:szCs w:val="18"/>
                <w:lang w:val="en-US"/>
              </w:rPr>
            </w:pPr>
            <w:r w:rsidRPr="00E17782">
              <w:rPr>
                <w:sz w:val="18"/>
                <w:szCs w:val="18"/>
                <w:lang w:val="en-US"/>
              </w:rPr>
              <w:t>50 (36.2)</w:t>
            </w:r>
          </w:p>
        </w:tc>
        <w:tc>
          <w:tcPr>
            <w:tcW w:w="1000" w:type="dxa"/>
            <w:tcBorders>
              <w:top w:val="nil"/>
              <w:left w:val="nil"/>
              <w:bottom w:val="nil"/>
              <w:right w:val="nil"/>
            </w:tcBorders>
            <w:vAlign w:val="center"/>
          </w:tcPr>
          <w:p w14:paraId="07F90391" w14:textId="0D68CE42" w:rsidR="00804DEB" w:rsidRPr="00E17782" w:rsidRDefault="00804DEB" w:rsidP="00804DEB">
            <w:pPr>
              <w:spacing w:after="0" w:line="259" w:lineRule="auto"/>
              <w:ind w:left="115" w:right="0" w:firstLine="0"/>
              <w:jc w:val="left"/>
              <w:rPr>
                <w:sz w:val="18"/>
                <w:szCs w:val="18"/>
                <w:lang w:val="en-US"/>
              </w:rPr>
            </w:pPr>
            <w:r w:rsidRPr="00E17782">
              <w:rPr>
                <w:sz w:val="18"/>
                <w:szCs w:val="18"/>
                <w:lang w:val="en-US"/>
              </w:rPr>
              <w:t>18 (13.0)</w:t>
            </w:r>
          </w:p>
        </w:tc>
        <w:tc>
          <w:tcPr>
            <w:tcW w:w="1048" w:type="dxa"/>
            <w:tcBorders>
              <w:top w:val="nil"/>
              <w:left w:val="nil"/>
              <w:bottom w:val="nil"/>
              <w:right w:val="nil"/>
            </w:tcBorders>
            <w:vAlign w:val="center"/>
          </w:tcPr>
          <w:p w14:paraId="770A8B8E" w14:textId="08BD78C5" w:rsidR="00804DEB" w:rsidRPr="00E17782" w:rsidRDefault="00804DEB" w:rsidP="00804DEB">
            <w:pPr>
              <w:spacing w:after="0" w:line="259" w:lineRule="auto"/>
              <w:ind w:left="310" w:right="0" w:firstLine="0"/>
              <w:jc w:val="left"/>
              <w:rPr>
                <w:sz w:val="18"/>
                <w:szCs w:val="18"/>
                <w:lang w:val="en-US"/>
              </w:rPr>
            </w:pPr>
            <w:r w:rsidRPr="00E17782">
              <w:rPr>
                <w:sz w:val="18"/>
                <w:szCs w:val="18"/>
                <w:lang w:val="en-US"/>
              </w:rPr>
              <w:t>7 (5.1)</w:t>
            </w:r>
          </w:p>
        </w:tc>
        <w:tc>
          <w:tcPr>
            <w:tcW w:w="1121" w:type="dxa"/>
            <w:tcBorders>
              <w:top w:val="nil"/>
              <w:left w:val="nil"/>
              <w:bottom w:val="nil"/>
              <w:right w:val="nil"/>
            </w:tcBorders>
            <w:vAlign w:val="center"/>
          </w:tcPr>
          <w:p w14:paraId="6A98BFC8" w14:textId="67CED948" w:rsidR="00804DEB" w:rsidRPr="00E17782" w:rsidRDefault="00804DEB" w:rsidP="00804DEB">
            <w:pPr>
              <w:spacing w:after="0" w:line="259" w:lineRule="auto"/>
              <w:ind w:left="310" w:right="0" w:firstLine="0"/>
              <w:jc w:val="left"/>
              <w:rPr>
                <w:sz w:val="18"/>
                <w:szCs w:val="18"/>
                <w:lang w:val="en-US"/>
              </w:rPr>
            </w:pPr>
            <w:r w:rsidRPr="00E17782">
              <w:rPr>
                <w:sz w:val="18"/>
                <w:szCs w:val="18"/>
                <w:lang w:val="en-US"/>
              </w:rPr>
              <w:t>2 (1.4)</w:t>
            </w:r>
          </w:p>
        </w:tc>
        <w:tc>
          <w:tcPr>
            <w:tcW w:w="788" w:type="dxa"/>
            <w:tcBorders>
              <w:top w:val="nil"/>
              <w:left w:val="nil"/>
              <w:bottom w:val="nil"/>
              <w:right w:val="nil"/>
            </w:tcBorders>
            <w:vAlign w:val="center"/>
          </w:tcPr>
          <w:p w14:paraId="01024130" w14:textId="05729672" w:rsidR="00804DEB" w:rsidRPr="00E17782" w:rsidRDefault="00804DEB" w:rsidP="00804DEB">
            <w:pPr>
              <w:spacing w:after="0" w:line="259" w:lineRule="auto"/>
              <w:ind w:left="110" w:right="0" w:firstLine="0"/>
              <w:jc w:val="left"/>
              <w:rPr>
                <w:sz w:val="18"/>
                <w:szCs w:val="18"/>
                <w:lang w:val="en-US"/>
              </w:rPr>
            </w:pPr>
            <w:r w:rsidRPr="00E17782">
              <w:rPr>
                <w:sz w:val="18"/>
                <w:szCs w:val="18"/>
                <w:lang w:val="en-US"/>
              </w:rPr>
              <w:t>4 (1)</w:t>
            </w:r>
          </w:p>
        </w:tc>
      </w:tr>
      <w:tr w:rsidR="00804DEB" w14:paraId="248DB1DD" w14:textId="77777777" w:rsidTr="00804DEB">
        <w:trPr>
          <w:trHeight w:val="2376"/>
        </w:trPr>
        <w:tc>
          <w:tcPr>
            <w:tcW w:w="2859" w:type="dxa"/>
            <w:tcBorders>
              <w:top w:val="nil"/>
              <w:left w:val="nil"/>
              <w:bottom w:val="nil"/>
              <w:right w:val="nil"/>
            </w:tcBorders>
            <w:vAlign w:val="center"/>
          </w:tcPr>
          <w:p w14:paraId="4963CB58" w14:textId="6AED389C" w:rsidR="00804DEB" w:rsidRPr="00E17782" w:rsidRDefault="00804DEB" w:rsidP="00804DEB">
            <w:pPr>
              <w:spacing w:after="0" w:line="259" w:lineRule="auto"/>
              <w:ind w:left="122" w:right="174" w:firstLine="0"/>
              <w:jc w:val="left"/>
              <w:rPr>
                <w:sz w:val="18"/>
                <w:szCs w:val="18"/>
                <w:lang w:val="en-US"/>
              </w:rPr>
            </w:pPr>
            <w:r w:rsidRPr="00E17782">
              <w:rPr>
                <w:sz w:val="18"/>
                <w:szCs w:val="18"/>
                <w:lang w:val="en-US"/>
              </w:rPr>
              <w:lastRenderedPageBreak/>
              <w:t>The right to make autonomous decisions about sexual and reproductive health free from the risk of violence.</w:t>
            </w:r>
          </w:p>
        </w:tc>
        <w:tc>
          <w:tcPr>
            <w:tcW w:w="1054" w:type="dxa"/>
            <w:gridSpan w:val="2"/>
            <w:tcBorders>
              <w:top w:val="nil"/>
              <w:left w:val="nil"/>
              <w:bottom w:val="nil"/>
              <w:right w:val="nil"/>
            </w:tcBorders>
            <w:vAlign w:val="center"/>
          </w:tcPr>
          <w:p w14:paraId="147CB807" w14:textId="29A1A3E5" w:rsidR="00804DEB" w:rsidRPr="00E17782" w:rsidRDefault="00804DEB" w:rsidP="00804DEB">
            <w:pPr>
              <w:spacing w:after="0" w:line="259" w:lineRule="auto"/>
              <w:ind w:left="0" w:right="0" w:firstLine="0"/>
              <w:jc w:val="left"/>
              <w:rPr>
                <w:sz w:val="18"/>
                <w:szCs w:val="18"/>
                <w:lang w:val="en-US"/>
              </w:rPr>
            </w:pPr>
            <w:r w:rsidRPr="00E17782">
              <w:rPr>
                <w:sz w:val="18"/>
                <w:szCs w:val="18"/>
                <w:lang w:val="en-US"/>
              </w:rPr>
              <w:t>80 (58.0)</w:t>
            </w:r>
          </w:p>
        </w:tc>
        <w:tc>
          <w:tcPr>
            <w:tcW w:w="1008" w:type="dxa"/>
            <w:tcBorders>
              <w:top w:val="nil"/>
              <w:left w:val="nil"/>
              <w:bottom w:val="nil"/>
              <w:right w:val="nil"/>
            </w:tcBorders>
            <w:vAlign w:val="center"/>
          </w:tcPr>
          <w:p w14:paraId="0FAC9BD8" w14:textId="39195F55" w:rsidR="00804DEB" w:rsidRPr="00E17782" w:rsidRDefault="00804DEB" w:rsidP="00804DEB">
            <w:pPr>
              <w:spacing w:after="0" w:line="259" w:lineRule="auto"/>
              <w:ind w:left="0" w:right="0" w:firstLine="0"/>
              <w:jc w:val="left"/>
              <w:rPr>
                <w:sz w:val="18"/>
                <w:szCs w:val="18"/>
                <w:lang w:val="en-US"/>
              </w:rPr>
            </w:pPr>
            <w:r w:rsidRPr="00E17782">
              <w:rPr>
                <w:sz w:val="18"/>
                <w:szCs w:val="18"/>
                <w:lang w:val="en-US"/>
              </w:rPr>
              <w:t>48 (34.8)</w:t>
            </w:r>
          </w:p>
        </w:tc>
        <w:tc>
          <w:tcPr>
            <w:tcW w:w="1000" w:type="dxa"/>
            <w:tcBorders>
              <w:top w:val="nil"/>
              <w:left w:val="nil"/>
              <w:bottom w:val="nil"/>
              <w:right w:val="nil"/>
            </w:tcBorders>
            <w:vAlign w:val="center"/>
          </w:tcPr>
          <w:p w14:paraId="6BE362E4" w14:textId="1D6B233C" w:rsidR="00804DEB" w:rsidRPr="00E17782" w:rsidRDefault="00804DEB" w:rsidP="00804DEB">
            <w:pPr>
              <w:spacing w:after="0" w:line="259" w:lineRule="auto"/>
              <w:ind w:left="115" w:right="0" w:firstLine="0"/>
              <w:jc w:val="left"/>
              <w:rPr>
                <w:sz w:val="18"/>
                <w:szCs w:val="18"/>
                <w:lang w:val="en-US"/>
              </w:rPr>
            </w:pPr>
            <w:r w:rsidRPr="00E17782">
              <w:rPr>
                <w:sz w:val="18"/>
                <w:szCs w:val="18"/>
                <w:lang w:val="en-US"/>
              </w:rPr>
              <w:t>8 (5.8)</w:t>
            </w:r>
          </w:p>
        </w:tc>
        <w:tc>
          <w:tcPr>
            <w:tcW w:w="1048" w:type="dxa"/>
            <w:tcBorders>
              <w:top w:val="nil"/>
              <w:left w:val="nil"/>
              <w:bottom w:val="nil"/>
              <w:right w:val="nil"/>
            </w:tcBorders>
            <w:vAlign w:val="center"/>
          </w:tcPr>
          <w:p w14:paraId="0D55B23A" w14:textId="32338918" w:rsidR="00804DEB" w:rsidRPr="00E17782" w:rsidRDefault="00804DEB" w:rsidP="00804DEB">
            <w:pPr>
              <w:spacing w:after="0" w:line="259" w:lineRule="auto"/>
              <w:ind w:left="310" w:right="0" w:firstLine="0"/>
              <w:jc w:val="left"/>
              <w:rPr>
                <w:sz w:val="18"/>
                <w:szCs w:val="18"/>
                <w:lang w:val="en-US"/>
              </w:rPr>
            </w:pPr>
            <w:r w:rsidRPr="00E17782">
              <w:rPr>
                <w:sz w:val="18"/>
                <w:szCs w:val="18"/>
                <w:lang w:val="en-US"/>
              </w:rPr>
              <w:t>2 (1.4)</w:t>
            </w:r>
          </w:p>
        </w:tc>
        <w:tc>
          <w:tcPr>
            <w:tcW w:w="1121" w:type="dxa"/>
            <w:tcBorders>
              <w:top w:val="nil"/>
              <w:left w:val="nil"/>
              <w:bottom w:val="nil"/>
              <w:right w:val="nil"/>
            </w:tcBorders>
            <w:vAlign w:val="center"/>
          </w:tcPr>
          <w:p w14:paraId="2BA3160A" w14:textId="7E1F1E74" w:rsidR="00804DEB" w:rsidRPr="00E17782" w:rsidRDefault="00804DEB" w:rsidP="00804DEB">
            <w:pPr>
              <w:spacing w:after="0" w:line="259" w:lineRule="auto"/>
              <w:ind w:left="310" w:right="0" w:firstLine="0"/>
              <w:jc w:val="left"/>
              <w:rPr>
                <w:sz w:val="18"/>
                <w:szCs w:val="18"/>
                <w:lang w:val="en-US"/>
              </w:rPr>
            </w:pPr>
            <w:r w:rsidRPr="00E17782">
              <w:rPr>
                <w:sz w:val="18"/>
                <w:szCs w:val="18"/>
                <w:lang w:val="en-US"/>
              </w:rPr>
              <w:t>0%</w:t>
            </w:r>
          </w:p>
        </w:tc>
        <w:tc>
          <w:tcPr>
            <w:tcW w:w="788" w:type="dxa"/>
            <w:tcBorders>
              <w:top w:val="nil"/>
              <w:left w:val="nil"/>
              <w:bottom w:val="nil"/>
              <w:right w:val="nil"/>
            </w:tcBorders>
            <w:vAlign w:val="center"/>
          </w:tcPr>
          <w:p w14:paraId="2A91559A" w14:textId="0AE045F3" w:rsidR="00804DEB" w:rsidRPr="00E17782" w:rsidRDefault="00804DEB" w:rsidP="00804DEB">
            <w:pPr>
              <w:spacing w:after="0" w:line="259" w:lineRule="auto"/>
              <w:ind w:left="110" w:right="0" w:firstLine="0"/>
              <w:jc w:val="left"/>
              <w:rPr>
                <w:sz w:val="18"/>
                <w:szCs w:val="18"/>
                <w:lang w:val="en-US"/>
              </w:rPr>
            </w:pPr>
            <w:r w:rsidRPr="00E17782">
              <w:rPr>
                <w:sz w:val="18"/>
                <w:szCs w:val="18"/>
                <w:lang w:val="en-US"/>
              </w:rPr>
              <w:t>5 (1)</w:t>
            </w:r>
          </w:p>
        </w:tc>
      </w:tr>
    </w:tbl>
    <w:p w14:paraId="070E5D6D" w14:textId="77777777" w:rsidR="00FD4559" w:rsidRDefault="00FD4559" w:rsidP="00FD4559">
      <w:pPr>
        <w:ind w:left="0" w:firstLine="0"/>
      </w:pPr>
    </w:p>
    <w:p w14:paraId="4F11635C" w14:textId="77777777" w:rsidR="00E50A26" w:rsidRDefault="00E50A26" w:rsidP="00FD4559">
      <w:pPr>
        <w:ind w:left="0" w:firstLine="0"/>
      </w:pPr>
    </w:p>
    <w:p w14:paraId="326E4E96" w14:textId="77777777" w:rsidR="00E50A26" w:rsidRDefault="00E50A26" w:rsidP="00FD4559">
      <w:pPr>
        <w:ind w:left="0" w:firstLine="0"/>
      </w:pPr>
    </w:p>
    <w:p w14:paraId="49D2C4C0" w14:textId="77777777" w:rsidR="00FD4559" w:rsidRDefault="00FD4559" w:rsidP="00FD4559">
      <w:pPr>
        <w:spacing w:after="113" w:line="259" w:lineRule="auto"/>
        <w:ind w:left="0" w:right="3323" w:firstLine="0"/>
        <w:jc w:val="right"/>
      </w:pPr>
      <w:r>
        <w:rPr>
          <w:b/>
          <w:sz w:val="18"/>
        </w:rPr>
        <w:t>Table 5.</w:t>
      </w:r>
      <w:r>
        <w:rPr>
          <w:sz w:val="18"/>
        </w:rPr>
        <w:t xml:space="preserve"> Frequencies, medians and interquartile ranges for each statement.</w:t>
      </w:r>
      <w:r>
        <w:rPr>
          <w:b/>
          <w:sz w:val="18"/>
        </w:rPr>
        <w:t xml:space="preserve"> </w:t>
      </w:r>
    </w:p>
    <w:tbl>
      <w:tblPr>
        <w:tblStyle w:val="TableGrid"/>
        <w:tblW w:w="8776" w:type="dxa"/>
        <w:tblInd w:w="118" w:type="dxa"/>
        <w:tblCellMar>
          <w:top w:w="41" w:type="dxa"/>
          <w:bottom w:w="90" w:type="dxa"/>
          <w:right w:w="123" w:type="dxa"/>
        </w:tblCellMar>
        <w:tblLook w:val="04A0" w:firstRow="1" w:lastRow="0" w:firstColumn="1" w:lastColumn="0" w:noHBand="0" w:noVBand="1"/>
      </w:tblPr>
      <w:tblGrid>
        <w:gridCol w:w="2951"/>
        <w:gridCol w:w="1020"/>
        <w:gridCol w:w="989"/>
        <w:gridCol w:w="953"/>
        <w:gridCol w:w="1015"/>
        <w:gridCol w:w="1085"/>
        <w:gridCol w:w="763"/>
      </w:tblGrid>
      <w:tr w:rsidR="00FD4559" w14:paraId="2854B303" w14:textId="77777777" w:rsidTr="00473E8B">
        <w:trPr>
          <w:trHeight w:val="770"/>
        </w:trPr>
        <w:tc>
          <w:tcPr>
            <w:tcW w:w="5912" w:type="dxa"/>
            <w:gridSpan w:val="4"/>
            <w:tcBorders>
              <w:top w:val="single" w:sz="4" w:space="0" w:color="000000"/>
              <w:left w:val="nil"/>
              <w:bottom w:val="single" w:sz="4" w:space="0" w:color="000000"/>
              <w:right w:val="nil"/>
            </w:tcBorders>
          </w:tcPr>
          <w:p w14:paraId="35D2DF6E" w14:textId="77777777" w:rsidR="00FD4559" w:rsidRDefault="00FD4559" w:rsidP="00473E8B">
            <w:pPr>
              <w:spacing w:after="0" w:line="259" w:lineRule="auto"/>
              <w:ind w:left="831" w:right="0" w:firstLine="0"/>
              <w:jc w:val="center"/>
            </w:pPr>
            <w:r>
              <w:rPr>
                <w:sz w:val="18"/>
              </w:rPr>
              <w:t xml:space="preserve">Strongly </w:t>
            </w:r>
          </w:p>
          <w:p w14:paraId="75D24517" w14:textId="77777777" w:rsidR="00FD4559" w:rsidRDefault="00FD4559" w:rsidP="00473E8B">
            <w:pPr>
              <w:tabs>
                <w:tab w:val="center" w:pos="4331"/>
                <w:tab w:val="center" w:pos="5319"/>
              </w:tabs>
              <w:spacing w:after="0" w:line="259" w:lineRule="auto"/>
              <w:ind w:left="0" w:right="0" w:firstLine="0"/>
              <w:jc w:val="left"/>
            </w:pPr>
            <w:r>
              <w:rPr>
                <w:sz w:val="18"/>
              </w:rPr>
              <w:t xml:space="preserve"> </w:t>
            </w:r>
            <w:r>
              <w:rPr>
                <w:sz w:val="18"/>
              </w:rPr>
              <w:tab/>
              <w:t xml:space="preserve">Agree </w:t>
            </w:r>
            <w:r>
              <w:rPr>
                <w:sz w:val="18"/>
              </w:rPr>
              <w:tab/>
              <w:t xml:space="preserve">Neutral </w:t>
            </w:r>
          </w:p>
          <w:p w14:paraId="1EB18429" w14:textId="77777777" w:rsidR="00FD4559" w:rsidRDefault="00FD4559" w:rsidP="00473E8B">
            <w:pPr>
              <w:spacing w:after="0" w:line="259" w:lineRule="auto"/>
              <w:ind w:left="832" w:right="0" w:firstLine="0"/>
              <w:jc w:val="center"/>
            </w:pPr>
            <w:r>
              <w:rPr>
                <w:sz w:val="18"/>
              </w:rPr>
              <w:t xml:space="preserve">Agree </w:t>
            </w:r>
          </w:p>
        </w:tc>
        <w:tc>
          <w:tcPr>
            <w:tcW w:w="1015" w:type="dxa"/>
            <w:tcBorders>
              <w:top w:val="single" w:sz="4" w:space="0" w:color="000000"/>
              <w:left w:val="nil"/>
              <w:bottom w:val="single" w:sz="4" w:space="0" w:color="000000"/>
              <w:right w:val="nil"/>
            </w:tcBorders>
            <w:vAlign w:val="center"/>
          </w:tcPr>
          <w:p w14:paraId="1B27D5AA" w14:textId="77777777" w:rsidR="00FD4559" w:rsidRDefault="00FD4559" w:rsidP="00473E8B">
            <w:pPr>
              <w:spacing w:after="0" w:line="259" w:lineRule="auto"/>
              <w:ind w:left="0" w:right="0" w:firstLine="0"/>
              <w:jc w:val="left"/>
            </w:pPr>
            <w:r>
              <w:rPr>
                <w:sz w:val="18"/>
              </w:rPr>
              <w:t xml:space="preserve">Disagree </w:t>
            </w:r>
          </w:p>
        </w:tc>
        <w:tc>
          <w:tcPr>
            <w:tcW w:w="1085" w:type="dxa"/>
            <w:tcBorders>
              <w:top w:val="single" w:sz="4" w:space="0" w:color="000000"/>
              <w:left w:val="nil"/>
              <w:bottom w:val="single" w:sz="4" w:space="0" w:color="000000"/>
              <w:right w:val="nil"/>
            </w:tcBorders>
          </w:tcPr>
          <w:p w14:paraId="623C9A25" w14:textId="77777777" w:rsidR="00FD4559" w:rsidRDefault="00FD4559" w:rsidP="00473E8B">
            <w:pPr>
              <w:spacing w:after="0" w:line="259" w:lineRule="auto"/>
              <w:ind w:left="0" w:right="0" w:firstLine="29"/>
              <w:jc w:val="left"/>
            </w:pPr>
            <w:r>
              <w:rPr>
                <w:sz w:val="18"/>
              </w:rPr>
              <w:t xml:space="preserve">Strongly Disagree </w:t>
            </w:r>
          </w:p>
        </w:tc>
        <w:tc>
          <w:tcPr>
            <w:tcW w:w="763" w:type="dxa"/>
            <w:tcBorders>
              <w:top w:val="single" w:sz="4" w:space="0" w:color="000000"/>
              <w:left w:val="nil"/>
              <w:bottom w:val="single" w:sz="4" w:space="0" w:color="000000"/>
              <w:right w:val="nil"/>
            </w:tcBorders>
          </w:tcPr>
          <w:p w14:paraId="49F270E8" w14:textId="77777777" w:rsidR="00FD4559" w:rsidRDefault="00FD4559" w:rsidP="00473E8B">
            <w:pPr>
              <w:spacing w:after="88" w:line="259" w:lineRule="auto"/>
              <w:ind w:left="0" w:right="0" w:firstLine="0"/>
              <w:jc w:val="left"/>
            </w:pPr>
            <w:r>
              <w:rPr>
                <w:sz w:val="18"/>
              </w:rPr>
              <w:t xml:space="preserve">Median </w:t>
            </w:r>
          </w:p>
          <w:p w14:paraId="74E24A99" w14:textId="77777777" w:rsidR="00FD4559" w:rsidRDefault="00FD4559" w:rsidP="00473E8B">
            <w:pPr>
              <w:spacing w:after="0" w:line="259" w:lineRule="auto"/>
              <w:ind w:left="77" w:right="0" w:firstLine="0"/>
              <w:jc w:val="left"/>
            </w:pPr>
            <w:r>
              <w:rPr>
                <w:sz w:val="18"/>
              </w:rPr>
              <w:t xml:space="preserve">(IQR) </w:t>
            </w:r>
          </w:p>
        </w:tc>
      </w:tr>
      <w:tr w:rsidR="00FD4559" w14:paraId="2D526962" w14:textId="77777777" w:rsidTr="00473E8B">
        <w:trPr>
          <w:trHeight w:val="384"/>
        </w:trPr>
        <w:tc>
          <w:tcPr>
            <w:tcW w:w="5912" w:type="dxa"/>
            <w:gridSpan w:val="4"/>
            <w:tcBorders>
              <w:top w:val="single" w:sz="4" w:space="0" w:color="000000"/>
              <w:left w:val="nil"/>
              <w:bottom w:val="single" w:sz="4" w:space="0" w:color="000000"/>
              <w:right w:val="nil"/>
            </w:tcBorders>
          </w:tcPr>
          <w:p w14:paraId="5464556D" w14:textId="77777777" w:rsidR="00FD4559" w:rsidRDefault="00FD4559" w:rsidP="00473E8B">
            <w:pPr>
              <w:spacing w:after="0" w:line="259" w:lineRule="auto"/>
              <w:ind w:left="3000" w:right="0" w:firstLine="0"/>
              <w:jc w:val="center"/>
            </w:pPr>
            <w:r>
              <w:rPr>
                <w:sz w:val="18"/>
              </w:rPr>
              <w:t xml:space="preserve">N (%) </w:t>
            </w:r>
          </w:p>
        </w:tc>
        <w:tc>
          <w:tcPr>
            <w:tcW w:w="1015" w:type="dxa"/>
            <w:tcBorders>
              <w:top w:val="single" w:sz="4" w:space="0" w:color="000000"/>
              <w:left w:val="nil"/>
              <w:bottom w:val="single" w:sz="4" w:space="0" w:color="000000"/>
              <w:right w:val="nil"/>
            </w:tcBorders>
          </w:tcPr>
          <w:p w14:paraId="282E208C" w14:textId="77777777" w:rsidR="00FD4559" w:rsidRDefault="00FD4559" w:rsidP="00473E8B">
            <w:pPr>
              <w:spacing w:after="160" w:line="259" w:lineRule="auto"/>
              <w:ind w:left="0" w:right="0" w:firstLine="0"/>
              <w:jc w:val="left"/>
            </w:pPr>
          </w:p>
        </w:tc>
        <w:tc>
          <w:tcPr>
            <w:tcW w:w="1085" w:type="dxa"/>
            <w:tcBorders>
              <w:top w:val="single" w:sz="4" w:space="0" w:color="000000"/>
              <w:left w:val="nil"/>
              <w:bottom w:val="single" w:sz="4" w:space="0" w:color="000000"/>
              <w:right w:val="nil"/>
            </w:tcBorders>
          </w:tcPr>
          <w:p w14:paraId="0CA36E8F" w14:textId="77777777" w:rsidR="00FD4559" w:rsidRDefault="00FD4559" w:rsidP="00473E8B">
            <w:pPr>
              <w:spacing w:after="160" w:line="259" w:lineRule="auto"/>
              <w:ind w:left="0" w:right="0" w:firstLine="0"/>
              <w:jc w:val="left"/>
            </w:pPr>
          </w:p>
        </w:tc>
        <w:tc>
          <w:tcPr>
            <w:tcW w:w="763" w:type="dxa"/>
            <w:tcBorders>
              <w:top w:val="single" w:sz="4" w:space="0" w:color="000000"/>
              <w:left w:val="nil"/>
              <w:bottom w:val="single" w:sz="4" w:space="0" w:color="000000"/>
              <w:right w:val="nil"/>
            </w:tcBorders>
          </w:tcPr>
          <w:p w14:paraId="74D5134D" w14:textId="77777777" w:rsidR="00FD4559" w:rsidRDefault="00FD4559" w:rsidP="00473E8B">
            <w:pPr>
              <w:spacing w:after="160" w:line="259" w:lineRule="auto"/>
              <w:ind w:left="0" w:right="0" w:firstLine="0"/>
              <w:jc w:val="left"/>
            </w:pPr>
          </w:p>
        </w:tc>
      </w:tr>
      <w:tr w:rsidR="00FD4559" w14:paraId="2F593BAD" w14:textId="77777777" w:rsidTr="00473E8B">
        <w:trPr>
          <w:trHeight w:val="1475"/>
        </w:trPr>
        <w:tc>
          <w:tcPr>
            <w:tcW w:w="5912" w:type="dxa"/>
            <w:gridSpan w:val="4"/>
            <w:tcBorders>
              <w:top w:val="single" w:sz="4" w:space="0" w:color="000000"/>
              <w:left w:val="nil"/>
              <w:bottom w:val="nil"/>
              <w:right w:val="nil"/>
            </w:tcBorders>
            <w:vAlign w:val="bottom"/>
          </w:tcPr>
          <w:p w14:paraId="4DA1AA8B" w14:textId="77777777" w:rsidR="00FD4559" w:rsidRDefault="00FD4559" w:rsidP="00473E8B">
            <w:pPr>
              <w:spacing w:after="384" w:line="259" w:lineRule="auto"/>
              <w:ind w:left="122" w:right="0" w:firstLine="0"/>
              <w:jc w:val="left"/>
            </w:pPr>
            <w:r>
              <w:rPr>
                <w:b/>
                <w:sz w:val="18"/>
              </w:rPr>
              <w:t xml:space="preserve">The women to whom I provide care experience barriers to: </w:t>
            </w:r>
          </w:p>
          <w:p w14:paraId="4E187D72" w14:textId="77777777" w:rsidR="00FD4559" w:rsidRDefault="00FD4559" w:rsidP="00473E8B">
            <w:pPr>
              <w:spacing w:after="0" w:line="259" w:lineRule="auto"/>
              <w:ind w:left="122" w:right="0" w:firstLine="0"/>
              <w:jc w:val="left"/>
            </w:pPr>
            <w:r>
              <w:rPr>
                <w:sz w:val="18"/>
              </w:rPr>
              <w:t xml:space="preserve">Accessing sexual and </w:t>
            </w:r>
          </w:p>
          <w:p w14:paraId="1C916E49" w14:textId="77777777" w:rsidR="00FD4559" w:rsidRDefault="00FD4559" w:rsidP="00473E8B">
            <w:pPr>
              <w:tabs>
                <w:tab w:val="center" w:pos="3311"/>
                <w:tab w:val="center" w:pos="4331"/>
                <w:tab w:val="right" w:pos="5789"/>
              </w:tabs>
              <w:spacing w:after="0" w:line="259" w:lineRule="auto"/>
              <w:ind w:left="0" w:right="0" w:firstLine="0"/>
              <w:jc w:val="left"/>
            </w:pPr>
            <w:r>
              <w:rPr>
                <w:rFonts w:ascii="Calibri" w:eastAsia="Calibri" w:hAnsi="Calibri" w:cs="Calibri"/>
              </w:rPr>
              <w:tab/>
            </w:r>
            <w:r>
              <w:rPr>
                <w:sz w:val="18"/>
              </w:rPr>
              <w:t xml:space="preserve">44 (31.9) </w:t>
            </w:r>
            <w:r>
              <w:rPr>
                <w:sz w:val="18"/>
              </w:rPr>
              <w:tab/>
              <w:t xml:space="preserve">54 (39.1) </w:t>
            </w:r>
            <w:r>
              <w:rPr>
                <w:sz w:val="18"/>
              </w:rPr>
              <w:tab/>
              <w:t xml:space="preserve">25 (18.1) </w:t>
            </w:r>
          </w:p>
          <w:p w14:paraId="1240A144" w14:textId="77777777" w:rsidR="00FD4559" w:rsidRDefault="00FD4559" w:rsidP="00473E8B">
            <w:pPr>
              <w:spacing w:after="0" w:line="259" w:lineRule="auto"/>
              <w:ind w:left="122" w:right="0" w:firstLine="0"/>
              <w:jc w:val="left"/>
            </w:pPr>
            <w:r>
              <w:rPr>
                <w:sz w:val="18"/>
              </w:rPr>
              <w:t xml:space="preserve">reproductive health information </w:t>
            </w:r>
          </w:p>
        </w:tc>
        <w:tc>
          <w:tcPr>
            <w:tcW w:w="1015" w:type="dxa"/>
            <w:tcBorders>
              <w:top w:val="single" w:sz="4" w:space="0" w:color="000000"/>
              <w:left w:val="nil"/>
              <w:bottom w:val="nil"/>
              <w:right w:val="nil"/>
            </w:tcBorders>
            <w:vAlign w:val="bottom"/>
          </w:tcPr>
          <w:p w14:paraId="547770C3" w14:textId="77777777" w:rsidR="00FD4559" w:rsidRDefault="00FD4559" w:rsidP="00473E8B">
            <w:pPr>
              <w:spacing w:after="0" w:line="259" w:lineRule="auto"/>
              <w:ind w:left="0" w:right="0" w:firstLine="0"/>
              <w:jc w:val="left"/>
            </w:pPr>
            <w:r>
              <w:rPr>
                <w:sz w:val="18"/>
              </w:rPr>
              <w:t xml:space="preserve">14 (10.1) </w:t>
            </w:r>
          </w:p>
        </w:tc>
        <w:tc>
          <w:tcPr>
            <w:tcW w:w="1085" w:type="dxa"/>
            <w:tcBorders>
              <w:top w:val="single" w:sz="4" w:space="0" w:color="000000"/>
              <w:left w:val="nil"/>
              <w:bottom w:val="nil"/>
              <w:right w:val="nil"/>
            </w:tcBorders>
            <w:vAlign w:val="bottom"/>
          </w:tcPr>
          <w:p w14:paraId="052DD87D" w14:textId="77777777" w:rsidR="00FD4559" w:rsidRDefault="00FD4559" w:rsidP="00473E8B">
            <w:pPr>
              <w:spacing w:after="0" w:line="259" w:lineRule="auto"/>
              <w:ind w:left="101" w:right="0" w:firstLine="0"/>
              <w:jc w:val="left"/>
            </w:pPr>
            <w:r>
              <w:rPr>
                <w:sz w:val="18"/>
              </w:rPr>
              <w:t xml:space="preserve">1 (0.7) </w:t>
            </w:r>
          </w:p>
        </w:tc>
        <w:tc>
          <w:tcPr>
            <w:tcW w:w="763" w:type="dxa"/>
            <w:tcBorders>
              <w:top w:val="single" w:sz="4" w:space="0" w:color="000000"/>
              <w:left w:val="nil"/>
              <w:bottom w:val="nil"/>
              <w:right w:val="nil"/>
            </w:tcBorders>
            <w:vAlign w:val="bottom"/>
          </w:tcPr>
          <w:p w14:paraId="4AD6D940" w14:textId="77777777" w:rsidR="00FD4559" w:rsidRDefault="00FD4559" w:rsidP="00473E8B">
            <w:pPr>
              <w:spacing w:after="0" w:line="259" w:lineRule="auto"/>
              <w:ind w:left="110" w:right="0" w:firstLine="0"/>
              <w:jc w:val="left"/>
            </w:pPr>
            <w:r>
              <w:rPr>
                <w:sz w:val="18"/>
              </w:rPr>
              <w:t xml:space="preserve">4 (2) </w:t>
            </w:r>
          </w:p>
        </w:tc>
      </w:tr>
      <w:tr w:rsidR="00FD4559" w14:paraId="74E73ABB" w14:textId="77777777" w:rsidTr="00473E8B">
        <w:trPr>
          <w:trHeight w:val="759"/>
        </w:trPr>
        <w:tc>
          <w:tcPr>
            <w:tcW w:w="2950" w:type="dxa"/>
            <w:tcBorders>
              <w:top w:val="nil"/>
              <w:left w:val="nil"/>
              <w:bottom w:val="nil"/>
              <w:right w:val="nil"/>
            </w:tcBorders>
            <w:vAlign w:val="center"/>
          </w:tcPr>
          <w:p w14:paraId="0D532402" w14:textId="77777777" w:rsidR="00FD4559" w:rsidRDefault="00FD4559" w:rsidP="00473E8B">
            <w:pPr>
              <w:spacing w:after="0" w:line="259" w:lineRule="auto"/>
              <w:ind w:left="122" w:right="0" w:firstLine="0"/>
              <w:jc w:val="left"/>
            </w:pPr>
            <w:r>
              <w:rPr>
                <w:sz w:val="18"/>
              </w:rPr>
              <w:t xml:space="preserve">Understanding sexual and reproductive health information </w:t>
            </w:r>
          </w:p>
        </w:tc>
        <w:tc>
          <w:tcPr>
            <w:tcW w:w="1020" w:type="dxa"/>
            <w:tcBorders>
              <w:top w:val="nil"/>
              <w:left w:val="nil"/>
              <w:bottom w:val="nil"/>
              <w:right w:val="nil"/>
            </w:tcBorders>
            <w:vAlign w:val="center"/>
          </w:tcPr>
          <w:p w14:paraId="49991121" w14:textId="77777777" w:rsidR="00FD4559" w:rsidRDefault="00FD4559" w:rsidP="00473E8B">
            <w:pPr>
              <w:spacing w:after="0" w:line="259" w:lineRule="auto"/>
              <w:ind w:left="0" w:right="0" w:firstLine="0"/>
              <w:jc w:val="left"/>
            </w:pPr>
            <w:r>
              <w:rPr>
                <w:sz w:val="18"/>
              </w:rPr>
              <w:t xml:space="preserve">33 (23.9) </w:t>
            </w:r>
          </w:p>
        </w:tc>
        <w:tc>
          <w:tcPr>
            <w:tcW w:w="989" w:type="dxa"/>
            <w:tcBorders>
              <w:top w:val="nil"/>
              <w:left w:val="nil"/>
              <w:bottom w:val="nil"/>
              <w:right w:val="nil"/>
            </w:tcBorders>
            <w:vAlign w:val="center"/>
          </w:tcPr>
          <w:p w14:paraId="103305DE" w14:textId="77777777" w:rsidR="00FD4559" w:rsidRDefault="00FD4559" w:rsidP="00473E8B">
            <w:pPr>
              <w:spacing w:after="0" w:line="259" w:lineRule="auto"/>
              <w:ind w:left="0" w:right="0" w:firstLine="0"/>
              <w:jc w:val="left"/>
            </w:pPr>
            <w:r>
              <w:rPr>
                <w:sz w:val="18"/>
              </w:rPr>
              <w:t xml:space="preserve">69 (50.0) </w:t>
            </w:r>
          </w:p>
        </w:tc>
        <w:tc>
          <w:tcPr>
            <w:tcW w:w="953" w:type="dxa"/>
            <w:tcBorders>
              <w:top w:val="nil"/>
              <w:left w:val="nil"/>
              <w:bottom w:val="nil"/>
              <w:right w:val="nil"/>
            </w:tcBorders>
            <w:vAlign w:val="center"/>
          </w:tcPr>
          <w:p w14:paraId="1074D830" w14:textId="77777777" w:rsidR="00FD4559" w:rsidRDefault="00FD4559" w:rsidP="00473E8B">
            <w:pPr>
              <w:spacing w:after="0" w:line="259" w:lineRule="auto"/>
              <w:ind w:left="0" w:right="0" w:firstLine="0"/>
              <w:jc w:val="left"/>
            </w:pPr>
            <w:r>
              <w:rPr>
                <w:sz w:val="18"/>
              </w:rPr>
              <w:t xml:space="preserve">21 (15.2) </w:t>
            </w:r>
          </w:p>
        </w:tc>
        <w:tc>
          <w:tcPr>
            <w:tcW w:w="1015" w:type="dxa"/>
            <w:tcBorders>
              <w:top w:val="nil"/>
              <w:left w:val="nil"/>
              <w:bottom w:val="nil"/>
              <w:right w:val="nil"/>
            </w:tcBorders>
            <w:vAlign w:val="center"/>
          </w:tcPr>
          <w:p w14:paraId="6D96684D" w14:textId="77777777" w:rsidR="00FD4559" w:rsidRDefault="00FD4559" w:rsidP="00473E8B">
            <w:pPr>
              <w:spacing w:after="0" w:line="259" w:lineRule="auto"/>
              <w:ind w:left="0" w:right="0" w:firstLine="0"/>
              <w:jc w:val="left"/>
            </w:pPr>
            <w:r>
              <w:rPr>
                <w:sz w:val="18"/>
              </w:rPr>
              <w:t xml:space="preserve">14 (10.1) </w:t>
            </w:r>
          </w:p>
        </w:tc>
        <w:tc>
          <w:tcPr>
            <w:tcW w:w="1085" w:type="dxa"/>
            <w:tcBorders>
              <w:top w:val="nil"/>
              <w:left w:val="nil"/>
              <w:bottom w:val="nil"/>
              <w:right w:val="nil"/>
            </w:tcBorders>
            <w:vAlign w:val="center"/>
          </w:tcPr>
          <w:p w14:paraId="3E2C3B06" w14:textId="77777777" w:rsidR="00FD4559" w:rsidRDefault="00FD4559" w:rsidP="00473E8B">
            <w:pPr>
              <w:spacing w:after="0" w:line="259" w:lineRule="auto"/>
              <w:ind w:left="101" w:right="0" w:firstLine="0"/>
              <w:jc w:val="left"/>
            </w:pPr>
            <w:r>
              <w:rPr>
                <w:sz w:val="18"/>
              </w:rPr>
              <w:t xml:space="preserve">1 (0.7) </w:t>
            </w:r>
          </w:p>
        </w:tc>
        <w:tc>
          <w:tcPr>
            <w:tcW w:w="763" w:type="dxa"/>
            <w:tcBorders>
              <w:top w:val="nil"/>
              <w:left w:val="nil"/>
              <w:bottom w:val="nil"/>
              <w:right w:val="nil"/>
            </w:tcBorders>
            <w:vAlign w:val="center"/>
          </w:tcPr>
          <w:p w14:paraId="41E12222" w14:textId="77777777" w:rsidR="00FD4559" w:rsidRDefault="00FD4559" w:rsidP="00473E8B">
            <w:pPr>
              <w:spacing w:after="0" w:line="259" w:lineRule="auto"/>
              <w:ind w:left="110" w:right="0" w:firstLine="0"/>
              <w:jc w:val="left"/>
            </w:pPr>
            <w:r>
              <w:rPr>
                <w:sz w:val="18"/>
              </w:rPr>
              <w:t xml:space="preserve">4 (1) </w:t>
            </w:r>
          </w:p>
        </w:tc>
      </w:tr>
      <w:tr w:rsidR="00FD4559" w14:paraId="565BA080" w14:textId="77777777" w:rsidTr="00473E8B">
        <w:trPr>
          <w:trHeight w:val="758"/>
        </w:trPr>
        <w:tc>
          <w:tcPr>
            <w:tcW w:w="2950" w:type="dxa"/>
            <w:tcBorders>
              <w:top w:val="nil"/>
              <w:left w:val="nil"/>
              <w:bottom w:val="nil"/>
              <w:right w:val="nil"/>
            </w:tcBorders>
            <w:vAlign w:val="center"/>
          </w:tcPr>
          <w:p w14:paraId="65C5039B" w14:textId="77777777" w:rsidR="00FD4559" w:rsidRDefault="00FD4559" w:rsidP="00473E8B">
            <w:pPr>
              <w:spacing w:after="0" w:line="259" w:lineRule="auto"/>
              <w:ind w:left="122" w:right="0" w:firstLine="0"/>
              <w:jc w:val="left"/>
            </w:pPr>
            <w:r>
              <w:rPr>
                <w:sz w:val="18"/>
              </w:rPr>
              <w:t xml:space="preserve">Appraising sexual and reproductive health information </w:t>
            </w:r>
          </w:p>
        </w:tc>
        <w:tc>
          <w:tcPr>
            <w:tcW w:w="1020" w:type="dxa"/>
            <w:tcBorders>
              <w:top w:val="nil"/>
              <w:left w:val="nil"/>
              <w:bottom w:val="nil"/>
              <w:right w:val="nil"/>
            </w:tcBorders>
            <w:vAlign w:val="center"/>
          </w:tcPr>
          <w:p w14:paraId="52282BE5" w14:textId="77777777" w:rsidR="00FD4559" w:rsidRDefault="00FD4559" w:rsidP="00473E8B">
            <w:pPr>
              <w:spacing w:after="0" w:line="259" w:lineRule="auto"/>
              <w:ind w:left="0" w:right="0" w:firstLine="0"/>
              <w:jc w:val="left"/>
            </w:pPr>
            <w:r>
              <w:rPr>
                <w:sz w:val="18"/>
              </w:rPr>
              <w:t xml:space="preserve">35 (25.4) </w:t>
            </w:r>
          </w:p>
        </w:tc>
        <w:tc>
          <w:tcPr>
            <w:tcW w:w="989" w:type="dxa"/>
            <w:tcBorders>
              <w:top w:val="nil"/>
              <w:left w:val="nil"/>
              <w:bottom w:val="nil"/>
              <w:right w:val="nil"/>
            </w:tcBorders>
            <w:vAlign w:val="center"/>
          </w:tcPr>
          <w:p w14:paraId="6A28E12E" w14:textId="77777777" w:rsidR="00FD4559" w:rsidRDefault="00FD4559" w:rsidP="00473E8B">
            <w:pPr>
              <w:spacing w:after="0" w:line="259" w:lineRule="auto"/>
              <w:ind w:left="0" w:right="0" w:firstLine="0"/>
              <w:jc w:val="left"/>
            </w:pPr>
            <w:r>
              <w:rPr>
                <w:sz w:val="18"/>
              </w:rPr>
              <w:t xml:space="preserve">68 (49.3) </w:t>
            </w:r>
          </w:p>
        </w:tc>
        <w:tc>
          <w:tcPr>
            <w:tcW w:w="953" w:type="dxa"/>
            <w:tcBorders>
              <w:top w:val="nil"/>
              <w:left w:val="nil"/>
              <w:bottom w:val="nil"/>
              <w:right w:val="nil"/>
            </w:tcBorders>
            <w:vAlign w:val="center"/>
          </w:tcPr>
          <w:p w14:paraId="3D539E9E" w14:textId="77777777" w:rsidR="00FD4559" w:rsidRDefault="00FD4559" w:rsidP="00473E8B">
            <w:pPr>
              <w:spacing w:after="0" w:line="259" w:lineRule="auto"/>
              <w:ind w:left="0" w:right="0" w:firstLine="0"/>
              <w:jc w:val="left"/>
            </w:pPr>
            <w:r>
              <w:rPr>
                <w:sz w:val="18"/>
              </w:rPr>
              <w:t xml:space="preserve">22 (15.9) </w:t>
            </w:r>
          </w:p>
        </w:tc>
        <w:tc>
          <w:tcPr>
            <w:tcW w:w="1015" w:type="dxa"/>
            <w:tcBorders>
              <w:top w:val="nil"/>
              <w:left w:val="nil"/>
              <w:bottom w:val="nil"/>
              <w:right w:val="nil"/>
            </w:tcBorders>
            <w:vAlign w:val="center"/>
          </w:tcPr>
          <w:p w14:paraId="4BF8E55F" w14:textId="77777777" w:rsidR="00FD4559" w:rsidRDefault="00FD4559" w:rsidP="00473E8B">
            <w:pPr>
              <w:spacing w:after="0" w:line="259" w:lineRule="auto"/>
              <w:ind w:left="50" w:right="0" w:firstLine="0"/>
              <w:jc w:val="left"/>
            </w:pPr>
            <w:r>
              <w:rPr>
                <w:sz w:val="18"/>
              </w:rPr>
              <w:t xml:space="preserve">13 (9.4) </w:t>
            </w:r>
          </w:p>
        </w:tc>
        <w:tc>
          <w:tcPr>
            <w:tcW w:w="1085" w:type="dxa"/>
            <w:tcBorders>
              <w:top w:val="nil"/>
              <w:left w:val="nil"/>
              <w:bottom w:val="nil"/>
              <w:right w:val="nil"/>
            </w:tcBorders>
            <w:vAlign w:val="center"/>
          </w:tcPr>
          <w:p w14:paraId="26843C6A" w14:textId="77777777" w:rsidR="00FD4559" w:rsidRDefault="00FD4559" w:rsidP="00473E8B">
            <w:pPr>
              <w:spacing w:after="0" w:line="259" w:lineRule="auto"/>
              <w:ind w:left="310" w:right="0" w:firstLine="0"/>
              <w:jc w:val="left"/>
            </w:pPr>
            <w:r>
              <w:rPr>
                <w:sz w:val="18"/>
              </w:rPr>
              <w:t xml:space="preserve">0 </w:t>
            </w:r>
          </w:p>
        </w:tc>
        <w:tc>
          <w:tcPr>
            <w:tcW w:w="763" w:type="dxa"/>
            <w:tcBorders>
              <w:top w:val="nil"/>
              <w:left w:val="nil"/>
              <w:bottom w:val="nil"/>
              <w:right w:val="nil"/>
            </w:tcBorders>
            <w:vAlign w:val="center"/>
          </w:tcPr>
          <w:p w14:paraId="3A0E6C40" w14:textId="77777777" w:rsidR="00FD4559" w:rsidRDefault="00FD4559" w:rsidP="00473E8B">
            <w:pPr>
              <w:spacing w:after="0" w:line="259" w:lineRule="auto"/>
              <w:ind w:left="110" w:right="0" w:firstLine="0"/>
              <w:jc w:val="left"/>
            </w:pPr>
            <w:r>
              <w:rPr>
                <w:sz w:val="18"/>
              </w:rPr>
              <w:t xml:space="preserve">4 (2) </w:t>
            </w:r>
          </w:p>
        </w:tc>
      </w:tr>
      <w:tr w:rsidR="00FD4559" w14:paraId="127F7601" w14:textId="77777777" w:rsidTr="00473E8B">
        <w:trPr>
          <w:trHeight w:val="725"/>
        </w:trPr>
        <w:tc>
          <w:tcPr>
            <w:tcW w:w="2950" w:type="dxa"/>
            <w:tcBorders>
              <w:top w:val="nil"/>
              <w:left w:val="nil"/>
              <w:bottom w:val="nil"/>
              <w:right w:val="nil"/>
            </w:tcBorders>
          </w:tcPr>
          <w:p w14:paraId="142932C2" w14:textId="77777777" w:rsidR="00FD4559" w:rsidRDefault="00FD4559" w:rsidP="00473E8B">
            <w:pPr>
              <w:spacing w:after="0" w:line="259" w:lineRule="auto"/>
              <w:ind w:left="122" w:right="0" w:firstLine="0"/>
              <w:jc w:val="left"/>
            </w:pPr>
            <w:r>
              <w:rPr>
                <w:sz w:val="18"/>
              </w:rPr>
              <w:t xml:space="preserve">Accessing sexual and reproductive health services </w:t>
            </w:r>
          </w:p>
        </w:tc>
        <w:tc>
          <w:tcPr>
            <w:tcW w:w="1020" w:type="dxa"/>
            <w:tcBorders>
              <w:top w:val="nil"/>
              <w:left w:val="nil"/>
              <w:bottom w:val="nil"/>
              <w:right w:val="nil"/>
            </w:tcBorders>
            <w:vAlign w:val="center"/>
          </w:tcPr>
          <w:p w14:paraId="0B8CF14E" w14:textId="77777777" w:rsidR="00FD4559" w:rsidRDefault="00FD4559" w:rsidP="00473E8B">
            <w:pPr>
              <w:spacing w:after="0" w:line="259" w:lineRule="auto"/>
              <w:ind w:left="0" w:right="0" w:firstLine="0"/>
              <w:jc w:val="left"/>
            </w:pPr>
            <w:r>
              <w:rPr>
                <w:sz w:val="18"/>
              </w:rPr>
              <w:t xml:space="preserve">36 (26.1) </w:t>
            </w:r>
          </w:p>
        </w:tc>
        <w:tc>
          <w:tcPr>
            <w:tcW w:w="989" w:type="dxa"/>
            <w:tcBorders>
              <w:top w:val="nil"/>
              <w:left w:val="nil"/>
              <w:bottom w:val="nil"/>
              <w:right w:val="nil"/>
            </w:tcBorders>
            <w:vAlign w:val="center"/>
          </w:tcPr>
          <w:p w14:paraId="3911F2FC" w14:textId="77777777" w:rsidR="00FD4559" w:rsidRDefault="00FD4559" w:rsidP="00473E8B">
            <w:pPr>
              <w:spacing w:after="0" w:line="259" w:lineRule="auto"/>
              <w:ind w:left="0" w:right="0" w:firstLine="0"/>
              <w:jc w:val="left"/>
            </w:pPr>
            <w:r>
              <w:rPr>
                <w:sz w:val="18"/>
              </w:rPr>
              <w:t xml:space="preserve">62 (44.9) </w:t>
            </w:r>
          </w:p>
        </w:tc>
        <w:tc>
          <w:tcPr>
            <w:tcW w:w="953" w:type="dxa"/>
            <w:tcBorders>
              <w:top w:val="nil"/>
              <w:left w:val="nil"/>
              <w:bottom w:val="nil"/>
              <w:right w:val="nil"/>
            </w:tcBorders>
            <w:vAlign w:val="center"/>
          </w:tcPr>
          <w:p w14:paraId="00A3897D" w14:textId="77777777" w:rsidR="00FD4559" w:rsidRDefault="00FD4559" w:rsidP="00473E8B">
            <w:pPr>
              <w:spacing w:after="0" w:line="259" w:lineRule="auto"/>
              <w:ind w:left="0" w:right="0" w:firstLine="0"/>
              <w:jc w:val="left"/>
            </w:pPr>
            <w:r>
              <w:rPr>
                <w:sz w:val="18"/>
              </w:rPr>
              <w:t xml:space="preserve">21 (15.2) </w:t>
            </w:r>
          </w:p>
        </w:tc>
        <w:tc>
          <w:tcPr>
            <w:tcW w:w="1015" w:type="dxa"/>
            <w:tcBorders>
              <w:top w:val="nil"/>
              <w:left w:val="nil"/>
              <w:bottom w:val="nil"/>
              <w:right w:val="nil"/>
            </w:tcBorders>
            <w:vAlign w:val="center"/>
          </w:tcPr>
          <w:p w14:paraId="1CDE2F05" w14:textId="77777777" w:rsidR="00FD4559" w:rsidRDefault="00FD4559" w:rsidP="00473E8B">
            <w:pPr>
              <w:spacing w:after="0" w:line="259" w:lineRule="auto"/>
              <w:ind w:left="0" w:right="0" w:firstLine="0"/>
              <w:jc w:val="left"/>
            </w:pPr>
            <w:r>
              <w:rPr>
                <w:sz w:val="18"/>
              </w:rPr>
              <w:t xml:space="preserve">18 (13.0) </w:t>
            </w:r>
          </w:p>
        </w:tc>
        <w:tc>
          <w:tcPr>
            <w:tcW w:w="1085" w:type="dxa"/>
            <w:tcBorders>
              <w:top w:val="nil"/>
              <w:left w:val="nil"/>
              <w:bottom w:val="nil"/>
              <w:right w:val="nil"/>
            </w:tcBorders>
            <w:vAlign w:val="center"/>
          </w:tcPr>
          <w:p w14:paraId="12BE858C" w14:textId="77777777" w:rsidR="00FD4559" w:rsidRDefault="00FD4559" w:rsidP="00473E8B">
            <w:pPr>
              <w:spacing w:after="0" w:line="259" w:lineRule="auto"/>
              <w:ind w:left="101" w:right="0" w:firstLine="0"/>
              <w:jc w:val="left"/>
            </w:pPr>
            <w:r>
              <w:rPr>
                <w:sz w:val="18"/>
              </w:rPr>
              <w:t xml:space="preserve">1 (0.7) </w:t>
            </w:r>
          </w:p>
        </w:tc>
        <w:tc>
          <w:tcPr>
            <w:tcW w:w="763" w:type="dxa"/>
            <w:tcBorders>
              <w:top w:val="nil"/>
              <w:left w:val="nil"/>
              <w:bottom w:val="nil"/>
              <w:right w:val="nil"/>
            </w:tcBorders>
            <w:vAlign w:val="center"/>
          </w:tcPr>
          <w:p w14:paraId="321609B7" w14:textId="77777777" w:rsidR="00FD4559" w:rsidRDefault="00FD4559" w:rsidP="00473E8B">
            <w:pPr>
              <w:spacing w:after="0" w:line="259" w:lineRule="auto"/>
              <w:ind w:left="110" w:right="0" w:firstLine="0"/>
              <w:jc w:val="left"/>
            </w:pPr>
            <w:r>
              <w:rPr>
                <w:sz w:val="18"/>
              </w:rPr>
              <w:t xml:space="preserve">4 (2) </w:t>
            </w:r>
          </w:p>
        </w:tc>
      </w:tr>
      <w:tr w:rsidR="00FD4559" w14:paraId="1C4932D7" w14:textId="77777777" w:rsidTr="00473E8B">
        <w:trPr>
          <w:trHeight w:val="1021"/>
        </w:trPr>
        <w:tc>
          <w:tcPr>
            <w:tcW w:w="2950" w:type="dxa"/>
            <w:tcBorders>
              <w:top w:val="nil"/>
              <w:left w:val="nil"/>
              <w:bottom w:val="single" w:sz="4" w:space="0" w:color="000000"/>
              <w:right w:val="nil"/>
            </w:tcBorders>
          </w:tcPr>
          <w:p w14:paraId="3EDECF41" w14:textId="77777777" w:rsidR="00FD4559" w:rsidRDefault="00FD4559" w:rsidP="00473E8B">
            <w:pPr>
              <w:spacing w:after="0" w:line="259" w:lineRule="auto"/>
              <w:ind w:left="122" w:right="254" w:firstLine="0"/>
              <w:jc w:val="left"/>
            </w:pPr>
            <w:r>
              <w:rPr>
                <w:sz w:val="18"/>
              </w:rPr>
              <w:t xml:space="preserve">Making decisions regarding their sexual and reproductive health </w:t>
            </w:r>
          </w:p>
        </w:tc>
        <w:tc>
          <w:tcPr>
            <w:tcW w:w="1020" w:type="dxa"/>
            <w:tcBorders>
              <w:top w:val="nil"/>
              <w:left w:val="nil"/>
              <w:bottom w:val="single" w:sz="4" w:space="0" w:color="000000"/>
              <w:right w:val="nil"/>
            </w:tcBorders>
            <w:vAlign w:val="center"/>
          </w:tcPr>
          <w:p w14:paraId="04C1CC5E" w14:textId="77777777" w:rsidR="00FD4559" w:rsidRDefault="00FD4559" w:rsidP="00473E8B">
            <w:pPr>
              <w:spacing w:after="0" w:line="259" w:lineRule="auto"/>
              <w:ind w:left="0" w:right="0" w:firstLine="0"/>
              <w:jc w:val="left"/>
            </w:pPr>
            <w:r>
              <w:rPr>
                <w:sz w:val="18"/>
              </w:rPr>
              <w:t xml:space="preserve">46 (33.3) </w:t>
            </w:r>
          </w:p>
        </w:tc>
        <w:tc>
          <w:tcPr>
            <w:tcW w:w="989" w:type="dxa"/>
            <w:tcBorders>
              <w:top w:val="nil"/>
              <w:left w:val="nil"/>
              <w:bottom w:val="single" w:sz="4" w:space="0" w:color="000000"/>
              <w:right w:val="nil"/>
            </w:tcBorders>
            <w:vAlign w:val="center"/>
          </w:tcPr>
          <w:p w14:paraId="19C9E28E" w14:textId="77777777" w:rsidR="00FD4559" w:rsidRDefault="00FD4559" w:rsidP="00473E8B">
            <w:pPr>
              <w:spacing w:after="0" w:line="259" w:lineRule="auto"/>
              <w:ind w:left="0" w:right="0" w:firstLine="0"/>
              <w:jc w:val="left"/>
            </w:pPr>
            <w:r>
              <w:rPr>
                <w:sz w:val="18"/>
              </w:rPr>
              <w:t xml:space="preserve">68 (49.3) </w:t>
            </w:r>
          </w:p>
        </w:tc>
        <w:tc>
          <w:tcPr>
            <w:tcW w:w="953" w:type="dxa"/>
            <w:tcBorders>
              <w:top w:val="nil"/>
              <w:left w:val="nil"/>
              <w:bottom w:val="single" w:sz="4" w:space="0" w:color="000000"/>
              <w:right w:val="nil"/>
            </w:tcBorders>
            <w:vAlign w:val="center"/>
          </w:tcPr>
          <w:p w14:paraId="71052219" w14:textId="77777777" w:rsidR="00FD4559" w:rsidRDefault="00FD4559" w:rsidP="00473E8B">
            <w:pPr>
              <w:spacing w:after="0" w:line="259" w:lineRule="auto"/>
              <w:ind w:left="0" w:right="0" w:firstLine="0"/>
              <w:jc w:val="left"/>
            </w:pPr>
            <w:r>
              <w:rPr>
                <w:sz w:val="18"/>
              </w:rPr>
              <w:t xml:space="preserve">17 (12.3) </w:t>
            </w:r>
          </w:p>
        </w:tc>
        <w:tc>
          <w:tcPr>
            <w:tcW w:w="1015" w:type="dxa"/>
            <w:tcBorders>
              <w:top w:val="nil"/>
              <w:left w:val="nil"/>
              <w:bottom w:val="single" w:sz="4" w:space="0" w:color="000000"/>
              <w:right w:val="nil"/>
            </w:tcBorders>
            <w:vAlign w:val="center"/>
          </w:tcPr>
          <w:p w14:paraId="6CFA01FB" w14:textId="77777777" w:rsidR="00FD4559" w:rsidRDefault="00FD4559" w:rsidP="00473E8B">
            <w:pPr>
              <w:spacing w:after="0" w:line="259" w:lineRule="auto"/>
              <w:ind w:left="98" w:right="0" w:firstLine="0"/>
              <w:jc w:val="left"/>
            </w:pPr>
            <w:r>
              <w:rPr>
                <w:sz w:val="18"/>
              </w:rPr>
              <w:t xml:space="preserve">6 (4.3) </w:t>
            </w:r>
          </w:p>
        </w:tc>
        <w:tc>
          <w:tcPr>
            <w:tcW w:w="1085" w:type="dxa"/>
            <w:tcBorders>
              <w:top w:val="nil"/>
              <w:left w:val="nil"/>
              <w:bottom w:val="single" w:sz="4" w:space="0" w:color="000000"/>
              <w:right w:val="nil"/>
            </w:tcBorders>
            <w:vAlign w:val="center"/>
          </w:tcPr>
          <w:p w14:paraId="4E2ADF69" w14:textId="77777777" w:rsidR="00FD4559" w:rsidRDefault="00FD4559" w:rsidP="00473E8B">
            <w:pPr>
              <w:spacing w:after="0" w:line="259" w:lineRule="auto"/>
              <w:ind w:left="101" w:right="0" w:firstLine="0"/>
              <w:jc w:val="left"/>
            </w:pPr>
            <w:r>
              <w:rPr>
                <w:sz w:val="18"/>
              </w:rPr>
              <w:t xml:space="preserve">1 (0.7) </w:t>
            </w:r>
          </w:p>
        </w:tc>
        <w:tc>
          <w:tcPr>
            <w:tcW w:w="763" w:type="dxa"/>
            <w:tcBorders>
              <w:top w:val="nil"/>
              <w:left w:val="nil"/>
              <w:bottom w:val="single" w:sz="4" w:space="0" w:color="000000"/>
              <w:right w:val="nil"/>
            </w:tcBorders>
            <w:vAlign w:val="center"/>
          </w:tcPr>
          <w:p w14:paraId="5DC9A844" w14:textId="77777777" w:rsidR="00FD4559" w:rsidRDefault="00FD4559" w:rsidP="00473E8B">
            <w:pPr>
              <w:spacing w:after="0" w:line="259" w:lineRule="auto"/>
              <w:ind w:left="110" w:right="0" w:firstLine="0"/>
              <w:jc w:val="left"/>
            </w:pPr>
            <w:r>
              <w:rPr>
                <w:sz w:val="18"/>
              </w:rPr>
              <w:t xml:space="preserve">4 (1) </w:t>
            </w:r>
          </w:p>
        </w:tc>
      </w:tr>
    </w:tbl>
    <w:p w14:paraId="3F30186E" w14:textId="77777777" w:rsidR="00FD4559" w:rsidRDefault="00FD4559" w:rsidP="00FD4559">
      <w:pPr>
        <w:spacing w:after="373" w:line="259" w:lineRule="auto"/>
        <w:ind w:left="0" w:right="0" w:firstLine="0"/>
        <w:jc w:val="left"/>
        <w:rPr>
          <w:b/>
          <w:sz w:val="18"/>
        </w:rPr>
      </w:pPr>
      <w:r>
        <w:rPr>
          <w:b/>
          <w:sz w:val="18"/>
        </w:rPr>
        <w:t xml:space="preserve"> </w:t>
      </w:r>
    </w:p>
    <w:p w14:paraId="0EBB833B" w14:textId="77777777" w:rsidR="00FD4559" w:rsidRDefault="00FD4559" w:rsidP="00FD4559">
      <w:pPr>
        <w:spacing w:after="373" w:line="259" w:lineRule="auto"/>
        <w:ind w:left="0" w:right="0" w:firstLine="0"/>
        <w:jc w:val="left"/>
        <w:rPr>
          <w:b/>
          <w:sz w:val="18"/>
        </w:rPr>
      </w:pPr>
    </w:p>
    <w:p w14:paraId="65FC1073" w14:textId="77777777" w:rsidR="00FD4559" w:rsidRDefault="00FD4559" w:rsidP="00FD4559">
      <w:pPr>
        <w:spacing w:after="373" w:line="259" w:lineRule="auto"/>
        <w:ind w:left="0" w:right="0" w:firstLine="0"/>
        <w:jc w:val="left"/>
        <w:rPr>
          <w:b/>
          <w:sz w:val="18"/>
        </w:rPr>
      </w:pPr>
    </w:p>
    <w:p w14:paraId="0727ED3B" w14:textId="77777777" w:rsidR="00FD4559" w:rsidRDefault="00FD4559" w:rsidP="00FD4559">
      <w:pPr>
        <w:spacing w:after="373" w:line="259" w:lineRule="auto"/>
        <w:ind w:left="0" w:right="0" w:firstLine="0"/>
        <w:jc w:val="left"/>
        <w:rPr>
          <w:b/>
          <w:sz w:val="18"/>
        </w:rPr>
      </w:pPr>
    </w:p>
    <w:p w14:paraId="0DA90C26" w14:textId="77777777" w:rsidR="00FD4559" w:rsidRDefault="00FD4559" w:rsidP="00FD4559">
      <w:pPr>
        <w:spacing w:after="373" w:line="259" w:lineRule="auto"/>
        <w:ind w:left="0" w:right="0" w:firstLine="0"/>
        <w:jc w:val="left"/>
      </w:pPr>
    </w:p>
    <w:p w14:paraId="332601E3" w14:textId="77777777" w:rsidR="00FD4559" w:rsidRDefault="00FD4559" w:rsidP="00FD4559">
      <w:pPr>
        <w:spacing w:after="0" w:line="259" w:lineRule="auto"/>
        <w:ind w:left="10" w:right="3056"/>
        <w:jc w:val="left"/>
      </w:pPr>
      <w:r>
        <w:rPr>
          <w:b/>
          <w:sz w:val="18"/>
        </w:rPr>
        <w:t xml:space="preserve">Table 6. </w:t>
      </w:r>
      <w:r>
        <w:rPr>
          <w:sz w:val="18"/>
        </w:rPr>
        <w:t xml:space="preserve">Average ranking, standard deviation and median ranking of each barrier to SRHL for women ranked from the most common to the least common. </w:t>
      </w:r>
      <w:r>
        <w:rPr>
          <w:b/>
          <w:sz w:val="18"/>
        </w:rPr>
        <w:t xml:space="preserve"> </w:t>
      </w:r>
    </w:p>
    <w:tbl>
      <w:tblPr>
        <w:tblStyle w:val="TableGrid"/>
        <w:tblW w:w="6064" w:type="dxa"/>
        <w:tblInd w:w="-123" w:type="dxa"/>
        <w:tblCellMar>
          <w:top w:w="58" w:type="dxa"/>
          <w:right w:w="115" w:type="dxa"/>
        </w:tblCellMar>
        <w:tblLook w:val="04A0" w:firstRow="1" w:lastRow="0" w:firstColumn="1" w:lastColumn="0" w:noHBand="0" w:noVBand="1"/>
      </w:tblPr>
      <w:tblGrid>
        <w:gridCol w:w="2132"/>
        <w:gridCol w:w="3932"/>
      </w:tblGrid>
      <w:tr w:rsidR="00FD4559" w14:paraId="0044D85E" w14:textId="77777777" w:rsidTr="00473E8B">
        <w:trPr>
          <w:trHeight w:val="422"/>
        </w:trPr>
        <w:tc>
          <w:tcPr>
            <w:tcW w:w="2132" w:type="dxa"/>
            <w:tcBorders>
              <w:top w:val="single" w:sz="4" w:space="0" w:color="000000"/>
              <w:left w:val="nil"/>
              <w:bottom w:val="single" w:sz="4" w:space="0" w:color="000000"/>
              <w:right w:val="nil"/>
            </w:tcBorders>
          </w:tcPr>
          <w:p w14:paraId="542337B5" w14:textId="77777777" w:rsidR="00FD4559" w:rsidRDefault="00FD4559" w:rsidP="00473E8B">
            <w:pPr>
              <w:spacing w:after="0" w:line="259" w:lineRule="auto"/>
              <w:ind w:left="123" w:right="0" w:firstLine="0"/>
              <w:jc w:val="left"/>
            </w:pPr>
            <w:r>
              <w:rPr>
                <w:b/>
                <w:sz w:val="18"/>
              </w:rPr>
              <w:t xml:space="preserve">Barrier </w:t>
            </w:r>
          </w:p>
        </w:tc>
        <w:tc>
          <w:tcPr>
            <w:tcW w:w="3932" w:type="dxa"/>
            <w:tcBorders>
              <w:top w:val="single" w:sz="4" w:space="0" w:color="000000"/>
              <w:left w:val="nil"/>
              <w:bottom w:val="single" w:sz="4" w:space="0" w:color="000000"/>
              <w:right w:val="nil"/>
            </w:tcBorders>
          </w:tcPr>
          <w:p w14:paraId="661CF737" w14:textId="77777777" w:rsidR="00FD4559" w:rsidRDefault="00FD4559" w:rsidP="00473E8B">
            <w:pPr>
              <w:spacing w:after="0" w:line="259" w:lineRule="auto"/>
              <w:ind w:left="0" w:right="0" w:firstLine="0"/>
              <w:jc w:val="left"/>
            </w:pPr>
            <w:r>
              <w:rPr>
                <w:i/>
                <w:sz w:val="18"/>
              </w:rPr>
              <w:t xml:space="preserve">Mean ± SD (Median) </w:t>
            </w:r>
          </w:p>
        </w:tc>
      </w:tr>
      <w:tr w:rsidR="00FD4559" w14:paraId="2B5EA72B" w14:textId="77777777" w:rsidTr="00473E8B">
        <w:trPr>
          <w:trHeight w:val="369"/>
        </w:trPr>
        <w:tc>
          <w:tcPr>
            <w:tcW w:w="2132" w:type="dxa"/>
            <w:tcBorders>
              <w:top w:val="single" w:sz="4" w:space="0" w:color="000000"/>
              <w:left w:val="nil"/>
              <w:bottom w:val="nil"/>
              <w:right w:val="nil"/>
            </w:tcBorders>
          </w:tcPr>
          <w:p w14:paraId="6C2D4A63" w14:textId="77777777" w:rsidR="00FD4559" w:rsidRDefault="00FD4559" w:rsidP="00473E8B">
            <w:pPr>
              <w:spacing w:after="0" w:line="259" w:lineRule="auto"/>
              <w:ind w:left="123" w:right="0" w:firstLine="0"/>
              <w:jc w:val="left"/>
            </w:pPr>
            <w:r>
              <w:rPr>
                <w:sz w:val="18"/>
              </w:rPr>
              <w:t xml:space="preserve">False beliefs </w:t>
            </w:r>
          </w:p>
        </w:tc>
        <w:tc>
          <w:tcPr>
            <w:tcW w:w="3932" w:type="dxa"/>
            <w:tcBorders>
              <w:top w:val="single" w:sz="4" w:space="0" w:color="000000"/>
              <w:left w:val="nil"/>
              <w:bottom w:val="nil"/>
              <w:right w:val="nil"/>
            </w:tcBorders>
          </w:tcPr>
          <w:p w14:paraId="208BB9AB" w14:textId="77777777" w:rsidR="00FD4559" w:rsidRDefault="00FD4559" w:rsidP="00473E8B">
            <w:pPr>
              <w:spacing w:after="0" w:line="259" w:lineRule="auto"/>
              <w:ind w:left="0" w:right="0" w:firstLine="0"/>
              <w:jc w:val="left"/>
            </w:pPr>
            <w:r>
              <w:rPr>
                <w:sz w:val="18"/>
              </w:rPr>
              <w:t xml:space="preserve">2.72 ± 2.64 (1.5) </w:t>
            </w:r>
          </w:p>
        </w:tc>
      </w:tr>
      <w:tr w:rsidR="00FD4559" w14:paraId="0D784152" w14:textId="77777777" w:rsidTr="00473E8B">
        <w:trPr>
          <w:trHeight w:val="413"/>
        </w:trPr>
        <w:tc>
          <w:tcPr>
            <w:tcW w:w="2132" w:type="dxa"/>
            <w:tcBorders>
              <w:top w:val="nil"/>
              <w:left w:val="nil"/>
              <w:bottom w:val="nil"/>
              <w:right w:val="nil"/>
            </w:tcBorders>
            <w:vAlign w:val="center"/>
          </w:tcPr>
          <w:p w14:paraId="693FF27D" w14:textId="77777777" w:rsidR="00FD4559" w:rsidRDefault="00FD4559" w:rsidP="00473E8B">
            <w:pPr>
              <w:spacing w:after="0" w:line="259" w:lineRule="auto"/>
              <w:ind w:left="123" w:right="0" w:firstLine="0"/>
              <w:jc w:val="left"/>
            </w:pPr>
            <w:r>
              <w:rPr>
                <w:sz w:val="18"/>
              </w:rPr>
              <w:t xml:space="preserve">Lack of knowledge </w:t>
            </w:r>
          </w:p>
        </w:tc>
        <w:tc>
          <w:tcPr>
            <w:tcW w:w="3932" w:type="dxa"/>
            <w:tcBorders>
              <w:top w:val="nil"/>
              <w:left w:val="nil"/>
              <w:bottom w:val="nil"/>
              <w:right w:val="nil"/>
            </w:tcBorders>
            <w:vAlign w:val="center"/>
          </w:tcPr>
          <w:p w14:paraId="55468564" w14:textId="77777777" w:rsidR="00FD4559" w:rsidRDefault="00FD4559" w:rsidP="00473E8B">
            <w:pPr>
              <w:spacing w:after="0" w:line="259" w:lineRule="auto"/>
              <w:ind w:left="0" w:right="0" w:firstLine="0"/>
              <w:jc w:val="left"/>
            </w:pPr>
            <w:r>
              <w:rPr>
                <w:sz w:val="18"/>
              </w:rPr>
              <w:t xml:space="preserve">2.79 ± 2.71 (2) </w:t>
            </w:r>
          </w:p>
        </w:tc>
      </w:tr>
      <w:tr w:rsidR="00FD4559" w14:paraId="4399EE35" w14:textId="77777777" w:rsidTr="00473E8B">
        <w:trPr>
          <w:trHeight w:val="413"/>
        </w:trPr>
        <w:tc>
          <w:tcPr>
            <w:tcW w:w="2132" w:type="dxa"/>
            <w:tcBorders>
              <w:top w:val="nil"/>
              <w:left w:val="nil"/>
              <w:bottom w:val="nil"/>
              <w:right w:val="nil"/>
            </w:tcBorders>
            <w:vAlign w:val="center"/>
          </w:tcPr>
          <w:p w14:paraId="596EA128" w14:textId="77777777" w:rsidR="00FD4559" w:rsidRDefault="00FD4559" w:rsidP="00473E8B">
            <w:pPr>
              <w:spacing w:after="0" w:line="259" w:lineRule="auto"/>
              <w:ind w:left="123" w:right="0" w:firstLine="0"/>
              <w:jc w:val="left"/>
            </w:pPr>
            <w:r>
              <w:rPr>
                <w:sz w:val="18"/>
              </w:rPr>
              <w:t xml:space="preserve">Embarrassment  </w:t>
            </w:r>
          </w:p>
        </w:tc>
        <w:tc>
          <w:tcPr>
            <w:tcW w:w="3932" w:type="dxa"/>
            <w:tcBorders>
              <w:top w:val="nil"/>
              <w:left w:val="nil"/>
              <w:bottom w:val="nil"/>
              <w:right w:val="nil"/>
            </w:tcBorders>
            <w:vAlign w:val="center"/>
          </w:tcPr>
          <w:p w14:paraId="0429687B" w14:textId="77777777" w:rsidR="00FD4559" w:rsidRDefault="00FD4559" w:rsidP="00473E8B">
            <w:pPr>
              <w:spacing w:after="0" w:line="259" w:lineRule="auto"/>
              <w:ind w:left="0" w:right="0" w:firstLine="0"/>
              <w:jc w:val="left"/>
            </w:pPr>
            <w:r>
              <w:rPr>
                <w:sz w:val="18"/>
              </w:rPr>
              <w:t xml:space="preserve">2.82 ± 2.71 (1) </w:t>
            </w:r>
          </w:p>
        </w:tc>
      </w:tr>
      <w:tr w:rsidR="00FD4559" w14:paraId="0502C15B" w14:textId="77777777" w:rsidTr="00473E8B">
        <w:trPr>
          <w:trHeight w:val="413"/>
        </w:trPr>
        <w:tc>
          <w:tcPr>
            <w:tcW w:w="2132" w:type="dxa"/>
            <w:tcBorders>
              <w:top w:val="nil"/>
              <w:left w:val="nil"/>
              <w:bottom w:val="nil"/>
              <w:right w:val="nil"/>
            </w:tcBorders>
            <w:vAlign w:val="center"/>
          </w:tcPr>
          <w:p w14:paraId="03543196" w14:textId="77777777" w:rsidR="00FD4559" w:rsidRDefault="00FD4559" w:rsidP="00473E8B">
            <w:pPr>
              <w:spacing w:after="0" w:line="259" w:lineRule="auto"/>
              <w:ind w:left="123" w:right="0" w:firstLine="0"/>
              <w:jc w:val="left"/>
            </w:pPr>
            <w:r>
              <w:rPr>
                <w:sz w:val="18"/>
              </w:rPr>
              <w:t xml:space="preserve">Family influence </w:t>
            </w:r>
          </w:p>
        </w:tc>
        <w:tc>
          <w:tcPr>
            <w:tcW w:w="3932" w:type="dxa"/>
            <w:tcBorders>
              <w:top w:val="nil"/>
              <w:left w:val="nil"/>
              <w:bottom w:val="nil"/>
              <w:right w:val="nil"/>
            </w:tcBorders>
            <w:vAlign w:val="center"/>
          </w:tcPr>
          <w:p w14:paraId="4FFF0229" w14:textId="77777777" w:rsidR="00FD4559" w:rsidRDefault="00FD4559" w:rsidP="00473E8B">
            <w:pPr>
              <w:spacing w:after="0" w:line="259" w:lineRule="auto"/>
              <w:ind w:left="0" w:right="0" w:firstLine="0"/>
              <w:jc w:val="left"/>
            </w:pPr>
            <w:r>
              <w:rPr>
                <w:sz w:val="18"/>
              </w:rPr>
              <w:t xml:space="preserve">2.83 ± 2.61 (2) </w:t>
            </w:r>
          </w:p>
        </w:tc>
      </w:tr>
      <w:tr w:rsidR="00FD4559" w14:paraId="5C3ABB06" w14:textId="77777777" w:rsidTr="00473E8B">
        <w:trPr>
          <w:trHeight w:val="413"/>
        </w:trPr>
        <w:tc>
          <w:tcPr>
            <w:tcW w:w="2132" w:type="dxa"/>
            <w:tcBorders>
              <w:top w:val="nil"/>
              <w:left w:val="nil"/>
              <w:bottom w:val="nil"/>
              <w:right w:val="nil"/>
            </w:tcBorders>
            <w:vAlign w:val="center"/>
          </w:tcPr>
          <w:p w14:paraId="55C07E19" w14:textId="77777777" w:rsidR="00FD4559" w:rsidRDefault="00FD4559" w:rsidP="00473E8B">
            <w:pPr>
              <w:spacing w:after="0" w:line="259" w:lineRule="auto"/>
              <w:ind w:left="123" w:right="0" w:firstLine="0"/>
              <w:jc w:val="left"/>
            </w:pPr>
            <w:r>
              <w:rPr>
                <w:sz w:val="18"/>
              </w:rPr>
              <w:t xml:space="preserve">Illiteracy  </w:t>
            </w:r>
          </w:p>
        </w:tc>
        <w:tc>
          <w:tcPr>
            <w:tcW w:w="3932" w:type="dxa"/>
            <w:tcBorders>
              <w:top w:val="nil"/>
              <w:left w:val="nil"/>
              <w:bottom w:val="nil"/>
              <w:right w:val="nil"/>
            </w:tcBorders>
            <w:vAlign w:val="center"/>
          </w:tcPr>
          <w:p w14:paraId="54B26E35" w14:textId="77777777" w:rsidR="00FD4559" w:rsidRDefault="00FD4559" w:rsidP="00473E8B">
            <w:pPr>
              <w:spacing w:after="0" w:line="259" w:lineRule="auto"/>
              <w:ind w:left="0" w:right="0" w:firstLine="0"/>
              <w:jc w:val="left"/>
            </w:pPr>
            <w:r>
              <w:rPr>
                <w:sz w:val="18"/>
              </w:rPr>
              <w:t xml:space="preserve">3.00 ± 3.03 (1) </w:t>
            </w:r>
          </w:p>
        </w:tc>
      </w:tr>
      <w:tr w:rsidR="00FD4559" w14:paraId="45D060A5" w14:textId="77777777" w:rsidTr="00473E8B">
        <w:trPr>
          <w:trHeight w:val="413"/>
        </w:trPr>
        <w:tc>
          <w:tcPr>
            <w:tcW w:w="2132" w:type="dxa"/>
            <w:tcBorders>
              <w:top w:val="nil"/>
              <w:left w:val="nil"/>
              <w:bottom w:val="nil"/>
              <w:right w:val="nil"/>
            </w:tcBorders>
            <w:vAlign w:val="center"/>
          </w:tcPr>
          <w:p w14:paraId="5425B1DD" w14:textId="77777777" w:rsidR="00FD4559" w:rsidRDefault="00FD4559" w:rsidP="00473E8B">
            <w:pPr>
              <w:spacing w:after="0" w:line="259" w:lineRule="auto"/>
              <w:ind w:left="123" w:right="0" w:firstLine="0"/>
              <w:jc w:val="left"/>
            </w:pPr>
            <w:r>
              <w:rPr>
                <w:sz w:val="18"/>
              </w:rPr>
              <w:t xml:space="preserve">Partner influence </w:t>
            </w:r>
          </w:p>
        </w:tc>
        <w:tc>
          <w:tcPr>
            <w:tcW w:w="3932" w:type="dxa"/>
            <w:tcBorders>
              <w:top w:val="nil"/>
              <w:left w:val="nil"/>
              <w:bottom w:val="nil"/>
              <w:right w:val="nil"/>
            </w:tcBorders>
            <w:vAlign w:val="center"/>
          </w:tcPr>
          <w:p w14:paraId="45255F93" w14:textId="77777777" w:rsidR="00FD4559" w:rsidRDefault="00FD4559" w:rsidP="00473E8B">
            <w:pPr>
              <w:spacing w:after="0" w:line="259" w:lineRule="auto"/>
              <w:ind w:left="0" w:right="0" w:firstLine="0"/>
              <w:jc w:val="left"/>
            </w:pPr>
            <w:r>
              <w:rPr>
                <w:sz w:val="18"/>
              </w:rPr>
              <w:t xml:space="preserve">3.22 ± 2.80 (2) </w:t>
            </w:r>
          </w:p>
        </w:tc>
      </w:tr>
      <w:tr w:rsidR="00FD4559" w14:paraId="6A5A9713" w14:textId="77777777" w:rsidTr="00473E8B">
        <w:trPr>
          <w:trHeight w:val="413"/>
        </w:trPr>
        <w:tc>
          <w:tcPr>
            <w:tcW w:w="2132" w:type="dxa"/>
            <w:tcBorders>
              <w:top w:val="nil"/>
              <w:left w:val="nil"/>
              <w:bottom w:val="nil"/>
              <w:right w:val="nil"/>
            </w:tcBorders>
            <w:vAlign w:val="center"/>
          </w:tcPr>
          <w:p w14:paraId="66187667" w14:textId="77777777" w:rsidR="00FD4559" w:rsidRDefault="00FD4559" w:rsidP="00473E8B">
            <w:pPr>
              <w:spacing w:after="0" w:line="259" w:lineRule="auto"/>
              <w:ind w:left="123" w:right="0" w:firstLine="0"/>
              <w:jc w:val="left"/>
            </w:pPr>
            <w:r>
              <w:rPr>
                <w:sz w:val="18"/>
              </w:rPr>
              <w:t xml:space="preserve">Religious beliefs </w:t>
            </w:r>
          </w:p>
        </w:tc>
        <w:tc>
          <w:tcPr>
            <w:tcW w:w="3932" w:type="dxa"/>
            <w:tcBorders>
              <w:top w:val="nil"/>
              <w:left w:val="nil"/>
              <w:bottom w:val="nil"/>
              <w:right w:val="nil"/>
            </w:tcBorders>
            <w:vAlign w:val="center"/>
          </w:tcPr>
          <w:p w14:paraId="53832CCD" w14:textId="77777777" w:rsidR="00FD4559" w:rsidRDefault="00FD4559" w:rsidP="00473E8B">
            <w:pPr>
              <w:spacing w:after="0" w:line="259" w:lineRule="auto"/>
              <w:ind w:left="0" w:right="0" w:firstLine="0"/>
              <w:jc w:val="left"/>
            </w:pPr>
            <w:r>
              <w:rPr>
                <w:sz w:val="18"/>
              </w:rPr>
              <w:t xml:space="preserve">3.40 ± 2.97 (2) </w:t>
            </w:r>
          </w:p>
        </w:tc>
      </w:tr>
      <w:tr w:rsidR="00FD4559" w14:paraId="36F12AE3" w14:textId="77777777" w:rsidTr="00473E8B">
        <w:trPr>
          <w:trHeight w:val="413"/>
        </w:trPr>
        <w:tc>
          <w:tcPr>
            <w:tcW w:w="2132" w:type="dxa"/>
            <w:tcBorders>
              <w:top w:val="nil"/>
              <w:left w:val="nil"/>
              <w:bottom w:val="nil"/>
              <w:right w:val="nil"/>
            </w:tcBorders>
            <w:vAlign w:val="center"/>
          </w:tcPr>
          <w:p w14:paraId="3062B59B" w14:textId="77777777" w:rsidR="00FD4559" w:rsidRDefault="00FD4559" w:rsidP="00473E8B">
            <w:pPr>
              <w:spacing w:after="0" w:line="259" w:lineRule="auto"/>
              <w:ind w:left="123" w:right="0" w:firstLine="0"/>
              <w:jc w:val="left"/>
            </w:pPr>
            <w:r>
              <w:rPr>
                <w:sz w:val="18"/>
              </w:rPr>
              <w:t xml:space="preserve">Cultural issues </w:t>
            </w:r>
          </w:p>
        </w:tc>
        <w:tc>
          <w:tcPr>
            <w:tcW w:w="3932" w:type="dxa"/>
            <w:tcBorders>
              <w:top w:val="nil"/>
              <w:left w:val="nil"/>
              <w:bottom w:val="nil"/>
              <w:right w:val="nil"/>
            </w:tcBorders>
            <w:vAlign w:val="center"/>
          </w:tcPr>
          <w:p w14:paraId="55DDBEE5" w14:textId="77777777" w:rsidR="00FD4559" w:rsidRDefault="00FD4559" w:rsidP="00473E8B">
            <w:pPr>
              <w:spacing w:after="0" w:line="259" w:lineRule="auto"/>
              <w:ind w:left="0" w:right="0" w:firstLine="0"/>
              <w:jc w:val="left"/>
            </w:pPr>
            <w:r>
              <w:rPr>
                <w:sz w:val="18"/>
              </w:rPr>
              <w:t xml:space="preserve">3.44 ±2.92 (2) </w:t>
            </w:r>
          </w:p>
        </w:tc>
      </w:tr>
      <w:tr w:rsidR="00FD4559" w14:paraId="1257C022" w14:textId="77777777" w:rsidTr="00473E8B">
        <w:trPr>
          <w:trHeight w:val="413"/>
        </w:trPr>
        <w:tc>
          <w:tcPr>
            <w:tcW w:w="2132" w:type="dxa"/>
            <w:tcBorders>
              <w:top w:val="nil"/>
              <w:left w:val="nil"/>
              <w:bottom w:val="nil"/>
              <w:right w:val="nil"/>
            </w:tcBorders>
            <w:vAlign w:val="center"/>
          </w:tcPr>
          <w:p w14:paraId="5D071C2E" w14:textId="77777777" w:rsidR="00FD4559" w:rsidRDefault="00FD4559" w:rsidP="00473E8B">
            <w:pPr>
              <w:spacing w:after="0" w:line="259" w:lineRule="auto"/>
              <w:ind w:left="123" w:right="0" w:firstLine="0"/>
              <w:jc w:val="left"/>
            </w:pPr>
            <w:r>
              <w:rPr>
                <w:sz w:val="18"/>
              </w:rPr>
              <w:t xml:space="preserve">Fear </w:t>
            </w:r>
          </w:p>
        </w:tc>
        <w:tc>
          <w:tcPr>
            <w:tcW w:w="3932" w:type="dxa"/>
            <w:tcBorders>
              <w:top w:val="nil"/>
              <w:left w:val="nil"/>
              <w:bottom w:val="nil"/>
              <w:right w:val="nil"/>
            </w:tcBorders>
            <w:vAlign w:val="center"/>
          </w:tcPr>
          <w:p w14:paraId="74D1091E" w14:textId="77777777" w:rsidR="00FD4559" w:rsidRDefault="00FD4559" w:rsidP="00473E8B">
            <w:pPr>
              <w:spacing w:after="0" w:line="259" w:lineRule="auto"/>
              <w:ind w:left="0" w:right="0" w:firstLine="0"/>
              <w:jc w:val="left"/>
            </w:pPr>
            <w:r>
              <w:rPr>
                <w:sz w:val="18"/>
              </w:rPr>
              <w:t xml:space="preserve">3.49 ± 2.99 (2) </w:t>
            </w:r>
          </w:p>
        </w:tc>
      </w:tr>
      <w:tr w:rsidR="00FD4559" w14:paraId="4A469924" w14:textId="77777777" w:rsidTr="00473E8B">
        <w:trPr>
          <w:trHeight w:val="414"/>
        </w:trPr>
        <w:tc>
          <w:tcPr>
            <w:tcW w:w="2132" w:type="dxa"/>
            <w:tcBorders>
              <w:top w:val="nil"/>
              <w:left w:val="nil"/>
              <w:bottom w:val="nil"/>
              <w:right w:val="nil"/>
            </w:tcBorders>
            <w:vAlign w:val="center"/>
          </w:tcPr>
          <w:p w14:paraId="4B72921F" w14:textId="77777777" w:rsidR="00FD4559" w:rsidRDefault="00FD4559" w:rsidP="00473E8B">
            <w:pPr>
              <w:spacing w:after="0" w:line="259" w:lineRule="auto"/>
              <w:ind w:left="123" w:right="0" w:firstLine="0"/>
              <w:jc w:val="left"/>
            </w:pPr>
            <w:r>
              <w:rPr>
                <w:sz w:val="18"/>
              </w:rPr>
              <w:t xml:space="preserve">Language difficulties </w:t>
            </w:r>
          </w:p>
        </w:tc>
        <w:tc>
          <w:tcPr>
            <w:tcW w:w="3932" w:type="dxa"/>
            <w:tcBorders>
              <w:top w:val="nil"/>
              <w:left w:val="nil"/>
              <w:bottom w:val="nil"/>
              <w:right w:val="nil"/>
            </w:tcBorders>
            <w:vAlign w:val="center"/>
          </w:tcPr>
          <w:p w14:paraId="055C8AD4" w14:textId="77777777" w:rsidR="00FD4559" w:rsidRDefault="00FD4559" w:rsidP="00473E8B">
            <w:pPr>
              <w:spacing w:after="0" w:line="259" w:lineRule="auto"/>
              <w:ind w:left="0" w:right="0" w:firstLine="0"/>
              <w:jc w:val="left"/>
            </w:pPr>
            <w:r>
              <w:rPr>
                <w:sz w:val="18"/>
              </w:rPr>
              <w:t xml:space="preserve">4.20 ± 3.29 (3) </w:t>
            </w:r>
          </w:p>
        </w:tc>
      </w:tr>
      <w:tr w:rsidR="00FD4559" w14:paraId="74BD0C69" w14:textId="77777777" w:rsidTr="00473E8B">
        <w:trPr>
          <w:trHeight w:val="467"/>
        </w:trPr>
        <w:tc>
          <w:tcPr>
            <w:tcW w:w="2132" w:type="dxa"/>
            <w:tcBorders>
              <w:top w:val="nil"/>
              <w:left w:val="nil"/>
              <w:bottom w:val="single" w:sz="4" w:space="0" w:color="000000"/>
              <w:right w:val="nil"/>
            </w:tcBorders>
            <w:vAlign w:val="center"/>
          </w:tcPr>
          <w:p w14:paraId="116DE7C7" w14:textId="77777777" w:rsidR="00FD4559" w:rsidRDefault="00FD4559" w:rsidP="00473E8B">
            <w:pPr>
              <w:spacing w:after="0" w:line="259" w:lineRule="auto"/>
              <w:ind w:left="123" w:right="0" w:firstLine="0"/>
              <w:jc w:val="left"/>
            </w:pPr>
            <w:r>
              <w:rPr>
                <w:sz w:val="18"/>
              </w:rPr>
              <w:t xml:space="preserve">Other </w:t>
            </w:r>
          </w:p>
        </w:tc>
        <w:tc>
          <w:tcPr>
            <w:tcW w:w="3932" w:type="dxa"/>
            <w:tcBorders>
              <w:top w:val="nil"/>
              <w:left w:val="nil"/>
              <w:bottom w:val="single" w:sz="4" w:space="0" w:color="000000"/>
              <w:right w:val="nil"/>
            </w:tcBorders>
            <w:vAlign w:val="center"/>
          </w:tcPr>
          <w:p w14:paraId="40616DC6" w14:textId="77777777" w:rsidR="00FD4559" w:rsidRDefault="00FD4559" w:rsidP="00473E8B">
            <w:pPr>
              <w:spacing w:after="0" w:line="259" w:lineRule="auto"/>
              <w:ind w:left="0" w:right="0" w:firstLine="0"/>
              <w:jc w:val="left"/>
            </w:pPr>
            <w:r>
              <w:rPr>
                <w:sz w:val="18"/>
              </w:rPr>
              <w:t xml:space="preserve">6.61 ± 3.56 (7) </w:t>
            </w:r>
          </w:p>
        </w:tc>
      </w:tr>
    </w:tbl>
    <w:p w14:paraId="1391FCED" w14:textId="77777777" w:rsidR="00FD4559" w:rsidRDefault="00FD4559" w:rsidP="00FD4559">
      <w:pPr>
        <w:spacing w:after="0" w:line="259" w:lineRule="auto"/>
        <w:ind w:left="271" w:right="0" w:firstLine="0"/>
      </w:pPr>
      <w:r>
        <w:rPr>
          <w:color w:val="D16349"/>
          <w:sz w:val="20"/>
        </w:rPr>
        <w:t xml:space="preserve"> </w:t>
      </w:r>
    </w:p>
    <w:p w14:paraId="4DBC3F3C" w14:textId="77777777" w:rsidR="00FD4559" w:rsidRDefault="00FD4559"/>
    <w:p w14:paraId="025D18C0" w14:textId="77777777" w:rsidR="00FD4559" w:rsidRDefault="00FD4559"/>
    <w:p w14:paraId="03FDF8F2" w14:textId="77777777" w:rsidR="003B4E84" w:rsidRDefault="003B4E84"/>
    <w:p w14:paraId="6B4E7E27" w14:textId="77777777" w:rsidR="003B4E84" w:rsidRDefault="003B4E84"/>
    <w:p w14:paraId="70828D16" w14:textId="77777777" w:rsidR="003B4E84" w:rsidRDefault="003B4E84"/>
    <w:p w14:paraId="45B3CE91" w14:textId="77777777" w:rsidR="003B4E84" w:rsidRDefault="003B4E84"/>
    <w:p w14:paraId="41CBD411" w14:textId="77777777" w:rsidR="003B4E84" w:rsidRDefault="003B4E84"/>
    <w:p w14:paraId="0B0339DC" w14:textId="77777777" w:rsidR="003B4E84" w:rsidRDefault="003B4E84"/>
    <w:sectPr w:rsidR="003B4E84" w:rsidSect="00884349">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B27B" w14:textId="77777777" w:rsidR="00E26BE7" w:rsidRDefault="00E26BE7" w:rsidP="008D3B68">
      <w:pPr>
        <w:spacing w:after="0" w:line="240" w:lineRule="auto"/>
      </w:pPr>
      <w:r>
        <w:separator/>
      </w:r>
    </w:p>
  </w:endnote>
  <w:endnote w:type="continuationSeparator" w:id="0">
    <w:p w14:paraId="2AA5DCC5" w14:textId="77777777" w:rsidR="00E26BE7" w:rsidRDefault="00E26BE7" w:rsidP="008D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4291" w14:textId="77777777" w:rsidR="00B2003A" w:rsidRDefault="000E62C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7202" w14:textId="77777777" w:rsidR="00B2003A" w:rsidRDefault="000E62C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AEC8" w14:textId="77777777" w:rsidR="00B2003A" w:rsidRDefault="000E62C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74E5" w14:textId="77777777" w:rsidR="00E26BE7" w:rsidRDefault="00E26BE7" w:rsidP="008D3B68">
      <w:pPr>
        <w:spacing w:after="0" w:line="240" w:lineRule="auto"/>
      </w:pPr>
      <w:r>
        <w:separator/>
      </w:r>
    </w:p>
  </w:footnote>
  <w:footnote w:type="continuationSeparator" w:id="0">
    <w:p w14:paraId="30EE4483" w14:textId="77777777" w:rsidR="00E26BE7" w:rsidRDefault="00E26BE7" w:rsidP="008D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9A25" w14:textId="77777777" w:rsidR="00B2003A" w:rsidRDefault="000E62CD">
    <w:pPr>
      <w:spacing w:after="0" w:line="259" w:lineRule="auto"/>
      <w:ind w:left="-1340" w:right="0" w:firstLine="0"/>
      <w:jc w:val="left"/>
    </w:pPr>
    <w:r>
      <w:rPr>
        <w:sz w:val="20"/>
      </w:rPr>
      <w:t>(Clean &amp; Final version) MANUSCRIPT (without Author Details)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2277" w14:textId="734C91C1" w:rsidR="008D3B68" w:rsidRDefault="008D3B68">
    <w:pPr>
      <w:pStyle w:val="Header"/>
    </w:pPr>
  </w:p>
  <w:p w14:paraId="79BBA184" w14:textId="77777777" w:rsidR="008D3B68" w:rsidRDefault="008D3B68" w:rsidP="008D3B68">
    <w:pPr>
      <w:spacing w:after="0" w:line="259" w:lineRule="auto"/>
      <w:ind w:left="0" w:right="0" w:firstLine="0"/>
      <w:jc w:val="left"/>
    </w:pPr>
  </w:p>
  <w:p w14:paraId="0ADFF80B" w14:textId="77777777" w:rsidR="008D3B68" w:rsidRDefault="008D3B68">
    <w:pPr>
      <w:spacing w:after="0" w:line="259" w:lineRule="auto"/>
      <w:ind w:left="-1340" w:right="0" w:firstLine="0"/>
      <w:jc w:val="left"/>
    </w:pPr>
  </w:p>
  <w:p w14:paraId="7C5832DE" w14:textId="22DF72D4" w:rsidR="008D3B68" w:rsidRDefault="008D3B68" w:rsidP="008D3B68">
    <w:pPr>
      <w:spacing w:after="166" w:line="358" w:lineRule="auto"/>
      <w:ind w:left="3972" w:right="836" w:hanging="3987"/>
      <w:jc w:val="left"/>
    </w:pPr>
    <w:r>
      <w:rPr>
        <w:b/>
      </w:rPr>
      <w:t>Student Midwives' Perspectives of Women's Sexual and Reproductive Health Literacy in Turkey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E29D" w14:textId="77777777" w:rsidR="00B2003A" w:rsidRDefault="000E62CD">
    <w:pPr>
      <w:spacing w:after="0" w:line="259" w:lineRule="auto"/>
      <w:ind w:left="-1340" w:right="0" w:firstLine="0"/>
      <w:jc w:val="left"/>
    </w:pPr>
    <w:r>
      <w:rPr>
        <w:sz w:val="20"/>
      </w:rPr>
      <w:t>(Clean &amp; Final version) MANUSCRIPT (without Author Details)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A68DA"/>
    <w:multiLevelType w:val="hybridMultilevel"/>
    <w:tmpl w:val="9E884E4C"/>
    <w:lvl w:ilvl="0" w:tplc="445CCBC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8454C">
      <w:start w:val="1"/>
      <w:numFmt w:val="lowerLetter"/>
      <w:lvlText w:val="%2"/>
      <w:lvlJc w:val="left"/>
      <w:pPr>
        <w:ind w:left="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F40BA0">
      <w:start w:val="1"/>
      <w:numFmt w:val="lowerRoman"/>
      <w:lvlText w:val="%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F02BCE">
      <w:start w:val="1"/>
      <w:numFmt w:val="decimal"/>
      <w:lvlText w:val="%4"/>
      <w:lvlJc w:val="left"/>
      <w:pPr>
        <w:ind w:left="2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82EDC0">
      <w:start w:val="1"/>
      <w:numFmt w:val="lowerLetter"/>
      <w:lvlText w:val="%5"/>
      <w:lvlJc w:val="left"/>
      <w:pPr>
        <w:ind w:left="3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AED7AC">
      <w:start w:val="1"/>
      <w:numFmt w:val="lowerRoman"/>
      <w:lvlText w:val="%6"/>
      <w:lvlJc w:val="left"/>
      <w:pPr>
        <w:ind w:left="3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689386">
      <w:start w:val="1"/>
      <w:numFmt w:val="decimal"/>
      <w:lvlText w:val="%7"/>
      <w:lvlJc w:val="left"/>
      <w:pPr>
        <w:ind w:left="4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84622">
      <w:start w:val="1"/>
      <w:numFmt w:val="lowerLetter"/>
      <w:lvlText w:val="%8"/>
      <w:lvlJc w:val="left"/>
      <w:pPr>
        <w:ind w:left="5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ACEE40">
      <w:start w:val="1"/>
      <w:numFmt w:val="lowerRoman"/>
      <w:lvlText w:val="%9"/>
      <w:lvlJc w:val="left"/>
      <w:pPr>
        <w:ind w:left="6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7693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39"/>
    <w:rsid w:val="000A210B"/>
    <w:rsid w:val="000A3010"/>
    <w:rsid w:val="000E62CD"/>
    <w:rsid w:val="00207C21"/>
    <w:rsid w:val="0037566F"/>
    <w:rsid w:val="003975A7"/>
    <w:rsid w:val="003B4E84"/>
    <w:rsid w:val="00432550"/>
    <w:rsid w:val="00435064"/>
    <w:rsid w:val="0047280A"/>
    <w:rsid w:val="005D58B5"/>
    <w:rsid w:val="00620039"/>
    <w:rsid w:val="006333D9"/>
    <w:rsid w:val="00803816"/>
    <w:rsid w:val="00804DEB"/>
    <w:rsid w:val="00884349"/>
    <w:rsid w:val="00890938"/>
    <w:rsid w:val="008B3933"/>
    <w:rsid w:val="008C016C"/>
    <w:rsid w:val="008D3B68"/>
    <w:rsid w:val="009069D6"/>
    <w:rsid w:val="009204F2"/>
    <w:rsid w:val="00951349"/>
    <w:rsid w:val="00A6443F"/>
    <w:rsid w:val="00A82308"/>
    <w:rsid w:val="00B76F00"/>
    <w:rsid w:val="00BA1EC8"/>
    <w:rsid w:val="00E26BE7"/>
    <w:rsid w:val="00E50A26"/>
    <w:rsid w:val="00F26677"/>
    <w:rsid w:val="00FA51D0"/>
    <w:rsid w:val="00FD4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92C0"/>
  <w15:chartTrackingRefBased/>
  <w15:docId w15:val="{AA2CE81E-3492-4675-9C46-AC18A26A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39"/>
    <w:pPr>
      <w:spacing w:after="156" w:line="364" w:lineRule="auto"/>
      <w:ind w:left="370" w:right="416" w:hanging="10"/>
      <w:jc w:val="both"/>
    </w:pPr>
    <w:rPr>
      <w:rFonts w:ascii="Arial" w:eastAsia="Arial" w:hAnsi="Arial" w:cs="Arial"/>
      <w:color w:val="000000"/>
      <w:kern w:val="0"/>
      <w:lang w:eastAsia="en-GB"/>
      <w14:ligatures w14:val="none"/>
    </w:rPr>
  </w:style>
  <w:style w:type="paragraph" w:styleId="Heading1">
    <w:name w:val="heading 1"/>
    <w:next w:val="Normal"/>
    <w:link w:val="Heading1Char"/>
    <w:uiPriority w:val="9"/>
    <w:qFormat/>
    <w:rsid w:val="00620039"/>
    <w:pPr>
      <w:keepNext/>
      <w:keepLines/>
      <w:spacing w:after="271"/>
      <w:ind w:left="10" w:right="934" w:hanging="10"/>
      <w:outlineLvl w:val="0"/>
    </w:pPr>
    <w:rPr>
      <w:rFonts w:ascii="Arial" w:eastAsia="Arial" w:hAnsi="Arial" w:cs="Arial"/>
      <w:b/>
      <w:color w:val="000000"/>
      <w:kern w:val="0"/>
      <w:lang w:eastAsia="en-GB"/>
      <w14:ligatures w14:val="none"/>
    </w:rPr>
  </w:style>
  <w:style w:type="paragraph" w:styleId="Heading2">
    <w:name w:val="heading 2"/>
    <w:next w:val="Normal"/>
    <w:link w:val="Heading2Char"/>
    <w:uiPriority w:val="9"/>
    <w:unhideWhenUsed/>
    <w:qFormat/>
    <w:rsid w:val="00620039"/>
    <w:pPr>
      <w:keepNext/>
      <w:keepLines/>
      <w:spacing w:after="267"/>
      <w:ind w:left="10" w:hanging="10"/>
      <w:outlineLvl w:val="1"/>
    </w:pPr>
    <w:rPr>
      <w:rFonts w:ascii="Arial" w:eastAsia="Arial" w:hAnsi="Arial" w:cs="Arial"/>
      <w:b/>
      <w:i/>
      <w:color w:val="000000"/>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039"/>
    <w:rPr>
      <w:rFonts w:ascii="Arial" w:eastAsia="Arial" w:hAnsi="Arial" w:cs="Arial"/>
      <w:b/>
      <w:color w:val="000000"/>
      <w:kern w:val="0"/>
      <w:lang w:eastAsia="en-GB"/>
      <w14:ligatures w14:val="none"/>
    </w:rPr>
  </w:style>
  <w:style w:type="character" w:customStyle="1" w:styleId="Heading2Char">
    <w:name w:val="Heading 2 Char"/>
    <w:basedOn w:val="DefaultParagraphFont"/>
    <w:link w:val="Heading2"/>
    <w:uiPriority w:val="9"/>
    <w:rsid w:val="00620039"/>
    <w:rPr>
      <w:rFonts w:ascii="Arial" w:eastAsia="Arial" w:hAnsi="Arial" w:cs="Arial"/>
      <w:b/>
      <w:i/>
      <w:color w:val="000000"/>
      <w:kern w:val="0"/>
      <w:lang w:eastAsia="en-GB"/>
      <w14:ligatures w14:val="none"/>
    </w:rPr>
  </w:style>
  <w:style w:type="paragraph" w:styleId="ListParagraph">
    <w:name w:val="List Paragraph"/>
    <w:basedOn w:val="Normal"/>
    <w:uiPriority w:val="34"/>
    <w:qFormat/>
    <w:rsid w:val="00620039"/>
    <w:pPr>
      <w:ind w:left="720"/>
      <w:contextualSpacing/>
    </w:pPr>
  </w:style>
  <w:style w:type="paragraph" w:customStyle="1" w:styleId="ltr">
    <w:name w:val="ltr"/>
    <w:basedOn w:val="Normal"/>
    <w:rsid w:val="0062003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customStyle="1" w:styleId="TableGrid">
    <w:name w:val="TableGrid"/>
    <w:rsid w:val="0043506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8D3B68"/>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8D3B68"/>
    <w:rPr>
      <w:rFonts w:eastAsiaTheme="minorEastAsia"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71/AH17067" TargetMode="Externa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71/AH1706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71/AH1706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D08C-60A0-4E74-9D7D-B3268141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8851</Words>
  <Characters>50452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Church</dc:creator>
  <cp:keywords/>
  <dc:description/>
  <cp:lastModifiedBy>Sarah Church</cp:lastModifiedBy>
  <cp:revision>24</cp:revision>
  <dcterms:created xsi:type="dcterms:W3CDTF">2023-06-18T10:50:00Z</dcterms:created>
  <dcterms:modified xsi:type="dcterms:W3CDTF">2023-06-18T11:02:00Z</dcterms:modified>
</cp:coreProperties>
</file>