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028B" w14:textId="77777777" w:rsidR="009B267F" w:rsidRPr="001B384B" w:rsidRDefault="008D4077" w:rsidP="00751426">
      <w:pPr>
        <w:pStyle w:val="EAAtitle"/>
      </w:pPr>
      <w:r w:rsidRPr="008D4077">
        <w:t>Assessment of Ground-Borne Vibration from Underground Trains on a Proposed Residential Development</w:t>
      </w:r>
    </w:p>
    <w:p w14:paraId="5A1787F5" w14:textId="77777777" w:rsidR="009B267F" w:rsidRPr="009B267F" w:rsidRDefault="008D4077" w:rsidP="00751426">
      <w:pPr>
        <w:pStyle w:val="EAAauthorname"/>
      </w:pPr>
      <w:r>
        <w:t>Jerry Rees</w:t>
      </w:r>
    </w:p>
    <w:p w14:paraId="53C79D57" w14:textId="6C3D79EC" w:rsidR="009B267F" w:rsidRDefault="00253738" w:rsidP="00952E6A">
      <w:pPr>
        <w:pStyle w:val="EAAauthoraddress"/>
      </w:pPr>
      <w:r>
        <w:t>London South Bank University</w:t>
      </w:r>
      <w:r w:rsidR="00E74552">
        <w:t xml:space="preserve"> &amp;</w:t>
      </w:r>
      <w:r w:rsidR="009B267F" w:rsidRPr="009B267F">
        <w:t xml:space="preserve"> </w:t>
      </w:r>
      <w:r w:rsidR="00E74552" w:rsidRPr="00E74552">
        <w:t>Hilson Moran</w:t>
      </w:r>
      <w:r w:rsidR="00F67EDF">
        <w:t xml:space="preserve"> Partnership Ltd</w:t>
      </w:r>
      <w:r w:rsidR="00E74552">
        <w:t xml:space="preserve">, </w:t>
      </w:r>
      <w:r>
        <w:t>United Kingdom</w:t>
      </w:r>
      <w:r w:rsidR="009B267F" w:rsidRPr="009B267F">
        <w:t>.</w:t>
      </w:r>
    </w:p>
    <w:p w14:paraId="2BEBFC8E" w14:textId="77777777" w:rsidR="00E22B13" w:rsidRPr="009B267F" w:rsidRDefault="008D4077" w:rsidP="00E22B13">
      <w:pPr>
        <w:pStyle w:val="EAAauthorname"/>
      </w:pPr>
      <w:r>
        <w:t>Luis Gomez-Agustina</w:t>
      </w:r>
    </w:p>
    <w:p w14:paraId="1744A749" w14:textId="13E3BC31" w:rsidR="00E22B13" w:rsidRPr="009B267F" w:rsidRDefault="00E74552" w:rsidP="00E22B13">
      <w:pPr>
        <w:pStyle w:val="EAAauthoraddress"/>
      </w:pPr>
      <w:r>
        <w:t>London South Bank University</w:t>
      </w:r>
      <w:r w:rsidRPr="009B267F">
        <w:t xml:space="preserve">, </w:t>
      </w:r>
      <w:r>
        <w:t>United Kingdom</w:t>
      </w:r>
      <w:r w:rsidR="00E22B13">
        <w:t>.</w:t>
      </w:r>
    </w:p>
    <w:p w14:paraId="3FD24AE0" w14:textId="77777777" w:rsidR="007E5FAB" w:rsidRPr="009B267F" w:rsidRDefault="009B267F" w:rsidP="00952E6A">
      <w:pPr>
        <w:pStyle w:val="EAAsummarytitle"/>
      </w:pPr>
      <w:r w:rsidRPr="009B267F">
        <w:t>Summary</w:t>
      </w:r>
    </w:p>
    <w:p w14:paraId="018F456D" w14:textId="4D15CAEF" w:rsidR="00820EF8" w:rsidRDefault="00C0006F" w:rsidP="00782C83">
      <w:pPr>
        <w:pStyle w:val="EAAsummary"/>
      </w:pPr>
      <w:r w:rsidRPr="00C0006F">
        <w:t xml:space="preserve">Underground railway traffic can cause significant vibration and noise levels in buildings or structures at the surface. Good construction practice requires the estimation of vibration levels in proposed buildings of sensitive use. This paper presents the prediction and assessment of ground-borne vibration in a residential development proposed above the Piccadilly Line in London. A prediction software (PiP) developed at Cambridge University was used to determine differentials between vibration at the surface and vibration at the bottom of pile foundations. The software incorporates the effects of boundaries on wave propagation and provides useful comparisons between two locations. The differentials were applied to measurements taken at ground level to estimate the level of vibration that would excite the piles. Appropriate building transfer functions were used to predict the propagation of energy into the piles and up through the building structure. The levels of predicted tactile vibration and structure-borne noise were compared to criteria for the assessment of human response and building damage. The results showed that </w:t>
      </w:r>
      <w:r w:rsidR="00617928">
        <w:t xml:space="preserve">tactile </w:t>
      </w:r>
      <w:r w:rsidRPr="00C0006F">
        <w:t xml:space="preserve">vibration within residential room spaces will </w:t>
      </w:r>
      <w:r w:rsidR="00617928">
        <w:t xml:space="preserve">not </w:t>
      </w:r>
      <w:r w:rsidRPr="00C0006F">
        <w:t xml:space="preserve">be large enough to cause adverse human response </w:t>
      </w:r>
      <w:r w:rsidR="00E60C3D">
        <w:t>or</w:t>
      </w:r>
      <w:r w:rsidRPr="00C0006F">
        <w:t xml:space="preserve"> to cause building damage</w:t>
      </w:r>
      <w:r w:rsidR="00E60C3D">
        <w:t xml:space="preserve"> but will be large enough for levels of structure-borne noise to cause annoyance</w:t>
      </w:r>
      <w:r w:rsidRPr="00C0006F">
        <w:t xml:space="preserve">. Uncertainty in the accuracy of results has been shown to originate from assumptions made of the soil loss factor, highlighting the need for detailed examination into soil loss factors at sites where new buildings with piled foundations are proposed above, or proximate to, underground railway lines. </w:t>
      </w:r>
    </w:p>
    <w:p w14:paraId="70D79330" w14:textId="2987602F" w:rsidR="006E1D1A" w:rsidRDefault="009B267F" w:rsidP="006E1D1A">
      <w:pPr>
        <w:pStyle w:val="EAAPACS"/>
      </w:pPr>
      <w:r w:rsidRPr="009B267F">
        <w:t xml:space="preserve">PACS no. </w:t>
      </w:r>
      <w:r w:rsidR="00A73479" w:rsidRPr="00A73479">
        <w:t>43.20.Tb</w:t>
      </w:r>
      <w:r w:rsidR="00A73479">
        <w:t xml:space="preserve">, </w:t>
      </w:r>
      <w:r w:rsidR="00A73479" w:rsidRPr="00A73479">
        <w:t>43.40.At</w:t>
      </w:r>
    </w:p>
    <w:p w14:paraId="4981AC90" w14:textId="0EC5E0B7" w:rsidR="006E1D1A" w:rsidRDefault="006E1D1A" w:rsidP="006E1D1A">
      <w:pPr>
        <w:pStyle w:val="EAAPACS"/>
      </w:pPr>
    </w:p>
    <w:p w14:paraId="584A7C22" w14:textId="77777777" w:rsidR="006E1D1A" w:rsidRDefault="006E1D1A" w:rsidP="006E1D1A">
      <w:pPr>
        <w:pStyle w:val="EAAPACS"/>
        <w:sectPr w:rsidR="006E1D1A" w:rsidSect="006E1D1A">
          <w:headerReference w:type="default" r:id="rId8"/>
          <w:footerReference w:type="default" r:id="rId9"/>
          <w:pgSz w:w="11906" w:h="16838"/>
          <w:pgMar w:top="1701" w:right="1134" w:bottom="1134" w:left="1134" w:header="397" w:footer="709" w:gutter="0"/>
          <w:cols w:space="454"/>
          <w:docGrid w:linePitch="360"/>
        </w:sectPr>
      </w:pPr>
    </w:p>
    <w:p w14:paraId="5933C3B4" w14:textId="348BDD28" w:rsidR="009B267F" w:rsidRPr="00BC6E61" w:rsidRDefault="009B267F" w:rsidP="006E1D1A">
      <w:pPr>
        <w:pStyle w:val="EAAheading1"/>
        <w:ind w:left="567" w:hanging="567"/>
      </w:pPr>
      <w:r w:rsidRPr="00BC6E61">
        <w:t>Introduction</w:t>
      </w:r>
      <w:r w:rsidR="00D0432C" w:rsidRPr="00F959BF">
        <w:rPr>
          <w:rStyle w:val="FootnoteReference"/>
          <w:color w:val="FFFFFF"/>
        </w:rPr>
        <w:footnoteReference w:id="1"/>
      </w:r>
    </w:p>
    <w:p w14:paraId="31E7C1FC" w14:textId="538CA3CF" w:rsidR="00730203" w:rsidRDefault="008D4077" w:rsidP="00AC39C8">
      <w:pPr>
        <w:pStyle w:val="EAAnormaltext"/>
      </w:pPr>
      <w:r w:rsidRPr="008D4077">
        <w:t xml:space="preserve">This </w:t>
      </w:r>
      <w:r>
        <w:t>paper</w:t>
      </w:r>
      <w:r w:rsidRPr="008D4077">
        <w:t xml:space="preserve"> provide</w:t>
      </w:r>
      <w:r w:rsidR="005E53BA">
        <w:t>s</w:t>
      </w:r>
      <w:r w:rsidRPr="008D4077">
        <w:t xml:space="preserve"> </w:t>
      </w:r>
      <w:r w:rsidR="001F7C2B">
        <w:t>a</w:t>
      </w:r>
      <w:r w:rsidR="00E46403">
        <w:t xml:space="preserve"> methodology and</w:t>
      </w:r>
      <w:r w:rsidR="001F7C2B">
        <w:t xml:space="preserve"> </w:t>
      </w:r>
      <w:r w:rsidR="001F7C2B" w:rsidRPr="008D4077">
        <w:t xml:space="preserve">estimation of </w:t>
      </w:r>
      <w:r w:rsidR="00E46403">
        <w:t>tactile vibration and structure-borne noise caused by</w:t>
      </w:r>
      <w:r w:rsidR="001F7C2B" w:rsidRPr="008D4077">
        <w:t xml:space="preserve"> underground railway vibration</w:t>
      </w:r>
      <w:r w:rsidR="001F7C2B">
        <w:t xml:space="preserve"> </w:t>
      </w:r>
      <w:r w:rsidR="00E46403">
        <w:t>for</w:t>
      </w:r>
      <w:r w:rsidR="001F7C2B" w:rsidRPr="008D4077">
        <w:t xml:space="preserve"> a specific case study </w:t>
      </w:r>
      <w:r w:rsidR="001F7C2B">
        <w:t xml:space="preserve">where a </w:t>
      </w:r>
      <w:r w:rsidR="001F7C2B" w:rsidRPr="008D4077">
        <w:t xml:space="preserve">development </w:t>
      </w:r>
      <w:r w:rsidR="001F7C2B">
        <w:t xml:space="preserve">is proposed </w:t>
      </w:r>
      <w:r w:rsidR="001F7C2B" w:rsidRPr="008D4077">
        <w:t>above an underground railway line</w:t>
      </w:r>
      <w:r w:rsidR="00E46403">
        <w:t xml:space="preserve">. The effects on occupants of specific room spaces of the development are assessed with consideration of </w:t>
      </w:r>
      <w:r w:rsidRPr="008D4077">
        <w:t>the difficulties and inherent uncertainties that affect the accuracy of such predictions</w:t>
      </w:r>
      <w:r w:rsidR="00E46403">
        <w:t>. C</w:t>
      </w:r>
      <w:r w:rsidRPr="008D4077">
        <w:t xml:space="preserve">onclusions </w:t>
      </w:r>
      <w:r w:rsidR="00E46403">
        <w:t xml:space="preserve">are given regarding </w:t>
      </w:r>
      <w:r w:rsidR="008516C6">
        <w:t>the</w:t>
      </w:r>
      <w:r w:rsidRPr="008D4077">
        <w:t xml:space="preserve"> predicted effects based on the methodology used.</w:t>
      </w:r>
    </w:p>
    <w:p w14:paraId="09214968" w14:textId="5D09C2A4" w:rsidR="006E1D1A" w:rsidRDefault="006E1D1A" w:rsidP="00AC39C8">
      <w:pPr>
        <w:pStyle w:val="EAAnormaltext"/>
      </w:pPr>
    </w:p>
    <w:p w14:paraId="5A7CFFB1" w14:textId="77777777" w:rsidR="006E1D1A" w:rsidRDefault="006E1D1A" w:rsidP="00AC39C8">
      <w:pPr>
        <w:pStyle w:val="EAAnormaltext"/>
      </w:pPr>
    </w:p>
    <w:p w14:paraId="2309A21C" w14:textId="77777777" w:rsidR="00730203" w:rsidRPr="00BC6E61" w:rsidRDefault="00730203" w:rsidP="001E2C38">
      <w:pPr>
        <w:pStyle w:val="EAAheading2"/>
        <w:ind w:left="426"/>
      </w:pPr>
      <w:r>
        <w:t>Development Site</w:t>
      </w:r>
    </w:p>
    <w:p w14:paraId="439CE38A" w14:textId="46389348" w:rsidR="00D94A1C" w:rsidRDefault="00730203" w:rsidP="00730203">
      <w:pPr>
        <w:pStyle w:val="EAAnormaltext"/>
      </w:pPr>
      <w:r w:rsidRPr="00730203">
        <w:t xml:space="preserve">The </w:t>
      </w:r>
      <w:r>
        <w:t xml:space="preserve">proposed development </w:t>
      </w:r>
      <w:r w:rsidRPr="00730203">
        <w:t>site is located on</w:t>
      </w:r>
      <w:r w:rsidR="00DC4D90">
        <w:t xml:space="preserve"> </w:t>
      </w:r>
      <w:r w:rsidR="00E60C3D">
        <w:t xml:space="preserve">a </w:t>
      </w:r>
      <w:r w:rsidR="00DC4D90">
        <w:t>street in a</w:t>
      </w:r>
      <w:r w:rsidR="00E60C3D">
        <w:t>n</w:t>
      </w:r>
      <w:r w:rsidR="00DC4D90">
        <w:t xml:space="preserve"> urbanized area of </w:t>
      </w:r>
      <w:r w:rsidRPr="00730203">
        <w:t>London.</w:t>
      </w:r>
      <w:r>
        <w:t xml:space="preserve"> London Underground Piccadilly Line tunnels pass beneath the north-west corner of the site</w:t>
      </w:r>
      <w:r w:rsidR="001E2C38">
        <w:t xml:space="preserve"> under a proposed building</w:t>
      </w:r>
      <w:r>
        <w:t xml:space="preserve"> and represent a potential significant vibration generating source that could </w:t>
      </w:r>
      <w:r w:rsidR="00063927">
        <w:t>have a negative</w:t>
      </w:r>
      <w:r>
        <w:t xml:space="preserve"> impact </w:t>
      </w:r>
      <w:r w:rsidR="00063927">
        <w:t xml:space="preserve">on </w:t>
      </w:r>
      <w:r>
        <w:t xml:space="preserve">the future development. </w:t>
      </w:r>
      <w:r w:rsidR="001E2C38">
        <w:t>The</w:t>
      </w:r>
      <w:r>
        <w:t xml:space="preserve"> particular building </w:t>
      </w:r>
      <w:r w:rsidR="001E2C38">
        <w:t xml:space="preserve">considered </w:t>
      </w:r>
      <w:r>
        <w:t>is a seven-storey structure without a basement, with commercial space on the ground floor and residential space above from first floor to sixth floor.</w:t>
      </w:r>
      <w:r w:rsidR="00063927">
        <w:t xml:space="preserve"> T</w:t>
      </w:r>
      <w:r w:rsidR="00063927" w:rsidRPr="00D94A1C">
        <w:t>he proposed building is to be constructed on piled foundations.</w:t>
      </w:r>
      <w:r w:rsidR="00063927">
        <w:t xml:space="preserve"> </w:t>
      </w:r>
    </w:p>
    <w:p w14:paraId="74D1F707" w14:textId="0BD28DDF" w:rsidR="00730203" w:rsidRDefault="00D94A1C" w:rsidP="00AC39C8">
      <w:pPr>
        <w:pStyle w:val="EAAnormaltext"/>
      </w:pPr>
      <w:r w:rsidRPr="00D94A1C">
        <w:t>The inner face of the Piccadilly Line tunnel crown is approximately 28 m below the ground surface</w:t>
      </w:r>
      <w:r w:rsidR="00063927">
        <w:t>.</w:t>
      </w:r>
      <w:r w:rsidRPr="00D94A1C">
        <w:t xml:space="preserve">    </w:t>
      </w:r>
      <w:r w:rsidR="00063927">
        <w:lastRenderedPageBreak/>
        <w:t>S</w:t>
      </w:r>
      <w:r w:rsidRPr="00D94A1C">
        <w:t>pecific piles</w:t>
      </w:r>
      <w:r w:rsidR="008516C6">
        <w:t xml:space="preserve"> of varying depths</w:t>
      </w:r>
      <w:r w:rsidRPr="00D94A1C">
        <w:t xml:space="preserve"> </w:t>
      </w:r>
      <w:r w:rsidR="00063927">
        <w:t xml:space="preserve">were </w:t>
      </w:r>
      <w:r w:rsidRPr="00D94A1C">
        <w:t>considered in th</w:t>
      </w:r>
      <w:r w:rsidR="00063927">
        <w:t>e</w:t>
      </w:r>
      <w:r w:rsidRPr="00D94A1C">
        <w:t xml:space="preserve"> assessment</w:t>
      </w:r>
      <w:r w:rsidR="00063927">
        <w:t xml:space="preserve"> of vibration effects due to their set </w:t>
      </w:r>
      <w:r w:rsidR="008516C6">
        <w:t xml:space="preserve">horizontal </w:t>
      </w:r>
      <w:r w:rsidR="00063927">
        <w:t>distances from the</w:t>
      </w:r>
      <w:r w:rsidRPr="00D94A1C">
        <w:t xml:space="preserve"> tunnels.</w:t>
      </w:r>
    </w:p>
    <w:p w14:paraId="27996115" w14:textId="264E2B1E" w:rsidR="008516C6" w:rsidRDefault="00976FBA" w:rsidP="00AC39C8">
      <w:pPr>
        <w:pStyle w:val="EAAnormaltext"/>
      </w:pPr>
      <w:r>
        <w:t>T</w:t>
      </w:r>
      <w:r w:rsidRPr="00976FBA">
        <w:t xml:space="preserve">he tunnels </w:t>
      </w:r>
      <w:r>
        <w:t xml:space="preserve">beneath the site are </w:t>
      </w:r>
      <w:r w:rsidRPr="00976FBA">
        <w:t xml:space="preserve">predominantly located within the London Clay geological formation. London Clay is a relatively impermeable soil and the water content </w:t>
      </w:r>
      <w:r w:rsidR="00E60C3D">
        <w:t>is typically</w:t>
      </w:r>
      <w:r w:rsidRPr="00976FBA">
        <w:t xml:space="preserve"> low</w:t>
      </w:r>
      <w:r w:rsidR="00E60C3D">
        <w:t xml:space="preserve"> because of this</w:t>
      </w:r>
      <w:r w:rsidR="007E11D8">
        <w:t>.</w:t>
      </w:r>
      <w:r w:rsidR="00E60C3D">
        <w:t xml:space="preserve"> </w:t>
      </w:r>
      <w:r w:rsidR="007E11D8">
        <w:t>Low water content</w:t>
      </w:r>
      <w:r w:rsidR="00E60C3D">
        <w:t xml:space="preserve"> </w:t>
      </w:r>
      <w:r w:rsidR="007E11D8">
        <w:t>has therefore been</w:t>
      </w:r>
      <w:r w:rsidR="00E60C3D">
        <w:t xml:space="preserve"> assumed</w:t>
      </w:r>
      <w:r w:rsidRPr="00976FBA">
        <w:t xml:space="preserve"> in calculations of vibration wavespeed through soil used in </w:t>
      </w:r>
      <w:r w:rsidR="007E11D8" w:rsidRPr="00976FBA">
        <w:t>th</w:t>
      </w:r>
      <w:r w:rsidR="007E11D8">
        <w:t>is</w:t>
      </w:r>
      <w:r w:rsidR="007E11D8" w:rsidRPr="00976FBA">
        <w:t xml:space="preserve"> </w:t>
      </w:r>
      <w:r w:rsidRPr="00976FBA">
        <w:t>assessment.</w:t>
      </w:r>
      <w:r w:rsidR="0075596C">
        <w:t xml:space="preserve"> Soil loss factors </w:t>
      </w:r>
      <w:r w:rsidR="007E11D8">
        <w:t xml:space="preserve">for dry clay </w:t>
      </w:r>
      <w:r w:rsidR="0075596C">
        <w:t xml:space="preserve">have been </w:t>
      </w:r>
      <w:r w:rsidR="007E11D8">
        <w:t>sourced</w:t>
      </w:r>
      <w:r w:rsidR="0075596C">
        <w:t xml:space="preserve"> </w:t>
      </w:r>
      <w:r w:rsidR="007E11D8">
        <w:t>from</w:t>
      </w:r>
      <w:r w:rsidR="0075596C">
        <w:t xml:space="preserve"> </w:t>
      </w:r>
      <w:r w:rsidR="001E2C38">
        <w:t>data</w:t>
      </w:r>
      <w:r w:rsidR="0075596C">
        <w:t xml:space="preserve"> </w:t>
      </w:r>
      <w:r w:rsidR="001E2C38">
        <w:t xml:space="preserve">given </w:t>
      </w:r>
      <w:r w:rsidR="0075596C">
        <w:t xml:space="preserve">by Ungar and Bender </w:t>
      </w:r>
      <w:r w:rsidR="007E11D8">
        <w:t>[1]</w:t>
      </w:r>
      <w:r w:rsidR="0075596C">
        <w:t>.</w:t>
      </w:r>
    </w:p>
    <w:p w14:paraId="4A581074" w14:textId="77777777" w:rsidR="007F6317" w:rsidRDefault="007F6317" w:rsidP="005B5BFE">
      <w:pPr>
        <w:pStyle w:val="EAAnormaltext"/>
      </w:pPr>
    </w:p>
    <w:p w14:paraId="2F7C01DE" w14:textId="77777777" w:rsidR="003A71C5" w:rsidRDefault="003A71C5" w:rsidP="003A71C5">
      <w:pPr>
        <w:pStyle w:val="EAAheading1"/>
        <w:ind w:left="567" w:hanging="567"/>
      </w:pPr>
      <w:r>
        <w:tab/>
        <w:t>Methodology</w:t>
      </w:r>
    </w:p>
    <w:p w14:paraId="43605F51" w14:textId="5A1A365B" w:rsidR="003A71C5" w:rsidRDefault="003A71C5" w:rsidP="003A71C5">
      <w:pPr>
        <w:pStyle w:val="EAAnormaltext"/>
      </w:pPr>
      <w:r>
        <w:t>P</w:t>
      </w:r>
      <w:r w:rsidR="007C3E1E">
        <w:t xml:space="preserve">ipe </w:t>
      </w:r>
      <w:r>
        <w:t>i</w:t>
      </w:r>
      <w:r w:rsidR="007C3E1E">
        <w:t xml:space="preserve">n </w:t>
      </w:r>
      <w:r>
        <w:t>P</w:t>
      </w:r>
      <w:r w:rsidR="007C3E1E">
        <w:t>ipe (PiP)</w:t>
      </w:r>
      <w:r>
        <w:t xml:space="preserve"> prediction software</w:t>
      </w:r>
      <w:r w:rsidR="007C3E1E">
        <w:t xml:space="preserve"> </w:t>
      </w:r>
      <w:r>
        <w:t xml:space="preserve">was used to determine the levels of vibration at the bottom of the proposed pile foundations of the </w:t>
      </w:r>
      <w:r w:rsidR="001E2C38">
        <w:t>building</w:t>
      </w:r>
      <w:r w:rsidR="00063927">
        <w:t>.</w:t>
      </w:r>
      <w:r w:rsidR="001F7C2B">
        <w:t xml:space="preserve"> </w:t>
      </w:r>
      <w:r w:rsidR="007E11D8">
        <w:t xml:space="preserve">Nelson’s </w:t>
      </w:r>
      <w:r w:rsidR="008C0B80">
        <w:t xml:space="preserve">[2] </w:t>
      </w:r>
      <w:r w:rsidR="007E11D8">
        <w:t xml:space="preserve">transfer </w:t>
      </w:r>
      <w:r>
        <w:t>functions</w:t>
      </w:r>
      <w:r w:rsidR="007E11D8">
        <w:t>, which account for the vibration energy transmission loss/gain through the foundations, the structure of the building and resonance of the room surfaces (based on empirical data and case studies),</w:t>
      </w:r>
      <w:r>
        <w:t xml:space="preserve"> were </w:t>
      </w:r>
      <w:r w:rsidR="00063927">
        <w:t xml:space="preserve">then </w:t>
      </w:r>
      <w:r>
        <w:t>applied to predict the tactile vibration and structure-borne noise effects within the room spaces of the development.</w:t>
      </w:r>
      <w:r w:rsidR="00063927">
        <w:t xml:space="preserve"> The steps of propagation calculation are detailed below.</w:t>
      </w:r>
    </w:p>
    <w:p w14:paraId="06935E93" w14:textId="77777777" w:rsidR="00DE06C3" w:rsidRPr="00DE06C3" w:rsidRDefault="00DE06C3" w:rsidP="00DE06C3">
      <w:pPr>
        <w:pStyle w:val="ListParagraph"/>
        <w:numPr>
          <w:ilvl w:val="0"/>
          <w:numId w:val="5"/>
        </w:numPr>
        <w:spacing w:before="180" w:after="100"/>
        <w:contextualSpacing w:val="0"/>
        <w:rPr>
          <w:b/>
          <w:vanish/>
          <w:szCs w:val="24"/>
          <w:lang w:val="en-US" w:eastAsia="fr-FR"/>
        </w:rPr>
      </w:pPr>
    </w:p>
    <w:p w14:paraId="63356CB5" w14:textId="40974734" w:rsidR="007F6317" w:rsidRDefault="003A71C5" w:rsidP="00DE06C3">
      <w:pPr>
        <w:pStyle w:val="EAAheading2"/>
        <w:ind w:left="432"/>
      </w:pPr>
      <w:r>
        <w:t xml:space="preserve">Step 1 – Prediction of Vibration at Pile Bases </w:t>
      </w:r>
    </w:p>
    <w:p w14:paraId="443BECFB" w14:textId="77777777" w:rsidR="005C7D6B" w:rsidRDefault="005C7D6B" w:rsidP="005C7D6B">
      <w:pPr>
        <w:pStyle w:val="EAAnormaltext"/>
      </w:pPr>
      <w:r>
        <w:t xml:space="preserve">The first stage of the vibration propagation path that required prediction was the level of vibration at the bottom of the proposed piles of the development. </w:t>
      </w:r>
    </w:p>
    <w:p w14:paraId="49FF33FF" w14:textId="77777777" w:rsidR="005C7D6B" w:rsidRDefault="005C7D6B" w:rsidP="005C7D6B">
      <w:pPr>
        <w:pStyle w:val="EAAnormaltext"/>
      </w:pPr>
      <w:r>
        <w:t xml:space="preserve">The prediction of vibration propagation through the ground can be carried out using a variety of numerical methods, which can range from basic equations and functions to complex finite-element and/or boundary element analysis models. </w:t>
      </w:r>
    </w:p>
    <w:p w14:paraId="5E7A9D2B" w14:textId="4E9F49F4" w:rsidR="005C7D6B" w:rsidRDefault="005C7D6B" w:rsidP="005C7D6B">
      <w:pPr>
        <w:pStyle w:val="EAAnormaltext"/>
      </w:pPr>
      <w:r>
        <w:t xml:space="preserve">Distance equations such as that proposed by Ungar and Bender [1] and in the safeguarding procedures for the London based Crossrail projects [3],[4] offer basic prediction methods but could be considered an oversimplification of a complex system. The equations tend not to consider any boundary effects on the waves travelling through the soil and offer limited source data. </w:t>
      </w:r>
    </w:p>
    <w:p w14:paraId="20EC6B2A" w14:textId="2374B6CC" w:rsidR="005C7D6B" w:rsidRDefault="005C7D6B" w:rsidP="005C7D6B">
      <w:pPr>
        <w:pStyle w:val="EAAnormaltext"/>
      </w:pPr>
      <w:r>
        <w:t xml:space="preserve">Finite difference models are sometimes used to predict the propagation of underground train vibration in three dimensions </w:t>
      </w:r>
      <w:r w:rsidR="001E2C38">
        <w:t>and</w:t>
      </w:r>
      <w:r>
        <w:t xml:space="preserve"> the time domain allowing the variations in train passes over time to be analysed. </w:t>
      </w:r>
      <w:r w:rsidR="001E2C38">
        <w:t>A</w:t>
      </w:r>
      <w:r>
        <w:t xml:space="preserve"> finite difference model could be a suitable method for predicting vibration levels at the bottom of pile foundations in some </w:t>
      </w:r>
      <w:r>
        <w:t xml:space="preserve">circumstances, however the practicalities in obtaining the necessary information to accurately complete the model would make the resulting data difficult to define with any certainty. </w:t>
      </w:r>
      <w:r w:rsidR="001E2C38">
        <w:t>D</w:t>
      </w:r>
      <w:r>
        <w:t xml:space="preserve">ue to the lack of detailed information available </w:t>
      </w:r>
      <w:r w:rsidR="001E2C38">
        <w:t>for the site</w:t>
      </w:r>
      <w:r>
        <w:t xml:space="preserve">, using complex </w:t>
      </w:r>
      <w:r w:rsidR="001E2C38">
        <w:t xml:space="preserve">finite difference </w:t>
      </w:r>
      <w:r>
        <w:t xml:space="preserve">models would </w:t>
      </w:r>
      <w:r w:rsidR="001E2C38">
        <w:t xml:space="preserve">likely </w:t>
      </w:r>
      <w:r>
        <w:t>result in a high level of uncertainty.</w:t>
      </w:r>
    </w:p>
    <w:p w14:paraId="28D7FD5B" w14:textId="77E1E628" w:rsidR="005C7D6B" w:rsidRDefault="005C7D6B" w:rsidP="005C7D6B">
      <w:pPr>
        <w:pStyle w:val="EAAnormaltext"/>
      </w:pPr>
      <w:r>
        <w:t xml:space="preserve">PiP was developed in 1999 [5],[6],[7] as an analytical 3D model for the dynamics of a circular underground railway tunnel. The model assumes the train/tunnel system to be an infinite cylindrical line-source and the surrounding soil is modelled using wave equations for an elastic continuum.  </w:t>
      </w:r>
    </w:p>
    <w:p w14:paraId="011F5066" w14:textId="3766829E" w:rsidR="005C7D6B" w:rsidRDefault="005C7D6B" w:rsidP="005C7D6B">
      <w:pPr>
        <w:pStyle w:val="EAAnormaltext"/>
      </w:pPr>
      <w:r>
        <w:t>Th</w:t>
      </w:r>
      <w:r w:rsidR="00F64286">
        <w:t>e model</w:t>
      </w:r>
      <w:r>
        <w:t xml:space="preserve"> has been developed [7] so that </w:t>
      </w:r>
      <w:r w:rsidR="00F64286">
        <w:t>it</w:t>
      </w:r>
      <w:r>
        <w:t xml:space="preserve"> assumes the tunnel to be embedded in a ‘half space’</w:t>
      </w:r>
      <w:r w:rsidR="00F64286" w:rsidRPr="00F64286">
        <w:t xml:space="preserve"> </w:t>
      </w:r>
      <w:r w:rsidR="00F64286">
        <w:t>allowing boundary effe</w:t>
      </w:r>
      <w:r w:rsidR="00DF2B87">
        <w:t>cts at the surface of the soil</w:t>
      </w:r>
      <w:r w:rsidR="00F64286">
        <w:t xml:space="preserve"> </w:t>
      </w:r>
      <w:r w:rsidR="00DF2B87">
        <w:t>(</w:t>
      </w:r>
      <w:r w:rsidR="00F64286">
        <w:t>a critical component in the comparison of vibration at the surface to vibration below the ground</w:t>
      </w:r>
      <w:r w:rsidR="00DF2B87">
        <w:t xml:space="preserve"> [8])</w:t>
      </w:r>
      <w:r w:rsidR="00F64286">
        <w:t xml:space="preserve"> to be accounted for</w:t>
      </w:r>
      <w:r>
        <w:t xml:space="preserve">. The calculation of far-field displacements </w:t>
      </w:r>
      <w:r w:rsidR="00DF2B87">
        <w:t>considers</w:t>
      </w:r>
      <w:r>
        <w:t xml:space="preserve"> the variations in wave formation caused by boundary interactions with waves meeting the soil surface [8].  </w:t>
      </w:r>
    </w:p>
    <w:p w14:paraId="295BFF58" w14:textId="0DFADCEC" w:rsidR="005C7D6B" w:rsidRDefault="005C7D6B" w:rsidP="005C7D6B">
      <w:pPr>
        <w:pStyle w:val="EAAnormaltext"/>
      </w:pPr>
      <w:r>
        <w:t>PiP can have high levels of uncertainty when predicting the specific levels of vibration at a point in the ground because of the uncertainty involved in real situations where many input factors may not be known, however Hunt [9] argues that the software is well suited to comparing the levels of vibration from one point in the ground to another by keeping consistent parameters and comparing the output levels. Using PiP in this way reduces the potential uncertainty.</w:t>
      </w:r>
    </w:p>
    <w:p w14:paraId="495FA5D7" w14:textId="5285F78F" w:rsidR="005C7D6B" w:rsidRDefault="005C7D6B" w:rsidP="005C7D6B">
      <w:pPr>
        <w:pStyle w:val="EAAnormaltext"/>
      </w:pPr>
      <w:r>
        <w:t xml:space="preserve">For these reasons, PiP was used in combination with previously measured surface vibration data at the site to predict the difference in level from the </w:t>
      </w:r>
      <w:r w:rsidR="00DF2B87">
        <w:t>surface</w:t>
      </w:r>
      <w:r>
        <w:t xml:space="preserve"> to the bottom of the proposed pile foundations (the closest point of the proposed building to the Piccadilly Line train tunnels).  </w:t>
      </w:r>
    </w:p>
    <w:p w14:paraId="0453475B" w14:textId="0EFD5D5C" w:rsidR="00DF2B87" w:rsidRDefault="005C7D6B" w:rsidP="00DF2B87">
      <w:pPr>
        <w:pStyle w:val="EAAnormaltext"/>
      </w:pPr>
      <w:r>
        <w:t xml:space="preserve">Aside from </w:t>
      </w:r>
      <w:r w:rsidR="00DF2B87">
        <w:t xml:space="preserve">varying dimensions to </w:t>
      </w:r>
      <w:r>
        <w:t>assess the different pile depths and positions proposed, the input values for PiP were kept consistent throughout the predictions.</w:t>
      </w:r>
      <w:r w:rsidR="00DF2B87">
        <w:t xml:space="preserve"> </w:t>
      </w:r>
      <w:r w:rsidR="003A71C5">
        <w:t xml:space="preserve">An example PiP output chart in the frequency range 1 to 250 Hz at </w:t>
      </w:r>
      <w:r w:rsidR="005B5BFE">
        <w:t xml:space="preserve">a pile </w:t>
      </w:r>
      <w:r w:rsidR="003A71C5">
        <w:t xml:space="preserve">located </w:t>
      </w:r>
      <w:r w:rsidR="005B5BFE">
        <w:t>directly above the train tunnel</w:t>
      </w:r>
      <w:r w:rsidR="003A71C5">
        <w:t xml:space="preserve"> is shown in Figure </w:t>
      </w:r>
      <w:r w:rsidR="00DE06C3">
        <w:t>2</w:t>
      </w:r>
      <w:r w:rsidR="003A71C5">
        <w:t>.1.</w:t>
      </w:r>
    </w:p>
    <w:p w14:paraId="3C126957" w14:textId="77777777" w:rsidR="00DF2B87" w:rsidRDefault="00DF2B87" w:rsidP="00DF2B87">
      <w:pPr>
        <w:pStyle w:val="EAAnormaltext"/>
      </w:pPr>
    </w:p>
    <w:p w14:paraId="220B6D61" w14:textId="171E021E" w:rsidR="003A71C5" w:rsidRDefault="00DF2B87" w:rsidP="00DF2B87">
      <w:pPr>
        <w:pStyle w:val="EAAnormaltext"/>
      </w:pPr>
      <w:r>
        <w:rPr>
          <w:noProof/>
          <w:lang w:val="en-GB" w:eastAsia="en-GB"/>
        </w:rPr>
        <w:lastRenderedPageBreak/>
        <w:drawing>
          <wp:anchor distT="0" distB="0" distL="114300" distR="114300" simplePos="0" relativeHeight="251665408" behindDoc="0" locked="0" layoutInCell="1" allowOverlap="1" wp14:anchorId="4F3393F8" wp14:editId="06133B81">
            <wp:simplePos x="0" y="0"/>
            <wp:positionH relativeFrom="column">
              <wp:posOffset>5715</wp:posOffset>
            </wp:positionH>
            <wp:positionV relativeFrom="paragraph">
              <wp:posOffset>193887</wp:posOffset>
            </wp:positionV>
            <wp:extent cx="2933700" cy="13265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P Output Chart.png"/>
                    <pic:cNvPicPr/>
                  </pic:nvPicPr>
                  <pic:blipFill>
                    <a:blip r:embed="rId10">
                      <a:extLst>
                        <a:ext uri="{28A0092B-C50C-407E-A947-70E740481C1C}">
                          <a14:useLocalDpi xmlns:a14="http://schemas.microsoft.com/office/drawing/2010/main" val="0"/>
                        </a:ext>
                      </a:extLst>
                    </a:blip>
                    <a:stretch>
                      <a:fillRect/>
                    </a:stretch>
                  </pic:blipFill>
                  <pic:spPr>
                    <a:xfrm>
                      <a:off x="0" y="0"/>
                      <a:ext cx="2933700" cy="1326515"/>
                    </a:xfrm>
                    <a:prstGeom prst="rect">
                      <a:avLst/>
                    </a:prstGeom>
                  </pic:spPr>
                </pic:pic>
              </a:graphicData>
            </a:graphic>
            <wp14:sizeRelH relativeFrom="page">
              <wp14:pctWidth>0</wp14:pctWidth>
            </wp14:sizeRelH>
            <wp14:sizeRelV relativeFrom="page">
              <wp14:pctHeight>0</wp14:pctHeight>
            </wp14:sizeRelV>
          </wp:anchor>
        </w:drawing>
      </w:r>
      <w:r w:rsidR="003A71C5">
        <w:t xml:space="preserve">Figure </w:t>
      </w:r>
      <w:r w:rsidR="00DE06C3">
        <w:t>2</w:t>
      </w:r>
      <w:r w:rsidR="003A71C5">
        <w:t>.1:</w:t>
      </w:r>
      <w:r w:rsidR="003A71C5">
        <w:tab/>
        <w:t xml:space="preserve">PiP Output Chart – </w:t>
      </w:r>
      <w:r w:rsidR="005F5358">
        <w:t>Closest Pile</w:t>
      </w:r>
    </w:p>
    <w:p w14:paraId="2B6FE6A6" w14:textId="1526E0F9" w:rsidR="003A71C5" w:rsidRPr="00720C0E" w:rsidRDefault="003A71C5" w:rsidP="00B4561C">
      <w:pPr>
        <w:pStyle w:val="EAAnormaltext"/>
        <w:spacing w:after="120" w:line="240" w:lineRule="auto"/>
        <w:rPr>
          <w:sz w:val="16"/>
        </w:rPr>
      </w:pPr>
      <w:r w:rsidRPr="00720C0E">
        <w:rPr>
          <w:sz w:val="16"/>
        </w:rPr>
        <w:t>Notes:  Case 1 represents the level of vibration predicted at the bottom of the pile, Case 2 represents the level of vibration predicted at the top of the pile and Case 3 represents the level of vibration at the surface measurement position.</w:t>
      </w:r>
    </w:p>
    <w:p w14:paraId="7EF041EC" w14:textId="63911EFD" w:rsidR="003A71C5" w:rsidRDefault="003A71C5" w:rsidP="003A71C5">
      <w:pPr>
        <w:pStyle w:val="EAAnormaltext"/>
      </w:pPr>
      <w:r>
        <w:t xml:space="preserve">The difference in PiP predicted level of vibration at the bottom of the pile (Case 1) to the PiP predicted level at the measurement location (Case 3) was added to the actual measured levels of vibration at the surface to obtain the actual level of vibration </w:t>
      </w:r>
      <w:r w:rsidR="005B5BFE">
        <w:t xml:space="preserve">that would be incident </w:t>
      </w:r>
      <w:r>
        <w:t>at the bottom of the pile.</w:t>
      </w:r>
    </w:p>
    <w:p w14:paraId="621DEFD8" w14:textId="77777777" w:rsidR="003A71C5" w:rsidRDefault="003A71C5" w:rsidP="005B5BFE">
      <w:pPr>
        <w:pStyle w:val="EAAheading2"/>
        <w:ind w:left="567" w:hanging="567"/>
      </w:pPr>
      <w:r>
        <w:t>Step 2 – Prediction of Foundation to Slab Transmission</w:t>
      </w:r>
      <w:r w:rsidR="00774B08">
        <w:t xml:space="preserve"> and Vertical Transfer </w:t>
      </w:r>
    </w:p>
    <w:p w14:paraId="31872E13" w14:textId="43F4932B" w:rsidR="003A71C5" w:rsidRDefault="003A71C5" w:rsidP="003A71C5">
      <w:pPr>
        <w:pStyle w:val="EAAnormaltext"/>
      </w:pPr>
      <w:r>
        <w:t xml:space="preserve">The transmission of vibration from the ground, into the foundations and up into the super-structure of the building was predicted </w:t>
      </w:r>
      <w:r w:rsidRPr="007A2A36">
        <w:t xml:space="preserve">using </w:t>
      </w:r>
      <w:r w:rsidR="007A2A36" w:rsidRPr="007A2A36">
        <w:t>Nelson’s</w:t>
      </w:r>
      <w:r>
        <w:t xml:space="preserve"> transfer functions</w:t>
      </w:r>
      <w:r w:rsidR="007A2A36">
        <w:t xml:space="preserve"> [</w:t>
      </w:r>
      <w:r w:rsidR="008C0B80">
        <w:t>2</w:t>
      </w:r>
      <w:r w:rsidR="007A2A36">
        <w:t>]</w:t>
      </w:r>
      <w:r>
        <w:t xml:space="preserve">.  </w:t>
      </w:r>
    </w:p>
    <w:p w14:paraId="29FF6B5E" w14:textId="6BB46357" w:rsidR="003A71C5" w:rsidRDefault="003A71C5" w:rsidP="003A71C5">
      <w:pPr>
        <w:pStyle w:val="EAAnormaltext"/>
      </w:pPr>
      <w:r>
        <w:t xml:space="preserve">A range of vibration transfers are possible from minimum (best case) to maximum (worst case). To determine whether the likely transfer of energy into the super-structure of the building </w:t>
      </w:r>
      <w:r w:rsidR="00774B08">
        <w:t xml:space="preserve">and the vertical transfer per floor </w:t>
      </w:r>
      <w:r>
        <w:t>w</w:t>
      </w:r>
      <w:r w:rsidR="00583124">
        <w:t>ould tend towards the minimum (</w:t>
      </w:r>
      <w:r>
        <w:t>typically heavyweight structures) or the maximum (typically lightweight structures) transfer scenario, the nature of the structure of the proposed building was taken into consideration.</w:t>
      </w:r>
    </w:p>
    <w:p w14:paraId="46C6AE2B" w14:textId="390289A7" w:rsidR="003A71C5" w:rsidRDefault="003A71C5" w:rsidP="003A71C5">
      <w:pPr>
        <w:pStyle w:val="EAAnormaltext"/>
      </w:pPr>
      <w:r>
        <w:t xml:space="preserve">The proposed structure of the lowest </w:t>
      </w:r>
      <w:r w:rsidR="00B6464B">
        <w:t xml:space="preserve">concrete </w:t>
      </w:r>
      <w:r>
        <w:t xml:space="preserve">slab of the building </w:t>
      </w:r>
      <w:r w:rsidR="00774B08">
        <w:t xml:space="preserve">is </w:t>
      </w:r>
      <w:r>
        <w:t>proposed to be 250 mm thick</w:t>
      </w:r>
      <w:r w:rsidR="00774B08">
        <w:t>. Thick reinforced conc</w:t>
      </w:r>
      <w:r w:rsidR="008C3861">
        <w:t xml:space="preserve">rete columns </w:t>
      </w:r>
      <w:r w:rsidR="00774B08">
        <w:t xml:space="preserve">and floor slabs </w:t>
      </w:r>
      <w:r w:rsidR="00583124">
        <w:t>of up</w:t>
      </w:r>
      <w:r w:rsidR="00774B08">
        <w:t xml:space="preserve"> to 650 mm thick reinforced concrete are proposed. The structure is </w:t>
      </w:r>
      <w:r w:rsidR="00583124">
        <w:t xml:space="preserve">naturally </w:t>
      </w:r>
      <w:r w:rsidR="00F67EDF">
        <w:t>heavy</w:t>
      </w:r>
      <w:r>
        <w:t xml:space="preserve"> </w:t>
      </w:r>
      <w:r w:rsidR="00F67EDF">
        <w:t xml:space="preserve">and </w:t>
      </w:r>
      <w:r>
        <w:t>only low frequency vibration is likely to be transmitted easily up throu</w:t>
      </w:r>
      <w:r w:rsidR="00774B08">
        <w:t xml:space="preserve">gh to the residential levels.  </w:t>
      </w:r>
    </w:p>
    <w:p w14:paraId="5BBAB5BA" w14:textId="1E267CC2" w:rsidR="003A71C5" w:rsidRDefault="003A71C5" w:rsidP="003A71C5">
      <w:pPr>
        <w:pStyle w:val="EAAnormaltext"/>
      </w:pPr>
      <w:r>
        <w:t>Based on the spectral data from the vibration measurem</w:t>
      </w:r>
      <w:r w:rsidR="007F6317">
        <w:t>ents that were conducted onsite</w:t>
      </w:r>
      <w:r>
        <w:t xml:space="preserve">, the frequencies where train vibration is most significant </w:t>
      </w:r>
      <w:r w:rsidR="0089440C">
        <w:t xml:space="preserve">at the surface </w:t>
      </w:r>
      <w:r>
        <w:t>tend to be in the 40 Hz</w:t>
      </w:r>
      <w:r w:rsidR="00E97071">
        <w:t>,</w:t>
      </w:r>
      <w:r w:rsidR="00583124">
        <w:t xml:space="preserve"> 50 </w:t>
      </w:r>
      <w:r>
        <w:t>Hz</w:t>
      </w:r>
      <w:r w:rsidR="00E97071">
        <w:t xml:space="preserve"> and 100 Hz</w:t>
      </w:r>
      <w:r>
        <w:t xml:space="preserve"> </w:t>
      </w:r>
      <w:r w:rsidR="007F6317">
        <w:t>frequency</w:t>
      </w:r>
      <w:r>
        <w:t xml:space="preserve"> bands. In terms of vibration this is of relatively high frequency and the proposed </w:t>
      </w:r>
      <w:r w:rsidR="00774B08">
        <w:t>structure</w:t>
      </w:r>
      <w:r>
        <w:t xml:space="preserve"> would need a lot of energy to be excited. </w:t>
      </w:r>
      <w:r w:rsidR="00583124">
        <w:t>Considering these factors</w:t>
      </w:r>
      <w:r>
        <w:t xml:space="preserve"> the likely transfer of vibration from the soil, to the pile foundations</w:t>
      </w:r>
      <w:r w:rsidR="00774B08">
        <w:t>,</w:t>
      </w:r>
      <w:r>
        <w:t xml:space="preserve"> into the building</w:t>
      </w:r>
      <w:r w:rsidR="00774B08">
        <w:t xml:space="preserve"> and up through storeys</w:t>
      </w:r>
      <w:r>
        <w:t xml:space="preserve"> would te</w:t>
      </w:r>
      <w:r w:rsidR="00583124">
        <w:t xml:space="preserve">nd towards the minimum scenario, which </w:t>
      </w:r>
      <w:r>
        <w:t xml:space="preserve">has therefore been adopted in the predictions </w:t>
      </w:r>
      <w:r>
        <w:t>of transfer into the foundations and through into the super-structure of the building.</w:t>
      </w:r>
      <w:r w:rsidR="00B44407">
        <w:t xml:space="preserve"> </w:t>
      </w:r>
      <w:r w:rsidR="007F6317">
        <w:t>The selected transfer functions</w:t>
      </w:r>
      <w:r w:rsidR="002E3CC5">
        <w:t>, given in dB,</w:t>
      </w:r>
      <w:r w:rsidR="007F6317">
        <w:t xml:space="preserve"> were applied</w:t>
      </w:r>
      <w:r>
        <w:t xml:space="preserve"> to vibration levels at the relevant frequency. </w:t>
      </w:r>
      <w:r w:rsidR="002E3CC5">
        <w:t>To do this, l</w:t>
      </w:r>
      <w:r>
        <w:t xml:space="preserve">evels </w:t>
      </w:r>
      <w:r w:rsidR="00497FB4">
        <w:t xml:space="preserve">of vibration </w:t>
      </w:r>
      <w:r>
        <w:t>were converted to dB units with reference valu</w:t>
      </w:r>
      <w:r w:rsidR="00DF1B9C">
        <w:t>es dependent on the parameter (vibration dose value (V</w:t>
      </w:r>
      <w:r>
        <w:t>DV</w:t>
      </w:r>
      <w:r w:rsidR="00DF1B9C">
        <w:t>)</w:t>
      </w:r>
      <w:r>
        <w:t xml:space="preserve">, structure-borne noise or </w:t>
      </w:r>
      <w:r w:rsidR="00DF1B9C">
        <w:t>peak particle velocity (</w:t>
      </w:r>
      <w:r>
        <w:t>PPV</w:t>
      </w:r>
      <w:r w:rsidR="00DF1B9C">
        <w:t>)</w:t>
      </w:r>
      <w:r>
        <w:t>) and then converted back using the same reference values once the transfer functions were applied</w:t>
      </w:r>
      <w:r w:rsidR="002A4703">
        <w:t xml:space="preserve"> [</w:t>
      </w:r>
      <w:r w:rsidR="005C7D6B">
        <w:t>10</w:t>
      </w:r>
      <w:r w:rsidR="002A4703">
        <w:t>]</w:t>
      </w:r>
      <w:r>
        <w:t>.</w:t>
      </w:r>
    </w:p>
    <w:p w14:paraId="24DA9AA1" w14:textId="77777777" w:rsidR="003A71C5" w:rsidRDefault="003A71C5" w:rsidP="005B5BFE">
      <w:pPr>
        <w:pStyle w:val="EAAheading2"/>
        <w:ind w:left="567" w:hanging="567"/>
      </w:pPr>
      <w:r>
        <w:t xml:space="preserve">Step </w:t>
      </w:r>
      <w:r w:rsidR="00774B08">
        <w:t>3</w:t>
      </w:r>
      <w:r>
        <w:t xml:space="preserve"> – Prediction of Surface Resonance</w:t>
      </w:r>
    </w:p>
    <w:p w14:paraId="716AE834" w14:textId="57503E6D" w:rsidR="003A71C5" w:rsidRDefault="003A71C5" w:rsidP="003A71C5">
      <w:pPr>
        <w:pStyle w:val="EAAnormaltext"/>
      </w:pPr>
      <w:r>
        <w:t xml:space="preserve">Surfaces such as raised floors, light-weight walls and suspended ceilings within room spaces </w:t>
      </w:r>
      <w:r w:rsidR="00D769CA">
        <w:t>are</w:t>
      </w:r>
      <w:r>
        <w:t xml:space="preserve"> </w:t>
      </w:r>
      <w:r w:rsidR="000656DF">
        <w:t xml:space="preserve">sensitive to </w:t>
      </w:r>
      <w:r>
        <w:t xml:space="preserve">vibration energy transmitted to them, with the level of excitation dependent on the </w:t>
      </w:r>
      <w:r w:rsidR="00D769CA">
        <w:t>material characteristics and dimensions</w:t>
      </w:r>
      <w:r>
        <w:t xml:space="preserve">.  </w:t>
      </w:r>
    </w:p>
    <w:p w14:paraId="2D5B0B4D" w14:textId="41BD88FD" w:rsidR="003A71C5" w:rsidRDefault="003A71C5" w:rsidP="00774B08">
      <w:pPr>
        <w:pStyle w:val="EAAnormaltext"/>
      </w:pPr>
      <w:r>
        <w:t xml:space="preserve">To predict the increase in vibration due to surface resonance, worst-case transfer functions </w:t>
      </w:r>
      <w:r w:rsidR="007A2A36">
        <w:t>[</w:t>
      </w:r>
      <w:r w:rsidR="008C0B80">
        <w:t>2</w:t>
      </w:r>
      <w:r w:rsidR="007A2A36">
        <w:t xml:space="preserve">] </w:t>
      </w:r>
      <w:r>
        <w:t>have been applied</w:t>
      </w:r>
      <w:r w:rsidR="00774B08">
        <w:t xml:space="preserve"> in the same way as </w:t>
      </w:r>
      <w:r w:rsidR="00D769CA">
        <w:t xml:space="preserve">those </w:t>
      </w:r>
      <w:r w:rsidR="00774B08">
        <w:t>detailed in Step 2</w:t>
      </w:r>
      <w:r>
        <w:t xml:space="preserve">. This enabled the potential level of re-radiated structure-borne noise to be estimated within the room.  </w:t>
      </w:r>
    </w:p>
    <w:p w14:paraId="18CD5EEB" w14:textId="77777777" w:rsidR="003A71C5" w:rsidRDefault="005B5BFE" w:rsidP="00C72F47">
      <w:pPr>
        <w:pStyle w:val="EAAheading2"/>
        <w:ind w:left="567" w:hanging="567"/>
      </w:pPr>
      <w:r>
        <w:t xml:space="preserve">Calculating </w:t>
      </w:r>
      <w:r w:rsidR="003A71C5">
        <w:t>Tactile Vibration</w:t>
      </w:r>
    </w:p>
    <w:p w14:paraId="19BF1DF6" w14:textId="625DF1A4" w:rsidR="003A71C5" w:rsidRDefault="003A71C5" w:rsidP="003A71C5">
      <w:pPr>
        <w:pStyle w:val="EAAnormaltext"/>
      </w:pPr>
      <w:r>
        <w:t>The human response to tactile vibration is assessed as a broadband level of VDV in both the d</w:t>
      </w:r>
      <w:r w:rsidR="00DF1B9C">
        <w:t xml:space="preserve">aytime and night-time periods. </w:t>
      </w:r>
      <w:r w:rsidR="00DF1B9C" w:rsidRPr="007A2A36">
        <w:t xml:space="preserve">British Standards Institution </w:t>
      </w:r>
      <w:r w:rsidR="007A2A36">
        <w:t xml:space="preserve">(BSI) </w:t>
      </w:r>
      <w:r w:rsidR="007A2A36" w:rsidRPr="007A2A36">
        <w:t>[</w:t>
      </w:r>
      <w:r w:rsidR="005C7D6B">
        <w:t>10</w:t>
      </w:r>
      <w:r w:rsidR="007A2A36" w:rsidRPr="007A2A36">
        <w:t>]</w:t>
      </w:r>
      <w:r w:rsidR="00DF1B9C" w:rsidRPr="007A2A36">
        <w:t xml:space="preserve"> assessment</w:t>
      </w:r>
      <w:r w:rsidRPr="007A2A36">
        <w:t xml:space="preserve"> </w:t>
      </w:r>
      <w:r w:rsidR="00D769CA">
        <w:t>applies to</w:t>
      </w:r>
      <w:r>
        <w:t xml:space="preserve"> vibration at the point where it would be felt by residents, which for the proposed building would be in apartments from first floor level and above.  </w:t>
      </w:r>
    </w:p>
    <w:p w14:paraId="53ED2FDF" w14:textId="67096000" w:rsidR="003A71C5" w:rsidRDefault="003A71C5" w:rsidP="003A71C5">
      <w:pPr>
        <w:pStyle w:val="EAAnormaltext"/>
      </w:pPr>
      <w:r>
        <w:t>VDV</w:t>
      </w:r>
      <w:r w:rsidR="00515684">
        <w:t xml:space="preserve"> levels </w:t>
      </w:r>
      <w:r>
        <w:t>for both the daytime and night-time period</w:t>
      </w:r>
      <w:r w:rsidR="00DF1B9C">
        <w:t>s</w:t>
      </w:r>
      <w:r>
        <w:t xml:space="preserve"> have been predicted within commercial spaces at ground floor and in residential spaces at first floor to third floor.</w:t>
      </w:r>
    </w:p>
    <w:p w14:paraId="4D525F1E" w14:textId="2517E514" w:rsidR="003A71C5" w:rsidRDefault="003A71C5" w:rsidP="003A71C5">
      <w:pPr>
        <w:pStyle w:val="EAAnormaltext"/>
      </w:pPr>
      <w:r>
        <w:t>The likelihood of damage to the proposed building is assessed using the level of PPV at the base of the building</w:t>
      </w:r>
      <w:r w:rsidR="00751998">
        <w:t xml:space="preserve"> [11]</w:t>
      </w:r>
      <w:r>
        <w:t>. To calculate this, transfe</w:t>
      </w:r>
      <w:r w:rsidR="008C3861">
        <w:t>r functions from step</w:t>
      </w:r>
      <w:r w:rsidR="00DF1B9C">
        <w:t xml:space="preserve"> 1</w:t>
      </w:r>
      <w:r w:rsidR="00F67EDF">
        <w:t xml:space="preserve"> were</w:t>
      </w:r>
      <w:r w:rsidR="00DF1B9C">
        <w:t xml:space="preserve"> </w:t>
      </w:r>
      <w:r>
        <w:t xml:space="preserve">applied to levels </w:t>
      </w:r>
      <w:r w:rsidR="00F67EDF">
        <w:t xml:space="preserve">of the measured PPV on the ground </w:t>
      </w:r>
      <w:r>
        <w:t xml:space="preserve">to predict the PPV levels at the ground floor slab. These levels were then compared to the criteria detailed in Section </w:t>
      </w:r>
      <w:r w:rsidR="00DF1B9C">
        <w:t>4</w:t>
      </w:r>
      <w:r>
        <w:t xml:space="preserve">.  </w:t>
      </w:r>
    </w:p>
    <w:p w14:paraId="6C17EB52" w14:textId="77777777" w:rsidR="003A71C5" w:rsidRDefault="005B5BFE" w:rsidP="00C72F47">
      <w:pPr>
        <w:pStyle w:val="EAAheading2"/>
        <w:ind w:left="567" w:hanging="567"/>
      </w:pPr>
      <w:r>
        <w:t xml:space="preserve">Calculating </w:t>
      </w:r>
      <w:r w:rsidR="003A71C5">
        <w:t>Structure-Borne Noise</w:t>
      </w:r>
    </w:p>
    <w:p w14:paraId="6CAB986E" w14:textId="181F1514" w:rsidR="00B564F8" w:rsidRDefault="003A71C5" w:rsidP="003A71C5">
      <w:pPr>
        <w:pStyle w:val="EAAnormaltext"/>
      </w:pPr>
      <w:r>
        <w:t>The level of re-radiated structure-borne noise within room spaces was calculated by applying the differentials and transfer functions to 1 second long samples (equivalent to a slow time response</w:t>
      </w:r>
      <w:r w:rsidR="00515684">
        <w:t xml:space="preserve"> of a Sound Level Meter</w:t>
      </w:r>
      <w:r>
        <w:t>) of the measured acceleration levels at the</w:t>
      </w:r>
      <w:r w:rsidR="00683560">
        <w:t xml:space="preserve"> </w:t>
      </w:r>
      <w:r>
        <w:t>surface during Piccadilly Line train passes. This enabled the L</w:t>
      </w:r>
      <w:r w:rsidRPr="00DF1B9C">
        <w:rPr>
          <w:vertAlign w:val="subscript"/>
        </w:rPr>
        <w:t>ASmax</w:t>
      </w:r>
      <w:r>
        <w:t xml:space="preserve"> level in the rooms to be predicted for each axis. The predicted </w:t>
      </w:r>
      <w:r>
        <w:lastRenderedPageBreak/>
        <w:t>structure-borne no</w:t>
      </w:r>
      <w:r w:rsidR="008C3861">
        <w:t>ise levels in the x, y and z axe</w:t>
      </w:r>
      <w:r>
        <w:t xml:space="preserve">s were then logarithmically added together to obtain the </w:t>
      </w:r>
      <w:r w:rsidR="00CB0089">
        <w:t xml:space="preserve">spatial mean </w:t>
      </w:r>
      <w:r>
        <w:t>L</w:t>
      </w:r>
      <w:r w:rsidRPr="00DF1B9C">
        <w:rPr>
          <w:vertAlign w:val="subscript"/>
        </w:rPr>
        <w:t>ASmax</w:t>
      </w:r>
      <w:r>
        <w:t xml:space="preserve"> level within the room.  </w:t>
      </w:r>
    </w:p>
    <w:p w14:paraId="0E03A6AE" w14:textId="77777777" w:rsidR="00B564F8" w:rsidRDefault="00B564F8" w:rsidP="003A71C5">
      <w:pPr>
        <w:pStyle w:val="EAAnormaltext"/>
      </w:pPr>
    </w:p>
    <w:p w14:paraId="3D1E1849" w14:textId="77777777" w:rsidR="00B564F8" w:rsidRDefault="00B564F8" w:rsidP="00B564F8">
      <w:pPr>
        <w:pStyle w:val="EAAheading1"/>
        <w:ind w:left="567" w:hanging="567"/>
      </w:pPr>
      <w:r>
        <w:t>Assessment Criteria</w:t>
      </w:r>
    </w:p>
    <w:p w14:paraId="46966F67" w14:textId="0D579A84" w:rsidR="00B564F8" w:rsidRDefault="00B564F8" w:rsidP="003A71C5">
      <w:pPr>
        <w:pStyle w:val="EAAnormaltext"/>
      </w:pPr>
      <w:r w:rsidRPr="00B564F8">
        <w:t>The assessment criteria for each of the effects that could occur inside sensitive room spaces of the proposed development due to vibration are detailed below. These criteria were used to</w:t>
      </w:r>
      <w:r w:rsidR="00515684">
        <w:t xml:space="preserve"> evaluate</w:t>
      </w:r>
      <w:r w:rsidRPr="00B564F8">
        <w:t xml:space="preserve"> the levels of </w:t>
      </w:r>
      <w:r w:rsidR="00DF1B9C" w:rsidRPr="00B564F8">
        <w:t xml:space="preserve">predicted </w:t>
      </w:r>
      <w:r w:rsidRPr="00B564F8">
        <w:t xml:space="preserve">vibration </w:t>
      </w:r>
      <w:r w:rsidR="00515684">
        <w:t>and the potential e</w:t>
      </w:r>
      <w:r w:rsidRPr="00B564F8">
        <w:t xml:space="preserve">ffect </w:t>
      </w:r>
      <w:r w:rsidR="00515684">
        <w:t>on</w:t>
      </w:r>
      <w:r w:rsidRPr="00B564F8">
        <w:t xml:space="preserve"> occupant</w:t>
      </w:r>
      <w:r w:rsidR="00515684">
        <w:t>s</w:t>
      </w:r>
      <w:r w:rsidRPr="00B564F8">
        <w:t xml:space="preserve"> of the building depending on which room they were in and the typical uses for those rooms</w:t>
      </w:r>
      <w:r w:rsidR="00DF1B9C">
        <w:t>.</w:t>
      </w:r>
      <w:r w:rsidR="00B44407">
        <w:t xml:space="preserve"> </w:t>
      </w:r>
      <w:r w:rsidR="00DF1B9C">
        <w:t>T</w:t>
      </w:r>
      <w:r w:rsidRPr="00B564F8">
        <w:t>he likelihood of damage to the building</w:t>
      </w:r>
      <w:r w:rsidR="00DF1B9C">
        <w:t xml:space="preserve"> was also assessed</w:t>
      </w:r>
      <w:r w:rsidRPr="00B564F8">
        <w:t>.</w:t>
      </w:r>
    </w:p>
    <w:p w14:paraId="2ECEE44C" w14:textId="77777777" w:rsidR="00754E39" w:rsidRPr="00754E39" w:rsidRDefault="00754E39" w:rsidP="00754E39">
      <w:pPr>
        <w:pStyle w:val="ListParagraph"/>
        <w:numPr>
          <w:ilvl w:val="0"/>
          <w:numId w:val="5"/>
        </w:numPr>
        <w:spacing w:before="180" w:after="100"/>
        <w:contextualSpacing w:val="0"/>
        <w:rPr>
          <w:b/>
          <w:vanish/>
          <w:szCs w:val="24"/>
          <w:lang w:val="en-US" w:eastAsia="fr-FR"/>
        </w:rPr>
      </w:pPr>
    </w:p>
    <w:p w14:paraId="143C95D1" w14:textId="2355D4BC" w:rsidR="00B564F8" w:rsidRPr="007A2A36" w:rsidRDefault="00B564F8" w:rsidP="00754E39">
      <w:pPr>
        <w:pStyle w:val="EAAheading2"/>
        <w:ind w:left="432"/>
      </w:pPr>
      <w:r>
        <w:t>Ta</w:t>
      </w:r>
      <w:r w:rsidRPr="007A2A36">
        <w:t>ctile Vibration Assessment Criteria</w:t>
      </w:r>
    </w:p>
    <w:p w14:paraId="4C5E6419" w14:textId="003B4B8C" w:rsidR="00B564F8" w:rsidRDefault="00E44949" w:rsidP="00B564F8">
      <w:pPr>
        <w:pStyle w:val="EAAnormaltext"/>
      </w:pPr>
      <w:r w:rsidRPr="00472E6E">
        <w:t xml:space="preserve">BS 6472:2008 </w:t>
      </w:r>
      <w:r w:rsidR="007A2A36" w:rsidRPr="007A2A36">
        <w:t>[</w:t>
      </w:r>
      <w:r w:rsidR="005C7D6B">
        <w:t>10</w:t>
      </w:r>
      <w:r w:rsidR="007A2A36">
        <w:t>]</w:t>
      </w:r>
      <w:r w:rsidR="00B564F8">
        <w:t xml:space="preserve"> </w:t>
      </w:r>
      <w:r w:rsidR="00DF1B9C">
        <w:t>set</w:t>
      </w:r>
      <w:r w:rsidR="005B1060">
        <w:t>s</w:t>
      </w:r>
      <w:r w:rsidR="00DF1B9C">
        <w:t xml:space="preserve"> out VDV </w:t>
      </w:r>
      <w:r>
        <w:t xml:space="preserve">levels </w:t>
      </w:r>
      <w:r w:rsidR="00B564F8">
        <w:t xml:space="preserve">for evaluating the various probabilities of adverse comment </w:t>
      </w:r>
      <w:r>
        <w:t xml:space="preserve">to vibration </w:t>
      </w:r>
      <w:r w:rsidR="00B564F8">
        <w:t>within residential buildings</w:t>
      </w:r>
      <w:r w:rsidR="00B564F8" w:rsidRPr="00C5150D">
        <w:t>.</w:t>
      </w:r>
      <w:r w:rsidR="00B564F8">
        <w:t xml:space="preserve"> The criteria are presented as ranges to reflect the differing susceptibility to vibration evident among members of the population.</w:t>
      </w:r>
      <w:r w:rsidR="00DF1B9C">
        <w:t xml:space="preserve"> A</w:t>
      </w:r>
      <w:r w:rsidR="00B564F8">
        <w:t xml:space="preserve">dverse comment is not expected </w:t>
      </w:r>
      <w:r w:rsidR="00DF1B9C">
        <w:t>for VDVs below the ranges in th</w:t>
      </w:r>
      <w:r w:rsidR="008C3861">
        <w:t>e</w:t>
      </w:r>
      <w:r w:rsidR="00B564F8">
        <w:t xml:space="preserve"> table.</w:t>
      </w:r>
      <w:r w:rsidR="00B44407">
        <w:t xml:space="preserve"> </w:t>
      </w:r>
      <w:r w:rsidR="009C3E9B">
        <w:t xml:space="preserve">VDV levels of </w:t>
      </w:r>
      <w:r w:rsidR="009C3E9B" w:rsidRPr="009C3E9B">
        <w:t>&lt;0.2 m/s</w:t>
      </w:r>
      <w:r w:rsidR="009C3E9B" w:rsidRPr="00B4561C">
        <w:rPr>
          <w:vertAlign w:val="superscript"/>
        </w:rPr>
        <w:t>1.75</w:t>
      </w:r>
      <w:r w:rsidR="009C3E9B" w:rsidRPr="009C3E9B">
        <w:t xml:space="preserve"> </w:t>
      </w:r>
      <w:r w:rsidR="009C3E9B">
        <w:t>during the day</w:t>
      </w:r>
      <w:r w:rsidR="009C3E9B" w:rsidRPr="009C3E9B">
        <w:t xml:space="preserve"> and &lt;0.1 m/s</w:t>
      </w:r>
      <w:r w:rsidR="009C3E9B" w:rsidRPr="00B4561C">
        <w:rPr>
          <w:vertAlign w:val="superscript"/>
        </w:rPr>
        <w:t>1.75</w:t>
      </w:r>
      <w:r w:rsidR="009C3E9B" w:rsidRPr="009C3E9B">
        <w:t xml:space="preserve"> </w:t>
      </w:r>
      <w:r w:rsidR="009C3E9B">
        <w:t>during the night are an indication of a low probability of adverse comment</w:t>
      </w:r>
      <w:r w:rsidR="00751998">
        <w:t>, with these levels adopted in considering</w:t>
      </w:r>
      <w:r w:rsidR="00B564F8">
        <w:t xml:space="preserve"> the effects of tactile vibration on residential spaces </w:t>
      </w:r>
      <w:r w:rsidR="00751998">
        <w:t>of</w:t>
      </w:r>
      <w:r w:rsidR="00B564F8">
        <w:t xml:space="preserve"> the development.  </w:t>
      </w:r>
    </w:p>
    <w:p w14:paraId="5C32E786" w14:textId="4ECA8BB5" w:rsidR="00B564F8" w:rsidRDefault="00B564F8" w:rsidP="00B564F8">
      <w:pPr>
        <w:pStyle w:val="EAAnormaltext"/>
      </w:pPr>
      <w:r>
        <w:t>In the assessment of the li</w:t>
      </w:r>
      <w:r w:rsidR="004F03E8">
        <w:t>kelihood of damage to buildings</w:t>
      </w:r>
      <w:r>
        <w:t xml:space="preserve"> a PPV level predicted at the base of the building (the ground floor slab) of below 50 mm/s would not be expected to cause damage to a reinforced building such as that proposed</w:t>
      </w:r>
      <w:r w:rsidR="004F03E8">
        <w:t xml:space="preserve"> [</w:t>
      </w:r>
      <w:r w:rsidR="005C7D6B">
        <w:t>11</w:t>
      </w:r>
      <w:r w:rsidR="004F03E8">
        <w:t>]</w:t>
      </w:r>
      <w:r w:rsidR="007A2A36">
        <w:t>,[</w:t>
      </w:r>
      <w:r w:rsidR="0050368C">
        <w:t>1</w:t>
      </w:r>
      <w:r w:rsidR="005C7D6B">
        <w:t>2</w:t>
      </w:r>
      <w:r w:rsidR="007A2A36">
        <w:t>],[1</w:t>
      </w:r>
      <w:r w:rsidR="005C7D6B">
        <w:t>3</w:t>
      </w:r>
      <w:r w:rsidR="007A2A36">
        <w:t>]</w:t>
      </w:r>
      <w:r>
        <w:t>. A PPV level of 50 mm/s has therefore been adopted as the threshold for building damage to occur.</w:t>
      </w:r>
    </w:p>
    <w:p w14:paraId="27E8F4B8" w14:textId="77777777" w:rsidR="00B564F8" w:rsidRDefault="00B564F8" w:rsidP="00B564F8">
      <w:pPr>
        <w:pStyle w:val="EAAheading2"/>
        <w:ind w:left="567" w:hanging="567"/>
      </w:pPr>
      <w:r>
        <w:t>Structure-borne Noise Assessment Criteria</w:t>
      </w:r>
    </w:p>
    <w:p w14:paraId="2F01060B" w14:textId="1D02B6FA" w:rsidR="00B564F8" w:rsidRDefault="00B564F8" w:rsidP="00B564F8">
      <w:pPr>
        <w:pStyle w:val="EAAnormaltext"/>
      </w:pPr>
      <w:r>
        <w:t xml:space="preserve">The levels of vibration required to generate noticeable noise levels within a room are much lower than levels of </w:t>
      </w:r>
      <w:r w:rsidR="004E399F">
        <w:t xml:space="preserve">perceivable </w:t>
      </w:r>
      <w:r>
        <w:t>tactile vibration.</w:t>
      </w:r>
    </w:p>
    <w:p w14:paraId="5551AD9C" w14:textId="1C097E23" w:rsidR="00B564F8" w:rsidRDefault="00B564F8" w:rsidP="00B564F8">
      <w:pPr>
        <w:pStyle w:val="EAAnormaltext"/>
      </w:pPr>
      <w:r>
        <w:t xml:space="preserve">Currently there are no British or international standards which provide guidance on assessing the impact of </w:t>
      </w:r>
      <w:r w:rsidR="004E399F">
        <w:t>structure</w:t>
      </w:r>
      <w:r>
        <w:t>-borne noise from railways on the occupants of a build</w:t>
      </w:r>
      <w:r w:rsidR="00B44407">
        <w:t xml:space="preserve">ing. </w:t>
      </w:r>
      <w:r w:rsidRPr="007A2A36">
        <w:t>The A</w:t>
      </w:r>
      <w:r w:rsidR="007A2A36" w:rsidRPr="007A2A36">
        <w:t xml:space="preserve">ssociation of </w:t>
      </w:r>
      <w:r w:rsidRPr="007A2A36">
        <w:t>N</w:t>
      </w:r>
      <w:r w:rsidR="007A2A36" w:rsidRPr="007A2A36">
        <w:t xml:space="preserve">oise </w:t>
      </w:r>
      <w:r w:rsidRPr="007A2A36">
        <w:t>C</w:t>
      </w:r>
      <w:r w:rsidR="007A2A36" w:rsidRPr="007A2A36">
        <w:t>onsultants (ANC)</w:t>
      </w:r>
      <w:r w:rsidRPr="007A2A36">
        <w:t xml:space="preserve"> </w:t>
      </w:r>
      <w:r w:rsidR="007A2A36">
        <w:t>[1</w:t>
      </w:r>
      <w:r w:rsidR="005C7D6B">
        <w:t>3</w:t>
      </w:r>
      <w:r w:rsidR="007A2A36">
        <w:t>]</w:t>
      </w:r>
      <w:r>
        <w:t xml:space="preserve"> provide discussion on the relevant research that has been carried out.</w:t>
      </w:r>
    </w:p>
    <w:p w14:paraId="397E1CCD" w14:textId="014151E8" w:rsidR="00B564F8" w:rsidRPr="002A4703" w:rsidRDefault="00B564F8" w:rsidP="00B564F8">
      <w:pPr>
        <w:pStyle w:val="EAAnormaltext"/>
      </w:pPr>
      <w:r>
        <w:t xml:space="preserve">Based on review of the various applied criteria and considering the </w:t>
      </w:r>
      <w:r w:rsidR="004E399F">
        <w:t xml:space="preserve">characteristics </w:t>
      </w:r>
      <w:r>
        <w:t>of the proposed development, 35 dB L</w:t>
      </w:r>
      <w:r w:rsidRPr="004F03E8">
        <w:rPr>
          <w:vertAlign w:val="subscript"/>
        </w:rPr>
        <w:t>ASmax</w:t>
      </w:r>
      <w:r>
        <w:t xml:space="preserve"> is </w:t>
      </w:r>
      <w:r w:rsidR="004E399F">
        <w:t>deemed</w:t>
      </w:r>
      <w:r>
        <w:t xml:space="preserve"> a desirable upper threshold limit for residential areas. This </w:t>
      </w:r>
      <w:r>
        <w:t>value is conservative but designed to ensure that whilst structure-borne noise may be perceptible to some individuals it would not materially prejudice a person’s quality of life. This criteria also has regard to the frequency of trains on the Piccadilly Lines</w:t>
      </w:r>
      <w:r w:rsidR="002A4703">
        <w:t xml:space="preserve"> </w:t>
      </w:r>
      <w:r>
        <w:t xml:space="preserve">and the aural response of people to structure-borne noise from underground trains, which is more disturbing than other sources of environmental noise (e.g. road traffic and aircraft) due to its low frequency content. </w:t>
      </w:r>
      <w:r w:rsidR="002A4703">
        <w:t>This is shown by comparison of internal noise levels given in BS 8233:2014 [1</w:t>
      </w:r>
      <w:r w:rsidR="005C7D6B">
        <w:t>4</w:t>
      </w:r>
      <w:r w:rsidR="002A4703">
        <w:t xml:space="preserve">] </w:t>
      </w:r>
      <w:r w:rsidR="00F67EDF">
        <w:t>and</w:t>
      </w:r>
      <w:r w:rsidR="009C09CF">
        <w:t xml:space="preserve"> by the</w:t>
      </w:r>
      <w:r w:rsidR="00F67EDF">
        <w:t xml:space="preserve"> World Health Organization </w:t>
      </w:r>
      <w:r w:rsidR="009C09CF">
        <w:t>(WHO) [1</w:t>
      </w:r>
      <w:r w:rsidR="005C7D6B">
        <w:t>5</w:t>
      </w:r>
      <w:r w:rsidR="009C09CF">
        <w:t>] f</w:t>
      </w:r>
      <w:r w:rsidR="002A4703">
        <w:t xml:space="preserve">or residential properties, where </w:t>
      </w:r>
      <w:r w:rsidR="009C09CF">
        <w:t xml:space="preserve">internal </w:t>
      </w:r>
      <w:r w:rsidR="002A4703">
        <w:t>night-time limits of 30 dB L</w:t>
      </w:r>
      <w:r w:rsidR="002A4703">
        <w:rPr>
          <w:vertAlign w:val="subscript"/>
        </w:rPr>
        <w:t>Aeq</w:t>
      </w:r>
      <w:r w:rsidR="002A4703">
        <w:t xml:space="preserve"> and 45 dB L</w:t>
      </w:r>
      <w:r w:rsidR="002A4703">
        <w:rPr>
          <w:vertAlign w:val="subscript"/>
        </w:rPr>
        <w:t>AFmax</w:t>
      </w:r>
      <w:r w:rsidR="002A4703">
        <w:t xml:space="preserve"> are given for noise from typical environmental noise sources, to the typical criteria given for structure-borne noise by the ANC [1</w:t>
      </w:r>
      <w:r w:rsidR="005C7D6B">
        <w:t>3</w:t>
      </w:r>
      <w:r w:rsidR="002A4703">
        <w:t>].</w:t>
      </w:r>
      <w:r w:rsidR="005E4AD2">
        <w:t xml:space="preserve"> ANC </w:t>
      </w:r>
      <w:r w:rsidR="004E399F">
        <w:t xml:space="preserve">listed </w:t>
      </w:r>
      <w:r w:rsidR="005E4AD2">
        <w:t>criteria, including</w:t>
      </w:r>
      <w:r w:rsidR="004E399F">
        <w:t xml:space="preserve"> those</w:t>
      </w:r>
      <w:r w:rsidR="005E4AD2">
        <w:t xml:space="preserve"> where a fast time response is used, is typically lower than the BS 8233 and WHO criteria.</w:t>
      </w:r>
    </w:p>
    <w:p w14:paraId="3623CA3A" w14:textId="1CA01E6D" w:rsidR="00B564F8" w:rsidRDefault="00B564F8" w:rsidP="00B564F8">
      <w:pPr>
        <w:pStyle w:val="EAAnormaltext"/>
      </w:pPr>
      <w:r>
        <w:t>For ground floor commercial retail areas, a structure-borne noise level of below 45 dB L</w:t>
      </w:r>
      <w:r w:rsidRPr="004F03E8">
        <w:rPr>
          <w:vertAlign w:val="subscript"/>
        </w:rPr>
        <w:t>ASmax</w:t>
      </w:r>
      <w:r>
        <w:t xml:space="preserve"> has been adopted as a level where adverse comment is unlikely. This is based on typical noise levels in shops being 10 dB higher than in residential properties</w:t>
      </w:r>
      <w:r w:rsidR="007A2A36">
        <w:t xml:space="preserve"> [</w:t>
      </w:r>
      <w:r w:rsidR="002A4703">
        <w:t>1</w:t>
      </w:r>
      <w:r w:rsidR="005C7D6B">
        <w:t>6</w:t>
      </w:r>
      <w:r w:rsidR="007A2A36">
        <w:t>]</w:t>
      </w:r>
      <w:r>
        <w:t>.</w:t>
      </w:r>
    </w:p>
    <w:p w14:paraId="1611E02D" w14:textId="14CBE56C" w:rsidR="00B564F8" w:rsidRDefault="00B564F8" w:rsidP="00B564F8">
      <w:pPr>
        <w:pStyle w:val="EAAnormaltext"/>
      </w:pPr>
      <w:r>
        <w:t xml:space="preserve">Reference in analysis has also been made to frequency based criteria </w:t>
      </w:r>
      <w:r w:rsidR="00C827CA">
        <w:t>given by</w:t>
      </w:r>
      <w:r>
        <w:t xml:space="preserve"> the F</w:t>
      </w:r>
      <w:r w:rsidR="004F03E8">
        <w:t xml:space="preserve">ederal </w:t>
      </w:r>
      <w:r>
        <w:t>T</w:t>
      </w:r>
      <w:r w:rsidR="004F03E8">
        <w:t xml:space="preserve">ransit </w:t>
      </w:r>
      <w:r>
        <w:t>A</w:t>
      </w:r>
      <w:r w:rsidR="004F03E8">
        <w:t>dministration (FTA)</w:t>
      </w:r>
      <w:r>
        <w:t xml:space="preserve"> </w:t>
      </w:r>
      <w:r w:rsidR="007A2A36">
        <w:t>[</w:t>
      </w:r>
      <w:r w:rsidR="002A4703">
        <w:t>1</w:t>
      </w:r>
      <w:r w:rsidR="005C7D6B">
        <w:t>7</w:t>
      </w:r>
      <w:r w:rsidR="00C5150D">
        <w:t>]</w:t>
      </w:r>
      <w:r w:rsidR="00B44407">
        <w:t xml:space="preserve">. </w:t>
      </w:r>
      <w:r w:rsidR="00253738" w:rsidRPr="00253738">
        <w:t xml:space="preserve">According to </w:t>
      </w:r>
      <w:r w:rsidR="00B44407">
        <w:t>the FTA</w:t>
      </w:r>
      <w:r w:rsidR="00253738" w:rsidRPr="00253738">
        <w:t xml:space="preserve">, the </w:t>
      </w:r>
      <w:r w:rsidR="00253738">
        <w:t xml:space="preserve">perceptible </w:t>
      </w:r>
      <w:r w:rsidR="00253738" w:rsidRPr="00253738">
        <w:t>A-weighted structure-borne noise level of a source where the dominant frequency is at 30 Hz will be approximately 15 dB less than where the dominant frequency is at 60 Hz.</w:t>
      </w:r>
    </w:p>
    <w:p w14:paraId="46D1CE4D" w14:textId="77777777" w:rsidR="00B564F8" w:rsidRDefault="00B564F8" w:rsidP="00B564F8">
      <w:pPr>
        <w:pStyle w:val="EAAnormaltext"/>
      </w:pPr>
    </w:p>
    <w:p w14:paraId="79E44366" w14:textId="77777777" w:rsidR="00B564F8" w:rsidRDefault="00B564F8" w:rsidP="00B564F8">
      <w:pPr>
        <w:pStyle w:val="EAAheading1"/>
        <w:ind w:left="567" w:hanging="567"/>
      </w:pPr>
      <w:r>
        <w:t>Results</w:t>
      </w:r>
    </w:p>
    <w:p w14:paraId="44FAA1AE" w14:textId="3206FF2B" w:rsidR="00B564F8" w:rsidRDefault="00B564F8" w:rsidP="00B564F8">
      <w:pPr>
        <w:pStyle w:val="EAAnormaltext"/>
      </w:pPr>
      <w:r>
        <w:t xml:space="preserve">Using the methodology detailed in Section </w:t>
      </w:r>
      <w:r w:rsidR="00DE06C3">
        <w:t>2</w:t>
      </w:r>
      <w:r>
        <w:t>, the levels of tactile vibration (VDV and PPV) and structure-borne noise (L</w:t>
      </w:r>
      <w:r w:rsidRPr="001B0470">
        <w:rPr>
          <w:vertAlign w:val="subscript"/>
        </w:rPr>
        <w:t>ASmax</w:t>
      </w:r>
      <w:r>
        <w:t>) have been calculated. The results of these calculations are presented in this se</w:t>
      </w:r>
      <w:r w:rsidR="001B0470">
        <w:t xml:space="preserve">ction and discussed in Section </w:t>
      </w:r>
      <w:r w:rsidR="00DE06C3">
        <w:t>5</w:t>
      </w:r>
      <w:r>
        <w:t>.</w:t>
      </w:r>
    </w:p>
    <w:p w14:paraId="1CA7626D" w14:textId="77777777" w:rsidR="00754E39" w:rsidRPr="00754E39" w:rsidRDefault="00754E39" w:rsidP="00754E39">
      <w:pPr>
        <w:pStyle w:val="ListParagraph"/>
        <w:numPr>
          <w:ilvl w:val="0"/>
          <w:numId w:val="5"/>
        </w:numPr>
        <w:spacing w:before="180" w:after="100"/>
        <w:contextualSpacing w:val="0"/>
        <w:rPr>
          <w:b/>
          <w:vanish/>
          <w:szCs w:val="24"/>
          <w:lang w:val="en-US" w:eastAsia="fr-FR"/>
        </w:rPr>
      </w:pPr>
    </w:p>
    <w:p w14:paraId="5E197357" w14:textId="494FFCF0" w:rsidR="00B564F8" w:rsidRDefault="00B564F8" w:rsidP="00754E39">
      <w:pPr>
        <w:pStyle w:val="EAAheading2"/>
        <w:ind w:left="432"/>
      </w:pPr>
      <w:r>
        <w:t>Tactile Vibration</w:t>
      </w:r>
    </w:p>
    <w:p w14:paraId="45105BF4" w14:textId="15E18184" w:rsidR="005B1060" w:rsidRDefault="00B564F8" w:rsidP="009C3E9B">
      <w:pPr>
        <w:pStyle w:val="EAAnormaltext"/>
        <w:spacing w:after="120"/>
      </w:pPr>
      <w:r>
        <w:t xml:space="preserve">The results of the assessment of tactile vibration in VDV, used to assess the likelihood of complaint, are presented in Table </w:t>
      </w:r>
      <w:r w:rsidR="00DE06C3">
        <w:t>4</w:t>
      </w:r>
      <w:r>
        <w:t xml:space="preserve">.1.  </w:t>
      </w:r>
    </w:p>
    <w:p w14:paraId="60668D7E" w14:textId="6D2D0ADE" w:rsidR="00723378" w:rsidRDefault="00723378" w:rsidP="00B564F8">
      <w:pPr>
        <w:pStyle w:val="EAAnormaltext"/>
      </w:pPr>
    </w:p>
    <w:p w14:paraId="7406CE0C" w14:textId="441B95AD" w:rsidR="00C827CA" w:rsidRDefault="00C827CA" w:rsidP="00B564F8">
      <w:pPr>
        <w:pStyle w:val="EAAnormaltext"/>
      </w:pPr>
    </w:p>
    <w:p w14:paraId="7149D64D" w14:textId="38AF3A9D" w:rsidR="00C827CA" w:rsidRDefault="00C827CA" w:rsidP="00B564F8">
      <w:pPr>
        <w:pStyle w:val="EAAnormaltext"/>
      </w:pPr>
    </w:p>
    <w:p w14:paraId="35686F94" w14:textId="028D52BE" w:rsidR="00C827CA" w:rsidRDefault="00C827CA" w:rsidP="00B564F8">
      <w:pPr>
        <w:pStyle w:val="EAAnormaltext"/>
      </w:pPr>
    </w:p>
    <w:p w14:paraId="02ABEB90" w14:textId="1878B10F" w:rsidR="00C827CA" w:rsidRDefault="00C827CA" w:rsidP="00B564F8">
      <w:pPr>
        <w:pStyle w:val="EAAnormaltext"/>
      </w:pPr>
    </w:p>
    <w:p w14:paraId="692D4A55" w14:textId="098998CF" w:rsidR="00C827CA" w:rsidRDefault="00C827CA" w:rsidP="00B564F8">
      <w:pPr>
        <w:pStyle w:val="EAAnormaltext"/>
      </w:pPr>
    </w:p>
    <w:p w14:paraId="7EB7FD1C" w14:textId="77777777" w:rsidR="00C827CA" w:rsidRDefault="00C827CA" w:rsidP="00B564F8">
      <w:pPr>
        <w:pStyle w:val="EAAnormaltext"/>
      </w:pPr>
    </w:p>
    <w:p w14:paraId="45E2B486" w14:textId="7ED08FE2" w:rsidR="00B564F8" w:rsidRDefault="00B564F8" w:rsidP="00B564F8">
      <w:pPr>
        <w:pStyle w:val="EAAnormaltext"/>
      </w:pPr>
      <w:r>
        <w:lastRenderedPageBreak/>
        <w:t xml:space="preserve">Table </w:t>
      </w:r>
      <w:r w:rsidR="00DE06C3">
        <w:t>4</w:t>
      </w:r>
      <w:r>
        <w:t>.1:  Predicted Daytime and Night-time VDV</w:t>
      </w:r>
      <w:r w:rsidR="005B1060">
        <w:t xml:space="preserve"> Level</w:t>
      </w:r>
      <w:r>
        <w:t xml:space="preserve">s in </w:t>
      </w:r>
      <w:r w:rsidR="003414BC">
        <w:t xml:space="preserve">different </w:t>
      </w:r>
      <w:r>
        <w:t>Spaces</w:t>
      </w:r>
    </w:p>
    <w:tbl>
      <w:tblPr>
        <w:tblStyle w:val="TableGrid"/>
        <w:tblW w:w="0" w:type="auto"/>
        <w:tblLayout w:type="fixed"/>
        <w:tblLook w:val="04A0" w:firstRow="1" w:lastRow="0" w:firstColumn="1" w:lastColumn="0" w:noHBand="0" w:noVBand="1"/>
      </w:tblPr>
      <w:tblGrid>
        <w:gridCol w:w="988"/>
        <w:gridCol w:w="850"/>
        <w:gridCol w:w="693"/>
        <w:gridCol w:w="693"/>
        <w:gridCol w:w="693"/>
        <w:gridCol w:w="693"/>
      </w:tblGrid>
      <w:tr w:rsidR="001B0470" w:rsidRPr="008C001A" w14:paraId="0FB595AE" w14:textId="77777777" w:rsidTr="00A210A5">
        <w:tc>
          <w:tcPr>
            <w:tcW w:w="988" w:type="dxa"/>
            <w:vMerge w:val="restart"/>
          </w:tcPr>
          <w:p w14:paraId="7A625AAA" w14:textId="343905CC" w:rsidR="001B0470" w:rsidRPr="008C001A" w:rsidRDefault="008C001A" w:rsidP="00A210A5">
            <w:pPr>
              <w:pStyle w:val="EAAnormaltext"/>
              <w:rPr>
                <w:sz w:val="20"/>
              </w:rPr>
            </w:pPr>
            <w:r>
              <w:rPr>
                <w:sz w:val="20"/>
              </w:rPr>
              <w:t xml:space="preserve">Slant </w:t>
            </w:r>
            <w:r w:rsidR="005A4328" w:rsidRPr="008C001A">
              <w:rPr>
                <w:sz w:val="20"/>
              </w:rPr>
              <w:t>Dist</w:t>
            </w:r>
            <w:r w:rsidR="001A4767">
              <w:rPr>
                <w:sz w:val="20"/>
              </w:rPr>
              <w:t>ance</w:t>
            </w:r>
            <w:r w:rsidR="005A4328" w:rsidRPr="008C001A">
              <w:rPr>
                <w:sz w:val="20"/>
              </w:rPr>
              <w:t xml:space="preserve"> of Pile from Tunnel</w:t>
            </w:r>
            <w:r w:rsidR="00A210A5">
              <w:rPr>
                <w:sz w:val="20"/>
              </w:rPr>
              <w:t xml:space="preserve"> (Pile Depth)</w:t>
            </w:r>
          </w:p>
        </w:tc>
        <w:tc>
          <w:tcPr>
            <w:tcW w:w="850" w:type="dxa"/>
            <w:vMerge w:val="restart"/>
          </w:tcPr>
          <w:p w14:paraId="2A3D2B83" w14:textId="208AA031" w:rsidR="001B0470" w:rsidRPr="008C001A" w:rsidRDefault="001B0470" w:rsidP="00B564F8">
            <w:pPr>
              <w:pStyle w:val="EAAnormaltext"/>
              <w:rPr>
                <w:sz w:val="20"/>
              </w:rPr>
            </w:pPr>
            <w:r w:rsidRPr="008C001A">
              <w:rPr>
                <w:sz w:val="20"/>
              </w:rPr>
              <w:t>Period</w:t>
            </w:r>
          </w:p>
        </w:tc>
        <w:tc>
          <w:tcPr>
            <w:tcW w:w="2772" w:type="dxa"/>
            <w:gridSpan w:val="4"/>
          </w:tcPr>
          <w:p w14:paraId="1E3C7086" w14:textId="7B7D5F03" w:rsidR="001B0470" w:rsidRPr="008C001A" w:rsidRDefault="001B0470" w:rsidP="00B564F8">
            <w:pPr>
              <w:pStyle w:val="EAAnormaltext"/>
              <w:rPr>
                <w:sz w:val="20"/>
              </w:rPr>
            </w:pPr>
            <w:r w:rsidRPr="008C001A">
              <w:rPr>
                <w:sz w:val="20"/>
              </w:rPr>
              <w:t>Max VDV (m/s</w:t>
            </w:r>
            <w:r w:rsidRPr="008C001A">
              <w:rPr>
                <w:sz w:val="20"/>
                <w:vertAlign w:val="superscript"/>
              </w:rPr>
              <w:t>1.75</w:t>
            </w:r>
            <w:r w:rsidRPr="008C001A">
              <w:rPr>
                <w:sz w:val="20"/>
              </w:rPr>
              <w:t>)</w:t>
            </w:r>
          </w:p>
        </w:tc>
      </w:tr>
      <w:tr w:rsidR="001B0470" w:rsidRPr="008C001A" w14:paraId="324B9753" w14:textId="77777777" w:rsidTr="00A210A5">
        <w:tc>
          <w:tcPr>
            <w:tcW w:w="988" w:type="dxa"/>
            <w:vMerge/>
          </w:tcPr>
          <w:p w14:paraId="4C426F59" w14:textId="60E40102" w:rsidR="001B0470" w:rsidRPr="008C001A" w:rsidRDefault="001B0470" w:rsidP="00B564F8">
            <w:pPr>
              <w:pStyle w:val="EAAnormaltext"/>
              <w:rPr>
                <w:sz w:val="20"/>
              </w:rPr>
            </w:pPr>
          </w:p>
        </w:tc>
        <w:tc>
          <w:tcPr>
            <w:tcW w:w="850" w:type="dxa"/>
            <w:vMerge/>
          </w:tcPr>
          <w:p w14:paraId="2BB68C50" w14:textId="5063D260" w:rsidR="001B0470" w:rsidRPr="008C001A" w:rsidRDefault="001B0470" w:rsidP="00B564F8">
            <w:pPr>
              <w:pStyle w:val="EAAnormaltext"/>
              <w:rPr>
                <w:sz w:val="20"/>
              </w:rPr>
            </w:pPr>
          </w:p>
        </w:tc>
        <w:tc>
          <w:tcPr>
            <w:tcW w:w="693" w:type="dxa"/>
          </w:tcPr>
          <w:p w14:paraId="1531B0E2" w14:textId="4418A052" w:rsidR="001B0470" w:rsidRPr="008C001A" w:rsidRDefault="00A210A5" w:rsidP="00A210A5">
            <w:pPr>
              <w:pStyle w:val="EAAnormaltext"/>
              <w:rPr>
                <w:sz w:val="20"/>
              </w:rPr>
            </w:pPr>
            <w:r>
              <w:rPr>
                <w:sz w:val="20"/>
              </w:rPr>
              <w:t>Grd Fl</w:t>
            </w:r>
            <w:r w:rsidR="001A4767">
              <w:rPr>
                <w:sz w:val="20"/>
              </w:rPr>
              <w:t>oo</w:t>
            </w:r>
            <w:r w:rsidR="001B0470" w:rsidRPr="008C001A">
              <w:rPr>
                <w:sz w:val="20"/>
              </w:rPr>
              <w:t>r</w:t>
            </w:r>
          </w:p>
        </w:tc>
        <w:tc>
          <w:tcPr>
            <w:tcW w:w="693" w:type="dxa"/>
          </w:tcPr>
          <w:p w14:paraId="04D8DFCC" w14:textId="77777777" w:rsidR="00A210A5" w:rsidRDefault="001B0470" w:rsidP="00A210A5">
            <w:pPr>
              <w:pStyle w:val="EAAnormaltext"/>
              <w:rPr>
                <w:sz w:val="20"/>
              </w:rPr>
            </w:pPr>
            <w:r w:rsidRPr="008C001A">
              <w:rPr>
                <w:sz w:val="20"/>
              </w:rPr>
              <w:t>1</w:t>
            </w:r>
            <w:r w:rsidRPr="008C001A">
              <w:rPr>
                <w:sz w:val="20"/>
                <w:vertAlign w:val="superscript"/>
              </w:rPr>
              <w:t>st</w:t>
            </w:r>
            <w:r w:rsidR="00A210A5">
              <w:rPr>
                <w:sz w:val="20"/>
              </w:rPr>
              <w:t xml:space="preserve"> </w:t>
            </w:r>
          </w:p>
          <w:p w14:paraId="2E5B7D15" w14:textId="50D630BD" w:rsidR="001B0470" w:rsidRPr="008C001A" w:rsidRDefault="00A210A5" w:rsidP="00A210A5">
            <w:pPr>
              <w:pStyle w:val="EAAnormaltext"/>
              <w:rPr>
                <w:sz w:val="20"/>
              </w:rPr>
            </w:pPr>
            <w:r>
              <w:rPr>
                <w:sz w:val="20"/>
              </w:rPr>
              <w:t>Fl</w:t>
            </w:r>
            <w:r w:rsidR="001A4767">
              <w:rPr>
                <w:sz w:val="20"/>
              </w:rPr>
              <w:t>oo</w:t>
            </w:r>
            <w:r w:rsidR="001B0470" w:rsidRPr="008C001A">
              <w:rPr>
                <w:sz w:val="20"/>
              </w:rPr>
              <w:t>r</w:t>
            </w:r>
          </w:p>
        </w:tc>
        <w:tc>
          <w:tcPr>
            <w:tcW w:w="693" w:type="dxa"/>
          </w:tcPr>
          <w:p w14:paraId="06DA6433" w14:textId="36114D7B" w:rsidR="001B0470" w:rsidRPr="008C001A" w:rsidRDefault="001B0470" w:rsidP="00B564F8">
            <w:pPr>
              <w:pStyle w:val="EAAnormaltext"/>
              <w:rPr>
                <w:sz w:val="20"/>
              </w:rPr>
            </w:pPr>
            <w:r w:rsidRPr="008C001A">
              <w:rPr>
                <w:sz w:val="20"/>
              </w:rPr>
              <w:t>2</w:t>
            </w:r>
            <w:r w:rsidRPr="008C001A">
              <w:rPr>
                <w:sz w:val="20"/>
                <w:vertAlign w:val="superscript"/>
              </w:rPr>
              <w:t>nd</w:t>
            </w:r>
            <w:r w:rsidR="00A210A5">
              <w:rPr>
                <w:sz w:val="20"/>
              </w:rPr>
              <w:t xml:space="preserve"> Fl</w:t>
            </w:r>
            <w:r w:rsidR="001A4767">
              <w:rPr>
                <w:sz w:val="20"/>
              </w:rPr>
              <w:t>oo</w:t>
            </w:r>
            <w:r w:rsidRPr="008C001A">
              <w:rPr>
                <w:sz w:val="20"/>
              </w:rPr>
              <w:t>r</w:t>
            </w:r>
          </w:p>
        </w:tc>
        <w:tc>
          <w:tcPr>
            <w:tcW w:w="693" w:type="dxa"/>
          </w:tcPr>
          <w:p w14:paraId="0342BCA4" w14:textId="701022BB" w:rsidR="001B0470" w:rsidRPr="008C001A" w:rsidRDefault="001B0470" w:rsidP="00A210A5">
            <w:pPr>
              <w:pStyle w:val="EAAnormaltext"/>
              <w:rPr>
                <w:sz w:val="20"/>
              </w:rPr>
            </w:pPr>
            <w:r w:rsidRPr="008C001A">
              <w:rPr>
                <w:sz w:val="20"/>
              </w:rPr>
              <w:t>3</w:t>
            </w:r>
            <w:r w:rsidRPr="008C001A">
              <w:rPr>
                <w:sz w:val="20"/>
                <w:vertAlign w:val="superscript"/>
              </w:rPr>
              <w:t>rd</w:t>
            </w:r>
            <w:r w:rsidR="00A210A5">
              <w:rPr>
                <w:sz w:val="20"/>
              </w:rPr>
              <w:t xml:space="preserve"> Fl</w:t>
            </w:r>
            <w:r w:rsidR="001A4767">
              <w:rPr>
                <w:sz w:val="20"/>
              </w:rPr>
              <w:t>oo</w:t>
            </w:r>
            <w:r w:rsidRPr="008C001A">
              <w:rPr>
                <w:sz w:val="20"/>
              </w:rPr>
              <w:t>r</w:t>
            </w:r>
          </w:p>
        </w:tc>
      </w:tr>
      <w:tr w:rsidR="005A4328" w:rsidRPr="008C001A" w14:paraId="599AE454" w14:textId="77777777" w:rsidTr="00A210A5">
        <w:tc>
          <w:tcPr>
            <w:tcW w:w="988" w:type="dxa"/>
            <w:vMerge w:val="restart"/>
          </w:tcPr>
          <w:p w14:paraId="7E8A448C" w14:textId="77777777" w:rsidR="00A210A5" w:rsidRDefault="008C001A" w:rsidP="001B0470">
            <w:pPr>
              <w:pStyle w:val="EAAnormaltext"/>
              <w:rPr>
                <w:sz w:val="20"/>
              </w:rPr>
            </w:pPr>
            <w:r>
              <w:rPr>
                <w:sz w:val="20"/>
              </w:rPr>
              <w:t>10.6</w:t>
            </w:r>
            <w:r w:rsidR="005A4328" w:rsidRPr="008C001A">
              <w:rPr>
                <w:sz w:val="20"/>
              </w:rPr>
              <w:t xml:space="preserve"> m</w:t>
            </w:r>
          </w:p>
          <w:p w14:paraId="29DEB95B" w14:textId="19749EE1" w:rsidR="005A4328" w:rsidRPr="008C001A" w:rsidRDefault="00A210A5" w:rsidP="001B0470">
            <w:pPr>
              <w:pStyle w:val="EAAnormaltext"/>
              <w:rPr>
                <w:sz w:val="20"/>
              </w:rPr>
            </w:pPr>
            <w:r>
              <w:rPr>
                <w:sz w:val="20"/>
              </w:rPr>
              <w:t>(18 m)</w:t>
            </w:r>
          </w:p>
        </w:tc>
        <w:tc>
          <w:tcPr>
            <w:tcW w:w="850" w:type="dxa"/>
          </w:tcPr>
          <w:p w14:paraId="607994C0" w14:textId="475DBBD1" w:rsidR="005A4328" w:rsidRPr="008C001A" w:rsidRDefault="005A4328" w:rsidP="001B0470">
            <w:pPr>
              <w:pStyle w:val="EAAnormaltext"/>
              <w:rPr>
                <w:sz w:val="20"/>
              </w:rPr>
            </w:pPr>
            <w:r w:rsidRPr="008C001A">
              <w:rPr>
                <w:sz w:val="20"/>
              </w:rPr>
              <w:t>Day</w:t>
            </w:r>
          </w:p>
        </w:tc>
        <w:tc>
          <w:tcPr>
            <w:tcW w:w="693" w:type="dxa"/>
          </w:tcPr>
          <w:p w14:paraId="334C6889" w14:textId="15431B49" w:rsidR="005A4328" w:rsidRPr="008C001A" w:rsidRDefault="005A4328" w:rsidP="001B0470">
            <w:pPr>
              <w:pStyle w:val="EAAnormaltext"/>
              <w:rPr>
                <w:sz w:val="20"/>
              </w:rPr>
            </w:pPr>
            <w:r w:rsidRPr="008C001A">
              <w:rPr>
                <w:sz w:val="20"/>
              </w:rPr>
              <w:t>0.10</w:t>
            </w:r>
          </w:p>
        </w:tc>
        <w:tc>
          <w:tcPr>
            <w:tcW w:w="693" w:type="dxa"/>
          </w:tcPr>
          <w:p w14:paraId="155320FF" w14:textId="4A7A8C05" w:rsidR="005A4328" w:rsidRPr="008C001A" w:rsidRDefault="005A4328" w:rsidP="001B0470">
            <w:pPr>
              <w:pStyle w:val="EAAnormaltext"/>
              <w:rPr>
                <w:sz w:val="20"/>
              </w:rPr>
            </w:pPr>
            <w:r w:rsidRPr="008C001A">
              <w:rPr>
                <w:sz w:val="20"/>
              </w:rPr>
              <w:t>0.14</w:t>
            </w:r>
          </w:p>
        </w:tc>
        <w:tc>
          <w:tcPr>
            <w:tcW w:w="693" w:type="dxa"/>
          </w:tcPr>
          <w:p w14:paraId="31258638" w14:textId="5A5A871D" w:rsidR="005A4328" w:rsidRPr="008C001A" w:rsidRDefault="005A4328" w:rsidP="001B0470">
            <w:pPr>
              <w:pStyle w:val="EAAnormaltext"/>
              <w:rPr>
                <w:sz w:val="20"/>
              </w:rPr>
            </w:pPr>
            <w:r w:rsidRPr="008C001A">
              <w:rPr>
                <w:sz w:val="20"/>
              </w:rPr>
              <w:t>0.08</w:t>
            </w:r>
          </w:p>
        </w:tc>
        <w:tc>
          <w:tcPr>
            <w:tcW w:w="693" w:type="dxa"/>
          </w:tcPr>
          <w:p w14:paraId="079AD2F0" w14:textId="5DFE4192" w:rsidR="005A4328" w:rsidRPr="008C001A" w:rsidRDefault="005A4328" w:rsidP="001B0470">
            <w:pPr>
              <w:pStyle w:val="EAAnormaltext"/>
              <w:rPr>
                <w:sz w:val="20"/>
              </w:rPr>
            </w:pPr>
            <w:r w:rsidRPr="008C001A">
              <w:rPr>
                <w:sz w:val="20"/>
              </w:rPr>
              <w:t>0.05</w:t>
            </w:r>
          </w:p>
        </w:tc>
      </w:tr>
      <w:tr w:rsidR="005A4328" w:rsidRPr="008C001A" w14:paraId="1713DE02" w14:textId="77777777" w:rsidTr="00A210A5">
        <w:tc>
          <w:tcPr>
            <w:tcW w:w="988" w:type="dxa"/>
            <w:vMerge/>
          </w:tcPr>
          <w:p w14:paraId="26364BA0" w14:textId="6D787CA8" w:rsidR="005A4328" w:rsidRPr="008C001A" w:rsidRDefault="005A4328" w:rsidP="001B0470">
            <w:pPr>
              <w:pStyle w:val="EAAnormaltext"/>
              <w:rPr>
                <w:sz w:val="20"/>
              </w:rPr>
            </w:pPr>
          </w:p>
        </w:tc>
        <w:tc>
          <w:tcPr>
            <w:tcW w:w="850" w:type="dxa"/>
          </w:tcPr>
          <w:p w14:paraId="0BFFFC30" w14:textId="71FB196A" w:rsidR="005A4328" w:rsidRPr="008C001A" w:rsidRDefault="005A4328" w:rsidP="001B0470">
            <w:pPr>
              <w:pStyle w:val="EAAnormaltext"/>
              <w:rPr>
                <w:sz w:val="20"/>
              </w:rPr>
            </w:pPr>
            <w:r w:rsidRPr="008C001A">
              <w:rPr>
                <w:sz w:val="20"/>
              </w:rPr>
              <w:t>Night</w:t>
            </w:r>
          </w:p>
        </w:tc>
        <w:tc>
          <w:tcPr>
            <w:tcW w:w="693" w:type="dxa"/>
          </w:tcPr>
          <w:p w14:paraId="767A86B7" w14:textId="7E26564D" w:rsidR="005A4328" w:rsidRPr="008C001A" w:rsidRDefault="005A4328" w:rsidP="001B0470">
            <w:pPr>
              <w:pStyle w:val="EAAnormaltext"/>
              <w:rPr>
                <w:sz w:val="20"/>
              </w:rPr>
            </w:pPr>
            <w:r w:rsidRPr="008C001A">
              <w:rPr>
                <w:sz w:val="20"/>
              </w:rPr>
              <w:t>0.05</w:t>
            </w:r>
          </w:p>
        </w:tc>
        <w:tc>
          <w:tcPr>
            <w:tcW w:w="693" w:type="dxa"/>
          </w:tcPr>
          <w:p w14:paraId="558F0D0B" w14:textId="1FC9C721" w:rsidR="005A4328" w:rsidRPr="008C001A" w:rsidRDefault="005A4328" w:rsidP="001B0470">
            <w:pPr>
              <w:pStyle w:val="EAAnormaltext"/>
              <w:rPr>
                <w:sz w:val="20"/>
              </w:rPr>
            </w:pPr>
            <w:r w:rsidRPr="008C001A">
              <w:rPr>
                <w:sz w:val="20"/>
              </w:rPr>
              <w:t>0.07</w:t>
            </w:r>
          </w:p>
        </w:tc>
        <w:tc>
          <w:tcPr>
            <w:tcW w:w="693" w:type="dxa"/>
          </w:tcPr>
          <w:p w14:paraId="6BF454DB" w14:textId="1AE8F9E8" w:rsidR="005A4328" w:rsidRPr="008C001A" w:rsidRDefault="005A4328" w:rsidP="001B0470">
            <w:pPr>
              <w:pStyle w:val="EAAnormaltext"/>
              <w:rPr>
                <w:sz w:val="20"/>
              </w:rPr>
            </w:pPr>
            <w:r w:rsidRPr="008C001A">
              <w:rPr>
                <w:sz w:val="20"/>
              </w:rPr>
              <w:t>0.04</w:t>
            </w:r>
          </w:p>
        </w:tc>
        <w:tc>
          <w:tcPr>
            <w:tcW w:w="693" w:type="dxa"/>
          </w:tcPr>
          <w:p w14:paraId="17684B0D" w14:textId="76C8069B" w:rsidR="005A4328" w:rsidRPr="008C001A" w:rsidRDefault="005A4328" w:rsidP="001B0470">
            <w:pPr>
              <w:pStyle w:val="EAAnormaltext"/>
              <w:rPr>
                <w:sz w:val="20"/>
              </w:rPr>
            </w:pPr>
            <w:r w:rsidRPr="008C001A">
              <w:rPr>
                <w:sz w:val="20"/>
              </w:rPr>
              <w:t>0.03</w:t>
            </w:r>
          </w:p>
        </w:tc>
      </w:tr>
      <w:tr w:rsidR="005A4328" w:rsidRPr="008C001A" w14:paraId="078CB658" w14:textId="77777777" w:rsidTr="00A210A5">
        <w:tc>
          <w:tcPr>
            <w:tcW w:w="988" w:type="dxa"/>
            <w:vMerge w:val="restart"/>
          </w:tcPr>
          <w:p w14:paraId="593A57EC" w14:textId="309D4343" w:rsidR="00A210A5" w:rsidRDefault="008C001A" w:rsidP="001B0470">
            <w:pPr>
              <w:pStyle w:val="EAAnormaltext"/>
              <w:rPr>
                <w:sz w:val="20"/>
              </w:rPr>
            </w:pPr>
            <w:r>
              <w:rPr>
                <w:sz w:val="20"/>
              </w:rPr>
              <w:t>11</w:t>
            </w:r>
            <w:r w:rsidR="005A4328" w:rsidRPr="008C001A">
              <w:rPr>
                <w:sz w:val="20"/>
              </w:rPr>
              <w:t xml:space="preserve"> m</w:t>
            </w:r>
            <w:r w:rsidR="00A210A5">
              <w:rPr>
                <w:sz w:val="20"/>
              </w:rPr>
              <w:t xml:space="preserve"> </w:t>
            </w:r>
          </w:p>
          <w:p w14:paraId="7038B39D" w14:textId="29FFE67F" w:rsidR="005A4328" w:rsidRPr="008C001A" w:rsidRDefault="00A210A5" w:rsidP="001B0470">
            <w:pPr>
              <w:pStyle w:val="EAAnormaltext"/>
              <w:rPr>
                <w:sz w:val="20"/>
              </w:rPr>
            </w:pPr>
            <w:r>
              <w:rPr>
                <w:sz w:val="20"/>
              </w:rPr>
              <w:t>(18 m)</w:t>
            </w:r>
          </w:p>
        </w:tc>
        <w:tc>
          <w:tcPr>
            <w:tcW w:w="850" w:type="dxa"/>
          </w:tcPr>
          <w:p w14:paraId="4A4F736A" w14:textId="490AE534" w:rsidR="005A4328" w:rsidRPr="008C001A" w:rsidRDefault="005A4328" w:rsidP="001B0470">
            <w:pPr>
              <w:pStyle w:val="EAAnormaltext"/>
              <w:rPr>
                <w:sz w:val="20"/>
              </w:rPr>
            </w:pPr>
            <w:r w:rsidRPr="008C001A">
              <w:rPr>
                <w:sz w:val="20"/>
              </w:rPr>
              <w:t>Day</w:t>
            </w:r>
          </w:p>
        </w:tc>
        <w:tc>
          <w:tcPr>
            <w:tcW w:w="693" w:type="dxa"/>
          </w:tcPr>
          <w:p w14:paraId="650B7A34" w14:textId="72B25387" w:rsidR="005A4328" w:rsidRPr="008C001A" w:rsidRDefault="005A4328" w:rsidP="001B0470">
            <w:pPr>
              <w:pStyle w:val="EAAnormaltext"/>
              <w:rPr>
                <w:sz w:val="20"/>
              </w:rPr>
            </w:pPr>
            <w:r w:rsidRPr="008C001A">
              <w:rPr>
                <w:sz w:val="20"/>
              </w:rPr>
              <w:t>0.08</w:t>
            </w:r>
          </w:p>
        </w:tc>
        <w:tc>
          <w:tcPr>
            <w:tcW w:w="693" w:type="dxa"/>
          </w:tcPr>
          <w:p w14:paraId="045C0EC9" w14:textId="3E3B5F8C" w:rsidR="005A4328" w:rsidRPr="008C001A" w:rsidRDefault="005A4328" w:rsidP="001B0470">
            <w:pPr>
              <w:pStyle w:val="EAAnormaltext"/>
              <w:rPr>
                <w:sz w:val="20"/>
              </w:rPr>
            </w:pPr>
            <w:r w:rsidRPr="008C001A">
              <w:rPr>
                <w:sz w:val="20"/>
              </w:rPr>
              <w:t>0.12</w:t>
            </w:r>
          </w:p>
        </w:tc>
        <w:tc>
          <w:tcPr>
            <w:tcW w:w="693" w:type="dxa"/>
          </w:tcPr>
          <w:p w14:paraId="5AAFEC17" w14:textId="06CD614B" w:rsidR="005A4328" w:rsidRPr="008C001A" w:rsidRDefault="005A4328" w:rsidP="001B0470">
            <w:pPr>
              <w:pStyle w:val="EAAnormaltext"/>
              <w:rPr>
                <w:sz w:val="20"/>
              </w:rPr>
            </w:pPr>
            <w:r w:rsidRPr="008C001A">
              <w:rPr>
                <w:sz w:val="20"/>
              </w:rPr>
              <w:t>0.07</w:t>
            </w:r>
          </w:p>
        </w:tc>
        <w:tc>
          <w:tcPr>
            <w:tcW w:w="693" w:type="dxa"/>
          </w:tcPr>
          <w:p w14:paraId="2A011B9A" w14:textId="101A2F26" w:rsidR="005A4328" w:rsidRPr="008C001A" w:rsidRDefault="005A4328" w:rsidP="001B0470">
            <w:pPr>
              <w:pStyle w:val="EAAnormaltext"/>
              <w:rPr>
                <w:sz w:val="20"/>
              </w:rPr>
            </w:pPr>
            <w:r w:rsidRPr="008C001A">
              <w:rPr>
                <w:sz w:val="20"/>
              </w:rPr>
              <w:t>0.04</w:t>
            </w:r>
          </w:p>
        </w:tc>
      </w:tr>
      <w:tr w:rsidR="005A4328" w:rsidRPr="008C001A" w14:paraId="44F99982" w14:textId="77777777" w:rsidTr="00A210A5">
        <w:tc>
          <w:tcPr>
            <w:tcW w:w="988" w:type="dxa"/>
            <w:vMerge/>
          </w:tcPr>
          <w:p w14:paraId="3C3C07D0" w14:textId="50196D2C" w:rsidR="005A4328" w:rsidRPr="008C001A" w:rsidRDefault="005A4328" w:rsidP="001B0470">
            <w:pPr>
              <w:pStyle w:val="EAAnormaltext"/>
              <w:rPr>
                <w:sz w:val="20"/>
              </w:rPr>
            </w:pPr>
          </w:p>
        </w:tc>
        <w:tc>
          <w:tcPr>
            <w:tcW w:w="850" w:type="dxa"/>
          </w:tcPr>
          <w:p w14:paraId="66049917" w14:textId="4207D2BC" w:rsidR="005A4328" w:rsidRPr="008C001A" w:rsidRDefault="005A4328" w:rsidP="001B0470">
            <w:pPr>
              <w:pStyle w:val="EAAnormaltext"/>
              <w:rPr>
                <w:sz w:val="20"/>
              </w:rPr>
            </w:pPr>
            <w:r w:rsidRPr="008C001A">
              <w:rPr>
                <w:sz w:val="20"/>
              </w:rPr>
              <w:t>Night</w:t>
            </w:r>
          </w:p>
        </w:tc>
        <w:tc>
          <w:tcPr>
            <w:tcW w:w="693" w:type="dxa"/>
          </w:tcPr>
          <w:p w14:paraId="59720216" w14:textId="578F816C" w:rsidR="005A4328" w:rsidRPr="008C001A" w:rsidRDefault="005A4328" w:rsidP="001B0470">
            <w:pPr>
              <w:pStyle w:val="EAAnormaltext"/>
              <w:rPr>
                <w:sz w:val="20"/>
              </w:rPr>
            </w:pPr>
            <w:r w:rsidRPr="008C001A">
              <w:rPr>
                <w:sz w:val="20"/>
              </w:rPr>
              <w:t>0.04</w:t>
            </w:r>
          </w:p>
        </w:tc>
        <w:tc>
          <w:tcPr>
            <w:tcW w:w="693" w:type="dxa"/>
          </w:tcPr>
          <w:p w14:paraId="05C6F411" w14:textId="3764E40D" w:rsidR="005A4328" w:rsidRPr="008C001A" w:rsidRDefault="005A4328" w:rsidP="001B0470">
            <w:pPr>
              <w:pStyle w:val="EAAnormaltext"/>
              <w:rPr>
                <w:sz w:val="20"/>
              </w:rPr>
            </w:pPr>
            <w:r w:rsidRPr="008C001A">
              <w:rPr>
                <w:sz w:val="20"/>
              </w:rPr>
              <w:t>0.06</w:t>
            </w:r>
          </w:p>
        </w:tc>
        <w:tc>
          <w:tcPr>
            <w:tcW w:w="693" w:type="dxa"/>
          </w:tcPr>
          <w:p w14:paraId="3C8DDD22" w14:textId="348D9C11" w:rsidR="005A4328" w:rsidRPr="008C001A" w:rsidRDefault="005A4328" w:rsidP="001B0470">
            <w:pPr>
              <w:pStyle w:val="EAAnormaltext"/>
              <w:rPr>
                <w:sz w:val="20"/>
              </w:rPr>
            </w:pPr>
            <w:r w:rsidRPr="008C001A">
              <w:rPr>
                <w:sz w:val="20"/>
              </w:rPr>
              <w:t>0.04</w:t>
            </w:r>
          </w:p>
        </w:tc>
        <w:tc>
          <w:tcPr>
            <w:tcW w:w="693" w:type="dxa"/>
          </w:tcPr>
          <w:p w14:paraId="29693A98" w14:textId="37A90DBF" w:rsidR="005A4328" w:rsidRPr="008C001A" w:rsidRDefault="005A4328" w:rsidP="001B0470">
            <w:pPr>
              <w:pStyle w:val="EAAnormaltext"/>
              <w:rPr>
                <w:sz w:val="20"/>
              </w:rPr>
            </w:pPr>
            <w:r w:rsidRPr="008C001A">
              <w:rPr>
                <w:sz w:val="20"/>
              </w:rPr>
              <w:t>0.02</w:t>
            </w:r>
          </w:p>
        </w:tc>
      </w:tr>
      <w:tr w:rsidR="005A4328" w:rsidRPr="008C001A" w14:paraId="034C27DD" w14:textId="77777777" w:rsidTr="00A210A5">
        <w:tc>
          <w:tcPr>
            <w:tcW w:w="988" w:type="dxa"/>
            <w:vMerge w:val="restart"/>
          </w:tcPr>
          <w:p w14:paraId="1D8A20D9" w14:textId="77777777" w:rsidR="00A210A5" w:rsidRDefault="008C001A" w:rsidP="00A210A5">
            <w:pPr>
              <w:pStyle w:val="EAAnormaltext"/>
              <w:rPr>
                <w:sz w:val="20"/>
              </w:rPr>
            </w:pPr>
            <w:r>
              <w:rPr>
                <w:sz w:val="20"/>
              </w:rPr>
              <w:t>11.8</w:t>
            </w:r>
            <w:r w:rsidR="005A4328" w:rsidRPr="008C001A">
              <w:rPr>
                <w:sz w:val="20"/>
              </w:rPr>
              <w:t xml:space="preserve"> m</w:t>
            </w:r>
          </w:p>
          <w:p w14:paraId="3682E439" w14:textId="571AEF4F" w:rsidR="005A4328" w:rsidRPr="008C001A" w:rsidRDefault="00A210A5" w:rsidP="00A210A5">
            <w:pPr>
              <w:pStyle w:val="EAAnormaltext"/>
              <w:rPr>
                <w:sz w:val="20"/>
              </w:rPr>
            </w:pPr>
            <w:r>
              <w:rPr>
                <w:sz w:val="20"/>
              </w:rPr>
              <w:t>(18 m)</w:t>
            </w:r>
          </w:p>
        </w:tc>
        <w:tc>
          <w:tcPr>
            <w:tcW w:w="850" w:type="dxa"/>
          </w:tcPr>
          <w:p w14:paraId="567A29EF" w14:textId="412C3DC7" w:rsidR="005A4328" w:rsidRPr="008C001A" w:rsidRDefault="005A4328" w:rsidP="001B0470">
            <w:pPr>
              <w:pStyle w:val="EAAnormaltext"/>
              <w:rPr>
                <w:sz w:val="20"/>
              </w:rPr>
            </w:pPr>
            <w:r w:rsidRPr="008C001A">
              <w:rPr>
                <w:sz w:val="20"/>
              </w:rPr>
              <w:t>Day</w:t>
            </w:r>
          </w:p>
        </w:tc>
        <w:tc>
          <w:tcPr>
            <w:tcW w:w="693" w:type="dxa"/>
          </w:tcPr>
          <w:p w14:paraId="27A79DC0" w14:textId="6B811C7F" w:rsidR="005A4328" w:rsidRPr="008C001A" w:rsidRDefault="005A4328" w:rsidP="001B0470">
            <w:pPr>
              <w:pStyle w:val="EAAnormaltext"/>
              <w:rPr>
                <w:sz w:val="20"/>
              </w:rPr>
            </w:pPr>
            <w:r w:rsidRPr="008C001A">
              <w:rPr>
                <w:sz w:val="20"/>
              </w:rPr>
              <w:t>0.04</w:t>
            </w:r>
          </w:p>
        </w:tc>
        <w:tc>
          <w:tcPr>
            <w:tcW w:w="693" w:type="dxa"/>
          </w:tcPr>
          <w:p w14:paraId="645BA61D" w14:textId="532F123F" w:rsidR="005A4328" w:rsidRPr="008C001A" w:rsidRDefault="005A4328" w:rsidP="001B0470">
            <w:pPr>
              <w:pStyle w:val="EAAnormaltext"/>
              <w:rPr>
                <w:sz w:val="20"/>
              </w:rPr>
            </w:pPr>
            <w:r w:rsidRPr="008C001A">
              <w:rPr>
                <w:sz w:val="20"/>
              </w:rPr>
              <w:t>0.06</w:t>
            </w:r>
          </w:p>
        </w:tc>
        <w:tc>
          <w:tcPr>
            <w:tcW w:w="693" w:type="dxa"/>
          </w:tcPr>
          <w:p w14:paraId="2B009ECC" w14:textId="4FDBDA1F" w:rsidR="005A4328" w:rsidRPr="008C001A" w:rsidRDefault="005A4328" w:rsidP="001B0470">
            <w:pPr>
              <w:pStyle w:val="EAAnormaltext"/>
              <w:rPr>
                <w:sz w:val="20"/>
              </w:rPr>
            </w:pPr>
            <w:r w:rsidRPr="008C001A">
              <w:rPr>
                <w:sz w:val="20"/>
              </w:rPr>
              <w:t>0.04</w:t>
            </w:r>
          </w:p>
        </w:tc>
        <w:tc>
          <w:tcPr>
            <w:tcW w:w="693" w:type="dxa"/>
          </w:tcPr>
          <w:p w14:paraId="51D8C00A" w14:textId="404BABEE" w:rsidR="005A4328" w:rsidRPr="008C001A" w:rsidRDefault="005A4328" w:rsidP="001B0470">
            <w:pPr>
              <w:pStyle w:val="EAAnormaltext"/>
              <w:rPr>
                <w:sz w:val="20"/>
              </w:rPr>
            </w:pPr>
            <w:r w:rsidRPr="008C001A">
              <w:rPr>
                <w:sz w:val="20"/>
              </w:rPr>
              <w:t>0.02</w:t>
            </w:r>
          </w:p>
        </w:tc>
      </w:tr>
      <w:tr w:rsidR="005A4328" w:rsidRPr="008C001A" w14:paraId="53BB66A1" w14:textId="77777777" w:rsidTr="00A210A5">
        <w:tc>
          <w:tcPr>
            <w:tcW w:w="988" w:type="dxa"/>
            <w:vMerge/>
          </w:tcPr>
          <w:p w14:paraId="1BA1EFCD" w14:textId="52E4B621" w:rsidR="005A4328" w:rsidRPr="008C001A" w:rsidRDefault="005A4328" w:rsidP="001B0470">
            <w:pPr>
              <w:pStyle w:val="EAAnormaltext"/>
              <w:rPr>
                <w:sz w:val="20"/>
              </w:rPr>
            </w:pPr>
          </w:p>
        </w:tc>
        <w:tc>
          <w:tcPr>
            <w:tcW w:w="850" w:type="dxa"/>
          </w:tcPr>
          <w:p w14:paraId="2E794CE4" w14:textId="594AE012" w:rsidR="005A4328" w:rsidRPr="008C001A" w:rsidRDefault="005A4328" w:rsidP="001B0470">
            <w:pPr>
              <w:pStyle w:val="EAAnormaltext"/>
              <w:rPr>
                <w:sz w:val="20"/>
              </w:rPr>
            </w:pPr>
            <w:r w:rsidRPr="008C001A">
              <w:rPr>
                <w:sz w:val="20"/>
              </w:rPr>
              <w:t>Night</w:t>
            </w:r>
          </w:p>
        </w:tc>
        <w:tc>
          <w:tcPr>
            <w:tcW w:w="693" w:type="dxa"/>
          </w:tcPr>
          <w:p w14:paraId="7E8780E5" w14:textId="320FAD0B" w:rsidR="005A4328" w:rsidRPr="008C001A" w:rsidRDefault="005A4328" w:rsidP="001B0470">
            <w:pPr>
              <w:pStyle w:val="EAAnormaltext"/>
              <w:rPr>
                <w:sz w:val="20"/>
              </w:rPr>
            </w:pPr>
            <w:r w:rsidRPr="008C001A">
              <w:rPr>
                <w:sz w:val="20"/>
              </w:rPr>
              <w:t>0.02</w:t>
            </w:r>
          </w:p>
        </w:tc>
        <w:tc>
          <w:tcPr>
            <w:tcW w:w="693" w:type="dxa"/>
          </w:tcPr>
          <w:p w14:paraId="2F68C8A1" w14:textId="1E6E41D6" w:rsidR="005A4328" w:rsidRPr="008C001A" w:rsidRDefault="005A4328" w:rsidP="001B0470">
            <w:pPr>
              <w:pStyle w:val="EAAnormaltext"/>
              <w:rPr>
                <w:sz w:val="20"/>
              </w:rPr>
            </w:pPr>
            <w:r w:rsidRPr="008C001A">
              <w:rPr>
                <w:sz w:val="20"/>
              </w:rPr>
              <w:t>0.03</w:t>
            </w:r>
          </w:p>
        </w:tc>
        <w:tc>
          <w:tcPr>
            <w:tcW w:w="693" w:type="dxa"/>
          </w:tcPr>
          <w:p w14:paraId="61E590A4" w14:textId="06E0631F" w:rsidR="005A4328" w:rsidRPr="008C001A" w:rsidRDefault="005A4328" w:rsidP="001B0470">
            <w:pPr>
              <w:pStyle w:val="EAAnormaltext"/>
              <w:rPr>
                <w:sz w:val="20"/>
              </w:rPr>
            </w:pPr>
            <w:r w:rsidRPr="008C001A">
              <w:rPr>
                <w:sz w:val="20"/>
              </w:rPr>
              <w:t>0.02</w:t>
            </w:r>
          </w:p>
        </w:tc>
        <w:tc>
          <w:tcPr>
            <w:tcW w:w="693" w:type="dxa"/>
          </w:tcPr>
          <w:p w14:paraId="3EEAE0B5" w14:textId="69474E76" w:rsidR="005A4328" w:rsidRPr="008C001A" w:rsidRDefault="005A4328" w:rsidP="001B0470">
            <w:pPr>
              <w:pStyle w:val="EAAnormaltext"/>
              <w:rPr>
                <w:sz w:val="20"/>
              </w:rPr>
            </w:pPr>
            <w:r w:rsidRPr="008C001A">
              <w:rPr>
                <w:sz w:val="20"/>
              </w:rPr>
              <w:t>0.01</w:t>
            </w:r>
          </w:p>
        </w:tc>
      </w:tr>
      <w:tr w:rsidR="005A4328" w:rsidRPr="008C001A" w14:paraId="319BF77F" w14:textId="77777777" w:rsidTr="00A210A5">
        <w:tc>
          <w:tcPr>
            <w:tcW w:w="988" w:type="dxa"/>
            <w:vMerge w:val="restart"/>
          </w:tcPr>
          <w:p w14:paraId="1F647692" w14:textId="77777777" w:rsidR="00A210A5" w:rsidRDefault="008C001A" w:rsidP="00A210A5">
            <w:pPr>
              <w:pStyle w:val="EAAnormaltext"/>
              <w:rPr>
                <w:sz w:val="20"/>
              </w:rPr>
            </w:pPr>
            <w:r>
              <w:rPr>
                <w:sz w:val="20"/>
              </w:rPr>
              <w:t>7</w:t>
            </w:r>
            <w:r w:rsidR="00A210A5">
              <w:rPr>
                <w:sz w:val="20"/>
              </w:rPr>
              <w:t xml:space="preserve"> </w:t>
            </w:r>
            <w:r w:rsidR="005A4328" w:rsidRPr="008C001A">
              <w:rPr>
                <w:sz w:val="20"/>
              </w:rPr>
              <w:t>m</w:t>
            </w:r>
          </w:p>
          <w:p w14:paraId="575D1763" w14:textId="6C25871E" w:rsidR="005A4328" w:rsidRPr="008C001A" w:rsidRDefault="00A210A5" w:rsidP="00A210A5">
            <w:pPr>
              <w:pStyle w:val="EAAnormaltext"/>
              <w:rPr>
                <w:sz w:val="20"/>
              </w:rPr>
            </w:pPr>
            <w:r>
              <w:rPr>
                <w:sz w:val="20"/>
              </w:rPr>
              <w:t>(24.5 m)</w:t>
            </w:r>
          </w:p>
        </w:tc>
        <w:tc>
          <w:tcPr>
            <w:tcW w:w="850" w:type="dxa"/>
          </w:tcPr>
          <w:p w14:paraId="29571632" w14:textId="2882F825" w:rsidR="005A4328" w:rsidRPr="008C001A" w:rsidRDefault="005A4328" w:rsidP="001B0470">
            <w:pPr>
              <w:pStyle w:val="EAAnormaltext"/>
              <w:rPr>
                <w:sz w:val="20"/>
              </w:rPr>
            </w:pPr>
            <w:r w:rsidRPr="008C001A">
              <w:rPr>
                <w:sz w:val="20"/>
              </w:rPr>
              <w:t>Day</w:t>
            </w:r>
          </w:p>
        </w:tc>
        <w:tc>
          <w:tcPr>
            <w:tcW w:w="693" w:type="dxa"/>
          </w:tcPr>
          <w:p w14:paraId="0CFB3EDB" w14:textId="6F99F987" w:rsidR="005A4328" w:rsidRPr="008C001A" w:rsidRDefault="005A4328" w:rsidP="001B0470">
            <w:pPr>
              <w:pStyle w:val="EAAnormaltext"/>
              <w:rPr>
                <w:sz w:val="20"/>
              </w:rPr>
            </w:pPr>
            <w:r w:rsidRPr="008C001A">
              <w:rPr>
                <w:sz w:val="20"/>
              </w:rPr>
              <w:t>0.08</w:t>
            </w:r>
          </w:p>
        </w:tc>
        <w:tc>
          <w:tcPr>
            <w:tcW w:w="693" w:type="dxa"/>
          </w:tcPr>
          <w:p w14:paraId="1DA6FE00" w14:textId="0106A922" w:rsidR="005A4328" w:rsidRPr="008C001A" w:rsidRDefault="005A4328" w:rsidP="001B0470">
            <w:pPr>
              <w:pStyle w:val="EAAnormaltext"/>
              <w:rPr>
                <w:sz w:val="20"/>
              </w:rPr>
            </w:pPr>
            <w:r w:rsidRPr="008C001A">
              <w:rPr>
                <w:sz w:val="20"/>
              </w:rPr>
              <w:t>0.11</w:t>
            </w:r>
          </w:p>
        </w:tc>
        <w:tc>
          <w:tcPr>
            <w:tcW w:w="693" w:type="dxa"/>
          </w:tcPr>
          <w:p w14:paraId="2A6B0072" w14:textId="77931ED7" w:rsidR="005A4328" w:rsidRPr="008C001A" w:rsidRDefault="005A4328" w:rsidP="001B0470">
            <w:pPr>
              <w:pStyle w:val="EAAnormaltext"/>
              <w:rPr>
                <w:sz w:val="20"/>
              </w:rPr>
            </w:pPr>
            <w:r w:rsidRPr="008C001A">
              <w:rPr>
                <w:sz w:val="20"/>
              </w:rPr>
              <w:t>0.07</w:t>
            </w:r>
          </w:p>
        </w:tc>
        <w:tc>
          <w:tcPr>
            <w:tcW w:w="693" w:type="dxa"/>
          </w:tcPr>
          <w:p w14:paraId="65FCE2F6" w14:textId="621325BA" w:rsidR="005A4328" w:rsidRPr="008C001A" w:rsidRDefault="005A4328" w:rsidP="001B0470">
            <w:pPr>
              <w:pStyle w:val="EAAnormaltext"/>
              <w:rPr>
                <w:sz w:val="20"/>
              </w:rPr>
            </w:pPr>
            <w:r w:rsidRPr="008C001A">
              <w:rPr>
                <w:sz w:val="20"/>
              </w:rPr>
              <w:t>0.04</w:t>
            </w:r>
          </w:p>
        </w:tc>
      </w:tr>
      <w:tr w:rsidR="005A4328" w:rsidRPr="008C001A" w14:paraId="6D11DD75" w14:textId="77777777" w:rsidTr="00A210A5">
        <w:tc>
          <w:tcPr>
            <w:tcW w:w="988" w:type="dxa"/>
            <w:vMerge/>
          </w:tcPr>
          <w:p w14:paraId="47728DD7" w14:textId="51FD95EC" w:rsidR="005A4328" w:rsidRPr="008C001A" w:rsidRDefault="005A4328" w:rsidP="001B0470">
            <w:pPr>
              <w:pStyle w:val="EAAnormaltext"/>
              <w:rPr>
                <w:sz w:val="20"/>
              </w:rPr>
            </w:pPr>
          </w:p>
        </w:tc>
        <w:tc>
          <w:tcPr>
            <w:tcW w:w="850" w:type="dxa"/>
          </w:tcPr>
          <w:p w14:paraId="10B84E9F" w14:textId="4376629B" w:rsidR="005A4328" w:rsidRPr="008C001A" w:rsidRDefault="005A4328" w:rsidP="001B0470">
            <w:pPr>
              <w:pStyle w:val="EAAnormaltext"/>
              <w:rPr>
                <w:sz w:val="20"/>
              </w:rPr>
            </w:pPr>
            <w:r w:rsidRPr="008C001A">
              <w:rPr>
                <w:sz w:val="20"/>
              </w:rPr>
              <w:t>Night</w:t>
            </w:r>
          </w:p>
        </w:tc>
        <w:tc>
          <w:tcPr>
            <w:tcW w:w="693" w:type="dxa"/>
          </w:tcPr>
          <w:p w14:paraId="09ACD141" w14:textId="139B2D1C" w:rsidR="005A4328" w:rsidRPr="008C001A" w:rsidRDefault="005A4328" w:rsidP="001B0470">
            <w:pPr>
              <w:pStyle w:val="EAAnormaltext"/>
              <w:rPr>
                <w:sz w:val="20"/>
              </w:rPr>
            </w:pPr>
            <w:r w:rsidRPr="008C001A">
              <w:rPr>
                <w:sz w:val="20"/>
              </w:rPr>
              <w:t>0.04</w:t>
            </w:r>
          </w:p>
        </w:tc>
        <w:tc>
          <w:tcPr>
            <w:tcW w:w="693" w:type="dxa"/>
          </w:tcPr>
          <w:p w14:paraId="45E45386" w14:textId="431E4B29" w:rsidR="005A4328" w:rsidRPr="008C001A" w:rsidRDefault="005A4328" w:rsidP="001B0470">
            <w:pPr>
              <w:pStyle w:val="EAAnormaltext"/>
              <w:rPr>
                <w:sz w:val="20"/>
              </w:rPr>
            </w:pPr>
            <w:r w:rsidRPr="008C001A">
              <w:rPr>
                <w:sz w:val="20"/>
              </w:rPr>
              <w:t>0.06</w:t>
            </w:r>
          </w:p>
        </w:tc>
        <w:tc>
          <w:tcPr>
            <w:tcW w:w="693" w:type="dxa"/>
          </w:tcPr>
          <w:p w14:paraId="63651C43" w14:textId="7C364260" w:rsidR="005A4328" w:rsidRPr="008C001A" w:rsidRDefault="005A4328" w:rsidP="001B0470">
            <w:pPr>
              <w:pStyle w:val="EAAnormaltext"/>
              <w:rPr>
                <w:sz w:val="20"/>
              </w:rPr>
            </w:pPr>
            <w:r w:rsidRPr="008C001A">
              <w:rPr>
                <w:sz w:val="20"/>
              </w:rPr>
              <w:t>0.03</w:t>
            </w:r>
          </w:p>
        </w:tc>
        <w:tc>
          <w:tcPr>
            <w:tcW w:w="693" w:type="dxa"/>
          </w:tcPr>
          <w:p w14:paraId="38FA155A" w14:textId="489D5EF3" w:rsidR="005A4328" w:rsidRPr="008C001A" w:rsidRDefault="005A4328" w:rsidP="001B0470">
            <w:pPr>
              <w:pStyle w:val="EAAnormaltext"/>
              <w:rPr>
                <w:sz w:val="20"/>
              </w:rPr>
            </w:pPr>
            <w:r w:rsidRPr="008C001A">
              <w:rPr>
                <w:sz w:val="20"/>
              </w:rPr>
              <w:t>0.02</w:t>
            </w:r>
          </w:p>
        </w:tc>
      </w:tr>
      <w:tr w:rsidR="005A4328" w:rsidRPr="008C001A" w14:paraId="3A8FE6CE" w14:textId="77777777" w:rsidTr="00A210A5">
        <w:tc>
          <w:tcPr>
            <w:tcW w:w="988" w:type="dxa"/>
            <w:vMerge w:val="restart"/>
          </w:tcPr>
          <w:p w14:paraId="5EE6AA85" w14:textId="77777777" w:rsidR="00A210A5" w:rsidRDefault="005A4328" w:rsidP="001B0470">
            <w:pPr>
              <w:pStyle w:val="EAAnormaltext"/>
              <w:rPr>
                <w:sz w:val="20"/>
              </w:rPr>
            </w:pPr>
            <w:r w:rsidRPr="008C001A">
              <w:rPr>
                <w:sz w:val="20"/>
              </w:rPr>
              <w:t>10</w:t>
            </w:r>
            <w:r w:rsidR="008C001A">
              <w:rPr>
                <w:sz w:val="20"/>
              </w:rPr>
              <w:t>.6</w:t>
            </w:r>
            <w:r w:rsidRPr="008C001A">
              <w:rPr>
                <w:sz w:val="20"/>
              </w:rPr>
              <w:t xml:space="preserve"> m</w:t>
            </w:r>
          </w:p>
          <w:p w14:paraId="30D2771C" w14:textId="52289FE2" w:rsidR="005A4328" w:rsidRPr="008C001A" w:rsidRDefault="00A210A5" w:rsidP="001B0470">
            <w:pPr>
              <w:pStyle w:val="EAAnormaltext"/>
              <w:rPr>
                <w:sz w:val="20"/>
              </w:rPr>
            </w:pPr>
            <w:r>
              <w:rPr>
                <w:sz w:val="20"/>
              </w:rPr>
              <w:t>(24.5 m)</w:t>
            </w:r>
          </w:p>
        </w:tc>
        <w:tc>
          <w:tcPr>
            <w:tcW w:w="850" w:type="dxa"/>
          </w:tcPr>
          <w:p w14:paraId="15302DBA" w14:textId="2FB1B2DF" w:rsidR="005A4328" w:rsidRPr="008C001A" w:rsidRDefault="005A4328" w:rsidP="001B0470">
            <w:pPr>
              <w:pStyle w:val="EAAnormaltext"/>
              <w:rPr>
                <w:sz w:val="20"/>
              </w:rPr>
            </w:pPr>
            <w:r w:rsidRPr="008C001A">
              <w:rPr>
                <w:sz w:val="20"/>
              </w:rPr>
              <w:t>Day</w:t>
            </w:r>
          </w:p>
        </w:tc>
        <w:tc>
          <w:tcPr>
            <w:tcW w:w="693" w:type="dxa"/>
          </w:tcPr>
          <w:p w14:paraId="7456EB68" w14:textId="585076B4" w:rsidR="005A4328" w:rsidRPr="008C001A" w:rsidRDefault="005A4328" w:rsidP="001B0470">
            <w:pPr>
              <w:pStyle w:val="EAAnormaltext"/>
              <w:rPr>
                <w:sz w:val="20"/>
              </w:rPr>
            </w:pPr>
            <w:r w:rsidRPr="008C001A">
              <w:rPr>
                <w:sz w:val="20"/>
              </w:rPr>
              <w:t>0.03</w:t>
            </w:r>
          </w:p>
        </w:tc>
        <w:tc>
          <w:tcPr>
            <w:tcW w:w="693" w:type="dxa"/>
          </w:tcPr>
          <w:p w14:paraId="4591EB21" w14:textId="21E6BCD8" w:rsidR="005A4328" w:rsidRPr="008C001A" w:rsidRDefault="005A4328" w:rsidP="001B0470">
            <w:pPr>
              <w:pStyle w:val="EAAnormaltext"/>
              <w:rPr>
                <w:sz w:val="20"/>
              </w:rPr>
            </w:pPr>
            <w:r w:rsidRPr="008C001A">
              <w:rPr>
                <w:sz w:val="20"/>
              </w:rPr>
              <w:t>0.05</w:t>
            </w:r>
          </w:p>
        </w:tc>
        <w:tc>
          <w:tcPr>
            <w:tcW w:w="693" w:type="dxa"/>
          </w:tcPr>
          <w:p w14:paraId="09F63A44" w14:textId="2BE78210" w:rsidR="005A4328" w:rsidRPr="008C001A" w:rsidRDefault="005A4328" w:rsidP="001B0470">
            <w:pPr>
              <w:pStyle w:val="EAAnormaltext"/>
              <w:rPr>
                <w:sz w:val="20"/>
              </w:rPr>
            </w:pPr>
            <w:r w:rsidRPr="008C001A">
              <w:rPr>
                <w:sz w:val="20"/>
              </w:rPr>
              <w:t>0.03</w:t>
            </w:r>
          </w:p>
        </w:tc>
        <w:tc>
          <w:tcPr>
            <w:tcW w:w="693" w:type="dxa"/>
          </w:tcPr>
          <w:p w14:paraId="4625FE0C" w14:textId="6B756040" w:rsidR="005A4328" w:rsidRPr="008C001A" w:rsidRDefault="005A4328" w:rsidP="001B0470">
            <w:pPr>
              <w:pStyle w:val="EAAnormaltext"/>
              <w:rPr>
                <w:sz w:val="20"/>
              </w:rPr>
            </w:pPr>
            <w:r w:rsidRPr="008C001A">
              <w:rPr>
                <w:sz w:val="20"/>
              </w:rPr>
              <w:t>0.02</w:t>
            </w:r>
          </w:p>
        </w:tc>
      </w:tr>
      <w:tr w:rsidR="005A4328" w:rsidRPr="008C001A" w14:paraId="451C4F56" w14:textId="77777777" w:rsidTr="00A210A5">
        <w:tc>
          <w:tcPr>
            <w:tcW w:w="988" w:type="dxa"/>
            <w:vMerge/>
          </w:tcPr>
          <w:p w14:paraId="74D44DD6" w14:textId="5F430ECB" w:rsidR="005A4328" w:rsidRPr="008C001A" w:rsidRDefault="005A4328" w:rsidP="001B0470">
            <w:pPr>
              <w:pStyle w:val="EAAnormaltext"/>
              <w:rPr>
                <w:sz w:val="20"/>
              </w:rPr>
            </w:pPr>
          </w:p>
        </w:tc>
        <w:tc>
          <w:tcPr>
            <w:tcW w:w="850" w:type="dxa"/>
          </w:tcPr>
          <w:p w14:paraId="0FBB0567" w14:textId="4F27D154" w:rsidR="005A4328" w:rsidRPr="008C001A" w:rsidRDefault="005A4328" w:rsidP="001B0470">
            <w:pPr>
              <w:pStyle w:val="EAAnormaltext"/>
              <w:rPr>
                <w:sz w:val="20"/>
              </w:rPr>
            </w:pPr>
            <w:r w:rsidRPr="008C001A">
              <w:rPr>
                <w:sz w:val="20"/>
              </w:rPr>
              <w:t>Night</w:t>
            </w:r>
          </w:p>
        </w:tc>
        <w:tc>
          <w:tcPr>
            <w:tcW w:w="693" w:type="dxa"/>
          </w:tcPr>
          <w:p w14:paraId="14CB013C" w14:textId="10FA592F" w:rsidR="005A4328" w:rsidRPr="008C001A" w:rsidRDefault="005A4328" w:rsidP="001B0470">
            <w:pPr>
              <w:pStyle w:val="EAAnormaltext"/>
              <w:rPr>
                <w:sz w:val="20"/>
              </w:rPr>
            </w:pPr>
            <w:r w:rsidRPr="008C001A">
              <w:rPr>
                <w:sz w:val="20"/>
              </w:rPr>
              <w:t>0.02</w:t>
            </w:r>
          </w:p>
        </w:tc>
        <w:tc>
          <w:tcPr>
            <w:tcW w:w="693" w:type="dxa"/>
          </w:tcPr>
          <w:p w14:paraId="4AFB12D8" w14:textId="6F3C2322" w:rsidR="005A4328" w:rsidRPr="008C001A" w:rsidRDefault="005A4328" w:rsidP="001B0470">
            <w:pPr>
              <w:pStyle w:val="EAAnormaltext"/>
              <w:rPr>
                <w:sz w:val="20"/>
              </w:rPr>
            </w:pPr>
            <w:r w:rsidRPr="008C001A">
              <w:rPr>
                <w:sz w:val="20"/>
              </w:rPr>
              <w:t>0.02</w:t>
            </w:r>
          </w:p>
        </w:tc>
        <w:tc>
          <w:tcPr>
            <w:tcW w:w="693" w:type="dxa"/>
          </w:tcPr>
          <w:p w14:paraId="1D0EBD37" w14:textId="711CBEFE" w:rsidR="005A4328" w:rsidRPr="008C001A" w:rsidRDefault="005A4328" w:rsidP="001B0470">
            <w:pPr>
              <w:pStyle w:val="EAAnormaltext"/>
              <w:rPr>
                <w:sz w:val="20"/>
              </w:rPr>
            </w:pPr>
            <w:r w:rsidRPr="008C001A">
              <w:rPr>
                <w:sz w:val="20"/>
              </w:rPr>
              <w:t>0.01</w:t>
            </w:r>
          </w:p>
        </w:tc>
        <w:tc>
          <w:tcPr>
            <w:tcW w:w="693" w:type="dxa"/>
          </w:tcPr>
          <w:p w14:paraId="597DAB2A" w14:textId="76D808FC" w:rsidR="005A4328" w:rsidRPr="008C001A" w:rsidRDefault="005A4328" w:rsidP="001B0470">
            <w:pPr>
              <w:pStyle w:val="EAAnormaltext"/>
              <w:rPr>
                <w:sz w:val="20"/>
              </w:rPr>
            </w:pPr>
            <w:r w:rsidRPr="008C001A">
              <w:rPr>
                <w:sz w:val="20"/>
              </w:rPr>
              <w:t>0.01</w:t>
            </w:r>
          </w:p>
        </w:tc>
      </w:tr>
      <w:tr w:rsidR="005A4328" w:rsidRPr="008C001A" w14:paraId="491CB417" w14:textId="77777777" w:rsidTr="00A210A5">
        <w:tc>
          <w:tcPr>
            <w:tcW w:w="988" w:type="dxa"/>
            <w:vMerge w:val="restart"/>
          </w:tcPr>
          <w:p w14:paraId="0D448293" w14:textId="77777777" w:rsidR="00A210A5" w:rsidRDefault="008C001A" w:rsidP="001B0470">
            <w:pPr>
              <w:pStyle w:val="EAAnormaltext"/>
              <w:rPr>
                <w:sz w:val="20"/>
              </w:rPr>
            </w:pPr>
            <w:r>
              <w:rPr>
                <w:sz w:val="20"/>
              </w:rPr>
              <w:t>12.3</w:t>
            </w:r>
            <w:r w:rsidR="005A4328" w:rsidRPr="008C001A">
              <w:rPr>
                <w:sz w:val="20"/>
              </w:rPr>
              <w:t xml:space="preserve"> m</w:t>
            </w:r>
          </w:p>
          <w:p w14:paraId="6A1C715A" w14:textId="18520943" w:rsidR="005A4328" w:rsidRPr="008C001A" w:rsidRDefault="00A210A5" w:rsidP="001B0470">
            <w:pPr>
              <w:pStyle w:val="EAAnormaltext"/>
              <w:rPr>
                <w:sz w:val="20"/>
              </w:rPr>
            </w:pPr>
            <w:r>
              <w:rPr>
                <w:sz w:val="20"/>
              </w:rPr>
              <w:t>(24.5 m)</w:t>
            </w:r>
            <w:r w:rsidR="005A4328" w:rsidRPr="008C001A">
              <w:rPr>
                <w:sz w:val="20"/>
              </w:rPr>
              <w:t xml:space="preserve"> </w:t>
            </w:r>
          </w:p>
        </w:tc>
        <w:tc>
          <w:tcPr>
            <w:tcW w:w="850" w:type="dxa"/>
          </w:tcPr>
          <w:p w14:paraId="6035851A" w14:textId="459665D2" w:rsidR="005A4328" w:rsidRPr="008C001A" w:rsidRDefault="005A4328" w:rsidP="001B0470">
            <w:pPr>
              <w:pStyle w:val="EAAnormaltext"/>
              <w:rPr>
                <w:sz w:val="20"/>
              </w:rPr>
            </w:pPr>
            <w:r w:rsidRPr="008C001A">
              <w:rPr>
                <w:sz w:val="20"/>
              </w:rPr>
              <w:t>Day</w:t>
            </w:r>
          </w:p>
        </w:tc>
        <w:tc>
          <w:tcPr>
            <w:tcW w:w="693" w:type="dxa"/>
          </w:tcPr>
          <w:p w14:paraId="00401682" w14:textId="58DDAF58" w:rsidR="005A4328" w:rsidRPr="008C001A" w:rsidRDefault="005A4328" w:rsidP="001B0470">
            <w:pPr>
              <w:pStyle w:val="EAAnormaltext"/>
              <w:rPr>
                <w:sz w:val="20"/>
              </w:rPr>
            </w:pPr>
            <w:r w:rsidRPr="008C001A">
              <w:rPr>
                <w:sz w:val="20"/>
              </w:rPr>
              <w:t>0.05</w:t>
            </w:r>
          </w:p>
        </w:tc>
        <w:tc>
          <w:tcPr>
            <w:tcW w:w="693" w:type="dxa"/>
          </w:tcPr>
          <w:p w14:paraId="35AC2775" w14:textId="4B9CB04A" w:rsidR="005A4328" w:rsidRPr="008C001A" w:rsidRDefault="005A4328" w:rsidP="001B0470">
            <w:pPr>
              <w:pStyle w:val="EAAnormaltext"/>
              <w:rPr>
                <w:sz w:val="20"/>
              </w:rPr>
            </w:pPr>
            <w:r w:rsidRPr="008C001A">
              <w:rPr>
                <w:sz w:val="20"/>
              </w:rPr>
              <w:t>0.07</w:t>
            </w:r>
          </w:p>
        </w:tc>
        <w:tc>
          <w:tcPr>
            <w:tcW w:w="693" w:type="dxa"/>
          </w:tcPr>
          <w:p w14:paraId="2872901E" w14:textId="5523E13F" w:rsidR="005A4328" w:rsidRPr="008C001A" w:rsidRDefault="005A4328" w:rsidP="001B0470">
            <w:pPr>
              <w:pStyle w:val="EAAnormaltext"/>
              <w:rPr>
                <w:sz w:val="20"/>
              </w:rPr>
            </w:pPr>
            <w:r w:rsidRPr="008C001A">
              <w:rPr>
                <w:sz w:val="20"/>
              </w:rPr>
              <w:t>0.04</w:t>
            </w:r>
          </w:p>
        </w:tc>
        <w:tc>
          <w:tcPr>
            <w:tcW w:w="693" w:type="dxa"/>
          </w:tcPr>
          <w:p w14:paraId="4E0FA43E" w14:textId="5C8509F9" w:rsidR="005A4328" w:rsidRPr="008C001A" w:rsidRDefault="005A4328" w:rsidP="001B0470">
            <w:pPr>
              <w:pStyle w:val="EAAnormaltext"/>
              <w:rPr>
                <w:sz w:val="20"/>
              </w:rPr>
            </w:pPr>
            <w:r w:rsidRPr="008C001A">
              <w:rPr>
                <w:sz w:val="20"/>
              </w:rPr>
              <w:t>0.02</w:t>
            </w:r>
          </w:p>
        </w:tc>
      </w:tr>
      <w:tr w:rsidR="005A4328" w:rsidRPr="008C001A" w14:paraId="13327F6C" w14:textId="77777777" w:rsidTr="00A210A5">
        <w:tc>
          <w:tcPr>
            <w:tcW w:w="988" w:type="dxa"/>
            <w:vMerge/>
          </w:tcPr>
          <w:p w14:paraId="6D35C0D3" w14:textId="6B776EF3" w:rsidR="005A4328" w:rsidRPr="008C001A" w:rsidRDefault="005A4328" w:rsidP="001B0470">
            <w:pPr>
              <w:pStyle w:val="EAAnormaltext"/>
              <w:rPr>
                <w:sz w:val="20"/>
              </w:rPr>
            </w:pPr>
          </w:p>
        </w:tc>
        <w:tc>
          <w:tcPr>
            <w:tcW w:w="850" w:type="dxa"/>
          </w:tcPr>
          <w:p w14:paraId="42336320" w14:textId="35CD0F1E" w:rsidR="005A4328" w:rsidRPr="008C001A" w:rsidRDefault="005A4328" w:rsidP="001B0470">
            <w:pPr>
              <w:pStyle w:val="EAAnormaltext"/>
              <w:rPr>
                <w:sz w:val="20"/>
              </w:rPr>
            </w:pPr>
            <w:r w:rsidRPr="008C001A">
              <w:rPr>
                <w:sz w:val="20"/>
              </w:rPr>
              <w:t>Night</w:t>
            </w:r>
          </w:p>
        </w:tc>
        <w:tc>
          <w:tcPr>
            <w:tcW w:w="693" w:type="dxa"/>
          </w:tcPr>
          <w:p w14:paraId="486EA1DC" w14:textId="76DC785C" w:rsidR="005A4328" w:rsidRPr="008C001A" w:rsidRDefault="005A4328" w:rsidP="001B0470">
            <w:pPr>
              <w:pStyle w:val="EAAnormaltext"/>
              <w:rPr>
                <w:sz w:val="20"/>
              </w:rPr>
            </w:pPr>
            <w:r w:rsidRPr="008C001A">
              <w:rPr>
                <w:sz w:val="20"/>
              </w:rPr>
              <w:t>0.02</w:t>
            </w:r>
          </w:p>
        </w:tc>
        <w:tc>
          <w:tcPr>
            <w:tcW w:w="693" w:type="dxa"/>
          </w:tcPr>
          <w:p w14:paraId="57444997" w14:textId="030258A3" w:rsidR="005A4328" w:rsidRPr="008C001A" w:rsidRDefault="005A4328" w:rsidP="001B0470">
            <w:pPr>
              <w:pStyle w:val="EAAnormaltext"/>
              <w:rPr>
                <w:sz w:val="20"/>
              </w:rPr>
            </w:pPr>
            <w:r w:rsidRPr="008C001A">
              <w:rPr>
                <w:sz w:val="20"/>
              </w:rPr>
              <w:t>0.03</w:t>
            </w:r>
          </w:p>
        </w:tc>
        <w:tc>
          <w:tcPr>
            <w:tcW w:w="693" w:type="dxa"/>
          </w:tcPr>
          <w:p w14:paraId="71C8096F" w14:textId="0C0F1865" w:rsidR="005A4328" w:rsidRPr="008C001A" w:rsidRDefault="005A4328" w:rsidP="001B0470">
            <w:pPr>
              <w:pStyle w:val="EAAnormaltext"/>
              <w:rPr>
                <w:sz w:val="20"/>
              </w:rPr>
            </w:pPr>
            <w:r w:rsidRPr="008C001A">
              <w:rPr>
                <w:sz w:val="20"/>
              </w:rPr>
              <w:t>0.02</w:t>
            </w:r>
          </w:p>
        </w:tc>
        <w:tc>
          <w:tcPr>
            <w:tcW w:w="693" w:type="dxa"/>
          </w:tcPr>
          <w:p w14:paraId="221ED087" w14:textId="3A27907E" w:rsidR="005A4328" w:rsidRPr="008C001A" w:rsidRDefault="005A4328" w:rsidP="001B0470">
            <w:pPr>
              <w:pStyle w:val="EAAnormaltext"/>
              <w:rPr>
                <w:sz w:val="20"/>
              </w:rPr>
            </w:pPr>
            <w:r w:rsidRPr="008C001A">
              <w:rPr>
                <w:sz w:val="20"/>
              </w:rPr>
              <w:t>0.01</w:t>
            </w:r>
          </w:p>
        </w:tc>
      </w:tr>
      <w:tr w:rsidR="005A4328" w:rsidRPr="008C001A" w14:paraId="16617423" w14:textId="77777777" w:rsidTr="00A210A5">
        <w:tc>
          <w:tcPr>
            <w:tcW w:w="988" w:type="dxa"/>
            <w:vMerge w:val="restart"/>
          </w:tcPr>
          <w:p w14:paraId="33A770CC" w14:textId="77777777" w:rsidR="00A210A5" w:rsidRDefault="005A4328" w:rsidP="001B0470">
            <w:pPr>
              <w:pStyle w:val="EAAnormaltext"/>
              <w:rPr>
                <w:sz w:val="20"/>
              </w:rPr>
            </w:pPr>
            <w:r w:rsidRPr="008C001A">
              <w:rPr>
                <w:sz w:val="20"/>
              </w:rPr>
              <w:t>13</w:t>
            </w:r>
            <w:r w:rsidR="008C001A">
              <w:rPr>
                <w:sz w:val="20"/>
              </w:rPr>
              <w:t>.5</w:t>
            </w:r>
            <w:r w:rsidRPr="008C001A">
              <w:rPr>
                <w:sz w:val="20"/>
              </w:rPr>
              <w:t xml:space="preserve"> m</w:t>
            </w:r>
          </w:p>
          <w:p w14:paraId="134F0470" w14:textId="399F0326" w:rsidR="005A4328" w:rsidRPr="008C001A" w:rsidRDefault="00A210A5" w:rsidP="001B0470">
            <w:pPr>
              <w:pStyle w:val="EAAnormaltext"/>
              <w:rPr>
                <w:sz w:val="20"/>
              </w:rPr>
            </w:pPr>
            <w:r>
              <w:rPr>
                <w:sz w:val="20"/>
              </w:rPr>
              <w:t>(24.5 m)</w:t>
            </w:r>
          </w:p>
        </w:tc>
        <w:tc>
          <w:tcPr>
            <w:tcW w:w="850" w:type="dxa"/>
          </w:tcPr>
          <w:p w14:paraId="596A0AFD" w14:textId="16C9C5F9" w:rsidR="005A4328" w:rsidRPr="008C001A" w:rsidRDefault="005A4328" w:rsidP="001B0470">
            <w:pPr>
              <w:pStyle w:val="EAAnormaltext"/>
              <w:rPr>
                <w:sz w:val="20"/>
              </w:rPr>
            </w:pPr>
            <w:r w:rsidRPr="008C001A">
              <w:rPr>
                <w:sz w:val="20"/>
              </w:rPr>
              <w:t>Day</w:t>
            </w:r>
          </w:p>
        </w:tc>
        <w:tc>
          <w:tcPr>
            <w:tcW w:w="693" w:type="dxa"/>
          </w:tcPr>
          <w:p w14:paraId="54345EA1" w14:textId="1ADF0C48" w:rsidR="005A4328" w:rsidRPr="008C001A" w:rsidRDefault="005A4328" w:rsidP="001B0470">
            <w:pPr>
              <w:pStyle w:val="EAAnormaltext"/>
              <w:rPr>
                <w:sz w:val="20"/>
              </w:rPr>
            </w:pPr>
            <w:r w:rsidRPr="008C001A">
              <w:rPr>
                <w:sz w:val="20"/>
              </w:rPr>
              <w:t>0.04</w:t>
            </w:r>
          </w:p>
        </w:tc>
        <w:tc>
          <w:tcPr>
            <w:tcW w:w="693" w:type="dxa"/>
          </w:tcPr>
          <w:p w14:paraId="781F34B4" w14:textId="79E6DA87" w:rsidR="005A4328" w:rsidRPr="008C001A" w:rsidRDefault="005A4328" w:rsidP="001B0470">
            <w:pPr>
              <w:pStyle w:val="EAAnormaltext"/>
              <w:rPr>
                <w:sz w:val="20"/>
              </w:rPr>
            </w:pPr>
            <w:r w:rsidRPr="008C001A">
              <w:rPr>
                <w:sz w:val="20"/>
              </w:rPr>
              <w:t>0.06</w:t>
            </w:r>
          </w:p>
        </w:tc>
        <w:tc>
          <w:tcPr>
            <w:tcW w:w="693" w:type="dxa"/>
          </w:tcPr>
          <w:p w14:paraId="6035E502" w14:textId="285A6BF9" w:rsidR="005A4328" w:rsidRPr="008C001A" w:rsidRDefault="005A4328" w:rsidP="001B0470">
            <w:pPr>
              <w:pStyle w:val="EAAnormaltext"/>
              <w:rPr>
                <w:sz w:val="20"/>
              </w:rPr>
            </w:pPr>
            <w:r w:rsidRPr="008C001A">
              <w:rPr>
                <w:sz w:val="20"/>
              </w:rPr>
              <w:t>0.03</w:t>
            </w:r>
          </w:p>
        </w:tc>
        <w:tc>
          <w:tcPr>
            <w:tcW w:w="693" w:type="dxa"/>
          </w:tcPr>
          <w:p w14:paraId="0E9F753E" w14:textId="2FECFDE9" w:rsidR="005A4328" w:rsidRPr="008C001A" w:rsidRDefault="005A4328" w:rsidP="001B0470">
            <w:pPr>
              <w:pStyle w:val="EAAnormaltext"/>
              <w:rPr>
                <w:sz w:val="20"/>
              </w:rPr>
            </w:pPr>
            <w:r w:rsidRPr="008C001A">
              <w:rPr>
                <w:sz w:val="20"/>
              </w:rPr>
              <w:t>0.02</w:t>
            </w:r>
          </w:p>
        </w:tc>
      </w:tr>
      <w:tr w:rsidR="005A4328" w:rsidRPr="008C001A" w14:paraId="423FA68E" w14:textId="77777777" w:rsidTr="00A210A5">
        <w:tc>
          <w:tcPr>
            <w:tcW w:w="988" w:type="dxa"/>
            <w:vMerge/>
          </w:tcPr>
          <w:p w14:paraId="33B1276D" w14:textId="6D94056A" w:rsidR="005A4328" w:rsidRPr="008C001A" w:rsidRDefault="005A4328" w:rsidP="001B0470">
            <w:pPr>
              <w:pStyle w:val="EAAnormaltext"/>
              <w:rPr>
                <w:sz w:val="20"/>
              </w:rPr>
            </w:pPr>
          </w:p>
        </w:tc>
        <w:tc>
          <w:tcPr>
            <w:tcW w:w="850" w:type="dxa"/>
          </w:tcPr>
          <w:p w14:paraId="2E4249BB" w14:textId="55BC8D4A" w:rsidR="005A4328" w:rsidRPr="008C001A" w:rsidRDefault="005A4328" w:rsidP="001B0470">
            <w:pPr>
              <w:pStyle w:val="EAAnormaltext"/>
              <w:rPr>
                <w:sz w:val="20"/>
              </w:rPr>
            </w:pPr>
            <w:r w:rsidRPr="008C001A">
              <w:rPr>
                <w:sz w:val="20"/>
              </w:rPr>
              <w:t>Night</w:t>
            </w:r>
          </w:p>
        </w:tc>
        <w:tc>
          <w:tcPr>
            <w:tcW w:w="693" w:type="dxa"/>
          </w:tcPr>
          <w:p w14:paraId="40134933" w14:textId="31D58DF1" w:rsidR="005A4328" w:rsidRPr="008C001A" w:rsidRDefault="005A4328" w:rsidP="001B0470">
            <w:pPr>
              <w:pStyle w:val="EAAnormaltext"/>
              <w:rPr>
                <w:sz w:val="20"/>
              </w:rPr>
            </w:pPr>
            <w:r w:rsidRPr="008C001A">
              <w:rPr>
                <w:sz w:val="20"/>
              </w:rPr>
              <w:t>0.02</w:t>
            </w:r>
          </w:p>
        </w:tc>
        <w:tc>
          <w:tcPr>
            <w:tcW w:w="693" w:type="dxa"/>
          </w:tcPr>
          <w:p w14:paraId="3EEC0132" w14:textId="68B3162A" w:rsidR="005A4328" w:rsidRPr="008C001A" w:rsidRDefault="005A4328" w:rsidP="001B0470">
            <w:pPr>
              <w:pStyle w:val="EAAnormaltext"/>
              <w:rPr>
                <w:sz w:val="20"/>
              </w:rPr>
            </w:pPr>
            <w:r w:rsidRPr="008C001A">
              <w:rPr>
                <w:sz w:val="20"/>
              </w:rPr>
              <w:t>0.03</w:t>
            </w:r>
          </w:p>
        </w:tc>
        <w:tc>
          <w:tcPr>
            <w:tcW w:w="693" w:type="dxa"/>
          </w:tcPr>
          <w:p w14:paraId="7EF6A291" w14:textId="39662B44" w:rsidR="005A4328" w:rsidRPr="008C001A" w:rsidRDefault="005A4328" w:rsidP="001B0470">
            <w:pPr>
              <w:pStyle w:val="EAAnormaltext"/>
              <w:rPr>
                <w:sz w:val="20"/>
              </w:rPr>
            </w:pPr>
            <w:r w:rsidRPr="008C001A">
              <w:rPr>
                <w:sz w:val="20"/>
              </w:rPr>
              <w:t>0.02</w:t>
            </w:r>
          </w:p>
        </w:tc>
        <w:tc>
          <w:tcPr>
            <w:tcW w:w="693" w:type="dxa"/>
          </w:tcPr>
          <w:p w14:paraId="56C798D9" w14:textId="1F9699A9" w:rsidR="005A4328" w:rsidRPr="008C001A" w:rsidRDefault="005A4328" w:rsidP="001B0470">
            <w:pPr>
              <w:pStyle w:val="EAAnormaltext"/>
              <w:rPr>
                <w:sz w:val="20"/>
              </w:rPr>
            </w:pPr>
            <w:r w:rsidRPr="008C001A">
              <w:rPr>
                <w:sz w:val="20"/>
              </w:rPr>
              <w:t>0.01</w:t>
            </w:r>
          </w:p>
        </w:tc>
      </w:tr>
      <w:tr w:rsidR="005A4328" w:rsidRPr="008C001A" w14:paraId="73A1D149" w14:textId="77777777" w:rsidTr="00A210A5">
        <w:tc>
          <w:tcPr>
            <w:tcW w:w="988" w:type="dxa"/>
            <w:vMerge w:val="restart"/>
          </w:tcPr>
          <w:p w14:paraId="0FA5FBDC" w14:textId="77777777" w:rsidR="00A210A5" w:rsidRDefault="005A4328" w:rsidP="001B0470">
            <w:pPr>
              <w:pStyle w:val="EAAnormaltext"/>
              <w:rPr>
                <w:sz w:val="20"/>
              </w:rPr>
            </w:pPr>
            <w:r w:rsidRPr="008C001A">
              <w:rPr>
                <w:sz w:val="20"/>
              </w:rPr>
              <w:t>15</w:t>
            </w:r>
            <w:r w:rsidR="008C001A">
              <w:rPr>
                <w:sz w:val="20"/>
              </w:rPr>
              <w:t>.4</w:t>
            </w:r>
            <w:r w:rsidRPr="008C001A">
              <w:rPr>
                <w:sz w:val="20"/>
              </w:rPr>
              <w:t xml:space="preserve"> m</w:t>
            </w:r>
          </w:p>
          <w:p w14:paraId="1EE57ABE" w14:textId="6DBBEC3A" w:rsidR="005A4328" w:rsidRPr="008C001A" w:rsidRDefault="00A210A5" w:rsidP="001B0470">
            <w:pPr>
              <w:pStyle w:val="EAAnormaltext"/>
              <w:rPr>
                <w:sz w:val="20"/>
              </w:rPr>
            </w:pPr>
            <w:r>
              <w:rPr>
                <w:sz w:val="20"/>
              </w:rPr>
              <w:t>(24.5 m)</w:t>
            </w:r>
          </w:p>
        </w:tc>
        <w:tc>
          <w:tcPr>
            <w:tcW w:w="850" w:type="dxa"/>
          </w:tcPr>
          <w:p w14:paraId="64A286BD" w14:textId="3D8533B0" w:rsidR="005A4328" w:rsidRPr="008C001A" w:rsidRDefault="005A4328" w:rsidP="001B0470">
            <w:pPr>
              <w:pStyle w:val="EAAnormaltext"/>
              <w:rPr>
                <w:sz w:val="20"/>
              </w:rPr>
            </w:pPr>
            <w:r w:rsidRPr="008C001A">
              <w:rPr>
                <w:sz w:val="20"/>
              </w:rPr>
              <w:t>Day</w:t>
            </w:r>
          </w:p>
        </w:tc>
        <w:tc>
          <w:tcPr>
            <w:tcW w:w="693" w:type="dxa"/>
          </w:tcPr>
          <w:p w14:paraId="4A17F7F2" w14:textId="6F91A695" w:rsidR="005A4328" w:rsidRPr="008C001A" w:rsidRDefault="005A4328" w:rsidP="001B0470">
            <w:pPr>
              <w:pStyle w:val="EAAnormaltext"/>
              <w:rPr>
                <w:sz w:val="20"/>
              </w:rPr>
            </w:pPr>
            <w:r w:rsidRPr="008C001A">
              <w:rPr>
                <w:sz w:val="20"/>
              </w:rPr>
              <w:t>0.02</w:t>
            </w:r>
          </w:p>
        </w:tc>
        <w:tc>
          <w:tcPr>
            <w:tcW w:w="693" w:type="dxa"/>
          </w:tcPr>
          <w:p w14:paraId="148FDF5A" w14:textId="41B09931" w:rsidR="005A4328" w:rsidRPr="008C001A" w:rsidRDefault="005A4328" w:rsidP="001B0470">
            <w:pPr>
              <w:pStyle w:val="EAAnormaltext"/>
              <w:rPr>
                <w:sz w:val="20"/>
              </w:rPr>
            </w:pPr>
            <w:r w:rsidRPr="008C001A">
              <w:rPr>
                <w:sz w:val="20"/>
              </w:rPr>
              <w:t>0.03</w:t>
            </w:r>
          </w:p>
        </w:tc>
        <w:tc>
          <w:tcPr>
            <w:tcW w:w="693" w:type="dxa"/>
          </w:tcPr>
          <w:p w14:paraId="6E782A67" w14:textId="2EF1B868" w:rsidR="005A4328" w:rsidRPr="008C001A" w:rsidRDefault="005A4328" w:rsidP="001B0470">
            <w:pPr>
              <w:pStyle w:val="EAAnormaltext"/>
              <w:rPr>
                <w:sz w:val="20"/>
              </w:rPr>
            </w:pPr>
            <w:r w:rsidRPr="008C001A">
              <w:rPr>
                <w:sz w:val="20"/>
              </w:rPr>
              <w:t>0.02</w:t>
            </w:r>
          </w:p>
        </w:tc>
        <w:tc>
          <w:tcPr>
            <w:tcW w:w="693" w:type="dxa"/>
          </w:tcPr>
          <w:p w14:paraId="12FF9FCA" w14:textId="0A3C2BD3" w:rsidR="005A4328" w:rsidRPr="008C001A" w:rsidRDefault="005A4328" w:rsidP="001B0470">
            <w:pPr>
              <w:pStyle w:val="EAAnormaltext"/>
              <w:rPr>
                <w:sz w:val="20"/>
              </w:rPr>
            </w:pPr>
            <w:r w:rsidRPr="008C001A">
              <w:rPr>
                <w:sz w:val="20"/>
              </w:rPr>
              <w:t>0.01</w:t>
            </w:r>
          </w:p>
        </w:tc>
      </w:tr>
      <w:tr w:rsidR="005A4328" w:rsidRPr="008C001A" w14:paraId="44B0AA76" w14:textId="77777777" w:rsidTr="00A210A5">
        <w:tc>
          <w:tcPr>
            <w:tcW w:w="988" w:type="dxa"/>
            <w:vMerge/>
          </w:tcPr>
          <w:p w14:paraId="21E6D39C" w14:textId="497D05E7" w:rsidR="005A4328" w:rsidRPr="008C001A" w:rsidRDefault="005A4328" w:rsidP="001B0470">
            <w:pPr>
              <w:pStyle w:val="EAAnormaltext"/>
              <w:rPr>
                <w:sz w:val="20"/>
              </w:rPr>
            </w:pPr>
          </w:p>
        </w:tc>
        <w:tc>
          <w:tcPr>
            <w:tcW w:w="850" w:type="dxa"/>
          </w:tcPr>
          <w:p w14:paraId="2F50C557" w14:textId="3A1CBEAE" w:rsidR="005A4328" w:rsidRPr="008C001A" w:rsidRDefault="005A4328" w:rsidP="001B0470">
            <w:pPr>
              <w:pStyle w:val="EAAnormaltext"/>
              <w:rPr>
                <w:sz w:val="20"/>
              </w:rPr>
            </w:pPr>
            <w:r w:rsidRPr="008C001A">
              <w:rPr>
                <w:sz w:val="20"/>
              </w:rPr>
              <w:t>Night</w:t>
            </w:r>
          </w:p>
        </w:tc>
        <w:tc>
          <w:tcPr>
            <w:tcW w:w="693" w:type="dxa"/>
          </w:tcPr>
          <w:p w14:paraId="48AF60E3" w14:textId="416A006A" w:rsidR="005A4328" w:rsidRPr="008C001A" w:rsidRDefault="005A4328" w:rsidP="001B0470">
            <w:pPr>
              <w:pStyle w:val="EAAnormaltext"/>
              <w:rPr>
                <w:sz w:val="20"/>
              </w:rPr>
            </w:pPr>
            <w:r w:rsidRPr="008C001A">
              <w:rPr>
                <w:sz w:val="20"/>
              </w:rPr>
              <w:t>0.01</w:t>
            </w:r>
          </w:p>
        </w:tc>
        <w:tc>
          <w:tcPr>
            <w:tcW w:w="693" w:type="dxa"/>
          </w:tcPr>
          <w:p w14:paraId="0B24CCD8" w14:textId="1A9EB648" w:rsidR="005A4328" w:rsidRPr="008C001A" w:rsidRDefault="005A4328" w:rsidP="001B0470">
            <w:pPr>
              <w:pStyle w:val="EAAnormaltext"/>
              <w:rPr>
                <w:sz w:val="20"/>
              </w:rPr>
            </w:pPr>
            <w:r w:rsidRPr="008C001A">
              <w:rPr>
                <w:sz w:val="20"/>
              </w:rPr>
              <w:t>0.01</w:t>
            </w:r>
          </w:p>
        </w:tc>
        <w:tc>
          <w:tcPr>
            <w:tcW w:w="693" w:type="dxa"/>
          </w:tcPr>
          <w:p w14:paraId="1DD32EEC" w14:textId="55C39E7A" w:rsidR="005A4328" w:rsidRPr="008C001A" w:rsidRDefault="005A4328" w:rsidP="001B0470">
            <w:pPr>
              <w:pStyle w:val="EAAnormaltext"/>
              <w:rPr>
                <w:sz w:val="20"/>
              </w:rPr>
            </w:pPr>
            <w:r w:rsidRPr="008C001A">
              <w:rPr>
                <w:sz w:val="20"/>
              </w:rPr>
              <w:t>0.01</w:t>
            </w:r>
          </w:p>
        </w:tc>
        <w:tc>
          <w:tcPr>
            <w:tcW w:w="693" w:type="dxa"/>
          </w:tcPr>
          <w:p w14:paraId="49BBCCE8" w14:textId="4CA3A29C" w:rsidR="005A4328" w:rsidRPr="008C001A" w:rsidRDefault="005A4328" w:rsidP="001B0470">
            <w:pPr>
              <w:pStyle w:val="EAAnormaltext"/>
              <w:rPr>
                <w:sz w:val="20"/>
              </w:rPr>
            </w:pPr>
            <w:r w:rsidRPr="008C001A">
              <w:rPr>
                <w:sz w:val="20"/>
              </w:rPr>
              <w:t>0.01</w:t>
            </w:r>
          </w:p>
        </w:tc>
      </w:tr>
      <w:tr w:rsidR="005A4328" w:rsidRPr="008C001A" w14:paraId="4492D606" w14:textId="77777777" w:rsidTr="00A210A5">
        <w:tc>
          <w:tcPr>
            <w:tcW w:w="988" w:type="dxa"/>
            <w:vMerge w:val="restart"/>
          </w:tcPr>
          <w:p w14:paraId="2420C6F1" w14:textId="77777777" w:rsidR="00A210A5" w:rsidRDefault="005A4328" w:rsidP="001B0470">
            <w:pPr>
              <w:pStyle w:val="EAAnormaltext"/>
              <w:rPr>
                <w:sz w:val="20"/>
              </w:rPr>
            </w:pPr>
            <w:r w:rsidRPr="008C001A">
              <w:rPr>
                <w:sz w:val="20"/>
              </w:rPr>
              <w:t>20</w:t>
            </w:r>
            <w:r w:rsidR="008C001A">
              <w:rPr>
                <w:sz w:val="20"/>
              </w:rPr>
              <w:t>.3</w:t>
            </w:r>
            <w:r w:rsidRPr="008C001A">
              <w:rPr>
                <w:sz w:val="20"/>
              </w:rPr>
              <w:t xml:space="preserve"> m</w:t>
            </w:r>
          </w:p>
          <w:p w14:paraId="488843F6" w14:textId="187CBFDA" w:rsidR="005A4328" w:rsidRPr="008C001A" w:rsidRDefault="00A210A5" w:rsidP="001B0470">
            <w:pPr>
              <w:pStyle w:val="EAAnormaltext"/>
              <w:rPr>
                <w:sz w:val="20"/>
              </w:rPr>
            </w:pPr>
            <w:r>
              <w:rPr>
                <w:sz w:val="20"/>
              </w:rPr>
              <w:t>(24.5 m)</w:t>
            </w:r>
          </w:p>
        </w:tc>
        <w:tc>
          <w:tcPr>
            <w:tcW w:w="850" w:type="dxa"/>
          </w:tcPr>
          <w:p w14:paraId="2EA41F11" w14:textId="7BCBE795" w:rsidR="005A4328" w:rsidRPr="008C001A" w:rsidRDefault="005A4328" w:rsidP="001B0470">
            <w:pPr>
              <w:pStyle w:val="EAAnormaltext"/>
              <w:rPr>
                <w:sz w:val="20"/>
              </w:rPr>
            </w:pPr>
            <w:r w:rsidRPr="008C001A">
              <w:rPr>
                <w:sz w:val="20"/>
              </w:rPr>
              <w:t>Day</w:t>
            </w:r>
          </w:p>
        </w:tc>
        <w:tc>
          <w:tcPr>
            <w:tcW w:w="693" w:type="dxa"/>
          </w:tcPr>
          <w:p w14:paraId="69489BD3" w14:textId="3CA210EA" w:rsidR="005A4328" w:rsidRPr="008C001A" w:rsidRDefault="005A4328" w:rsidP="001B0470">
            <w:pPr>
              <w:pStyle w:val="EAAnormaltext"/>
              <w:rPr>
                <w:sz w:val="20"/>
              </w:rPr>
            </w:pPr>
            <w:r w:rsidRPr="008C001A">
              <w:rPr>
                <w:sz w:val="20"/>
              </w:rPr>
              <w:t>0.01</w:t>
            </w:r>
          </w:p>
        </w:tc>
        <w:tc>
          <w:tcPr>
            <w:tcW w:w="693" w:type="dxa"/>
          </w:tcPr>
          <w:p w14:paraId="218EE6E3" w14:textId="306FBD78" w:rsidR="005A4328" w:rsidRPr="008C001A" w:rsidRDefault="005A4328" w:rsidP="001B0470">
            <w:pPr>
              <w:pStyle w:val="EAAnormaltext"/>
              <w:rPr>
                <w:sz w:val="20"/>
              </w:rPr>
            </w:pPr>
            <w:r w:rsidRPr="008C001A">
              <w:rPr>
                <w:sz w:val="20"/>
              </w:rPr>
              <w:t>0.02</w:t>
            </w:r>
          </w:p>
        </w:tc>
        <w:tc>
          <w:tcPr>
            <w:tcW w:w="693" w:type="dxa"/>
          </w:tcPr>
          <w:p w14:paraId="023C6843" w14:textId="49C483FA" w:rsidR="005A4328" w:rsidRPr="008C001A" w:rsidRDefault="005A4328" w:rsidP="001B0470">
            <w:pPr>
              <w:pStyle w:val="EAAnormaltext"/>
              <w:rPr>
                <w:sz w:val="20"/>
              </w:rPr>
            </w:pPr>
            <w:r w:rsidRPr="008C001A">
              <w:rPr>
                <w:sz w:val="20"/>
              </w:rPr>
              <w:t>0.01</w:t>
            </w:r>
          </w:p>
        </w:tc>
        <w:tc>
          <w:tcPr>
            <w:tcW w:w="693" w:type="dxa"/>
          </w:tcPr>
          <w:p w14:paraId="627884FD" w14:textId="1307F06E" w:rsidR="005A4328" w:rsidRPr="008C001A" w:rsidRDefault="005A4328" w:rsidP="001B0470">
            <w:pPr>
              <w:pStyle w:val="EAAnormaltext"/>
              <w:rPr>
                <w:sz w:val="20"/>
              </w:rPr>
            </w:pPr>
            <w:r w:rsidRPr="008C001A">
              <w:rPr>
                <w:sz w:val="20"/>
              </w:rPr>
              <w:t>0.01</w:t>
            </w:r>
          </w:p>
        </w:tc>
      </w:tr>
      <w:tr w:rsidR="005A4328" w:rsidRPr="008C001A" w14:paraId="6F4CD481" w14:textId="77777777" w:rsidTr="00A210A5">
        <w:tc>
          <w:tcPr>
            <w:tcW w:w="988" w:type="dxa"/>
            <w:vMerge/>
          </w:tcPr>
          <w:p w14:paraId="5029752D" w14:textId="4153B301" w:rsidR="005A4328" w:rsidRPr="008C001A" w:rsidRDefault="005A4328" w:rsidP="001B0470">
            <w:pPr>
              <w:pStyle w:val="EAAnormaltext"/>
              <w:rPr>
                <w:sz w:val="20"/>
              </w:rPr>
            </w:pPr>
          </w:p>
        </w:tc>
        <w:tc>
          <w:tcPr>
            <w:tcW w:w="850" w:type="dxa"/>
          </w:tcPr>
          <w:p w14:paraId="618126BF" w14:textId="58803F2E" w:rsidR="005A4328" w:rsidRPr="008C001A" w:rsidRDefault="005A4328" w:rsidP="001B0470">
            <w:pPr>
              <w:pStyle w:val="EAAnormaltext"/>
              <w:rPr>
                <w:sz w:val="20"/>
              </w:rPr>
            </w:pPr>
            <w:r w:rsidRPr="008C001A">
              <w:rPr>
                <w:sz w:val="20"/>
              </w:rPr>
              <w:t>Night</w:t>
            </w:r>
          </w:p>
        </w:tc>
        <w:tc>
          <w:tcPr>
            <w:tcW w:w="693" w:type="dxa"/>
          </w:tcPr>
          <w:p w14:paraId="32B860B4" w14:textId="329F60F0" w:rsidR="005A4328" w:rsidRPr="008C001A" w:rsidRDefault="005A4328" w:rsidP="001B0470">
            <w:pPr>
              <w:pStyle w:val="EAAnormaltext"/>
              <w:rPr>
                <w:sz w:val="20"/>
              </w:rPr>
            </w:pPr>
            <w:r w:rsidRPr="008C001A">
              <w:rPr>
                <w:sz w:val="20"/>
              </w:rPr>
              <w:t>0.01</w:t>
            </w:r>
          </w:p>
        </w:tc>
        <w:tc>
          <w:tcPr>
            <w:tcW w:w="693" w:type="dxa"/>
          </w:tcPr>
          <w:p w14:paraId="6662A1C5" w14:textId="27569AC6" w:rsidR="005A4328" w:rsidRPr="008C001A" w:rsidRDefault="005A4328" w:rsidP="001B0470">
            <w:pPr>
              <w:pStyle w:val="EAAnormaltext"/>
              <w:rPr>
                <w:sz w:val="20"/>
              </w:rPr>
            </w:pPr>
            <w:r w:rsidRPr="008C001A">
              <w:rPr>
                <w:sz w:val="20"/>
              </w:rPr>
              <w:t>0.01</w:t>
            </w:r>
          </w:p>
        </w:tc>
        <w:tc>
          <w:tcPr>
            <w:tcW w:w="693" w:type="dxa"/>
          </w:tcPr>
          <w:p w14:paraId="70E4EE3C" w14:textId="407C71A0" w:rsidR="005A4328" w:rsidRPr="008C001A" w:rsidRDefault="005A4328" w:rsidP="001B0470">
            <w:pPr>
              <w:pStyle w:val="EAAnormaltext"/>
              <w:rPr>
                <w:sz w:val="20"/>
              </w:rPr>
            </w:pPr>
            <w:r w:rsidRPr="008C001A">
              <w:rPr>
                <w:sz w:val="20"/>
              </w:rPr>
              <w:t>0.01</w:t>
            </w:r>
          </w:p>
        </w:tc>
        <w:tc>
          <w:tcPr>
            <w:tcW w:w="693" w:type="dxa"/>
          </w:tcPr>
          <w:p w14:paraId="199474AD" w14:textId="011FDCD9" w:rsidR="005A4328" w:rsidRPr="008C001A" w:rsidRDefault="005A4328" w:rsidP="001B0470">
            <w:pPr>
              <w:pStyle w:val="EAAnormaltext"/>
              <w:rPr>
                <w:sz w:val="20"/>
              </w:rPr>
            </w:pPr>
            <w:r w:rsidRPr="008C001A">
              <w:rPr>
                <w:sz w:val="20"/>
              </w:rPr>
              <w:t>0.00</w:t>
            </w:r>
          </w:p>
        </w:tc>
      </w:tr>
    </w:tbl>
    <w:p w14:paraId="3FF80300" w14:textId="2CA5AC3D" w:rsidR="00B564F8" w:rsidRDefault="00B564F8" w:rsidP="00B4561C">
      <w:pPr>
        <w:pStyle w:val="EAAnormaltext"/>
        <w:spacing w:before="120"/>
      </w:pPr>
      <w:r>
        <w:t xml:space="preserve">The results of the assessment of tactile vibration in PPV at the ground floor slab, used to assess the likelihood of building damage, are presented in Table </w:t>
      </w:r>
      <w:r w:rsidR="00DE06C3">
        <w:t>4</w:t>
      </w:r>
      <w:r>
        <w:t>.2.</w:t>
      </w:r>
    </w:p>
    <w:p w14:paraId="3801BB05" w14:textId="450063C6" w:rsidR="005A4328" w:rsidRDefault="00B564F8" w:rsidP="00B4561C">
      <w:pPr>
        <w:pStyle w:val="EAAnormaltext"/>
        <w:spacing w:before="120"/>
      </w:pPr>
      <w:r>
        <w:t xml:space="preserve">Table </w:t>
      </w:r>
      <w:r w:rsidR="00DE06C3">
        <w:t>4</w:t>
      </w:r>
      <w:r>
        <w:t>.2:  Predicted PPV at the Ground Floor Slab</w:t>
      </w:r>
    </w:p>
    <w:tbl>
      <w:tblPr>
        <w:tblStyle w:val="TableGrid"/>
        <w:tblW w:w="0" w:type="auto"/>
        <w:tblLook w:val="04A0" w:firstRow="1" w:lastRow="0" w:firstColumn="1" w:lastColumn="0" w:noHBand="0" w:noVBand="1"/>
      </w:tblPr>
      <w:tblGrid>
        <w:gridCol w:w="2292"/>
        <w:gridCol w:w="2290"/>
      </w:tblGrid>
      <w:tr w:rsidR="005A4328" w:rsidRPr="00A210A5" w14:paraId="49CA743B" w14:textId="77777777" w:rsidTr="00536FFD">
        <w:tc>
          <w:tcPr>
            <w:tcW w:w="2305" w:type="dxa"/>
          </w:tcPr>
          <w:p w14:paraId="7D78F8B5" w14:textId="03667D04" w:rsidR="005A4328" w:rsidRPr="00A210A5" w:rsidRDefault="008C001A" w:rsidP="005A4328">
            <w:pPr>
              <w:pStyle w:val="EAAnormaltext"/>
              <w:rPr>
                <w:sz w:val="20"/>
              </w:rPr>
            </w:pPr>
            <w:r w:rsidRPr="00A210A5">
              <w:rPr>
                <w:sz w:val="20"/>
              </w:rPr>
              <w:t xml:space="preserve">Slant </w:t>
            </w:r>
            <w:r w:rsidR="005A4328" w:rsidRPr="00A210A5">
              <w:rPr>
                <w:sz w:val="20"/>
              </w:rPr>
              <w:t>Dist</w:t>
            </w:r>
            <w:r w:rsidR="00A128EA" w:rsidRPr="00A210A5">
              <w:rPr>
                <w:sz w:val="20"/>
              </w:rPr>
              <w:t>ance</w:t>
            </w:r>
            <w:r w:rsidR="005A4328" w:rsidRPr="00A210A5">
              <w:rPr>
                <w:sz w:val="20"/>
              </w:rPr>
              <w:t xml:space="preserve"> of Pile from Tunnel</w:t>
            </w:r>
            <w:r w:rsidR="00A210A5" w:rsidRPr="00A210A5">
              <w:rPr>
                <w:sz w:val="20"/>
              </w:rPr>
              <w:t xml:space="preserve"> (Pile Depth)</w:t>
            </w:r>
          </w:p>
        </w:tc>
        <w:tc>
          <w:tcPr>
            <w:tcW w:w="2305" w:type="dxa"/>
            <w:tcBorders>
              <w:right w:val="single" w:sz="4" w:space="0" w:color="auto"/>
            </w:tcBorders>
          </w:tcPr>
          <w:p w14:paraId="24EA40F3" w14:textId="0D24B235" w:rsidR="005A4328" w:rsidRPr="00A210A5" w:rsidRDefault="005A4328" w:rsidP="005A4328">
            <w:pPr>
              <w:pStyle w:val="EAAnormaltext"/>
              <w:rPr>
                <w:sz w:val="20"/>
              </w:rPr>
            </w:pPr>
            <w:r w:rsidRPr="00A210A5">
              <w:rPr>
                <w:sz w:val="20"/>
              </w:rPr>
              <w:t>Peak Particle Velocity (mm/s) at Ground Floor</w:t>
            </w:r>
          </w:p>
        </w:tc>
      </w:tr>
      <w:tr w:rsidR="008C001A" w:rsidRPr="00A210A5" w14:paraId="0FE0D547" w14:textId="77777777" w:rsidTr="00E86B36">
        <w:tc>
          <w:tcPr>
            <w:tcW w:w="2305" w:type="dxa"/>
          </w:tcPr>
          <w:p w14:paraId="76D9DFFC" w14:textId="6D236F01" w:rsidR="008C001A" w:rsidRPr="00A210A5" w:rsidRDefault="008C001A" w:rsidP="008C001A">
            <w:pPr>
              <w:pStyle w:val="EAAnormaltext"/>
              <w:rPr>
                <w:sz w:val="20"/>
              </w:rPr>
            </w:pPr>
            <w:r w:rsidRPr="00A210A5">
              <w:rPr>
                <w:sz w:val="20"/>
              </w:rPr>
              <w:t>10.6 m</w:t>
            </w:r>
            <w:r w:rsidR="00A210A5" w:rsidRPr="00A210A5">
              <w:rPr>
                <w:sz w:val="20"/>
              </w:rPr>
              <w:t xml:space="preserve"> (18 m)</w:t>
            </w:r>
          </w:p>
        </w:tc>
        <w:tc>
          <w:tcPr>
            <w:tcW w:w="2305" w:type="dxa"/>
            <w:tcBorders>
              <w:right w:val="single" w:sz="4" w:space="0" w:color="auto"/>
            </w:tcBorders>
          </w:tcPr>
          <w:p w14:paraId="1F72BD9C" w14:textId="61D107A4" w:rsidR="008C001A" w:rsidRPr="00A210A5" w:rsidRDefault="008C001A" w:rsidP="008C001A">
            <w:pPr>
              <w:pStyle w:val="EAAnormaltext"/>
              <w:rPr>
                <w:sz w:val="20"/>
              </w:rPr>
            </w:pPr>
            <w:r w:rsidRPr="00A210A5">
              <w:rPr>
                <w:sz w:val="20"/>
              </w:rPr>
              <w:t>0.045</w:t>
            </w:r>
          </w:p>
        </w:tc>
      </w:tr>
      <w:tr w:rsidR="008C001A" w:rsidRPr="00A210A5" w14:paraId="0DA57EA3" w14:textId="77777777" w:rsidTr="00E86B36">
        <w:tc>
          <w:tcPr>
            <w:tcW w:w="2305" w:type="dxa"/>
          </w:tcPr>
          <w:p w14:paraId="3F62C2D5" w14:textId="0DD6BB7A" w:rsidR="008C001A" w:rsidRPr="00A210A5" w:rsidRDefault="008C001A" w:rsidP="008C001A">
            <w:pPr>
              <w:pStyle w:val="EAAnormaltext"/>
              <w:rPr>
                <w:sz w:val="20"/>
              </w:rPr>
            </w:pPr>
            <w:r w:rsidRPr="00A210A5">
              <w:rPr>
                <w:sz w:val="20"/>
              </w:rPr>
              <w:t>11.0 m</w:t>
            </w:r>
            <w:r w:rsidR="00A210A5" w:rsidRPr="00A210A5">
              <w:rPr>
                <w:sz w:val="20"/>
              </w:rPr>
              <w:t xml:space="preserve"> (18 m)</w:t>
            </w:r>
          </w:p>
        </w:tc>
        <w:tc>
          <w:tcPr>
            <w:tcW w:w="2305" w:type="dxa"/>
            <w:tcBorders>
              <w:right w:val="single" w:sz="4" w:space="0" w:color="auto"/>
            </w:tcBorders>
          </w:tcPr>
          <w:p w14:paraId="4AD94E81" w14:textId="2FA6B226" w:rsidR="008C001A" w:rsidRPr="00A210A5" w:rsidRDefault="008C001A" w:rsidP="008C001A">
            <w:pPr>
              <w:pStyle w:val="EAAnormaltext"/>
              <w:rPr>
                <w:sz w:val="20"/>
              </w:rPr>
            </w:pPr>
            <w:r w:rsidRPr="00A210A5">
              <w:rPr>
                <w:sz w:val="20"/>
              </w:rPr>
              <w:t>0.029</w:t>
            </w:r>
          </w:p>
        </w:tc>
      </w:tr>
      <w:tr w:rsidR="008C001A" w:rsidRPr="00A210A5" w14:paraId="2F4C12B1" w14:textId="77777777" w:rsidTr="00E86B36">
        <w:tc>
          <w:tcPr>
            <w:tcW w:w="2305" w:type="dxa"/>
          </w:tcPr>
          <w:p w14:paraId="20F7E98A" w14:textId="01E2F391" w:rsidR="008C001A" w:rsidRPr="00A210A5" w:rsidRDefault="008C001A" w:rsidP="008C001A">
            <w:pPr>
              <w:pStyle w:val="EAAnormaltext"/>
              <w:rPr>
                <w:sz w:val="20"/>
              </w:rPr>
            </w:pPr>
            <w:r w:rsidRPr="00A210A5">
              <w:rPr>
                <w:sz w:val="20"/>
              </w:rPr>
              <w:t>11.8 m</w:t>
            </w:r>
            <w:r w:rsidR="00A210A5" w:rsidRPr="00A210A5">
              <w:rPr>
                <w:sz w:val="20"/>
              </w:rPr>
              <w:t xml:space="preserve"> (18 m)</w:t>
            </w:r>
          </w:p>
        </w:tc>
        <w:tc>
          <w:tcPr>
            <w:tcW w:w="2305" w:type="dxa"/>
            <w:tcBorders>
              <w:right w:val="single" w:sz="4" w:space="0" w:color="auto"/>
            </w:tcBorders>
          </w:tcPr>
          <w:p w14:paraId="61C7210E" w14:textId="1134ED61" w:rsidR="008C001A" w:rsidRPr="00A210A5" w:rsidRDefault="008C001A" w:rsidP="008C001A">
            <w:pPr>
              <w:pStyle w:val="EAAnormaltext"/>
              <w:rPr>
                <w:sz w:val="20"/>
              </w:rPr>
            </w:pPr>
            <w:r w:rsidRPr="00A210A5">
              <w:rPr>
                <w:sz w:val="20"/>
              </w:rPr>
              <w:t>0.014</w:t>
            </w:r>
          </w:p>
        </w:tc>
      </w:tr>
      <w:tr w:rsidR="008C001A" w:rsidRPr="00A210A5" w14:paraId="6CC2714F" w14:textId="77777777" w:rsidTr="00E86B36">
        <w:tc>
          <w:tcPr>
            <w:tcW w:w="2305" w:type="dxa"/>
          </w:tcPr>
          <w:p w14:paraId="1475ECC4" w14:textId="7AA6B6A6" w:rsidR="008C001A" w:rsidRPr="00A210A5" w:rsidRDefault="008C001A" w:rsidP="008C001A">
            <w:pPr>
              <w:pStyle w:val="EAAnormaltext"/>
              <w:rPr>
                <w:sz w:val="20"/>
              </w:rPr>
            </w:pPr>
            <w:r w:rsidRPr="00A210A5">
              <w:rPr>
                <w:sz w:val="20"/>
              </w:rPr>
              <w:t>7.0 m</w:t>
            </w:r>
            <w:r w:rsidR="00A210A5" w:rsidRPr="00A210A5">
              <w:rPr>
                <w:sz w:val="20"/>
              </w:rPr>
              <w:t xml:space="preserve"> (24.5 m)</w:t>
            </w:r>
          </w:p>
        </w:tc>
        <w:tc>
          <w:tcPr>
            <w:tcW w:w="2305" w:type="dxa"/>
            <w:tcBorders>
              <w:right w:val="single" w:sz="4" w:space="0" w:color="auto"/>
            </w:tcBorders>
          </w:tcPr>
          <w:p w14:paraId="0B08D43A" w14:textId="20D9C633" w:rsidR="008C001A" w:rsidRPr="00A210A5" w:rsidRDefault="008C001A" w:rsidP="008C001A">
            <w:pPr>
              <w:pStyle w:val="EAAnormaltext"/>
              <w:rPr>
                <w:sz w:val="20"/>
              </w:rPr>
            </w:pPr>
            <w:r w:rsidRPr="00A210A5">
              <w:rPr>
                <w:sz w:val="20"/>
              </w:rPr>
              <w:t>0.058</w:t>
            </w:r>
          </w:p>
        </w:tc>
      </w:tr>
      <w:tr w:rsidR="008C001A" w:rsidRPr="00A210A5" w14:paraId="14EE2E02" w14:textId="77777777" w:rsidTr="00E86B36">
        <w:tc>
          <w:tcPr>
            <w:tcW w:w="2305" w:type="dxa"/>
          </w:tcPr>
          <w:p w14:paraId="7A81E566" w14:textId="68B9E841" w:rsidR="008C001A" w:rsidRPr="00A210A5" w:rsidRDefault="008C001A" w:rsidP="008C001A">
            <w:pPr>
              <w:pStyle w:val="EAAnormaltext"/>
              <w:rPr>
                <w:sz w:val="20"/>
              </w:rPr>
            </w:pPr>
            <w:r w:rsidRPr="00A210A5">
              <w:rPr>
                <w:sz w:val="20"/>
              </w:rPr>
              <w:t>10.6 m</w:t>
            </w:r>
            <w:r w:rsidR="00A210A5" w:rsidRPr="00A210A5">
              <w:rPr>
                <w:sz w:val="20"/>
              </w:rPr>
              <w:t xml:space="preserve"> (24.5 m)</w:t>
            </w:r>
          </w:p>
        </w:tc>
        <w:tc>
          <w:tcPr>
            <w:tcW w:w="2305" w:type="dxa"/>
            <w:tcBorders>
              <w:right w:val="single" w:sz="4" w:space="0" w:color="auto"/>
            </w:tcBorders>
          </w:tcPr>
          <w:p w14:paraId="644A6414" w14:textId="7F541B10" w:rsidR="008C001A" w:rsidRPr="00A210A5" w:rsidRDefault="008C001A" w:rsidP="008C001A">
            <w:pPr>
              <w:pStyle w:val="EAAnormaltext"/>
              <w:rPr>
                <w:sz w:val="20"/>
              </w:rPr>
            </w:pPr>
            <w:r w:rsidRPr="00A210A5">
              <w:rPr>
                <w:sz w:val="20"/>
              </w:rPr>
              <w:t>0.018</w:t>
            </w:r>
          </w:p>
        </w:tc>
      </w:tr>
      <w:tr w:rsidR="008C001A" w:rsidRPr="00A210A5" w14:paraId="6AE5F78F" w14:textId="77777777" w:rsidTr="00E86B36">
        <w:tc>
          <w:tcPr>
            <w:tcW w:w="2305" w:type="dxa"/>
          </w:tcPr>
          <w:p w14:paraId="1067B4EF" w14:textId="3F0FF063" w:rsidR="008C001A" w:rsidRPr="00A210A5" w:rsidRDefault="008C001A" w:rsidP="008C001A">
            <w:pPr>
              <w:pStyle w:val="EAAnormaltext"/>
              <w:rPr>
                <w:sz w:val="20"/>
              </w:rPr>
            </w:pPr>
            <w:r w:rsidRPr="00A210A5">
              <w:rPr>
                <w:sz w:val="20"/>
              </w:rPr>
              <w:t>12.3 m</w:t>
            </w:r>
            <w:r w:rsidR="00A210A5" w:rsidRPr="00A210A5">
              <w:rPr>
                <w:sz w:val="20"/>
              </w:rPr>
              <w:t xml:space="preserve"> (24.5 m)</w:t>
            </w:r>
          </w:p>
        </w:tc>
        <w:tc>
          <w:tcPr>
            <w:tcW w:w="2305" w:type="dxa"/>
            <w:tcBorders>
              <w:right w:val="single" w:sz="4" w:space="0" w:color="auto"/>
            </w:tcBorders>
          </w:tcPr>
          <w:p w14:paraId="7594DCC2" w14:textId="6A495D47" w:rsidR="008C001A" w:rsidRPr="00A210A5" w:rsidRDefault="008C001A" w:rsidP="008C001A">
            <w:pPr>
              <w:pStyle w:val="EAAnormaltext"/>
              <w:rPr>
                <w:sz w:val="20"/>
              </w:rPr>
            </w:pPr>
            <w:r w:rsidRPr="00A210A5">
              <w:rPr>
                <w:sz w:val="20"/>
              </w:rPr>
              <w:t>0.012</w:t>
            </w:r>
          </w:p>
        </w:tc>
      </w:tr>
      <w:tr w:rsidR="008C001A" w:rsidRPr="00A210A5" w14:paraId="06DC1F5C" w14:textId="77777777" w:rsidTr="00E86B36">
        <w:tc>
          <w:tcPr>
            <w:tcW w:w="2305" w:type="dxa"/>
          </w:tcPr>
          <w:p w14:paraId="78AABC05" w14:textId="66F91E3D" w:rsidR="008C001A" w:rsidRPr="00A210A5" w:rsidRDefault="008C001A" w:rsidP="008C001A">
            <w:pPr>
              <w:pStyle w:val="EAAnormaltext"/>
              <w:rPr>
                <w:sz w:val="20"/>
              </w:rPr>
            </w:pPr>
            <w:r w:rsidRPr="00A210A5">
              <w:rPr>
                <w:sz w:val="20"/>
              </w:rPr>
              <w:t>13.5 m</w:t>
            </w:r>
            <w:r w:rsidR="00A210A5" w:rsidRPr="00A210A5">
              <w:rPr>
                <w:sz w:val="20"/>
              </w:rPr>
              <w:t xml:space="preserve"> (24.5 m)</w:t>
            </w:r>
          </w:p>
        </w:tc>
        <w:tc>
          <w:tcPr>
            <w:tcW w:w="2305" w:type="dxa"/>
            <w:tcBorders>
              <w:right w:val="single" w:sz="4" w:space="0" w:color="auto"/>
            </w:tcBorders>
          </w:tcPr>
          <w:p w14:paraId="48FC01C1" w14:textId="10BF7D3A" w:rsidR="008C001A" w:rsidRPr="00A210A5" w:rsidRDefault="008C001A" w:rsidP="008C001A">
            <w:pPr>
              <w:pStyle w:val="EAAnormaltext"/>
              <w:rPr>
                <w:sz w:val="20"/>
              </w:rPr>
            </w:pPr>
            <w:r w:rsidRPr="00A210A5">
              <w:rPr>
                <w:sz w:val="20"/>
              </w:rPr>
              <w:t>0.009</w:t>
            </w:r>
          </w:p>
        </w:tc>
      </w:tr>
      <w:tr w:rsidR="008C001A" w:rsidRPr="00A210A5" w14:paraId="149580A3" w14:textId="77777777" w:rsidTr="00E86B36">
        <w:tc>
          <w:tcPr>
            <w:tcW w:w="2305" w:type="dxa"/>
          </w:tcPr>
          <w:p w14:paraId="45ABC285" w14:textId="7E0A06B0" w:rsidR="008C001A" w:rsidRPr="00A210A5" w:rsidRDefault="008C001A" w:rsidP="008C001A">
            <w:pPr>
              <w:pStyle w:val="EAAnormaltext"/>
              <w:rPr>
                <w:sz w:val="20"/>
              </w:rPr>
            </w:pPr>
            <w:r w:rsidRPr="00A210A5">
              <w:rPr>
                <w:sz w:val="20"/>
              </w:rPr>
              <w:t>15.4 m</w:t>
            </w:r>
            <w:r w:rsidR="00A210A5" w:rsidRPr="00A210A5">
              <w:rPr>
                <w:sz w:val="20"/>
              </w:rPr>
              <w:t xml:space="preserve"> (24.5 m)</w:t>
            </w:r>
          </w:p>
        </w:tc>
        <w:tc>
          <w:tcPr>
            <w:tcW w:w="2305" w:type="dxa"/>
            <w:tcBorders>
              <w:right w:val="single" w:sz="4" w:space="0" w:color="auto"/>
            </w:tcBorders>
          </w:tcPr>
          <w:p w14:paraId="695247B3" w14:textId="5F032D70" w:rsidR="008C001A" w:rsidRPr="00A210A5" w:rsidRDefault="008C001A" w:rsidP="008C001A">
            <w:pPr>
              <w:pStyle w:val="EAAnormaltext"/>
              <w:rPr>
                <w:sz w:val="20"/>
              </w:rPr>
            </w:pPr>
            <w:r w:rsidRPr="00A210A5">
              <w:rPr>
                <w:sz w:val="20"/>
              </w:rPr>
              <w:t>0.005</w:t>
            </w:r>
          </w:p>
        </w:tc>
      </w:tr>
      <w:tr w:rsidR="008C001A" w:rsidRPr="00A210A5" w14:paraId="3898AAA9" w14:textId="77777777" w:rsidTr="00E86B36">
        <w:tc>
          <w:tcPr>
            <w:tcW w:w="2305" w:type="dxa"/>
          </w:tcPr>
          <w:p w14:paraId="4674A230" w14:textId="61AF89CB" w:rsidR="008C001A" w:rsidRPr="00A210A5" w:rsidRDefault="008C001A" w:rsidP="008C001A">
            <w:pPr>
              <w:pStyle w:val="EAAnormaltext"/>
              <w:rPr>
                <w:sz w:val="20"/>
              </w:rPr>
            </w:pPr>
            <w:r w:rsidRPr="00A210A5">
              <w:rPr>
                <w:sz w:val="20"/>
              </w:rPr>
              <w:t>20.3 m</w:t>
            </w:r>
            <w:r w:rsidR="00A210A5" w:rsidRPr="00A210A5">
              <w:rPr>
                <w:sz w:val="20"/>
              </w:rPr>
              <w:t xml:space="preserve"> (24.5 m)</w:t>
            </w:r>
          </w:p>
        </w:tc>
        <w:tc>
          <w:tcPr>
            <w:tcW w:w="2305" w:type="dxa"/>
            <w:tcBorders>
              <w:right w:val="single" w:sz="4" w:space="0" w:color="auto"/>
            </w:tcBorders>
          </w:tcPr>
          <w:p w14:paraId="037EF564" w14:textId="2185D9BE" w:rsidR="008C001A" w:rsidRPr="00A210A5" w:rsidRDefault="008C001A" w:rsidP="008C001A">
            <w:pPr>
              <w:pStyle w:val="EAAnormaltext"/>
              <w:rPr>
                <w:sz w:val="20"/>
              </w:rPr>
            </w:pPr>
            <w:r w:rsidRPr="00A210A5">
              <w:rPr>
                <w:sz w:val="20"/>
              </w:rPr>
              <w:t>0.003</w:t>
            </w:r>
          </w:p>
        </w:tc>
      </w:tr>
      <w:tr w:rsidR="005A4328" w:rsidRPr="00A210A5" w14:paraId="6BEFABB5" w14:textId="77777777" w:rsidTr="00536FFD">
        <w:tc>
          <w:tcPr>
            <w:tcW w:w="2305" w:type="dxa"/>
          </w:tcPr>
          <w:p w14:paraId="2ADECF43" w14:textId="26B5B75F" w:rsidR="005A4328" w:rsidRPr="00A210A5" w:rsidRDefault="005A4328" w:rsidP="005A4328">
            <w:pPr>
              <w:pStyle w:val="EAAnormaltext"/>
              <w:rPr>
                <w:sz w:val="20"/>
              </w:rPr>
            </w:pPr>
            <w:r w:rsidRPr="00A210A5">
              <w:rPr>
                <w:sz w:val="20"/>
              </w:rPr>
              <w:t>Guideline Criterion</w:t>
            </w:r>
          </w:p>
        </w:tc>
        <w:tc>
          <w:tcPr>
            <w:tcW w:w="2305" w:type="dxa"/>
            <w:tcBorders>
              <w:right w:val="single" w:sz="4" w:space="0" w:color="auto"/>
            </w:tcBorders>
          </w:tcPr>
          <w:p w14:paraId="40C1F563" w14:textId="34274F69" w:rsidR="005A4328" w:rsidRPr="00A210A5" w:rsidRDefault="005A4328" w:rsidP="005A4328">
            <w:pPr>
              <w:pStyle w:val="EAAnormaltext"/>
              <w:rPr>
                <w:sz w:val="20"/>
              </w:rPr>
            </w:pPr>
            <w:r w:rsidRPr="00A210A5">
              <w:rPr>
                <w:sz w:val="20"/>
              </w:rPr>
              <w:t>50.000</w:t>
            </w:r>
          </w:p>
        </w:tc>
      </w:tr>
    </w:tbl>
    <w:p w14:paraId="64CD3707" w14:textId="77777777" w:rsidR="00B564F8" w:rsidRDefault="00B564F8" w:rsidP="00B564F8">
      <w:pPr>
        <w:pStyle w:val="EAAheading2"/>
        <w:ind w:left="567" w:hanging="567"/>
      </w:pPr>
      <w:r>
        <w:t>Structure-borne Noise</w:t>
      </w:r>
    </w:p>
    <w:p w14:paraId="2FC4EFEB" w14:textId="1C3E090F" w:rsidR="00B564F8" w:rsidRDefault="00B564F8" w:rsidP="00B564F8">
      <w:pPr>
        <w:pStyle w:val="EAAnormaltext"/>
      </w:pPr>
      <w:r>
        <w:t xml:space="preserve">Table </w:t>
      </w:r>
      <w:r w:rsidR="00DE06C3">
        <w:t>4</w:t>
      </w:r>
      <w:r>
        <w:t>.3 presents the predicted L</w:t>
      </w:r>
      <w:r w:rsidRPr="00E06A58">
        <w:rPr>
          <w:vertAlign w:val="subscript"/>
        </w:rPr>
        <w:t>ASmax</w:t>
      </w:r>
      <w:r>
        <w:t xml:space="preserve"> re-radiated structure-borne noise levels from train passes in the commercial and residential room spaces of the proposed building. </w:t>
      </w:r>
    </w:p>
    <w:p w14:paraId="3134E52F" w14:textId="715C6097" w:rsidR="00B564F8" w:rsidRDefault="00B564F8" w:rsidP="00B564F8">
      <w:pPr>
        <w:pStyle w:val="EAAnormaltext"/>
      </w:pPr>
      <w:r>
        <w:t xml:space="preserve">Table </w:t>
      </w:r>
      <w:r w:rsidR="00DE06C3">
        <w:t>4</w:t>
      </w:r>
      <w:r>
        <w:t xml:space="preserve">.3:  Predicted Re-radiated Structure-borne Noise Levels </w:t>
      </w:r>
    </w:p>
    <w:tbl>
      <w:tblPr>
        <w:tblStyle w:val="TableGrid"/>
        <w:tblW w:w="4673" w:type="dxa"/>
        <w:tblLook w:val="04A0" w:firstRow="1" w:lastRow="0" w:firstColumn="1" w:lastColumn="0" w:noHBand="0" w:noVBand="1"/>
      </w:tblPr>
      <w:tblGrid>
        <w:gridCol w:w="1517"/>
        <w:gridCol w:w="789"/>
        <w:gridCol w:w="789"/>
        <w:gridCol w:w="789"/>
        <w:gridCol w:w="789"/>
      </w:tblGrid>
      <w:tr w:rsidR="00A128EA" w:rsidRPr="00A210A5" w14:paraId="3C0F6D50" w14:textId="77777777" w:rsidTr="00A210A5">
        <w:tc>
          <w:tcPr>
            <w:tcW w:w="1517" w:type="dxa"/>
            <w:vMerge w:val="restart"/>
          </w:tcPr>
          <w:p w14:paraId="52B7BE5A" w14:textId="31EECF3A" w:rsidR="00A128EA" w:rsidRPr="00A210A5" w:rsidRDefault="00A210A5" w:rsidP="00E86B36">
            <w:pPr>
              <w:pStyle w:val="EAAnormaltext"/>
              <w:rPr>
                <w:sz w:val="20"/>
                <w:szCs w:val="20"/>
              </w:rPr>
            </w:pPr>
            <w:r w:rsidRPr="00A210A5">
              <w:rPr>
                <w:sz w:val="20"/>
                <w:szCs w:val="20"/>
              </w:rPr>
              <w:t xml:space="preserve">Slant </w:t>
            </w:r>
            <w:r w:rsidR="00A128EA" w:rsidRPr="00A210A5">
              <w:rPr>
                <w:sz w:val="20"/>
                <w:szCs w:val="20"/>
              </w:rPr>
              <w:t>Distance of Pile from Tunnel</w:t>
            </w:r>
            <w:r w:rsidRPr="00A210A5">
              <w:rPr>
                <w:sz w:val="20"/>
                <w:szCs w:val="20"/>
              </w:rPr>
              <w:t xml:space="preserve"> (Pile Depth)</w:t>
            </w:r>
          </w:p>
        </w:tc>
        <w:tc>
          <w:tcPr>
            <w:tcW w:w="3156" w:type="dxa"/>
            <w:gridSpan w:val="4"/>
          </w:tcPr>
          <w:p w14:paraId="37686C4C" w14:textId="2A61EC65" w:rsidR="00A128EA" w:rsidRPr="00A210A5" w:rsidRDefault="00A128EA" w:rsidP="00E86B36">
            <w:pPr>
              <w:pStyle w:val="EAAnormaltext"/>
              <w:rPr>
                <w:sz w:val="20"/>
                <w:szCs w:val="20"/>
              </w:rPr>
            </w:pPr>
            <w:r w:rsidRPr="00A210A5">
              <w:rPr>
                <w:sz w:val="20"/>
                <w:szCs w:val="20"/>
              </w:rPr>
              <w:t>Maximum Structure-borne Noise Level (dB L</w:t>
            </w:r>
            <w:r w:rsidRPr="00A210A5">
              <w:rPr>
                <w:sz w:val="20"/>
                <w:szCs w:val="20"/>
                <w:vertAlign w:val="subscript"/>
              </w:rPr>
              <w:t>ASmax</w:t>
            </w:r>
            <w:r w:rsidRPr="00A210A5">
              <w:rPr>
                <w:sz w:val="20"/>
                <w:szCs w:val="20"/>
              </w:rPr>
              <w:t>)</w:t>
            </w:r>
          </w:p>
        </w:tc>
      </w:tr>
      <w:tr w:rsidR="00A128EA" w:rsidRPr="00A210A5" w14:paraId="3A949FEB" w14:textId="77777777" w:rsidTr="00A210A5">
        <w:tc>
          <w:tcPr>
            <w:tcW w:w="1517" w:type="dxa"/>
            <w:vMerge/>
          </w:tcPr>
          <w:p w14:paraId="36E15767" w14:textId="77777777" w:rsidR="00A128EA" w:rsidRPr="00A210A5" w:rsidRDefault="00A128EA" w:rsidP="00E86B36">
            <w:pPr>
              <w:pStyle w:val="EAAnormaltext"/>
              <w:rPr>
                <w:sz w:val="20"/>
                <w:szCs w:val="20"/>
              </w:rPr>
            </w:pPr>
          </w:p>
        </w:tc>
        <w:tc>
          <w:tcPr>
            <w:tcW w:w="789" w:type="dxa"/>
          </w:tcPr>
          <w:p w14:paraId="00DAB201" w14:textId="77777777" w:rsidR="00A128EA" w:rsidRPr="00A210A5" w:rsidRDefault="00A128EA" w:rsidP="00E86B36">
            <w:pPr>
              <w:pStyle w:val="EAAnormaltext"/>
              <w:rPr>
                <w:sz w:val="20"/>
                <w:szCs w:val="20"/>
              </w:rPr>
            </w:pPr>
            <w:r w:rsidRPr="00A210A5">
              <w:rPr>
                <w:sz w:val="20"/>
                <w:szCs w:val="20"/>
              </w:rPr>
              <w:t>Grd Floor</w:t>
            </w:r>
          </w:p>
        </w:tc>
        <w:tc>
          <w:tcPr>
            <w:tcW w:w="789" w:type="dxa"/>
          </w:tcPr>
          <w:p w14:paraId="60EB70F5" w14:textId="77777777" w:rsidR="00A128EA" w:rsidRPr="00A210A5" w:rsidRDefault="00A128EA" w:rsidP="00E86B36">
            <w:pPr>
              <w:pStyle w:val="EAAnormaltext"/>
              <w:rPr>
                <w:sz w:val="20"/>
                <w:szCs w:val="20"/>
              </w:rPr>
            </w:pPr>
            <w:r w:rsidRPr="00A210A5">
              <w:rPr>
                <w:sz w:val="20"/>
                <w:szCs w:val="20"/>
              </w:rPr>
              <w:t>1</w:t>
            </w:r>
            <w:r w:rsidRPr="00A210A5">
              <w:rPr>
                <w:sz w:val="20"/>
                <w:szCs w:val="20"/>
                <w:vertAlign w:val="superscript"/>
              </w:rPr>
              <w:t>st</w:t>
            </w:r>
            <w:r w:rsidRPr="00A210A5">
              <w:rPr>
                <w:sz w:val="20"/>
                <w:szCs w:val="20"/>
              </w:rPr>
              <w:t xml:space="preserve"> Floor</w:t>
            </w:r>
          </w:p>
        </w:tc>
        <w:tc>
          <w:tcPr>
            <w:tcW w:w="789" w:type="dxa"/>
          </w:tcPr>
          <w:p w14:paraId="4359415E" w14:textId="77777777" w:rsidR="00A128EA" w:rsidRPr="00A210A5" w:rsidRDefault="00A128EA" w:rsidP="00E86B36">
            <w:pPr>
              <w:pStyle w:val="EAAnormaltext"/>
              <w:rPr>
                <w:sz w:val="20"/>
                <w:szCs w:val="20"/>
              </w:rPr>
            </w:pPr>
            <w:r w:rsidRPr="00A210A5">
              <w:rPr>
                <w:sz w:val="20"/>
                <w:szCs w:val="20"/>
              </w:rPr>
              <w:t>2</w:t>
            </w:r>
            <w:r w:rsidRPr="00A210A5">
              <w:rPr>
                <w:sz w:val="20"/>
                <w:szCs w:val="20"/>
                <w:vertAlign w:val="superscript"/>
              </w:rPr>
              <w:t>nd</w:t>
            </w:r>
            <w:r w:rsidRPr="00A210A5">
              <w:rPr>
                <w:sz w:val="20"/>
                <w:szCs w:val="20"/>
              </w:rPr>
              <w:t xml:space="preserve"> Floor</w:t>
            </w:r>
          </w:p>
        </w:tc>
        <w:tc>
          <w:tcPr>
            <w:tcW w:w="789" w:type="dxa"/>
          </w:tcPr>
          <w:p w14:paraId="522D9AB3" w14:textId="77777777" w:rsidR="00A128EA" w:rsidRPr="00A210A5" w:rsidRDefault="00A128EA" w:rsidP="00E86B36">
            <w:pPr>
              <w:pStyle w:val="EAAnormaltext"/>
              <w:rPr>
                <w:sz w:val="20"/>
                <w:szCs w:val="20"/>
              </w:rPr>
            </w:pPr>
            <w:r w:rsidRPr="00A210A5">
              <w:rPr>
                <w:sz w:val="20"/>
                <w:szCs w:val="20"/>
              </w:rPr>
              <w:t>3</w:t>
            </w:r>
            <w:r w:rsidRPr="00A210A5">
              <w:rPr>
                <w:sz w:val="20"/>
                <w:szCs w:val="20"/>
                <w:vertAlign w:val="superscript"/>
              </w:rPr>
              <w:t>rd</w:t>
            </w:r>
            <w:r w:rsidRPr="00A210A5">
              <w:rPr>
                <w:sz w:val="20"/>
                <w:szCs w:val="20"/>
              </w:rPr>
              <w:t xml:space="preserve"> Floor</w:t>
            </w:r>
          </w:p>
        </w:tc>
      </w:tr>
      <w:tr w:rsidR="00A210A5" w:rsidRPr="00A210A5" w14:paraId="26F05430" w14:textId="77777777" w:rsidTr="00A210A5">
        <w:tc>
          <w:tcPr>
            <w:tcW w:w="1517" w:type="dxa"/>
          </w:tcPr>
          <w:p w14:paraId="72C7BA82" w14:textId="39EDBE14" w:rsidR="00A210A5" w:rsidRPr="00A210A5" w:rsidRDefault="00A210A5" w:rsidP="00A210A5">
            <w:pPr>
              <w:pStyle w:val="EAAnormaltext"/>
              <w:rPr>
                <w:sz w:val="20"/>
                <w:szCs w:val="20"/>
              </w:rPr>
            </w:pPr>
            <w:r w:rsidRPr="00A210A5">
              <w:rPr>
                <w:sz w:val="20"/>
                <w:szCs w:val="20"/>
              </w:rPr>
              <w:t>10.6 m (18 m)</w:t>
            </w:r>
          </w:p>
        </w:tc>
        <w:tc>
          <w:tcPr>
            <w:tcW w:w="789" w:type="dxa"/>
          </w:tcPr>
          <w:p w14:paraId="1E5828DA" w14:textId="41846E92" w:rsidR="00A210A5" w:rsidRPr="00A210A5" w:rsidRDefault="00A210A5" w:rsidP="00A210A5">
            <w:pPr>
              <w:pStyle w:val="EAAnormaltext"/>
              <w:rPr>
                <w:sz w:val="20"/>
                <w:szCs w:val="20"/>
              </w:rPr>
            </w:pPr>
            <w:r w:rsidRPr="00A210A5">
              <w:rPr>
                <w:sz w:val="20"/>
                <w:szCs w:val="20"/>
              </w:rPr>
              <w:t>53</w:t>
            </w:r>
          </w:p>
        </w:tc>
        <w:tc>
          <w:tcPr>
            <w:tcW w:w="789" w:type="dxa"/>
          </w:tcPr>
          <w:p w14:paraId="3723FB0D" w14:textId="0B830A78" w:rsidR="00A210A5" w:rsidRPr="00A210A5" w:rsidRDefault="00A210A5" w:rsidP="00A210A5">
            <w:pPr>
              <w:pStyle w:val="EAAnormaltext"/>
              <w:rPr>
                <w:sz w:val="20"/>
                <w:szCs w:val="20"/>
              </w:rPr>
            </w:pPr>
            <w:r w:rsidRPr="00A210A5">
              <w:rPr>
                <w:sz w:val="20"/>
                <w:szCs w:val="20"/>
              </w:rPr>
              <w:t>54</w:t>
            </w:r>
          </w:p>
        </w:tc>
        <w:tc>
          <w:tcPr>
            <w:tcW w:w="789" w:type="dxa"/>
          </w:tcPr>
          <w:p w14:paraId="7A6302FA" w14:textId="42CFC190" w:rsidR="00A210A5" w:rsidRPr="00A210A5" w:rsidRDefault="00A210A5" w:rsidP="00A210A5">
            <w:pPr>
              <w:pStyle w:val="EAAnormaltext"/>
              <w:rPr>
                <w:sz w:val="20"/>
                <w:szCs w:val="20"/>
              </w:rPr>
            </w:pPr>
            <w:r w:rsidRPr="00A210A5">
              <w:rPr>
                <w:sz w:val="20"/>
                <w:szCs w:val="20"/>
              </w:rPr>
              <w:t>49</w:t>
            </w:r>
          </w:p>
        </w:tc>
        <w:tc>
          <w:tcPr>
            <w:tcW w:w="789" w:type="dxa"/>
          </w:tcPr>
          <w:p w14:paraId="4376282E" w14:textId="6875C97C" w:rsidR="00A210A5" w:rsidRPr="00A210A5" w:rsidRDefault="00A210A5" w:rsidP="00A210A5">
            <w:pPr>
              <w:pStyle w:val="EAAnormaltext"/>
              <w:rPr>
                <w:sz w:val="20"/>
                <w:szCs w:val="20"/>
              </w:rPr>
            </w:pPr>
            <w:r w:rsidRPr="00A210A5">
              <w:rPr>
                <w:sz w:val="20"/>
                <w:szCs w:val="20"/>
              </w:rPr>
              <w:t>44</w:t>
            </w:r>
          </w:p>
        </w:tc>
      </w:tr>
      <w:tr w:rsidR="00A210A5" w:rsidRPr="00A210A5" w14:paraId="49837675" w14:textId="77777777" w:rsidTr="00A210A5">
        <w:tc>
          <w:tcPr>
            <w:tcW w:w="1517" w:type="dxa"/>
          </w:tcPr>
          <w:p w14:paraId="5B24BD36" w14:textId="0B5DD2FA" w:rsidR="00A210A5" w:rsidRPr="00A210A5" w:rsidRDefault="00A210A5" w:rsidP="00A210A5">
            <w:pPr>
              <w:pStyle w:val="EAAnormaltext"/>
              <w:rPr>
                <w:sz w:val="20"/>
                <w:szCs w:val="20"/>
              </w:rPr>
            </w:pPr>
            <w:r w:rsidRPr="00A210A5">
              <w:rPr>
                <w:sz w:val="20"/>
                <w:szCs w:val="20"/>
              </w:rPr>
              <w:t>11.0 m (18 m)</w:t>
            </w:r>
          </w:p>
        </w:tc>
        <w:tc>
          <w:tcPr>
            <w:tcW w:w="789" w:type="dxa"/>
          </w:tcPr>
          <w:p w14:paraId="4076C573" w14:textId="13D2DA5A" w:rsidR="00A210A5" w:rsidRPr="00A210A5" w:rsidRDefault="00A210A5" w:rsidP="00A210A5">
            <w:pPr>
              <w:pStyle w:val="EAAnormaltext"/>
              <w:rPr>
                <w:sz w:val="20"/>
                <w:szCs w:val="20"/>
              </w:rPr>
            </w:pPr>
            <w:r w:rsidRPr="00A210A5">
              <w:rPr>
                <w:sz w:val="20"/>
                <w:szCs w:val="20"/>
              </w:rPr>
              <w:t>49</w:t>
            </w:r>
          </w:p>
        </w:tc>
        <w:tc>
          <w:tcPr>
            <w:tcW w:w="789" w:type="dxa"/>
          </w:tcPr>
          <w:p w14:paraId="2781B60E" w14:textId="38BD1D94" w:rsidR="00A210A5" w:rsidRPr="00A210A5" w:rsidRDefault="00A210A5" w:rsidP="00A210A5">
            <w:pPr>
              <w:pStyle w:val="EAAnormaltext"/>
              <w:rPr>
                <w:sz w:val="20"/>
                <w:szCs w:val="20"/>
              </w:rPr>
            </w:pPr>
            <w:r w:rsidRPr="00A210A5">
              <w:rPr>
                <w:sz w:val="20"/>
                <w:szCs w:val="20"/>
              </w:rPr>
              <w:t>50</w:t>
            </w:r>
          </w:p>
        </w:tc>
        <w:tc>
          <w:tcPr>
            <w:tcW w:w="789" w:type="dxa"/>
          </w:tcPr>
          <w:p w14:paraId="3631F26E" w14:textId="77733FFD" w:rsidR="00A210A5" w:rsidRPr="00A210A5" w:rsidRDefault="00A210A5" w:rsidP="00A210A5">
            <w:pPr>
              <w:pStyle w:val="EAAnormaltext"/>
              <w:rPr>
                <w:sz w:val="20"/>
                <w:szCs w:val="20"/>
              </w:rPr>
            </w:pPr>
            <w:r w:rsidRPr="00A210A5">
              <w:rPr>
                <w:sz w:val="20"/>
                <w:szCs w:val="20"/>
              </w:rPr>
              <w:t>45</w:t>
            </w:r>
          </w:p>
        </w:tc>
        <w:tc>
          <w:tcPr>
            <w:tcW w:w="789" w:type="dxa"/>
          </w:tcPr>
          <w:p w14:paraId="352E3A68" w14:textId="6760707D" w:rsidR="00A210A5" w:rsidRPr="00A210A5" w:rsidRDefault="00A210A5" w:rsidP="00A210A5">
            <w:pPr>
              <w:pStyle w:val="EAAnormaltext"/>
              <w:rPr>
                <w:sz w:val="20"/>
                <w:szCs w:val="20"/>
              </w:rPr>
            </w:pPr>
            <w:r w:rsidRPr="00A210A5">
              <w:rPr>
                <w:sz w:val="20"/>
                <w:szCs w:val="20"/>
              </w:rPr>
              <w:t>40</w:t>
            </w:r>
          </w:p>
        </w:tc>
      </w:tr>
      <w:tr w:rsidR="00A210A5" w:rsidRPr="00A210A5" w14:paraId="2BA4AE36" w14:textId="77777777" w:rsidTr="00A210A5">
        <w:tc>
          <w:tcPr>
            <w:tcW w:w="1517" w:type="dxa"/>
          </w:tcPr>
          <w:p w14:paraId="4252B18B" w14:textId="4F46C200" w:rsidR="00A210A5" w:rsidRPr="00A210A5" w:rsidRDefault="00A210A5" w:rsidP="00A210A5">
            <w:pPr>
              <w:pStyle w:val="EAAnormaltext"/>
              <w:rPr>
                <w:sz w:val="20"/>
                <w:szCs w:val="20"/>
              </w:rPr>
            </w:pPr>
            <w:r w:rsidRPr="00A210A5">
              <w:rPr>
                <w:sz w:val="20"/>
                <w:szCs w:val="20"/>
              </w:rPr>
              <w:t>11.8 m (18 m)</w:t>
            </w:r>
          </w:p>
        </w:tc>
        <w:tc>
          <w:tcPr>
            <w:tcW w:w="789" w:type="dxa"/>
          </w:tcPr>
          <w:p w14:paraId="26229423" w14:textId="17EC622F" w:rsidR="00A210A5" w:rsidRPr="00A210A5" w:rsidRDefault="00A210A5" w:rsidP="00A210A5">
            <w:pPr>
              <w:pStyle w:val="EAAnormaltext"/>
              <w:rPr>
                <w:sz w:val="20"/>
                <w:szCs w:val="20"/>
              </w:rPr>
            </w:pPr>
            <w:r w:rsidRPr="00A210A5">
              <w:rPr>
                <w:sz w:val="20"/>
                <w:szCs w:val="20"/>
              </w:rPr>
              <w:t>42</w:t>
            </w:r>
          </w:p>
        </w:tc>
        <w:tc>
          <w:tcPr>
            <w:tcW w:w="789" w:type="dxa"/>
          </w:tcPr>
          <w:p w14:paraId="1799D810" w14:textId="4E6E7D1D" w:rsidR="00A210A5" w:rsidRPr="00A210A5" w:rsidRDefault="00A210A5" w:rsidP="00A210A5">
            <w:pPr>
              <w:pStyle w:val="EAAnormaltext"/>
              <w:rPr>
                <w:sz w:val="20"/>
                <w:szCs w:val="20"/>
              </w:rPr>
            </w:pPr>
            <w:r w:rsidRPr="00A210A5">
              <w:rPr>
                <w:sz w:val="20"/>
                <w:szCs w:val="20"/>
              </w:rPr>
              <w:t>44</w:t>
            </w:r>
          </w:p>
        </w:tc>
        <w:tc>
          <w:tcPr>
            <w:tcW w:w="789" w:type="dxa"/>
          </w:tcPr>
          <w:p w14:paraId="04028D05" w14:textId="67960622" w:rsidR="00A210A5" w:rsidRPr="00A210A5" w:rsidRDefault="00A210A5" w:rsidP="00A210A5">
            <w:pPr>
              <w:pStyle w:val="EAAnormaltext"/>
              <w:rPr>
                <w:sz w:val="20"/>
                <w:szCs w:val="20"/>
              </w:rPr>
            </w:pPr>
            <w:r w:rsidRPr="00A210A5">
              <w:rPr>
                <w:sz w:val="20"/>
                <w:szCs w:val="20"/>
              </w:rPr>
              <w:t>39</w:t>
            </w:r>
          </w:p>
        </w:tc>
        <w:tc>
          <w:tcPr>
            <w:tcW w:w="789" w:type="dxa"/>
          </w:tcPr>
          <w:p w14:paraId="70E8BCEC" w14:textId="2C8CC02A" w:rsidR="00A210A5" w:rsidRPr="00A210A5" w:rsidRDefault="00A210A5" w:rsidP="00A210A5">
            <w:pPr>
              <w:pStyle w:val="EAAnormaltext"/>
              <w:rPr>
                <w:sz w:val="20"/>
                <w:szCs w:val="20"/>
              </w:rPr>
            </w:pPr>
            <w:r w:rsidRPr="00A210A5">
              <w:rPr>
                <w:sz w:val="20"/>
                <w:szCs w:val="20"/>
              </w:rPr>
              <w:t>34</w:t>
            </w:r>
          </w:p>
        </w:tc>
      </w:tr>
      <w:tr w:rsidR="00A210A5" w:rsidRPr="00A210A5" w14:paraId="1B83CEE8" w14:textId="77777777" w:rsidTr="00A210A5">
        <w:tc>
          <w:tcPr>
            <w:tcW w:w="1517" w:type="dxa"/>
          </w:tcPr>
          <w:p w14:paraId="611B4ED6" w14:textId="14964596" w:rsidR="00A210A5" w:rsidRPr="00A210A5" w:rsidRDefault="00A210A5" w:rsidP="00A210A5">
            <w:pPr>
              <w:pStyle w:val="EAAnormaltext"/>
              <w:rPr>
                <w:sz w:val="20"/>
                <w:szCs w:val="20"/>
              </w:rPr>
            </w:pPr>
            <w:r w:rsidRPr="00A210A5">
              <w:rPr>
                <w:sz w:val="20"/>
                <w:szCs w:val="20"/>
              </w:rPr>
              <w:t>7.0 m (24.5 m)</w:t>
            </w:r>
          </w:p>
        </w:tc>
        <w:tc>
          <w:tcPr>
            <w:tcW w:w="789" w:type="dxa"/>
          </w:tcPr>
          <w:p w14:paraId="416A9FA0" w14:textId="687BBEA8" w:rsidR="00A210A5" w:rsidRPr="00A210A5" w:rsidRDefault="00A210A5" w:rsidP="00A210A5">
            <w:pPr>
              <w:pStyle w:val="EAAnormaltext"/>
              <w:rPr>
                <w:sz w:val="20"/>
                <w:szCs w:val="20"/>
              </w:rPr>
            </w:pPr>
            <w:r w:rsidRPr="00A210A5">
              <w:rPr>
                <w:sz w:val="20"/>
                <w:szCs w:val="20"/>
              </w:rPr>
              <w:t>56</w:t>
            </w:r>
          </w:p>
        </w:tc>
        <w:tc>
          <w:tcPr>
            <w:tcW w:w="789" w:type="dxa"/>
          </w:tcPr>
          <w:p w14:paraId="327A8E46" w14:textId="45A50DE3" w:rsidR="00A210A5" w:rsidRPr="00A210A5" w:rsidRDefault="00A210A5" w:rsidP="00A210A5">
            <w:pPr>
              <w:pStyle w:val="EAAnormaltext"/>
              <w:rPr>
                <w:sz w:val="20"/>
                <w:szCs w:val="20"/>
              </w:rPr>
            </w:pPr>
            <w:r w:rsidRPr="00A210A5">
              <w:rPr>
                <w:sz w:val="20"/>
                <w:szCs w:val="20"/>
              </w:rPr>
              <w:t>56</w:t>
            </w:r>
          </w:p>
        </w:tc>
        <w:tc>
          <w:tcPr>
            <w:tcW w:w="789" w:type="dxa"/>
          </w:tcPr>
          <w:p w14:paraId="22B0E268" w14:textId="2B0CEAFA" w:rsidR="00A210A5" w:rsidRPr="00A210A5" w:rsidRDefault="00A210A5" w:rsidP="00A210A5">
            <w:pPr>
              <w:pStyle w:val="EAAnormaltext"/>
              <w:rPr>
                <w:sz w:val="20"/>
                <w:szCs w:val="20"/>
              </w:rPr>
            </w:pPr>
            <w:r w:rsidRPr="00A210A5">
              <w:rPr>
                <w:sz w:val="20"/>
                <w:szCs w:val="20"/>
              </w:rPr>
              <w:t>51</w:t>
            </w:r>
          </w:p>
        </w:tc>
        <w:tc>
          <w:tcPr>
            <w:tcW w:w="789" w:type="dxa"/>
          </w:tcPr>
          <w:p w14:paraId="76EA747D" w14:textId="5DD74A39" w:rsidR="00A210A5" w:rsidRPr="00A210A5" w:rsidRDefault="00A210A5" w:rsidP="00A210A5">
            <w:pPr>
              <w:pStyle w:val="EAAnormaltext"/>
              <w:rPr>
                <w:sz w:val="20"/>
                <w:szCs w:val="20"/>
              </w:rPr>
            </w:pPr>
            <w:r w:rsidRPr="00A210A5">
              <w:rPr>
                <w:sz w:val="20"/>
                <w:szCs w:val="20"/>
              </w:rPr>
              <w:t>45</w:t>
            </w:r>
          </w:p>
        </w:tc>
      </w:tr>
      <w:tr w:rsidR="00A210A5" w:rsidRPr="00A210A5" w14:paraId="522A5DD0" w14:textId="77777777" w:rsidTr="00A210A5">
        <w:tc>
          <w:tcPr>
            <w:tcW w:w="1517" w:type="dxa"/>
          </w:tcPr>
          <w:p w14:paraId="085570FE" w14:textId="46357A86" w:rsidR="00A210A5" w:rsidRPr="00A210A5" w:rsidRDefault="00A210A5" w:rsidP="00A210A5">
            <w:pPr>
              <w:pStyle w:val="EAAnormaltext"/>
              <w:rPr>
                <w:sz w:val="20"/>
                <w:szCs w:val="20"/>
              </w:rPr>
            </w:pPr>
            <w:r w:rsidRPr="00A210A5">
              <w:rPr>
                <w:sz w:val="20"/>
                <w:szCs w:val="20"/>
              </w:rPr>
              <w:t>10.6 m (24.5 m)</w:t>
            </w:r>
          </w:p>
        </w:tc>
        <w:tc>
          <w:tcPr>
            <w:tcW w:w="789" w:type="dxa"/>
          </w:tcPr>
          <w:p w14:paraId="34122145" w14:textId="778F1651" w:rsidR="00A210A5" w:rsidRPr="00A210A5" w:rsidRDefault="00A210A5" w:rsidP="00A210A5">
            <w:pPr>
              <w:pStyle w:val="EAAnormaltext"/>
              <w:rPr>
                <w:sz w:val="20"/>
                <w:szCs w:val="20"/>
              </w:rPr>
            </w:pPr>
            <w:r w:rsidRPr="00A210A5">
              <w:rPr>
                <w:sz w:val="20"/>
                <w:szCs w:val="20"/>
              </w:rPr>
              <w:t>42</w:t>
            </w:r>
          </w:p>
        </w:tc>
        <w:tc>
          <w:tcPr>
            <w:tcW w:w="789" w:type="dxa"/>
          </w:tcPr>
          <w:p w14:paraId="36931508" w14:textId="1A8AB530" w:rsidR="00A210A5" w:rsidRPr="00A210A5" w:rsidRDefault="00A210A5" w:rsidP="00A210A5">
            <w:pPr>
              <w:pStyle w:val="EAAnormaltext"/>
              <w:rPr>
                <w:sz w:val="20"/>
                <w:szCs w:val="20"/>
              </w:rPr>
            </w:pPr>
            <w:r w:rsidRPr="00A210A5">
              <w:rPr>
                <w:sz w:val="20"/>
                <w:szCs w:val="20"/>
              </w:rPr>
              <w:t>46</w:t>
            </w:r>
          </w:p>
        </w:tc>
        <w:tc>
          <w:tcPr>
            <w:tcW w:w="789" w:type="dxa"/>
          </w:tcPr>
          <w:p w14:paraId="439A99E4" w14:textId="2F6EAC4F" w:rsidR="00A210A5" w:rsidRPr="00A210A5" w:rsidRDefault="00A210A5" w:rsidP="00A210A5">
            <w:pPr>
              <w:pStyle w:val="EAAnormaltext"/>
              <w:rPr>
                <w:sz w:val="20"/>
                <w:szCs w:val="20"/>
              </w:rPr>
            </w:pPr>
            <w:r w:rsidRPr="00A210A5">
              <w:rPr>
                <w:sz w:val="20"/>
                <w:szCs w:val="20"/>
              </w:rPr>
              <w:t>41</w:t>
            </w:r>
          </w:p>
        </w:tc>
        <w:tc>
          <w:tcPr>
            <w:tcW w:w="789" w:type="dxa"/>
          </w:tcPr>
          <w:p w14:paraId="1D0E8C55" w14:textId="635424BA" w:rsidR="00A210A5" w:rsidRPr="00A210A5" w:rsidRDefault="00A210A5" w:rsidP="00A210A5">
            <w:pPr>
              <w:pStyle w:val="EAAnormaltext"/>
              <w:rPr>
                <w:sz w:val="20"/>
                <w:szCs w:val="20"/>
              </w:rPr>
            </w:pPr>
            <w:r w:rsidRPr="00A210A5">
              <w:rPr>
                <w:sz w:val="20"/>
                <w:szCs w:val="20"/>
              </w:rPr>
              <w:t>35</w:t>
            </w:r>
          </w:p>
        </w:tc>
      </w:tr>
      <w:tr w:rsidR="00A210A5" w:rsidRPr="00A210A5" w14:paraId="0E85922A" w14:textId="77777777" w:rsidTr="00A210A5">
        <w:tc>
          <w:tcPr>
            <w:tcW w:w="1517" w:type="dxa"/>
          </w:tcPr>
          <w:p w14:paraId="0BB430D9" w14:textId="7A51C1CC" w:rsidR="00A210A5" w:rsidRPr="00A210A5" w:rsidRDefault="00A210A5" w:rsidP="00A210A5">
            <w:pPr>
              <w:pStyle w:val="EAAnormaltext"/>
              <w:rPr>
                <w:sz w:val="20"/>
                <w:szCs w:val="20"/>
              </w:rPr>
            </w:pPr>
            <w:r w:rsidRPr="00A210A5">
              <w:rPr>
                <w:sz w:val="20"/>
                <w:szCs w:val="20"/>
              </w:rPr>
              <w:t>12.3 m (24.5 m)</w:t>
            </w:r>
          </w:p>
        </w:tc>
        <w:tc>
          <w:tcPr>
            <w:tcW w:w="789" w:type="dxa"/>
          </w:tcPr>
          <w:p w14:paraId="3BBF2DD7" w14:textId="7E4F4C4D" w:rsidR="00A210A5" w:rsidRPr="00A210A5" w:rsidRDefault="00A210A5" w:rsidP="00A210A5">
            <w:pPr>
              <w:pStyle w:val="EAAnormaltext"/>
              <w:rPr>
                <w:sz w:val="20"/>
                <w:szCs w:val="20"/>
              </w:rPr>
            </w:pPr>
            <w:r w:rsidRPr="00A210A5">
              <w:rPr>
                <w:sz w:val="20"/>
                <w:szCs w:val="20"/>
              </w:rPr>
              <w:t>39</w:t>
            </w:r>
          </w:p>
        </w:tc>
        <w:tc>
          <w:tcPr>
            <w:tcW w:w="789" w:type="dxa"/>
          </w:tcPr>
          <w:p w14:paraId="304E76B6" w14:textId="02A7805F" w:rsidR="00A210A5" w:rsidRPr="00A210A5" w:rsidRDefault="00A210A5" w:rsidP="00A210A5">
            <w:pPr>
              <w:pStyle w:val="EAAnormaltext"/>
              <w:rPr>
                <w:sz w:val="20"/>
                <w:szCs w:val="20"/>
              </w:rPr>
            </w:pPr>
            <w:r w:rsidRPr="00A210A5">
              <w:rPr>
                <w:sz w:val="20"/>
                <w:szCs w:val="20"/>
              </w:rPr>
              <w:t>42</w:t>
            </w:r>
          </w:p>
        </w:tc>
        <w:tc>
          <w:tcPr>
            <w:tcW w:w="789" w:type="dxa"/>
          </w:tcPr>
          <w:p w14:paraId="4D2CE348" w14:textId="337EA2D1" w:rsidR="00A210A5" w:rsidRPr="00A210A5" w:rsidRDefault="00A210A5" w:rsidP="00A210A5">
            <w:pPr>
              <w:pStyle w:val="EAAnormaltext"/>
              <w:rPr>
                <w:sz w:val="20"/>
                <w:szCs w:val="20"/>
              </w:rPr>
            </w:pPr>
            <w:r w:rsidRPr="00A210A5">
              <w:rPr>
                <w:sz w:val="20"/>
                <w:szCs w:val="20"/>
              </w:rPr>
              <w:t>37</w:t>
            </w:r>
          </w:p>
        </w:tc>
        <w:tc>
          <w:tcPr>
            <w:tcW w:w="789" w:type="dxa"/>
          </w:tcPr>
          <w:p w14:paraId="4E181FB7" w14:textId="518B0E4A" w:rsidR="00A210A5" w:rsidRPr="00A210A5" w:rsidRDefault="00A210A5" w:rsidP="00A210A5">
            <w:pPr>
              <w:pStyle w:val="EAAnormaltext"/>
              <w:rPr>
                <w:sz w:val="20"/>
                <w:szCs w:val="20"/>
              </w:rPr>
            </w:pPr>
            <w:r w:rsidRPr="00A210A5">
              <w:rPr>
                <w:sz w:val="20"/>
                <w:szCs w:val="20"/>
              </w:rPr>
              <w:t>32</w:t>
            </w:r>
          </w:p>
        </w:tc>
      </w:tr>
      <w:tr w:rsidR="00A210A5" w:rsidRPr="00A210A5" w14:paraId="09D366D4" w14:textId="77777777" w:rsidTr="00A210A5">
        <w:tc>
          <w:tcPr>
            <w:tcW w:w="1517" w:type="dxa"/>
          </w:tcPr>
          <w:p w14:paraId="25838D58" w14:textId="535B036F" w:rsidR="00A210A5" w:rsidRPr="00A210A5" w:rsidRDefault="00A210A5" w:rsidP="00A210A5">
            <w:pPr>
              <w:pStyle w:val="EAAnormaltext"/>
              <w:rPr>
                <w:sz w:val="20"/>
                <w:szCs w:val="20"/>
              </w:rPr>
            </w:pPr>
            <w:r w:rsidRPr="00A210A5">
              <w:rPr>
                <w:sz w:val="20"/>
                <w:szCs w:val="20"/>
              </w:rPr>
              <w:t>13.5 m (24.5 m)</w:t>
            </w:r>
          </w:p>
        </w:tc>
        <w:tc>
          <w:tcPr>
            <w:tcW w:w="789" w:type="dxa"/>
          </w:tcPr>
          <w:p w14:paraId="153BF940" w14:textId="23B964F7" w:rsidR="00A210A5" w:rsidRPr="00A210A5" w:rsidRDefault="00A210A5" w:rsidP="00A210A5">
            <w:pPr>
              <w:pStyle w:val="EAAnormaltext"/>
              <w:rPr>
                <w:sz w:val="20"/>
                <w:szCs w:val="20"/>
              </w:rPr>
            </w:pPr>
            <w:r w:rsidRPr="00A210A5">
              <w:rPr>
                <w:sz w:val="20"/>
                <w:szCs w:val="20"/>
              </w:rPr>
              <w:t>33</w:t>
            </w:r>
          </w:p>
        </w:tc>
        <w:tc>
          <w:tcPr>
            <w:tcW w:w="789" w:type="dxa"/>
          </w:tcPr>
          <w:p w14:paraId="38D5DBF9" w14:textId="67412470" w:rsidR="00A210A5" w:rsidRPr="00A210A5" w:rsidRDefault="00A210A5" w:rsidP="00A210A5">
            <w:pPr>
              <w:pStyle w:val="EAAnormaltext"/>
              <w:rPr>
                <w:sz w:val="20"/>
                <w:szCs w:val="20"/>
              </w:rPr>
            </w:pPr>
            <w:r w:rsidRPr="00A210A5">
              <w:rPr>
                <w:sz w:val="20"/>
                <w:szCs w:val="20"/>
              </w:rPr>
              <w:t>37</w:t>
            </w:r>
          </w:p>
        </w:tc>
        <w:tc>
          <w:tcPr>
            <w:tcW w:w="789" w:type="dxa"/>
          </w:tcPr>
          <w:p w14:paraId="7F64C37C" w14:textId="638449DD" w:rsidR="00A210A5" w:rsidRPr="00A210A5" w:rsidRDefault="00A210A5" w:rsidP="00A210A5">
            <w:pPr>
              <w:pStyle w:val="EAAnormaltext"/>
              <w:rPr>
                <w:sz w:val="20"/>
                <w:szCs w:val="20"/>
              </w:rPr>
            </w:pPr>
            <w:r w:rsidRPr="00A210A5">
              <w:rPr>
                <w:sz w:val="20"/>
                <w:szCs w:val="20"/>
              </w:rPr>
              <w:t>32</w:t>
            </w:r>
          </w:p>
        </w:tc>
        <w:tc>
          <w:tcPr>
            <w:tcW w:w="789" w:type="dxa"/>
          </w:tcPr>
          <w:p w14:paraId="57AC58B1" w14:textId="1AF332AA" w:rsidR="00A210A5" w:rsidRPr="00A210A5" w:rsidRDefault="00A210A5" w:rsidP="00A210A5">
            <w:pPr>
              <w:pStyle w:val="EAAnormaltext"/>
              <w:rPr>
                <w:sz w:val="20"/>
                <w:szCs w:val="20"/>
              </w:rPr>
            </w:pPr>
            <w:r w:rsidRPr="00A210A5">
              <w:rPr>
                <w:sz w:val="20"/>
                <w:szCs w:val="20"/>
              </w:rPr>
              <w:t>27</w:t>
            </w:r>
          </w:p>
        </w:tc>
      </w:tr>
      <w:tr w:rsidR="00A210A5" w:rsidRPr="00A210A5" w14:paraId="25AC0AAE" w14:textId="77777777" w:rsidTr="00A210A5">
        <w:tc>
          <w:tcPr>
            <w:tcW w:w="1517" w:type="dxa"/>
          </w:tcPr>
          <w:p w14:paraId="4AC6EE72" w14:textId="36701D56" w:rsidR="00A210A5" w:rsidRPr="00A210A5" w:rsidRDefault="00A210A5" w:rsidP="00A210A5">
            <w:pPr>
              <w:pStyle w:val="EAAnormaltext"/>
              <w:rPr>
                <w:sz w:val="20"/>
                <w:szCs w:val="20"/>
              </w:rPr>
            </w:pPr>
            <w:r w:rsidRPr="00A210A5">
              <w:rPr>
                <w:sz w:val="20"/>
                <w:szCs w:val="20"/>
              </w:rPr>
              <w:t>15.4 m (24.5 m)</w:t>
            </w:r>
          </w:p>
        </w:tc>
        <w:tc>
          <w:tcPr>
            <w:tcW w:w="789" w:type="dxa"/>
          </w:tcPr>
          <w:p w14:paraId="0E4E49A8" w14:textId="271977FA" w:rsidR="00A210A5" w:rsidRPr="00A210A5" w:rsidRDefault="00A210A5" w:rsidP="00A210A5">
            <w:pPr>
              <w:pStyle w:val="EAAnormaltext"/>
              <w:rPr>
                <w:sz w:val="20"/>
                <w:szCs w:val="20"/>
              </w:rPr>
            </w:pPr>
            <w:r w:rsidRPr="00A210A5">
              <w:rPr>
                <w:sz w:val="20"/>
                <w:szCs w:val="20"/>
              </w:rPr>
              <w:t>29</w:t>
            </w:r>
          </w:p>
        </w:tc>
        <w:tc>
          <w:tcPr>
            <w:tcW w:w="789" w:type="dxa"/>
          </w:tcPr>
          <w:p w14:paraId="6C6C6CC6" w14:textId="3B047CA4" w:rsidR="00A210A5" w:rsidRPr="00A210A5" w:rsidRDefault="00A210A5" w:rsidP="00A210A5">
            <w:pPr>
              <w:pStyle w:val="EAAnormaltext"/>
              <w:rPr>
                <w:sz w:val="20"/>
                <w:szCs w:val="20"/>
              </w:rPr>
            </w:pPr>
            <w:r w:rsidRPr="00A210A5">
              <w:rPr>
                <w:sz w:val="20"/>
                <w:szCs w:val="20"/>
              </w:rPr>
              <w:t>33</w:t>
            </w:r>
          </w:p>
        </w:tc>
        <w:tc>
          <w:tcPr>
            <w:tcW w:w="789" w:type="dxa"/>
          </w:tcPr>
          <w:p w14:paraId="1695D15B" w14:textId="2C7F7760" w:rsidR="00A210A5" w:rsidRPr="00A210A5" w:rsidRDefault="00A210A5" w:rsidP="00A210A5">
            <w:pPr>
              <w:pStyle w:val="EAAnormaltext"/>
              <w:rPr>
                <w:sz w:val="20"/>
                <w:szCs w:val="20"/>
              </w:rPr>
            </w:pPr>
            <w:r w:rsidRPr="00A210A5">
              <w:rPr>
                <w:sz w:val="20"/>
                <w:szCs w:val="20"/>
              </w:rPr>
              <w:t>28</w:t>
            </w:r>
          </w:p>
        </w:tc>
        <w:tc>
          <w:tcPr>
            <w:tcW w:w="789" w:type="dxa"/>
          </w:tcPr>
          <w:p w14:paraId="0C8D596B" w14:textId="5351B43D" w:rsidR="00A210A5" w:rsidRPr="00A210A5" w:rsidRDefault="00A210A5" w:rsidP="00A210A5">
            <w:pPr>
              <w:pStyle w:val="EAAnormaltext"/>
              <w:rPr>
                <w:sz w:val="20"/>
                <w:szCs w:val="20"/>
              </w:rPr>
            </w:pPr>
            <w:r w:rsidRPr="00A210A5">
              <w:rPr>
                <w:sz w:val="20"/>
                <w:szCs w:val="20"/>
              </w:rPr>
              <w:t>23</w:t>
            </w:r>
          </w:p>
        </w:tc>
      </w:tr>
      <w:tr w:rsidR="00A210A5" w:rsidRPr="00A210A5" w14:paraId="121E64E9" w14:textId="77777777" w:rsidTr="00A210A5">
        <w:tc>
          <w:tcPr>
            <w:tcW w:w="1517" w:type="dxa"/>
          </w:tcPr>
          <w:p w14:paraId="12D04B49" w14:textId="6915E5C2" w:rsidR="00A210A5" w:rsidRPr="00A210A5" w:rsidRDefault="00A210A5" w:rsidP="00A210A5">
            <w:pPr>
              <w:pStyle w:val="EAAnormaltext"/>
              <w:rPr>
                <w:sz w:val="20"/>
                <w:szCs w:val="20"/>
              </w:rPr>
            </w:pPr>
            <w:r w:rsidRPr="00A210A5">
              <w:rPr>
                <w:sz w:val="20"/>
                <w:szCs w:val="20"/>
              </w:rPr>
              <w:t>20.3 m (24.5 m)</w:t>
            </w:r>
          </w:p>
        </w:tc>
        <w:tc>
          <w:tcPr>
            <w:tcW w:w="789" w:type="dxa"/>
          </w:tcPr>
          <w:p w14:paraId="764CC929" w14:textId="3E3E71E1" w:rsidR="00A210A5" w:rsidRPr="00A210A5" w:rsidRDefault="00A210A5" w:rsidP="00A210A5">
            <w:pPr>
              <w:pStyle w:val="EAAnormaltext"/>
              <w:rPr>
                <w:sz w:val="20"/>
                <w:szCs w:val="20"/>
              </w:rPr>
            </w:pPr>
            <w:r w:rsidRPr="00A210A5">
              <w:rPr>
                <w:sz w:val="20"/>
                <w:szCs w:val="20"/>
              </w:rPr>
              <w:t>24</w:t>
            </w:r>
          </w:p>
        </w:tc>
        <w:tc>
          <w:tcPr>
            <w:tcW w:w="789" w:type="dxa"/>
          </w:tcPr>
          <w:p w14:paraId="7ACE1DE1" w14:textId="2CDC2755" w:rsidR="00A210A5" w:rsidRPr="00A210A5" w:rsidRDefault="00A210A5" w:rsidP="00A210A5">
            <w:pPr>
              <w:pStyle w:val="EAAnormaltext"/>
              <w:rPr>
                <w:sz w:val="20"/>
                <w:szCs w:val="20"/>
              </w:rPr>
            </w:pPr>
            <w:r w:rsidRPr="00A210A5">
              <w:rPr>
                <w:sz w:val="20"/>
                <w:szCs w:val="20"/>
              </w:rPr>
              <w:t>28</w:t>
            </w:r>
          </w:p>
        </w:tc>
        <w:tc>
          <w:tcPr>
            <w:tcW w:w="789" w:type="dxa"/>
          </w:tcPr>
          <w:p w14:paraId="505D47D5" w14:textId="19664CA4" w:rsidR="00A210A5" w:rsidRPr="00A210A5" w:rsidRDefault="00A210A5" w:rsidP="00A210A5">
            <w:pPr>
              <w:pStyle w:val="EAAnormaltext"/>
              <w:rPr>
                <w:sz w:val="20"/>
                <w:szCs w:val="20"/>
              </w:rPr>
            </w:pPr>
            <w:r w:rsidRPr="00A210A5">
              <w:rPr>
                <w:sz w:val="20"/>
                <w:szCs w:val="20"/>
              </w:rPr>
              <w:t>23</w:t>
            </w:r>
          </w:p>
        </w:tc>
        <w:tc>
          <w:tcPr>
            <w:tcW w:w="789" w:type="dxa"/>
          </w:tcPr>
          <w:p w14:paraId="2599A367" w14:textId="2CDED2C2" w:rsidR="00A210A5" w:rsidRPr="00A210A5" w:rsidRDefault="00A210A5" w:rsidP="00A210A5">
            <w:pPr>
              <w:pStyle w:val="EAAnormaltext"/>
              <w:rPr>
                <w:sz w:val="20"/>
                <w:szCs w:val="20"/>
              </w:rPr>
            </w:pPr>
            <w:r w:rsidRPr="00A210A5">
              <w:rPr>
                <w:sz w:val="20"/>
                <w:szCs w:val="20"/>
              </w:rPr>
              <w:t>18</w:t>
            </w:r>
          </w:p>
        </w:tc>
      </w:tr>
      <w:tr w:rsidR="00A128EA" w:rsidRPr="00A210A5" w14:paraId="595D78C5" w14:textId="77777777" w:rsidTr="00A210A5">
        <w:tc>
          <w:tcPr>
            <w:tcW w:w="1517" w:type="dxa"/>
          </w:tcPr>
          <w:p w14:paraId="4C7980C7" w14:textId="4E1C0143" w:rsidR="00A128EA" w:rsidRPr="00A210A5" w:rsidRDefault="00A128EA" w:rsidP="00E86B36">
            <w:pPr>
              <w:pStyle w:val="EAAnormaltext"/>
              <w:rPr>
                <w:sz w:val="20"/>
                <w:szCs w:val="20"/>
              </w:rPr>
            </w:pPr>
            <w:r w:rsidRPr="00A210A5">
              <w:rPr>
                <w:sz w:val="20"/>
                <w:szCs w:val="20"/>
              </w:rPr>
              <w:t>Guideline Criterion</w:t>
            </w:r>
          </w:p>
        </w:tc>
        <w:tc>
          <w:tcPr>
            <w:tcW w:w="789" w:type="dxa"/>
          </w:tcPr>
          <w:p w14:paraId="0DA10A4B" w14:textId="176C5998" w:rsidR="00A128EA" w:rsidRPr="00A210A5" w:rsidRDefault="00A128EA" w:rsidP="00E86B36">
            <w:pPr>
              <w:pStyle w:val="EAAnormaltext"/>
              <w:rPr>
                <w:sz w:val="20"/>
                <w:szCs w:val="20"/>
              </w:rPr>
            </w:pPr>
            <w:r w:rsidRPr="00A210A5">
              <w:rPr>
                <w:sz w:val="20"/>
                <w:szCs w:val="20"/>
              </w:rPr>
              <w:t>45</w:t>
            </w:r>
          </w:p>
        </w:tc>
        <w:tc>
          <w:tcPr>
            <w:tcW w:w="789" w:type="dxa"/>
          </w:tcPr>
          <w:p w14:paraId="7614A740" w14:textId="04C267C5" w:rsidR="00A128EA" w:rsidRPr="00A210A5" w:rsidRDefault="00A128EA" w:rsidP="00E86B36">
            <w:pPr>
              <w:pStyle w:val="EAAnormaltext"/>
              <w:rPr>
                <w:sz w:val="20"/>
                <w:szCs w:val="20"/>
              </w:rPr>
            </w:pPr>
            <w:r w:rsidRPr="00A210A5">
              <w:rPr>
                <w:sz w:val="20"/>
                <w:szCs w:val="20"/>
              </w:rPr>
              <w:t>35</w:t>
            </w:r>
          </w:p>
        </w:tc>
        <w:tc>
          <w:tcPr>
            <w:tcW w:w="789" w:type="dxa"/>
          </w:tcPr>
          <w:p w14:paraId="11613172" w14:textId="59C28915" w:rsidR="00A128EA" w:rsidRPr="00A210A5" w:rsidRDefault="00A128EA" w:rsidP="00E86B36">
            <w:pPr>
              <w:pStyle w:val="EAAnormaltext"/>
              <w:rPr>
                <w:sz w:val="20"/>
                <w:szCs w:val="20"/>
              </w:rPr>
            </w:pPr>
            <w:r w:rsidRPr="00A210A5">
              <w:rPr>
                <w:sz w:val="20"/>
                <w:szCs w:val="20"/>
              </w:rPr>
              <w:t>35</w:t>
            </w:r>
          </w:p>
        </w:tc>
        <w:tc>
          <w:tcPr>
            <w:tcW w:w="789" w:type="dxa"/>
          </w:tcPr>
          <w:p w14:paraId="58B2AB2B" w14:textId="1EBF4BDF" w:rsidR="00A128EA" w:rsidRPr="00A210A5" w:rsidRDefault="00A128EA" w:rsidP="00E86B36">
            <w:pPr>
              <w:pStyle w:val="EAAnormaltext"/>
              <w:rPr>
                <w:sz w:val="20"/>
                <w:szCs w:val="20"/>
              </w:rPr>
            </w:pPr>
            <w:r w:rsidRPr="00A210A5">
              <w:rPr>
                <w:sz w:val="20"/>
                <w:szCs w:val="20"/>
              </w:rPr>
              <w:t>35</w:t>
            </w:r>
          </w:p>
        </w:tc>
      </w:tr>
    </w:tbl>
    <w:p w14:paraId="64A533F9" w14:textId="77777777" w:rsidR="00B564F8" w:rsidRDefault="00B564F8" w:rsidP="009416D9">
      <w:pPr>
        <w:pStyle w:val="EAAheading1"/>
        <w:spacing w:before="240"/>
        <w:ind w:left="567" w:hanging="567"/>
      </w:pPr>
      <w:r>
        <w:t>Analysis and Discussion</w:t>
      </w:r>
    </w:p>
    <w:p w14:paraId="30C7BFAF" w14:textId="1539CF07" w:rsidR="00B564F8" w:rsidRDefault="005B1060" w:rsidP="00B564F8">
      <w:pPr>
        <w:pStyle w:val="EAAnormaltext"/>
      </w:pPr>
      <w:r>
        <w:t xml:space="preserve">The </w:t>
      </w:r>
      <w:r w:rsidR="00B564F8">
        <w:t xml:space="preserve">results presented in Section </w:t>
      </w:r>
      <w:r w:rsidR="00DE06C3">
        <w:t>4</w:t>
      </w:r>
      <w:r w:rsidR="00B564F8">
        <w:t xml:space="preserve"> have been assessed </w:t>
      </w:r>
      <w:r w:rsidR="002C402F">
        <w:t xml:space="preserve">against </w:t>
      </w:r>
      <w:r w:rsidR="00B564F8">
        <w:t xml:space="preserve">the adopted criteria for human response and the likelihood of building damage given in Section </w:t>
      </w:r>
      <w:r w:rsidR="00DE06C3">
        <w:t>3</w:t>
      </w:r>
      <w:r w:rsidR="008C3861">
        <w:t>.</w:t>
      </w:r>
    </w:p>
    <w:p w14:paraId="74716B52" w14:textId="17211FE2" w:rsidR="00754E39" w:rsidRPr="00754E39" w:rsidRDefault="00754E39" w:rsidP="00754E39">
      <w:pPr>
        <w:pStyle w:val="ListParagraph"/>
        <w:numPr>
          <w:ilvl w:val="0"/>
          <w:numId w:val="5"/>
        </w:numPr>
        <w:spacing w:before="180" w:after="100"/>
        <w:contextualSpacing w:val="0"/>
        <w:rPr>
          <w:b/>
          <w:vanish/>
          <w:szCs w:val="24"/>
          <w:lang w:val="en-US" w:eastAsia="fr-FR"/>
        </w:rPr>
      </w:pPr>
    </w:p>
    <w:p w14:paraId="7A116973" w14:textId="5DB49EC3" w:rsidR="00B564F8" w:rsidRDefault="00B564F8" w:rsidP="00754E39">
      <w:pPr>
        <w:pStyle w:val="EAAheading2"/>
        <w:ind w:left="432"/>
      </w:pPr>
      <w:r>
        <w:t>Tactile Vibration</w:t>
      </w:r>
    </w:p>
    <w:p w14:paraId="0907488F" w14:textId="47072758" w:rsidR="00B564F8" w:rsidRDefault="00B564F8" w:rsidP="00B564F8">
      <w:pPr>
        <w:pStyle w:val="EAAnormaltext"/>
      </w:pPr>
      <w:r>
        <w:t xml:space="preserve">The results shown in Table </w:t>
      </w:r>
      <w:r w:rsidR="00DE06C3">
        <w:t>4</w:t>
      </w:r>
      <w:r>
        <w:t>.1 indicate that when accounting for the vibration transfer into and through the building structure that vibration associated with underground train movements during both the daytime and night-time periods will fall below the range where there is a low probability of adverse comment (&lt;0.2 m/s</w:t>
      </w:r>
      <w:r w:rsidRPr="00A128EA">
        <w:rPr>
          <w:vertAlign w:val="superscript"/>
        </w:rPr>
        <w:t>1.75</w:t>
      </w:r>
      <w:r>
        <w:t xml:space="preserve"> VDV</w:t>
      </w:r>
      <w:r w:rsidRPr="00A128EA">
        <w:rPr>
          <w:vertAlign w:val="subscript"/>
        </w:rPr>
        <w:t>day</w:t>
      </w:r>
      <w:r w:rsidR="00A128EA">
        <w:t xml:space="preserve"> and &lt;0.1 </w:t>
      </w:r>
      <w:r>
        <w:t>m/s</w:t>
      </w:r>
      <w:r w:rsidRPr="00A128EA">
        <w:rPr>
          <w:vertAlign w:val="superscript"/>
        </w:rPr>
        <w:t>1.75</w:t>
      </w:r>
      <w:r>
        <w:t xml:space="preserve"> VDV</w:t>
      </w:r>
      <w:r w:rsidRPr="00A128EA">
        <w:rPr>
          <w:vertAlign w:val="subscript"/>
        </w:rPr>
        <w:t>night</w:t>
      </w:r>
      <w:r>
        <w:t>) in all rooms of the proposed building. Adverse comment would therefore not be expected from any of the future occupants due to tactile vibration</w:t>
      </w:r>
      <w:r w:rsidR="009C3E9B">
        <w:t>.</w:t>
      </w:r>
    </w:p>
    <w:p w14:paraId="7B490A43" w14:textId="5820ED28" w:rsidR="008B25F8" w:rsidRDefault="00B564F8" w:rsidP="00B564F8">
      <w:pPr>
        <w:pStyle w:val="EAAnormaltext"/>
      </w:pPr>
      <w:r>
        <w:t>The highest VDV levels are shown to be above piles closer to the Piccadilly Line tunnel. This is to be expected as the shorter the path of propagation, the less ener</w:t>
      </w:r>
      <w:r w:rsidR="00B44407">
        <w:t xml:space="preserve">gy will be lost along the way. </w:t>
      </w:r>
      <w:r w:rsidR="00A210A5">
        <w:t>Differences in the level of</w:t>
      </w:r>
      <w:r>
        <w:t xml:space="preserve"> VDV can also be seen w</w:t>
      </w:r>
      <w:r w:rsidR="00A210A5">
        <w:t>ith deeper</w:t>
      </w:r>
      <w:r>
        <w:t xml:space="preserve"> pile</w:t>
      </w:r>
      <w:r w:rsidR="00A210A5">
        <w:t>s. Where the slant distance is equal</w:t>
      </w:r>
      <w:r w:rsidR="008B25F8">
        <w:t xml:space="preserve"> but the piles are at different depths and therefore at different angles to the train tunnels, as is the case with the two piles both at 10.6 m slant distance, the shallower 18 m deep pile shows higher levels of VDV. This is </w:t>
      </w:r>
      <w:r w:rsidR="00DD724D">
        <w:t xml:space="preserve">likely </w:t>
      </w:r>
      <w:r w:rsidR="009C3E9B">
        <w:t xml:space="preserve">to be </w:t>
      </w:r>
      <w:r w:rsidR="008B25F8">
        <w:t>because the transmission of energy in the angle of direction towards this pile</w:t>
      </w:r>
      <w:r w:rsidR="00A210A5">
        <w:t xml:space="preserve"> </w:t>
      </w:r>
      <w:r w:rsidR="008B25F8">
        <w:t>(directly above the tunnel) is greater than for the 24.5 m deep pile, which is at a horizontal distance of 10 m away from the tunnel</w:t>
      </w:r>
      <w:r>
        <w:t>.</w:t>
      </w:r>
      <w:r w:rsidR="008B25F8">
        <w:t xml:space="preserve"> </w:t>
      </w:r>
      <w:r w:rsidR="00D17872">
        <w:t>T</w:t>
      </w:r>
      <w:r w:rsidR="008B25F8">
        <w:t>his variation in dissipation around the tunnel is shown in Figure</w:t>
      </w:r>
      <w:r w:rsidR="00D17872">
        <w:t>s</w:t>
      </w:r>
      <w:r w:rsidR="008B25F8">
        <w:t xml:space="preserve"> </w:t>
      </w:r>
      <w:r w:rsidR="00DE06C3">
        <w:lastRenderedPageBreak/>
        <w:t>5</w:t>
      </w:r>
      <w:r w:rsidR="008B25F8">
        <w:t>.1</w:t>
      </w:r>
      <w:r w:rsidR="00D17872">
        <w:t xml:space="preserve"> and </w:t>
      </w:r>
      <w:r w:rsidR="00DE06C3">
        <w:t>5</w:t>
      </w:r>
      <w:r w:rsidR="00D17872">
        <w:t>.2</w:t>
      </w:r>
      <w:r w:rsidR="00B27FF8">
        <w:t>, where</w:t>
      </w:r>
      <w:r w:rsidR="008B25F8">
        <w:t xml:space="preserve"> </w:t>
      </w:r>
      <w:r w:rsidR="00B27FF8">
        <w:t>t</w:t>
      </w:r>
      <w:r w:rsidR="00B27FF8" w:rsidRPr="00B27FF8">
        <w:t>he x and y-axes are shown in metres and the</w:t>
      </w:r>
      <w:r w:rsidR="00B27FF8" w:rsidRPr="00B4561C">
        <w:rPr>
          <w:lang w:val="en-GB"/>
        </w:rPr>
        <w:t xml:space="preserve"> colouration</w:t>
      </w:r>
      <w:r w:rsidR="00B27FF8" w:rsidRPr="00B27FF8">
        <w:t xml:space="preserve"> shows the variation in </w:t>
      </w:r>
      <w:r w:rsidR="006E1D1A">
        <w:rPr>
          <w:noProof/>
          <w:lang w:val="en-GB" w:eastAsia="en-GB"/>
        </w:rPr>
        <w:drawing>
          <wp:anchor distT="0" distB="0" distL="114300" distR="114300" simplePos="0" relativeHeight="251666432" behindDoc="0" locked="0" layoutInCell="1" allowOverlap="1" wp14:anchorId="2B33CCE4" wp14:editId="3DD12956">
            <wp:simplePos x="0" y="0"/>
            <wp:positionH relativeFrom="column">
              <wp:posOffset>3208020</wp:posOffset>
            </wp:positionH>
            <wp:positionV relativeFrom="paragraph">
              <wp:posOffset>513715</wp:posOffset>
            </wp:positionV>
            <wp:extent cx="2960670" cy="19291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0670" cy="1929130"/>
                    </a:xfrm>
                    <a:prstGeom prst="rect">
                      <a:avLst/>
                    </a:prstGeom>
                    <a:noFill/>
                  </pic:spPr>
                </pic:pic>
              </a:graphicData>
            </a:graphic>
            <wp14:sizeRelH relativeFrom="page">
              <wp14:pctWidth>0</wp14:pctWidth>
            </wp14:sizeRelH>
            <wp14:sizeRelV relativeFrom="page">
              <wp14:pctHeight>0</wp14:pctHeight>
            </wp14:sizeRelV>
          </wp:anchor>
        </w:drawing>
      </w:r>
      <w:r w:rsidR="00B27FF8" w:rsidRPr="00B27FF8">
        <w:t xml:space="preserve">dB using the scale to the left of each figure. </w:t>
      </w:r>
      <w:r w:rsidR="00B27FF8">
        <w:t>The train tunnel is represented as the white circle in the</w:t>
      </w:r>
      <w:r w:rsidR="00B27FF8" w:rsidRPr="00B4561C">
        <w:rPr>
          <w:lang w:val="en-GB"/>
        </w:rPr>
        <w:t xml:space="preserve"> centre</w:t>
      </w:r>
      <w:r w:rsidR="00B27FF8">
        <w:t>.</w:t>
      </w:r>
    </w:p>
    <w:p w14:paraId="3F437242" w14:textId="1060C07D" w:rsidR="008B25F8" w:rsidRDefault="006E1D1A" w:rsidP="00B4561C">
      <w:pPr>
        <w:pStyle w:val="EAAnormaltext"/>
        <w:spacing w:before="120"/>
      </w:pPr>
      <w:r>
        <w:rPr>
          <w:noProof/>
          <w:lang w:val="en-GB" w:eastAsia="en-GB"/>
        </w:rPr>
        <w:drawing>
          <wp:anchor distT="0" distB="0" distL="114300" distR="114300" simplePos="0" relativeHeight="251661312" behindDoc="0" locked="0" layoutInCell="1" allowOverlap="1" wp14:anchorId="65EA6505" wp14:editId="76A6AD2F">
            <wp:simplePos x="0" y="0"/>
            <wp:positionH relativeFrom="column">
              <wp:posOffset>2540</wp:posOffset>
            </wp:positionH>
            <wp:positionV relativeFrom="paragraph">
              <wp:posOffset>274320</wp:posOffset>
            </wp:positionV>
            <wp:extent cx="2924175" cy="16116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611630"/>
                    </a:xfrm>
                    <a:prstGeom prst="rect">
                      <a:avLst/>
                    </a:prstGeom>
                    <a:noFill/>
                  </pic:spPr>
                </pic:pic>
              </a:graphicData>
            </a:graphic>
            <wp14:sizeRelH relativeFrom="margin">
              <wp14:pctWidth>0</wp14:pctWidth>
            </wp14:sizeRelH>
            <wp14:sizeRelV relativeFrom="margin">
              <wp14:pctHeight>0</wp14:pctHeight>
            </wp14:sizeRelV>
          </wp:anchor>
        </w:drawing>
      </w:r>
      <w:r w:rsidR="008B25F8">
        <w:t xml:space="preserve">Figure </w:t>
      </w:r>
      <w:r w:rsidR="00DE06C3">
        <w:t>5</w:t>
      </w:r>
      <w:r w:rsidR="008B25F8">
        <w:t>.1:</w:t>
      </w:r>
      <w:r w:rsidR="008B25F8">
        <w:tab/>
      </w:r>
      <w:r w:rsidR="00D17872">
        <w:t>Vibration Propagation at 25 Hz</w:t>
      </w:r>
    </w:p>
    <w:p w14:paraId="6906665F" w14:textId="2BE66926" w:rsidR="00D17872" w:rsidRDefault="006E1D1A" w:rsidP="00B4561C">
      <w:pPr>
        <w:pStyle w:val="EAAnormaltext"/>
        <w:spacing w:before="120"/>
      </w:pPr>
      <w:r>
        <w:rPr>
          <w:noProof/>
          <w:lang w:val="en-GB" w:eastAsia="en-GB"/>
        </w:rPr>
        <w:drawing>
          <wp:anchor distT="0" distB="0" distL="114300" distR="114300" simplePos="0" relativeHeight="251664384" behindDoc="0" locked="0" layoutInCell="1" allowOverlap="1" wp14:anchorId="1DF0B56F" wp14:editId="65A5FB7F">
            <wp:simplePos x="0" y="0"/>
            <wp:positionH relativeFrom="column">
              <wp:posOffset>12700</wp:posOffset>
            </wp:positionH>
            <wp:positionV relativeFrom="paragraph">
              <wp:posOffset>1910080</wp:posOffset>
            </wp:positionV>
            <wp:extent cx="2914650" cy="1577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577975"/>
                    </a:xfrm>
                    <a:prstGeom prst="rect">
                      <a:avLst/>
                    </a:prstGeom>
                    <a:noFill/>
                  </pic:spPr>
                </pic:pic>
              </a:graphicData>
            </a:graphic>
            <wp14:sizeRelH relativeFrom="margin">
              <wp14:pctWidth>0</wp14:pctWidth>
            </wp14:sizeRelH>
            <wp14:sizeRelV relativeFrom="margin">
              <wp14:pctHeight>0</wp14:pctHeight>
            </wp14:sizeRelV>
          </wp:anchor>
        </w:drawing>
      </w:r>
      <w:r w:rsidR="00D17872">
        <w:t xml:space="preserve">Figure </w:t>
      </w:r>
      <w:r w:rsidR="00DE06C3">
        <w:t>5</w:t>
      </w:r>
      <w:r w:rsidR="00D17872">
        <w:t>.</w:t>
      </w:r>
      <w:r w:rsidR="00754E39">
        <w:t>2</w:t>
      </w:r>
      <w:r w:rsidR="00D17872">
        <w:t>:</w:t>
      </w:r>
      <w:r w:rsidR="00D17872">
        <w:tab/>
        <w:t xml:space="preserve">Vibration Propagation at </w:t>
      </w:r>
      <w:r w:rsidR="00E97071">
        <w:t>100</w:t>
      </w:r>
      <w:r w:rsidR="00D17872">
        <w:t xml:space="preserve"> Hz</w:t>
      </w:r>
    </w:p>
    <w:p w14:paraId="7EB8014F" w14:textId="5766800A" w:rsidR="00B564F8" w:rsidRDefault="00B564F8" w:rsidP="00B4561C">
      <w:pPr>
        <w:pStyle w:val="EAAnormaltext"/>
        <w:spacing w:before="120"/>
      </w:pPr>
      <w:r>
        <w:t xml:space="preserve">As shown in Table </w:t>
      </w:r>
      <w:r w:rsidR="00DE06C3">
        <w:t>4</w:t>
      </w:r>
      <w:r>
        <w:t xml:space="preserve">.2, and with reference to Section </w:t>
      </w:r>
      <w:r w:rsidR="00DE06C3">
        <w:t>3</w:t>
      </w:r>
      <w:r>
        <w:t>, the predicted level of PPV at the base of the building is over 49 mm/s below the level where damage to the proposed building may occur. There is therefore no likelihood of damage to the proposed building due to underground train vibration based on this assessment.</w:t>
      </w:r>
    </w:p>
    <w:p w14:paraId="74172237" w14:textId="239B285E" w:rsidR="00B564F8" w:rsidRDefault="00B564F8" w:rsidP="00B564F8">
      <w:pPr>
        <w:pStyle w:val="EAAheading2"/>
        <w:ind w:left="567" w:hanging="567"/>
      </w:pPr>
      <w:r>
        <w:t>Structure-borne Noise</w:t>
      </w:r>
    </w:p>
    <w:p w14:paraId="36889530" w14:textId="5C12CDCD" w:rsidR="00B564F8" w:rsidRDefault="00B564F8" w:rsidP="00B564F8">
      <w:pPr>
        <w:pStyle w:val="EAAnormaltext"/>
      </w:pPr>
      <w:r>
        <w:t xml:space="preserve">With reference to Table </w:t>
      </w:r>
      <w:r w:rsidR="00DE06C3">
        <w:t>4</w:t>
      </w:r>
      <w:r>
        <w:t>.3, structure-borne noise levels in ground floor commercial areas are predicted to be greater than the adopted design criterion of 45 dB</w:t>
      </w:r>
      <w:r w:rsidRPr="00B4561C">
        <w:rPr>
          <w:lang w:val="en-GB"/>
        </w:rPr>
        <w:t xml:space="preserve"> L</w:t>
      </w:r>
      <w:r w:rsidRPr="00B4561C">
        <w:rPr>
          <w:vertAlign w:val="subscript"/>
          <w:lang w:val="en-GB"/>
        </w:rPr>
        <w:t>ASmax</w:t>
      </w:r>
      <w:r>
        <w:t xml:space="preserve"> in rooms above</w:t>
      </w:r>
      <w:r w:rsidR="00C16CE7">
        <w:t xml:space="preserve"> 18 m deep</w:t>
      </w:r>
      <w:r>
        <w:t xml:space="preserve"> piles</w:t>
      </w:r>
      <w:r w:rsidR="00FF79BF">
        <w:t xml:space="preserve"> up to </w:t>
      </w:r>
      <w:r w:rsidR="00C16CE7">
        <w:t>11.8</w:t>
      </w:r>
      <w:r w:rsidR="00FF79BF">
        <w:t xml:space="preserve"> m from </w:t>
      </w:r>
      <w:r>
        <w:t xml:space="preserve">the train tunnels, </w:t>
      </w:r>
      <w:r w:rsidR="00C16CE7">
        <w:t>and above 24.5 m deep piles up to 10.6 m from the train tunnels</w:t>
      </w:r>
      <w:r w:rsidR="00400AFC">
        <w:t xml:space="preserve">. </w:t>
      </w:r>
      <w:r w:rsidR="0006771F">
        <w:t>This corresponds to</w:t>
      </w:r>
      <w:r>
        <w:t xml:space="preserve"> a likelihood of adverse comment ranging from low probability to adverse comment probable. In rooms </w:t>
      </w:r>
      <w:r w:rsidR="00FF79BF">
        <w:t>beyond 1</w:t>
      </w:r>
      <w:r w:rsidR="00C16CE7">
        <w:t>1.8</w:t>
      </w:r>
      <w:r w:rsidR="00FF79BF">
        <w:t xml:space="preserve"> m from the tunnels</w:t>
      </w:r>
      <w:r>
        <w:t>, the predicted structure-borne noise levels are below the adopted design criterion for commercial spaces.</w:t>
      </w:r>
    </w:p>
    <w:p w14:paraId="30D019FF" w14:textId="12587ADB" w:rsidR="00B564F8" w:rsidRDefault="00B564F8" w:rsidP="00B564F8">
      <w:pPr>
        <w:pStyle w:val="EAAnormaltext"/>
      </w:pPr>
      <w:r>
        <w:t>The variation of structure-borne noise level</w:t>
      </w:r>
      <w:r w:rsidR="006F47D5">
        <w:t xml:space="preserve"> at first floor</w:t>
      </w:r>
      <w:r>
        <w:t xml:space="preserve"> with distance from the Piccadilly Line tunnel </w:t>
      </w:r>
      <w:r w:rsidR="00C16CE7">
        <w:t>and how this varies with the two different pile depths</w:t>
      </w:r>
      <w:r>
        <w:t xml:space="preserve"> is shown in Figure </w:t>
      </w:r>
      <w:r w:rsidR="00DE06C3">
        <w:t>5</w:t>
      </w:r>
      <w:r>
        <w:t>.</w:t>
      </w:r>
      <w:r w:rsidR="00754E39">
        <w:t>3</w:t>
      </w:r>
      <w:r>
        <w:t>.</w:t>
      </w:r>
    </w:p>
    <w:p w14:paraId="3E81B53D" w14:textId="7D9FB1C3" w:rsidR="00C16CE7" w:rsidRDefault="00B564F8" w:rsidP="00B4561C">
      <w:pPr>
        <w:pStyle w:val="EAAnormaltext"/>
        <w:spacing w:before="120"/>
      </w:pPr>
      <w:r>
        <w:t xml:space="preserve">Figure </w:t>
      </w:r>
      <w:r w:rsidR="00DE06C3">
        <w:t>5</w:t>
      </w:r>
      <w:r>
        <w:t>.</w:t>
      </w:r>
      <w:r w:rsidR="00754E39">
        <w:t>3</w:t>
      </w:r>
      <w:r>
        <w:t xml:space="preserve">:  Predicted </w:t>
      </w:r>
      <w:r w:rsidR="00A14C2E">
        <w:t xml:space="preserve">First Floor </w:t>
      </w:r>
      <w:r>
        <w:t>Structure-borne Noise Levels with Distance from Piccadilly Line Tunnels</w:t>
      </w:r>
    </w:p>
    <w:p w14:paraId="5431EA8E" w14:textId="45AEB381" w:rsidR="005C2BE6" w:rsidRDefault="00630504" w:rsidP="00B4561C">
      <w:pPr>
        <w:pStyle w:val="EAAnormaltext"/>
        <w:spacing w:before="120"/>
      </w:pPr>
      <w:r>
        <w:t xml:space="preserve">Best fit function curves in </w:t>
      </w:r>
      <w:r w:rsidR="00B564F8">
        <w:t xml:space="preserve">Figure </w:t>
      </w:r>
      <w:r w:rsidR="00DE06C3">
        <w:t>5</w:t>
      </w:r>
      <w:r w:rsidR="00B564F8">
        <w:t>.</w:t>
      </w:r>
      <w:r w:rsidR="00754E39">
        <w:t>3</w:t>
      </w:r>
      <w:r w:rsidR="00B564F8">
        <w:t xml:space="preserve"> show that structure-borne noise levels within residential apartments at </w:t>
      </w:r>
      <w:r w:rsidR="005C2BE6">
        <w:t>first</w:t>
      </w:r>
      <w:r w:rsidR="00B564F8">
        <w:t xml:space="preserve"> floor are predicted to exceed the adopted design criterion of 35 dB L</w:t>
      </w:r>
      <w:r w:rsidR="00B564F8" w:rsidRPr="00D62690">
        <w:rPr>
          <w:vertAlign w:val="subscript"/>
        </w:rPr>
        <w:t>ASmax</w:t>
      </w:r>
      <w:r w:rsidR="00B564F8">
        <w:t xml:space="preserve"> above </w:t>
      </w:r>
      <w:r w:rsidR="005C2BE6">
        <w:t>18</w:t>
      </w:r>
      <w:r w:rsidR="009C3E9B">
        <w:t> </w:t>
      </w:r>
      <w:r w:rsidR="005C2BE6">
        <w:t>m deep</w:t>
      </w:r>
      <w:r w:rsidR="00B564F8">
        <w:t xml:space="preserve"> piles up until a </w:t>
      </w:r>
      <w:r w:rsidR="00A72107">
        <w:t>slant</w:t>
      </w:r>
      <w:r w:rsidR="00B564F8">
        <w:t xml:space="preserve"> distance of </w:t>
      </w:r>
      <w:r w:rsidR="00A72107">
        <w:t>13.3</w:t>
      </w:r>
      <w:r w:rsidR="00B564F8">
        <w:t xml:space="preserve"> m from the </w:t>
      </w:r>
      <w:r w:rsidR="00A72107">
        <w:t xml:space="preserve">centre of the </w:t>
      </w:r>
      <w:r w:rsidR="00B564F8">
        <w:t xml:space="preserve">Piccadilly Line tunnel.  </w:t>
      </w:r>
      <w:r w:rsidR="005C2BE6">
        <w:t>A</w:t>
      </w:r>
      <w:r w:rsidR="00A14C2E">
        <w:t xml:space="preserve">bove the 24.5 m </w:t>
      </w:r>
      <w:r w:rsidR="00AE3A4E">
        <w:t xml:space="preserve">deep </w:t>
      </w:r>
      <w:r w:rsidR="00A14C2E">
        <w:t xml:space="preserve">piles this distance increases to 14.9 m. The </w:t>
      </w:r>
      <w:r w:rsidR="00E22265">
        <w:t>best fit functions</w:t>
      </w:r>
      <w:r w:rsidR="00A14C2E">
        <w:t xml:space="preserve"> with distance </w:t>
      </w:r>
      <w:r w:rsidR="000A550F">
        <w:t xml:space="preserve">at each floor are </w:t>
      </w:r>
      <w:r w:rsidR="00A14C2E">
        <w:t xml:space="preserve">given </w:t>
      </w:r>
      <w:r w:rsidR="00976FBA">
        <w:t xml:space="preserve">in Table </w:t>
      </w:r>
      <w:r w:rsidR="00DE06C3">
        <w:t>5</w:t>
      </w:r>
      <w:r w:rsidR="00976FBA">
        <w:t>.1</w:t>
      </w:r>
      <w:r w:rsidR="00E22265">
        <w:t>.</w:t>
      </w:r>
      <w:r w:rsidR="009C3E9B">
        <w:t xml:space="preserve"> </w:t>
      </w:r>
      <w:r w:rsidR="00E22265">
        <w:t>They</w:t>
      </w:r>
      <w:r w:rsidR="00A14C2E">
        <w:t xml:space="preserve"> </w:t>
      </w:r>
      <w:r w:rsidR="00E22265">
        <w:t xml:space="preserve">are </w:t>
      </w:r>
      <w:r w:rsidR="00A14C2E">
        <w:t>a</w:t>
      </w:r>
      <w:r w:rsidR="00187347">
        <w:t>n inverse</w:t>
      </w:r>
      <w:r w:rsidR="00A14C2E">
        <w:t xml:space="preserve"> power ratio of the distance </w:t>
      </w:r>
      <m:oMath>
        <m:r>
          <w:rPr>
            <w:rFonts w:ascii="Cambria Math" w:hAnsi="Cambria Math"/>
          </w:rPr>
          <m:t>x</m:t>
        </m:r>
      </m:oMath>
      <w:r w:rsidR="00A14C2E">
        <w:t xml:space="preserve"> due to the </w:t>
      </w:r>
      <w:r w:rsidR="00976FBA">
        <w:t>spread</w:t>
      </w:r>
      <w:r w:rsidR="00A14C2E">
        <w:t xml:space="preserve"> </w:t>
      </w:r>
      <w:r w:rsidR="00F821FC">
        <w:t xml:space="preserve">of energy </w:t>
      </w:r>
      <w:r w:rsidR="00A14C2E">
        <w:t xml:space="preserve">in </w:t>
      </w:r>
      <w:r w:rsidR="00976FBA">
        <w:t>two</w:t>
      </w:r>
      <w:r w:rsidR="00A14C2E">
        <w:t xml:space="preserve"> dimensions</w:t>
      </w:r>
      <w:r w:rsidR="00F821FC">
        <w:t>.</w:t>
      </w:r>
    </w:p>
    <w:p w14:paraId="0CAF83C2" w14:textId="78491FB8" w:rsidR="000A550F" w:rsidRDefault="000A550F" w:rsidP="006C06E8">
      <w:pPr>
        <w:pStyle w:val="EAAnormaltext"/>
        <w:spacing w:before="120"/>
      </w:pPr>
      <w:r>
        <w:t xml:space="preserve">Table </w:t>
      </w:r>
      <w:r w:rsidR="00DE06C3">
        <w:t>5</w:t>
      </w:r>
      <w:r>
        <w:t>.1:  Predicted PPV at the Ground Floor Slab</w:t>
      </w:r>
    </w:p>
    <w:tbl>
      <w:tblPr>
        <w:tblStyle w:val="TableGrid"/>
        <w:tblW w:w="0" w:type="auto"/>
        <w:tblLook w:val="04A0" w:firstRow="1" w:lastRow="0" w:firstColumn="1" w:lastColumn="0" w:noHBand="0" w:noVBand="1"/>
      </w:tblPr>
      <w:tblGrid>
        <w:gridCol w:w="988"/>
        <w:gridCol w:w="1797"/>
        <w:gridCol w:w="1797"/>
      </w:tblGrid>
      <w:tr w:rsidR="00F74AB6" w:rsidRPr="00A210A5" w14:paraId="4092C289" w14:textId="3B1F7333" w:rsidTr="00F74AB6">
        <w:tc>
          <w:tcPr>
            <w:tcW w:w="988" w:type="dxa"/>
            <w:vMerge w:val="restart"/>
          </w:tcPr>
          <w:p w14:paraId="445E651F" w14:textId="77866C2B" w:rsidR="00F74AB6" w:rsidRPr="00A210A5" w:rsidRDefault="00F74AB6" w:rsidP="00D26BAC">
            <w:pPr>
              <w:pStyle w:val="EAAnormaltext"/>
              <w:rPr>
                <w:sz w:val="20"/>
              </w:rPr>
            </w:pPr>
            <w:r>
              <w:rPr>
                <w:sz w:val="20"/>
              </w:rPr>
              <w:t>Floor</w:t>
            </w:r>
          </w:p>
        </w:tc>
        <w:tc>
          <w:tcPr>
            <w:tcW w:w="3594" w:type="dxa"/>
            <w:gridSpan w:val="2"/>
            <w:tcBorders>
              <w:right w:val="single" w:sz="4" w:space="0" w:color="auto"/>
            </w:tcBorders>
          </w:tcPr>
          <w:p w14:paraId="40934D29" w14:textId="4E06B0BF" w:rsidR="00F74AB6" w:rsidRPr="00976FBA" w:rsidRDefault="00F74AB6" w:rsidP="00D26BAC">
            <w:pPr>
              <w:pStyle w:val="EAAnormaltext"/>
              <w:rPr>
                <w:sz w:val="20"/>
                <w:vertAlign w:val="superscript"/>
              </w:rPr>
            </w:pPr>
            <w:r>
              <w:rPr>
                <w:sz w:val="20"/>
              </w:rPr>
              <w:t>Ratio of Structure-borne Noise to Slant Distance</w:t>
            </w:r>
          </w:p>
        </w:tc>
      </w:tr>
      <w:tr w:rsidR="00F74AB6" w:rsidRPr="00A210A5" w14:paraId="46EA837B" w14:textId="6E03EB5E" w:rsidTr="00F74AB6">
        <w:tc>
          <w:tcPr>
            <w:tcW w:w="988" w:type="dxa"/>
            <w:vMerge/>
          </w:tcPr>
          <w:p w14:paraId="593DD29E" w14:textId="0DFFB085" w:rsidR="00F74AB6" w:rsidRPr="00A210A5" w:rsidRDefault="00F74AB6" w:rsidP="00D26BAC">
            <w:pPr>
              <w:pStyle w:val="EAAnormaltext"/>
              <w:rPr>
                <w:sz w:val="20"/>
              </w:rPr>
            </w:pPr>
          </w:p>
        </w:tc>
        <w:tc>
          <w:tcPr>
            <w:tcW w:w="1797" w:type="dxa"/>
            <w:tcBorders>
              <w:right w:val="single" w:sz="4" w:space="0" w:color="auto"/>
            </w:tcBorders>
          </w:tcPr>
          <w:p w14:paraId="33C5D0DD" w14:textId="4E2E9DD1" w:rsidR="00F74AB6" w:rsidRPr="00A210A5" w:rsidRDefault="00F74AB6" w:rsidP="00D26BAC">
            <w:pPr>
              <w:pStyle w:val="EAAnormaltext"/>
              <w:rPr>
                <w:sz w:val="20"/>
              </w:rPr>
            </w:pPr>
            <w:r>
              <w:rPr>
                <w:sz w:val="20"/>
              </w:rPr>
              <w:t>18 m Pile Depth</w:t>
            </w:r>
          </w:p>
        </w:tc>
        <w:tc>
          <w:tcPr>
            <w:tcW w:w="1797" w:type="dxa"/>
            <w:tcBorders>
              <w:right w:val="single" w:sz="4" w:space="0" w:color="auto"/>
            </w:tcBorders>
          </w:tcPr>
          <w:p w14:paraId="27696E4F" w14:textId="6D693F07" w:rsidR="00F74AB6" w:rsidRPr="00A210A5" w:rsidRDefault="00F74AB6" w:rsidP="00D26BAC">
            <w:pPr>
              <w:pStyle w:val="EAAnormaltext"/>
              <w:rPr>
                <w:sz w:val="20"/>
              </w:rPr>
            </w:pPr>
            <w:r>
              <w:rPr>
                <w:sz w:val="20"/>
              </w:rPr>
              <w:t>24.5 m Pile Depth</w:t>
            </w:r>
          </w:p>
        </w:tc>
      </w:tr>
      <w:tr w:rsidR="00F74AB6" w:rsidRPr="00A210A5" w14:paraId="58FF77A7" w14:textId="12B99B9A" w:rsidTr="00F74AB6">
        <w:tc>
          <w:tcPr>
            <w:tcW w:w="988" w:type="dxa"/>
          </w:tcPr>
          <w:p w14:paraId="2DC2CD51" w14:textId="2455F289" w:rsidR="00F74AB6" w:rsidRPr="00A210A5" w:rsidRDefault="00F74AB6" w:rsidP="00D26BAC">
            <w:pPr>
              <w:pStyle w:val="EAAnormaltext"/>
              <w:rPr>
                <w:sz w:val="20"/>
              </w:rPr>
            </w:pPr>
            <w:r>
              <w:rPr>
                <w:sz w:val="20"/>
              </w:rPr>
              <w:t>Ground</w:t>
            </w:r>
          </w:p>
        </w:tc>
        <w:tc>
          <w:tcPr>
            <w:tcW w:w="1797" w:type="dxa"/>
            <w:tcBorders>
              <w:right w:val="single" w:sz="4" w:space="0" w:color="auto"/>
            </w:tcBorders>
          </w:tcPr>
          <w:p w14:paraId="254B68C8" w14:textId="45044EFB" w:rsidR="00F74AB6" w:rsidRPr="00A210A5" w:rsidRDefault="00976FBA" w:rsidP="00D26BAC">
            <w:pPr>
              <w:pStyle w:val="EAAnormaltext"/>
              <w:rPr>
                <w:sz w:val="20"/>
              </w:rPr>
            </w:pPr>
            <m:oMathPara>
              <m:oMath>
                <m:r>
                  <w:rPr>
                    <w:rFonts w:ascii="Cambria Math" w:hAnsi="Cambria Math"/>
                    <w:sz w:val="20"/>
                  </w:rPr>
                  <m:t>y=9418.2</m:t>
                </m:r>
                <m:sSup>
                  <m:sSupPr>
                    <m:ctrlPr>
                      <w:rPr>
                        <w:rFonts w:ascii="Cambria Math" w:hAnsi="Cambria Math"/>
                        <w:i/>
                        <w:sz w:val="20"/>
                      </w:rPr>
                    </m:ctrlPr>
                  </m:sSupPr>
                  <m:e>
                    <m:r>
                      <w:rPr>
                        <w:rFonts w:ascii="Cambria Math" w:hAnsi="Cambria Math"/>
                        <w:sz w:val="20"/>
                      </w:rPr>
                      <m:t>x</m:t>
                    </m:r>
                  </m:e>
                  <m:sup>
                    <m:r>
                      <w:rPr>
                        <w:rFonts w:ascii="Cambria Math" w:hAnsi="Cambria Math"/>
                        <w:sz w:val="20"/>
                      </w:rPr>
                      <m:t>-2.194</m:t>
                    </m:r>
                  </m:sup>
                </m:sSup>
              </m:oMath>
            </m:oMathPara>
          </w:p>
        </w:tc>
        <w:tc>
          <w:tcPr>
            <w:tcW w:w="1797" w:type="dxa"/>
            <w:tcBorders>
              <w:right w:val="single" w:sz="4" w:space="0" w:color="auto"/>
            </w:tcBorders>
          </w:tcPr>
          <w:p w14:paraId="759320AF" w14:textId="3EC71049" w:rsidR="00F74AB6" w:rsidRPr="00A210A5" w:rsidRDefault="00976FBA" w:rsidP="00F74AB6">
            <w:pPr>
              <w:pStyle w:val="EAAnormaltext"/>
              <w:rPr>
                <w:sz w:val="20"/>
              </w:rPr>
            </w:pPr>
            <m:oMathPara>
              <m:oMath>
                <m:r>
                  <w:rPr>
                    <w:rFonts w:ascii="Cambria Math" w:hAnsi="Cambria Math"/>
                    <w:sz w:val="20"/>
                  </w:rPr>
                  <m:t>y=283.67</m:t>
                </m:r>
                <m:sSup>
                  <m:sSupPr>
                    <m:ctrlPr>
                      <w:rPr>
                        <w:rFonts w:ascii="Cambria Math" w:hAnsi="Cambria Math"/>
                        <w:i/>
                        <w:sz w:val="20"/>
                      </w:rPr>
                    </m:ctrlPr>
                  </m:sSupPr>
                  <m:e>
                    <m:r>
                      <w:rPr>
                        <w:rFonts w:ascii="Cambria Math" w:hAnsi="Cambria Math"/>
                        <w:sz w:val="20"/>
                      </w:rPr>
                      <m:t>x</m:t>
                    </m:r>
                  </m:e>
                  <m:sup>
                    <m:r>
                      <w:rPr>
                        <w:rFonts w:ascii="Cambria Math" w:hAnsi="Cambria Math"/>
                        <w:sz w:val="20"/>
                      </w:rPr>
                      <m:t>-0.819</m:t>
                    </m:r>
                  </m:sup>
                </m:sSup>
              </m:oMath>
            </m:oMathPara>
          </w:p>
        </w:tc>
      </w:tr>
      <w:tr w:rsidR="00F74AB6" w:rsidRPr="00A210A5" w14:paraId="10EDC9CC" w14:textId="2859CD31" w:rsidTr="00F74AB6">
        <w:tc>
          <w:tcPr>
            <w:tcW w:w="988" w:type="dxa"/>
          </w:tcPr>
          <w:p w14:paraId="5B9E27F2" w14:textId="10464877" w:rsidR="00F74AB6" w:rsidRPr="00A210A5" w:rsidRDefault="00F74AB6" w:rsidP="00D26BAC">
            <w:pPr>
              <w:pStyle w:val="EAAnormaltext"/>
              <w:rPr>
                <w:sz w:val="20"/>
              </w:rPr>
            </w:pPr>
            <w:r>
              <w:rPr>
                <w:sz w:val="20"/>
              </w:rPr>
              <w:t>First</w:t>
            </w:r>
          </w:p>
        </w:tc>
        <w:tc>
          <w:tcPr>
            <w:tcW w:w="1797" w:type="dxa"/>
            <w:tcBorders>
              <w:right w:val="single" w:sz="4" w:space="0" w:color="auto"/>
            </w:tcBorders>
          </w:tcPr>
          <w:p w14:paraId="5D6F466E" w14:textId="3B233385" w:rsidR="00F74AB6" w:rsidRPr="00A210A5" w:rsidRDefault="00976FBA" w:rsidP="00F74AB6">
            <w:pPr>
              <w:pStyle w:val="EAAnormaltext"/>
              <w:rPr>
                <w:sz w:val="20"/>
              </w:rPr>
            </w:pPr>
            <m:oMathPara>
              <m:oMath>
                <m:r>
                  <w:rPr>
                    <w:rFonts w:ascii="Cambria Math" w:hAnsi="Cambria Math"/>
                    <w:sz w:val="20"/>
                  </w:rPr>
                  <m:t>y=4958.1</m:t>
                </m:r>
                <m:sSup>
                  <m:sSupPr>
                    <m:ctrlPr>
                      <w:rPr>
                        <w:rFonts w:ascii="Cambria Math" w:hAnsi="Cambria Math"/>
                        <w:i/>
                        <w:sz w:val="20"/>
                      </w:rPr>
                    </m:ctrlPr>
                  </m:sSupPr>
                  <m:e>
                    <m:r>
                      <w:rPr>
                        <w:rFonts w:ascii="Cambria Math" w:hAnsi="Cambria Math"/>
                        <w:sz w:val="20"/>
                      </w:rPr>
                      <m:t>x</m:t>
                    </m:r>
                  </m:e>
                  <m:sup>
                    <m:r>
                      <w:rPr>
                        <w:rFonts w:ascii="Cambria Math" w:hAnsi="Cambria Math"/>
                        <w:sz w:val="20"/>
                      </w:rPr>
                      <m:t>-1.916</m:t>
                    </m:r>
                  </m:sup>
                </m:sSup>
              </m:oMath>
            </m:oMathPara>
          </w:p>
        </w:tc>
        <w:tc>
          <w:tcPr>
            <w:tcW w:w="1797" w:type="dxa"/>
            <w:tcBorders>
              <w:right w:val="single" w:sz="4" w:space="0" w:color="auto"/>
            </w:tcBorders>
          </w:tcPr>
          <w:p w14:paraId="18218EC5" w14:textId="75C8A54C" w:rsidR="00F74AB6" w:rsidRPr="00A210A5" w:rsidRDefault="00976FBA" w:rsidP="00F74AB6">
            <w:pPr>
              <w:pStyle w:val="EAAnormaltext"/>
              <w:rPr>
                <w:sz w:val="20"/>
              </w:rPr>
            </w:pPr>
            <m:oMathPara>
              <m:oMath>
                <m:r>
                  <w:rPr>
                    <w:rFonts w:ascii="Cambria Math" w:hAnsi="Cambria Math"/>
                    <w:sz w:val="20"/>
                  </w:rPr>
                  <m:t>y=216.49</m:t>
                </m:r>
                <m:sSup>
                  <m:sSupPr>
                    <m:ctrlPr>
                      <w:rPr>
                        <w:rFonts w:ascii="Cambria Math" w:hAnsi="Cambria Math"/>
                        <w:i/>
                        <w:sz w:val="20"/>
                      </w:rPr>
                    </m:ctrlPr>
                  </m:sSupPr>
                  <m:e>
                    <m:r>
                      <w:rPr>
                        <w:rFonts w:ascii="Cambria Math" w:hAnsi="Cambria Math"/>
                        <w:sz w:val="20"/>
                      </w:rPr>
                      <m:t>x</m:t>
                    </m:r>
                  </m:e>
                  <m:sup>
                    <m:r>
                      <w:rPr>
                        <w:rFonts w:ascii="Cambria Math" w:hAnsi="Cambria Math"/>
                        <w:sz w:val="20"/>
                      </w:rPr>
                      <m:t>-0.675</m:t>
                    </m:r>
                  </m:sup>
                </m:sSup>
              </m:oMath>
            </m:oMathPara>
          </w:p>
        </w:tc>
      </w:tr>
      <w:tr w:rsidR="00F74AB6" w:rsidRPr="00A210A5" w14:paraId="2C86E5E7" w14:textId="77777777" w:rsidTr="00F74AB6">
        <w:tc>
          <w:tcPr>
            <w:tcW w:w="988" w:type="dxa"/>
          </w:tcPr>
          <w:p w14:paraId="5ECEB8CD" w14:textId="7356B6C6" w:rsidR="00F74AB6" w:rsidRPr="00A210A5" w:rsidRDefault="00F74AB6" w:rsidP="00D26BAC">
            <w:pPr>
              <w:pStyle w:val="EAAnormaltext"/>
              <w:rPr>
                <w:sz w:val="20"/>
              </w:rPr>
            </w:pPr>
            <w:r>
              <w:rPr>
                <w:sz w:val="20"/>
              </w:rPr>
              <w:t>Second</w:t>
            </w:r>
          </w:p>
        </w:tc>
        <w:tc>
          <w:tcPr>
            <w:tcW w:w="1797" w:type="dxa"/>
            <w:tcBorders>
              <w:right w:val="single" w:sz="4" w:space="0" w:color="auto"/>
            </w:tcBorders>
          </w:tcPr>
          <w:p w14:paraId="3B948177" w14:textId="507C3CA6" w:rsidR="00F74AB6" w:rsidRPr="00A210A5" w:rsidRDefault="00976FBA" w:rsidP="00F74AB6">
            <w:pPr>
              <w:pStyle w:val="EAAnormaltext"/>
              <w:rPr>
                <w:sz w:val="20"/>
              </w:rPr>
            </w:pPr>
            <m:oMathPara>
              <m:oMath>
                <m:r>
                  <w:rPr>
                    <w:rFonts w:ascii="Cambria Math" w:hAnsi="Cambria Math"/>
                    <w:sz w:val="20"/>
                  </w:rPr>
                  <m:t>y=7575.4</m:t>
                </m:r>
                <m:sSup>
                  <m:sSupPr>
                    <m:ctrlPr>
                      <w:rPr>
                        <w:rFonts w:ascii="Cambria Math" w:hAnsi="Cambria Math"/>
                        <w:i/>
                        <w:sz w:val="20"/>
                      </w:rPr>
                    </m:ctrlPr>
                  </m:sSupPr>
                  <m:e>
                    <m:r>
                      <w:rPr>
                        <w:rFonts w:ascii="Cambria Math" w:hAnsi="Cambria Math"/>
                        <w:sz w:val="20"/>
                      </w:rPr>
                      <m:t>x</m:t>
                    </m:r>
                  </m:e>
                  <m:sup>
                    <m:r>
                      <w:rPr>
                        <w:rFonts w:ascii="Cambria Math" w:hAnsi="Cambria Math"/>
                        <w:sz w:val="20"/>
                      </w:rPr>
                      <m:t>-2.137</m:t>
                    </m:r>
                  </m:sup>
                </m:sSup>
              </m:oMath>
            </m:oMathPara>
          </w:p>
        </w:tc>
        <w:tc>
          <w:tcPr>
            <w:tcW w:w="1797" w:type="dxa"/>
            <w:tcBorders>
              <w:right w:val="single" w:sz="4" w:space="0" w:color="auto"/>
            </w:tcBorders>
          </w:tcPr>
          <w:p w14:paraId="4B3788C6" w14:textId="2D7A3A37" w:rsidR="00F74AB6" w:rsidRPr="00A210A5" w:rsidRDefault="00976FBA" w:rsidP="00F74AB6">
            <w:pPr>
              <w:pStyle w:val="EAAnormaltext"/>
              <w:rPr>
                <w:sz w:val="20"/>
              </w:rPr>
            </w:pPr>
            <m:oMathPara>
              <m:oMath>
                <m:r>
                  <w:rPr>
                    <w:rFonts w:ascii="Cambria Math" w:hAnsi="Cambria Math"/>
                    <w:sz w:val="20"/>
                  </w:rPr>
                  <m:t>y=241.64</m:t>
                </m:r>
                <m:sSup>
                  <m:sSupPr>
                    <m:ctrlPr>
                      <w:rPr>
                        <w:rFonts w:ascii="Cambria Math" w:hAnsi="Cambria Math"/>
                        <w:i/>
                        <w:sz w:val="20"/>
                      </w:rPr>
                    </m:ctrlPr>
                  </m:sSupPr>
                  <m:e>
                    <m:r>
                      <w:rPr>
                        <w:rFonts w:ascii="Cambria Math" w:hAnsi="Cambria Math"/>
                        <w:sz w:val="20"/>
                      </w:rPr>
                      <m:t>x</m:t>
                    </m:r>
                  </m:e>
                  <m:sup>
                    <m:r>
                      <w:rPr>
                        <w:rFonts w:ascii="Cambria Math" w:hAnsi="Cambria Math"/>
                        <w:sz w:val="20"/>
                      </w:rPr>
                      <m:t>-0.774</m:t>
                    </m:r>
                  </m:sup>
                </m:sSup>
              </m:oMath>
            </m:oMathPara>
          </w:p>
        </w:tc>
      </w:tr>
      <w:tr w:rsidR="00F74AB6" w:rsidRPr="00A210A5" w14:paraId="719A46D3" w14:textId="5A6ED75C" w:rsidTr="00F74AB6">
        <w:tc>
          <w:tcPr>
            <w:tcW w:w="988" w:type="dxa"/>
          </w:tcPr>
          <w:p w14:paraId="0D6356CD" w14:textId="60AEB6F3" w:rsidR="00F74AB6" w:rsidRPr="00A210A5" w:rsidRDefault="00F74AB6" w:rsidP="00D26BAC">
            <w:pPr>
              <w:pStyle w:val="EAAnormaltext"/>
              <w:rPr>
                <w:sz w:val="20"/>
              </w:rPr>
            </w:pPr>
            <w:r>
              <w:rPr>
                <w:sz w:val="20"/>
              </w:rPr>
              <w:t>Third</w:t>
            </w:r>
          </w:p>
        </w:tc>
        <w:tc>
          <w:tcPr>
            <w:tcW w:w="1797" w:type="dxa"/>
            <w:tcBorders>
              <w:right w:val="single" w:sz="4" w:space="0" w:color="auto"/>
            </w:tcBorders>
          </w:tcPr>
          <w:p w14:paraId="3705B916" w14:textId="492F8325" w:rsidR="00F74AB6" w:rsidRPr="00A210A5" w:rsidRDefault="00976FBA" w:rsidP="00187347">
            <w:pPr>
              <w:pStyle w:val="EAAnormaltext"/>
              <w:rPr>
                <w:sz w:val="20"/>
              </w:rPr>
            </w:pPr>
            <m:oMathPara>
              <m:oMath>
                <m:r>
                  <w:rPr>
                    <w:rFonts w:ascii="Cambria Math" w:hAnsi="Cambria Math"/>
                    <w:sz w:val="20"/>
                  </w:rPr>
                  <m:t>y=13129</m:t>
                </m:r>
                <m:sSup>
                  <m:sSupPr>
                    <m:ctrlPr>
                      <w:rPr>
                        <w:rFonts w:ascii="Cambria Math" w:hAnsi="Cambria Math"/>
                        <w:i/>
                        <w:sz w:val="20"/>
                      </w:rPr>
                    </m:ctrlPr>
                  </m:sSupPr>
                  <m:e>
                    <m:r>
                      <w:rPr>
                        <w:rFonts w:ascii="Cambria Math" w:hAnsi="Cambria Math"/>
                        <w:sz w:val="20"/>
                      </w:rPr>
                      <m:t>x</m:t>
                    </m:r>
                  </m:e>
                  <m:sup>
                    <m:r>
                      <w:rPr>
                        <w:rFonts w:ascii="Cambria Math" w:hAnsi="Cambria Math"/>
                        <w:sz w:val="20"/>
                      </w:rPr>
                      <m:t>-2.415</m:t>
                    </m:r>
                  </m:sup>
                </m:sSup>
              </m:oMath>
            </m:oMathPara>
          </w:p>
        </w:tc>
        <w:tc>
          <w:tcPr>
            <w:tcW w:w="1797" w:type="dxa"/>
            <w:tcBorders>
              <w:right w:val="single" w:sz="4" w:space="0" w:color="auto"/>
            </w:tcBorders>
          </w:tcPr>
          <w:p w14:paraId="6948BC50" w14:textId="45180F25" w:rsidR="00F74AB6" w:rsidRPr="00A210A5" w:rsidRDefault="00976FBA" w:rsidP="00187347">
            <w:pPr>
              <w:pStyle w:val="EAAnormaltext"/>
              <w:rPr>
                <w:sz w:val="20"/>
              </w:rPr>
            </w:pPr>
            <m:oMathPara>
              <m:oMath>
                <m:r>
                  <w:rPr>
                    <w:rFonts w:ascii="Cambria Math" w:hAnsi="Cambria Math"/>
                    <w:sz w:val="20"/>
                  </w:rPr>
                  <m:t>y=267.17</m:t>
                </m:r>
                <m:sSup>
                  <m:sSupPr>
                    <m:ctrlPr>
                      <w:rPr>
                        <w:rFonts w:ascii="Cambria Math" w:hAnsi="Cambria Math"/>
                        <w:i/>
                        <w:sz w:val="20"/>
                      </w:rPr>
                    </m:ctrlPr>
                  </m:sSupPr>
                  <m:e>
                    <m:r>
                      <w:rPr>
                        <w:rFonts w:ascii="Cambria Math" w:hAnsi="Cambria Math"/>
                        <w:sz w:val="20"/>
                      </w:rPr>
                      <m:t>x</m:t>
                    </m:r>
                  </m:e>
                  <m:sup>
                    <m:r>
                      <w:rPr>
                        <w:rFonts w:ascii="Cambria Math" w:hAnsi="Cambria Math"/>
                        <w:sz w:val="20"/>
                      </w:rPr>
                      <m:t>-0.882</m:t>
                    </m:r>
                  </m:sup>
                </m:sSup>
              </m:oMath>
            </m:oMathPara>
          </w:p>
        </w:tc>
      </w:tr>
    </w:tbl>
    <w:p w14:paraId="62D44DA5" w14:textId="55D19C7F" w:rsidR="00976FBA" w:rsidRDefault="00976FBA" w:rsidP="00976FBA">
      <w:pPr>
        <w:pStyle w:val="EAAnormaltext"/>
        <w:spacing w:line="240" w:lineRule="auto"/>
        <w:rPr>
          <w:sz w:val="16"/>
        </w:rPr>
      </w:pPr>
      <w:r w:rsidRPr="00720C0E">
        <w:rPr>
          <w:sz w:val="16"/>
        </w:rPr>
        <w:t xml:space="preserve">Notes:  </w:t>
      </w:r>
      <m:oMath>
        <m:r>
          <w:rPr>
            <w:rFonts w:ascii="Cambria Math" w:hAnsi="Cambria Math"/>
            <w:sz w:val="16"/>
          </w:rPr>
          <m:t>x</m:t>
        </m:r>
      </m:oMath>
      <w:r w:rsidRPr="00976FBA">
        <w:rPr>
          <w:sz w:val="16"/>
        </w:rPr>
        <w:t xml:space="preserve"> is the slant distance from the centre of the train tunnel in m; </w:t>
      </w:r>
      <m:oMath>
        <m:r>
          <w:rPr>
            <w:rFonts w:ascii="Cambria Math" w:hAnsi="Cambria Math"/>
            <w:sz w:val="16"/>
          </w:rPr>
          <m:t>y</m:t>
        </m:r>
      </m:oMath>
      <w:r w:rsidRPr="00976FBA">
        <w:rPr>
          <w:sz w:val="16"/>
        </w:rPr>
        <w:t xml:space="preserve"> is the structure-borne noise level in dBA.</w:t>
      </w:r>
    </w:p>
    <w:p w14:paraId="1A9E1F84" w14:textId="08FC4960" w:rsidR="00B564F8" w:rsidRDefault="00B564F8" w:rsidP="00AB67E2">
      <w:pPr>
        <w:pStyle w:val="EAAnormaltext"/>
        <w:spacing w:before="120"/>
      </w:pPr>
      <w:r>
        <w:t xml:space="preserve">Structure-borne noise levels exceed </w:t>
      </w:r>
      <w:r w:rsidR="00AE3A4E">
        <w:t xml:space="preserve">the residential criteria </w:t>
      </w:r>
      <w:r>
        <w:t xml:space="preserve">by up to 19 dB in room spaces directly above the tunnel, corresponding to a high probability of adverse comment (see Table </w:t>
      </w:r>
      <w:r w:rsidR="00DE06C3">
        <w:t>4</w:t>
      </w:r>
      <w:r>
        <w:t>.</w:t>
      </w:r>
      <w:r w:rsidR="00F821FC">
        <w:t>3</w:t>
      </w:r>
      <w:r w:rsidR="00400AFC">
        <w:t>).</w:t>
      </w:r>
      <w:r>
        <w:t xml:space="preserve"> The greatest exceedance (by 21 dB) is predicted </w:t>
      </w:r>
      <w:r w:rsidR="00D62690">
        <w:t>a</w:t>
      </w:r>
      <w:r w:rsidR="00F821FC">
        <w:t>bove</w:t>
      </w:r>
      <w:r w:rsidR="00D62690">
        <w:t xml:space="preserve"> the </w:t>
      </w:r>
      <w:r w:rsidR="00F821FC">
        <w:t>closest</w:t>
      </w:r>
      <w:r w:rsidR="00D62690">
        <w:t xml:space="preserve"> pile, </w:t>
      </w:r>
      <w:r w:rsidR="00F821FC">
        <w:t>7</w:t>
      </w:r>
      <w:r w:rsidR="00D62690">
        <w:t xml:space="preserve"> m</w:t>
      </w:r>
      <w:r>
        <w:t xml:space="preserve"> </w:t>
      </w:r>
      <w:r w:rsidR="00D62690">
        <w:t>from the tunnels</w:t>
      </w:r>
      <w:r w:rsidR="00AB67E2">
        <w:t>.</w:t>
      </w:r>
      <w:r w:rsidR="00F821FC">
        <w:t xml:space="preserve"> </w:t>
      </w:r>
    </w:p>
    <w:p w14:paraId="0C635191" w14:textId="3ED2252D" w:rsidR="00B564F8" w:rsidRDefault="00B564F8" w:rsidP="00B564F8">
      <w:pPr>
        <w:pStyle w:val="EAAnormaltext"/>
      </w:pPr>
      <w:r>
        <w:t>At second floor level, the distance to where the design criterion for residential room spaces will be met reduces down to 12</w:t>
      </w:r>
      <w:r w:rsidR="000F1B7E">
        <w:t>.4</w:t>
      </w:r>
      <w:r>
        <w:t xml:space="preserve"> m</w:t>
      </w:r>
      <w:r w:rsidR="000F1B7E">
        <w:t xml:space="preserve"> and 12.1 m for 18 m and 24.5 m deep piles respectively</w:t>
      </w:r>
      <w:r>
        <w:t>,</w:t>
      </w:r>
      <w:r w:rsidR="000F1B7E">
        <w:t xml:space="preserve"> and </w:t>
      </w:r>
      <w:r>
        <w:t xml:space="preserve">at third, down to </w:t>
      </w:r>
      <w:r w:rsidR="000F1B7E">
        <w:t xml:space="preserve">11.6 m and </w:t>
      </w:r>
      <w:r>
        <w:t>10 m</w:t>
      </w:r>
      <w:r w:rsidR="000F1B7E" w:rsidRPr="000F1B7E">
        <w:t xml:space="preserve"> </w:t>
      </w:r>
      <w:r w:rsidR="000F1B7E">
        <w:t>for 18 m and 24.5 m deep piles respectively</w:t>
      </w:r>
      <w:r>
        <w:t>. This shows how structure-borne noise levels decrease as one moves up the building and that fewer rooms will be adversely affected at higher floors (assuming identical floor layouts).</w:t>
      </w:r>
    </w:p>
    <w:p w14:paraId="593CE57E" w14:textId="1EE902F8" w:rsidR="00B564F8" w:rsidRDefault="00B564F8" w:rsidP="00B564F8">
      <w:pPr>
        <w:pStyle w:val="EAAnormaltext"/>
      </w:pPr>
      <w:r>
        <w:lastRenderedPageBreak/>
        <w:t xml:space="preserve">Assessment results indicate there is a high probability of adverse comment due to structure-borne noise in both commercial and residential room spaces of the proposed building. In such a situation, developers should consider vibration isolation measures in the building design with a view to reducing levels of audible structure-borne noise to within desirable limits.  </w:t>
      </w:r>
    </w:p>
    <w:p w14:paraId="5BDC3758" w14:textId="77777777" w:rsidR="00B564F8" w:rsidRDefault="00B564F8" w:rsidP="00197ED1">
      <w:pPr>
        <w:pStyle w:val="EAAheading2"/>
        <w:ind w:left="567" w:hanging="567"/>
      </w:pPr>
      <w:r>
        <w:t>Frequency Dependent Structure-Borne Noise Criteria</w:t>
      </w:r>
    </w:p>
    <w:p w14:paraId="2A440376" w14:textId="08F701A8" w:rsidR="00B564F8" w:rsidRDefault="00197ED1" w:rsidP="00B564F8">
      <w:pPr>
        <w:pStyle w:val="EAAnormaltext"/>
      </w:pPr>
      <w:r>
        <w:t>T</w:t>
      </w:r>
      <w:r w:rsidR="00B564F8">
        <w:t xml:space="preserve">he FTA </w:t>
      </w:r>
      <w:r>
        <w:t>[</w:t>
      </w:r>
      <w:r w:rsidR="002A4703">
        <w:t>1</w:t>
      </w:r>
      <w:r w:rsidR="005C7D6B">
        <w:t>7</w:t>
      </w:r>
      <w:r>
        <w:t xml:space="preserve">] give </w:t>
      </w:r>
      <w:r w:rsidR="00B564F8">
        <w:t>criteria for structure-borne noise that relates human perception to the dominant frequency as well as the magnitude. These criteria give higher values of structure-borne noise required to illicit a negative human response where the dominant frequen</w:t>
      </w:r>
      <w:r w:rsidR="00400AFC">
        <w:t>cies are higher (around 60 Hz).</w:t>
      </w:r>
      <w:r w:rsidR="00B564F8">
        <w:t xml:space="preserve"> </w:t>
      </w:r>
      <w:r w:rsidR="00AE3A4E">
        <w:t>T</w:t>
      </w:r>
      <w:r w:rsidR="00B564F8">
        <w:t>he dominant frequency of the A-weighted structure-borne noise level is at around 100 Hz,</w:t>
      </w:r>
      <w:r w:rsidR="00AE3A4E">
        <w:t xml:space="preserve"> therefore</w:t>
      </w:r>
      <w:r w:rsidR="00B564F8">
        <w:t xml:space="preserve"> the predicted structure-borne noise levels can be compared to </w:t>
      </w:r>
      <w:r w:rsidR="00630504">
        <w:t>the perception limit of 40 dB of the mid-frequency FTA criteria</w:t>
      </w:r>
      <w:r w:rsidR="00B564F8">
        <w:t>. Th</w:t>
      </w:r>
      <w:r w:rsidR="00630504">
        <w:t>is</w:t>
      </w:r>
      <w:r w:rsidR="00DE06C3">
        <w:t xml:space="preserve"> criteria is 5 </w:t>
      </w:r>
      <w:r w:rsidR="00B564F8">
        <w:t>dB higher than the non-frequency related criteria adopted in this assessment (35 dB L</w:t>
      </w:r>
      <w:r w:rsidR="00B564F8" w:rsidRPr="00C0006F">
        <w:rPr>
          <w:vertAlign w:val="subscript"/>
        </w:rPr>
        <w:t>ASmax</w:t>
      </w:r>
      <w:r w:rsidR="00B564F8">
        <w:t xml:space="preserve">). The predicted structure-borne noise levels shown in Table </w:t>
      </w:r>
      <w:r w:rsidR="00DE06C3">
        <w:t>4</w:t>
      </w:r>
      <w:r w:rsidR="00B564F8">
        <w:t>.3 are still higher than this less stringent limit by up to 16</w:t>
      </w:r>
      <w:r w:rsidR="00AE3A4E">
        <w:t> </w:t>
      </w:r>
      <w:r w:rsidR="00B564F8">
        <w:t>dB, although fewer rooms in the proposed building would be affected. The horizontal distance away from the tunnels where first floor rooms would be adversely affected based on this criteria would reduce to 12</w:t>
      </w:r>
      <w:r>
        <w:t>.2</w:t>
      </w:r>
      <w:r w:rsidR="00B564F8">
        <w:t xml:space="preserve"> m</w:t>
      </w:r>
      <w:r>
        <w:t xml:space="preserve"> and 12.4 for the 18</w:t>
      </w:r>
      <w:r w:rsidR="0013327A">
        <w:t> </w:t>
      </w:r>
      <w:r>
        <w:t>m and 24.5 m deep piles respectively</w:t>
      </w:r>
      <w:r w:rsidR="00B564F8">
        <w:t>.</w:t>
      </w:r>
    </w:p>
    <w:p w14:paraId="3D4B3362" w14:textId="77777777" w:rsidR="00E86B36" w:rsidRDefault="00E86B36" w:rsidP="00B564F8">
      <w:pPr>
        <w:pStyle w:val="EAAnormaltext"/>
      </w:pPr>
    </w:p>
    <w:p w14:paraId="13946A2E" w14:textId="779F8200" w:rsidR="00E86B36" w:rsidRDefault="00E86B36" w:rsidP="00E86B36">
      <w:pPr>
        <w:pStyle w:val="EAAheading1"/>
        <w:ind w:left="567" w:hanging="567"/>
      </w:pPr>
      <w:r>
        <w:t>Uncertainty</w:t>
      </w:r>
    </w:p>
    <w:p w14:paraId="2060FA76" w14:textId="75BB865B" w:rsidR="00D601AD" w:rsidRDefault="00D601AD" w:rsidP="00B4561C">
      <w:pPr>
        <w:pStyle w:val="EAAnormaltext"/>
      </w:pPr>
      <w:r>
        <w:t>T</w:t>
      </w:r>
      <w:r w:rsidR="00E86B36">
        <w:t xml:space="preserve">he </w:t>
      </w:r>
      <w:r>
        <w:t>sources of uncertainty</w:t>
      </w:r>
      <w:r w:rsidR="00E86B36">
        <w:t xml:space="preserve"> </w:t>
      </w:r>
      <w:r>
        <w:t>that affect the prediction of vibration propagation,</w:t>
      </w:r>
      <w:r w:rsidR="00E86B36">
        <w:t xml:space="preserve"> </w:t>
      </w:r>
      <w:r>
        <w:t xml:space="preserve">many of which are </w:t>
      </w:r>
      <w:r w:rsidR="00E86B36">
        <w:t>unquantifiable</w:t>
      </w:r>
      <w:r>
        <w:t>, include</w:t>
      </w:r>
      <w:r w:rsidR="006F3C07">
        <w:t>, but are not limited to: measurement accuracy; software uncertainty; and soil composition.</w:t>
      </w:r>
    </w:p>
    <w:p w14:paraId="32EC75EB" w14:textId="2AB81035" w:rsidR="00BD5CF1" w:rsidRDefault="00BD5CF1" w:rsidP="00D601AD">
      <w:pPr>
        <w:pStyle w:val="EAAnormaltext"/>
      </w:pPr>
      <w:r>
        <w:t>The accuracy of the measurements relies on the instrumentation accuracy as well as other sources of vibration in the area (such as passing vehicles on a nearby road). The specific equipment used to measure the data used in this investigation has an accuracy of</w:t>
      </w:r>
      <w:r w:rsidRPr="00BD5CF1">
        <w:t xml:space="preserve"> </w:t>
      </w:r>
      <w:r>
        <w:t>±3.85 ×</w:t>
      </w:r>
      <w:r w:rsidRPr="00BD5CF1">
        <w:t>10</w:t>
      </w:r>
      <w:r w:rsidRPr="00B4561C">
        <w:rPr>
          <w:vertAlign w:val="superscript"/>
        </w:rPr>
        <w:t>-12</w:t>
      </w:r>
      <w:r w:rsidRPr="00BD5CF1">
        <w:t xml:space="preserve"> m/s</w:t>
      </w:r>
      <w:r w:rsidRPr="00B4561C">
        <w:rPr>
          <w:vertAlign w:val="superscript"/>
        </w:rPr>
        <w:t>2</w:t>
      </w:r>
      <w:r>
        <w:t>,</w:t>
      </w:r>
      <w:r w:rsidRPr="00BD5CF1">
        <w:t xml:space="preserve"> </w:t>
      </w:r>
      <w:r w:rsidRPr="00B4561C">
        <w:t>which is small enough to be considered negligible in the overall uncertainty of the investigation.</w:t>
      </w:r>
      <w:r>
        <w:t xml:space="preserve"> The influence of other vibration sources in the area was avoided by using s</w:t>
      </w:r>
      <w:r w:rsidRPr="00BD5CF1">
        <w:t>pecific train passes without the influence of passing cars for the calculation of PPV and structure-borne noise</w:t>
      </w:r>
      <w:r>
        <w:t>.</w:t>
      </w:r>
    </w:p>
    <w:p w14:paraId="43922C7B" w14:textId="2BD38C21" w:rsidR="00BD5CF1" w:rsidRDefault="00BD5CF1" w:rsidP="00BD5CF1">
      <w:pPr>
        <w:pStyle w:val="EAAnormaltext"/>
      </w:pPr>
      <w:r>
        <w:t>Hunt [</w:t>
      </w:r>
      <w:r w:rsidR="005C7D6B">
        <w:t>9</w:t>
      </w:r>
      <w:r>
        <w:t xml:space="preserve">] discussed the uncertainty of PiP in detail and showed that changing certain parameters within the software by even a small amount can give uncertainties of greater than 10 dB when predicting specific vibration levels. In the assessment presented in this paper, the software was not used to predict exact vibration levels but was used to predict the difference in level from one point in the ground to another. Using the software in this way is not nearly as susceptible to uncertainty, because the prediction of differentials does not rely as much on the exact input </w:t>
      </w:r>
      <w:r w:rsidR="00400AFC">
        <w:t xml:space="preserve">parameters. </w:t>
      </w:r>
      <w:r>
        <w:t>The actual uncertainty of using the PiP software in the methodology applied relates to the input parameters, which were kept as consistent as possible to give reliability.</w:t>
      </w:r>
    </w:p>
    <w:p w14:paraId="783EDCF9" w14:textId="00D4F507" w:rsidR="006F3C07" w:rsidRDefault="00E86B36" w:rsidP="00E86B36">
      <w:pPr>
        <w:pStyle w:val="EAAnormaltext"/>
      </w:pPr>
      <w:r>
        <w:t xml:space="preserve">The overall value of uncertainty relies significantly on the soil loss factor, which provides the greatest uncertainty factor </w:t>
      </w:r>
      <w:r w:rsidR="0073172B">
        <w:t xml:space="preserve">as </w:t>
      </w:r>
      <w:r w:rsidR="0073172B" w:rsidRPr="0073172B">
        <w:t xml:space="preserve">the soil loss factor for clay soils </w:t>
      </w:r>
      <w:r w:rsidR="0073172B">
        <w:t xml:space="preserve">used </w:t>
      </w:r>
      <w:r w:rsidR="0073172B" w:rsidRPr="0073172B">
        <w:t xml:space="preserve">is based on a range provided by Ungar &amp; Bender </w:t>
      </w:r>
      <w:r w:rsidR="0073172B">
        <w:t>[1].</w:t>
      </w:r>
      <w:r w:rsidR="0073172B" w:rsidRPr="0073172B">
        <w:t xml:space="preserve"> </w:t>
      </w:r>
      <w:r w:rsidR="0073172B">
        <w:t xml:space="preserve">Opposing ends of this range give large differences in results as it has a great effect on the calculation of the vibration wave speed. </w:t>
      </w:r>
      <w:r>
        <w:t xml:space="preserve">Based on </w:t>
      </w:r>
      <w:r w:rsidR="0073172B">
        <w:t>this range of loss factors</w:t>
      </w:r>
      <w:r>
        <w:t>, the overall uncertainty value could be up to ±54 m/s</w:t>
      </w:r>
      <w:r w:rsidRPr="00E86B36">
        <w:rPr>
          <w:vertAlign w:val="superscript"/>
        </w:rPr>
        <w:t>1.75</w:t>
      </w:r>
      <w:r>
        <w:t xml:space="preserve"> for the specific assessments carried out,</w:t>
      </w:r>
      <w:r w:rsidR="0073172B">
        <w:t xml:space="preserve"> with the exact uncertainty for each pile relying on the amount of soil that the vibration propagates through.</w:t>
      </w:r>
      <w:r w:rsidR="006F3C07">
        <w:t xml:space="preserve"> W</w:t>
      </w:r>
      <w:r w:rsidR="006F3C07" w:rsidRPr="006F3C07">
        <w:t>hen a high soil loss factor is assumed, the</w:t>
      </w:r>
      <w:r w:rsidR="006F3C07">
        <w:t xml:space="preserve"> PiP</w:t>
      </w:r>
      <w:r w:rsidR="006F3C07" w:rsidRPr="006F3C07">
        <w:t xml:space="preserve"> software predicts very low levels of vibration at the surface, much lower than were actually measured</w:t>
      </w:r>
      <w:r w:rsidR="006F3C07">
        <w:t>, and therefore huge differentials through the soil are predicted using this methodology. It is therefore reasonable to conclude based on the measured data that the actual loss of vibration through the soil tended towards the lower end of the range of soil loss factors. This means that the actual level of uncertainty is much lower than that given above, but cannot be exactly quantified.</w:t>
      </w:r>
    </w:p>
    <w:p w14:paraId="0E458D34" w14:textId="4192BF4C" w:rsidR="00B564F8" w:rsidRDefault="00E86B36" w:rsidP="00E86B36">
      <w:pPr>
        <w:pStyle w:val="EAAnormaltext"/>
      </w:pPr>
      <w:r>
        <w:t xml:space="preserve">The levels of uncertainty, including in the uncertainty itself, </w:t>
      </w:r>
      <w:r w:rsidR="008F625C">
        <w:t xml:space="preserve">can be considered </w:t>
      </w:r>
      <w:r w:rsidR="00B4561C">
        <w:t xml:space="preserve">to be </w:t>
      </w:r>
      <w:r>
        <w:t>the obstructions to accurate predictions of vibration propagation through soil</w:t>
      </w:r>
      <w:r w:rsidR="008F625C">
        <w:t>.</w:t>
      </w:r>
      <w:r>
        <w:t xml:space="preserve"> </w:t>
      </w:r>
      <w:r w:rsidR="008F625C">
        <w:t xml:space="preserve">This originates in </w:t>
      </w:r>
      <w:r>
        <w:t xml:space="preserve">the significant lack of research </w:t>
      </w:r>
      <w:r w:rsidR="008F625C">
        <w:t xml:space="preserve">and information on different </w:t>
      </w:r>
      <w:r>
        <w:t xml:space="preserve">soil </w:t>
      </w:r>
      <w:r w:rsidR="008F625C">
        <w:t xml:space="preserve">compositions and their </w:t>
      </w:r>
      <w:r>
        <w:t>loss factor</w:t>
      </w:r>
      <w:r w:rsidR="008F625C">
        <w:t>s</w:t>
      </w:r>
      <w:r>
        <w:t xml:space="preserve">.  </w:t>
      </w:r>
    </w:p>
    <w:p w14:paraId="000196FE" w14:textId="77777777" w:rsidR="00E86B36" w:rsidRDefault="00E86B36" w:rsidP="00B564F8">
      <w:pPr>
        <w:pStyle w:val="EAAnormaltext"/>
      </w:pPr>
    </w:p>
    <w:p w14:paraId="1D46B45F" w14:textId="77777777" w:rsidR="00B564F8" w:rsidRDefault="00B564F8" w:rsidP="00B564F8">
      <w:pPr>
        <w:pStyle w:val="EAAheading1"/>
        <w:ind w:left="567" w:hanging="567"/>
      </w:pPr>
      <w:r>
        <w:t>Conclusions</w:t>
      </w:r>
    </w:p>
    <w:p w14:paraId="3C8267FE" w14:textId="6293B229" w:rsidR="00B564F8" w:rsidRDefault="00B564F8" w:rsidP="00B564F8">
      <w:pPr>
        <w:pStyle w:val="EAAnormaltext"/>
      </w:pPr>
      <w:r>
        <w:t>An assessment of ground-borne vibration and structure-borne noise has been undertaken for a proposed residential development at a site located above the London Underground Piccadilly Line.</w:t>
      </w:r>
    </w:p>
    <w:p w14:paraId="71DC600D" w14:textId="029124A1" w:rsidR="00B564F8" w:rsidRDefault="00B564F8" w:rsidP="00B564F8">
      <w:pPr>
        <w:pStyle w:val="EAAnormaltext"/>
      </w:pPr>
      <w:r>
        <w:lastRenderedPageBreak/>
        <w:t xml:space="preserve">Previously measured site levels of vibration at ground level caused by passing underground trains have been used to predict the levels of vibration within commercial and residential room spaces in the proposed building. </w:t>
      </w:r>
      <w:r w:rsidR="00845E67">
        <w:t>A</w:t>
      </w:r>
      <w:r>
        <w:t xml:space="preserve"> </w:t>
      </w:r>
      <w:r w:rsidR="000C23B3">
        <w:t>modelling program</w:t>
      </w:r>
      <w:r w:rsidR="00400AFC">
        <w:t xml:space="preserve"> (PiP)</w:t>
      </w:r>
      <w:r w:rsidR="000C23B3">
        <w:t xml:space="preserve"> </w:t>
      </w:r>
      <w:r w:rsidR="00845E67">
        <w:t>was used to calculate</w:t>
      </w:r>
      <w:r>
        <w:t xml:space="preserve"> </w:t>
      </w:r>
      <w:r w:rsidR="00845E67">
        <w:t xml:space="preserve">differentials between </w:t>
      </w:r>
      <w:r>
        <w:t xml:space="preserve">vibration </w:t>
      </w:r>
      <w:r w:rsidR="00845E67">
        <w:t xml:space="preserve">magnitudes </w:t>
      </w:r>
      <w:r>
        <w:t xml:space="preserve">at different points in the ground, enabling levels of vibration at the bottom of proposed pile foundations to be predicted </w:t>
      </w:r>
      <w:r w:rsidR="00DF1EA4">
        <w:t>using levels measured at the surface</w:t>
      </w:r>
      <w:r>
        <w:t xml:space="preserve">. </w:t>
      </w:r>
      <w:r w:rsidR="000C23B3">
        <w:t>Dedicated t</w:t>
      </w:r>
      <w:r>
        <w:t>ransfer functions were then used to predict the level of vibration transmission into and through the proposed structure of the building.</w:t>
      </w:r>
    </w:p>
    <w:p w14:paraId="5C752DAE" w14:textId="14E56F88" w:rsidR="00B564F8" w:rsidRDefault="00B564F8" w:rsidP="00B564F8">
      <w:pPr>
        <w:pStyle w:val="EAAnormaltext"/>
      </w:pPr>
      <w:r>
        <w:t xml:space="preserve">The results showed a </w:t>
      </w:r>
      <w:r w:rsidR="00AB67E2">
        <w:t>relationship</w:t>
      </w:r>
      <w:r>
        <w:t xml:space="preserve"> be</w:t>
      </w:r>
      <w:bookmarkStart w:id="0" w:name="_GoBack"/>
      <w:bookmarkEnd w:id="0"/>
      <w:r>
        <w:t xml:space="preserve">tween the </w:t>
      </w:r>
      <w:r w:rsidR="00E86B36">
        <w:t>angle</w:t>
      </w:r>
      <w:r>
        <w:t xml:space="preserve"> of the piles </w:t>
      </w:r>
      <w:r w:rsidR="00E86B36">
        <w:t xml:space="preserve">to the train tunnels </w:t>
      </w:r>
      <w:r>
        <w:t xml:space="preserve">and the level of vibration transmitted to them, where piles </w:t>
      </w:r>
      <w:r w:rsidR="00E86B36">
        <w:t>directly above the tunnels had</w:t>
      </w:r>
      <w:r>
        <w:t xml:space="preserve"> greater level of vibration incident upon them. A </w:t>
      </w:r>
      <w:r w:rsidR="00AB67E2">
        <w:t xml:space="preserve">relationship </w:t>
      </w:r>
      <w:r>
        <w:t>was also seen with distance, where greater distances resulted in greater attenuation of vibration through the soil</w:t>
      </w:r>
      <w:r w:rsidR="00E86B36">
        <w:t xml:space="preserve">, </w:t>
      </w:r>
      <w:r w:rsidR="00293172">
        <w:t>following an inverse power ratio due to geometric spreading of energy</w:t>
      </w:r>
      <w:r>
        <w:t>.</w:t>
      </w:r>
    </w:p>
    <w:p w14:paraId="16664AC6" w14:textId="40F47DFC" w:rsidR="00B564F8" w:rsidRDefault="00B564F8" w:rsidP="00B564F8">
      <w:pPr>
        <w:pStyle w:val="EAAnormaltext"/>
      </w:pPr>
      <w:r>
        <w:t>The assessment showed that tactile vibration within residential room spaces would not be large enough to cause adverse human response based on the Piccadilly Line timetables at the time of the measurements. Tactile vibration levels were predicted as being well below the levels required to cause building damage.</w:t>
      </w:r>
    </w:p>
    <w:p w14:paraId="6D4F4A3F" w14:textId="7E92149E" w:rsidR="00B564F8" w:rsidRDefault="00B564F8" w:rsidP="00B564F8">
      <w:pPr>
        <w:pStyle w:val="EAAnormaltext"/>
      </w:pPr>
      <w:r>
        <w:t xml:space="preserve">The assessment of structure-borne noise showed a strong likelihood of significant exceedances of the adopted criteria for both commercial and residential room spaces of the proposed building above piles located up to </w:t>
      </w:r>
      <w:r w:rsidR="0090376E">
        <w:t>14.9</w:t>
      </w:r>
      <w:r>
        <w:t xml:space="preserve"> m away from the Piccadilly Line tunnels. Adverse comment from the occupants of these spaces would be likely without mitigation.  </w:t>
      </w:r>
      <w:r w:rsidR="00DF2F0A">
        <w:t>Structure-borne noise levels were shown to have an inverse power trend with distance away from the tunnels, with the trend depending on the depth of the piles.</w:t>
      </w:r>
    </w:p>
    <w:p w14:paraId="55657EA1" w14:textId="452DFD11" w:rsidR="00B564F8" w:rsidRDefault="00B564F8" w:rsidP="00B564F8">
      <w:pPr>
        <w:pStyle w:val="EAAnormaltext"/>
      </w:pPr>
      <w:r w:rsidRPr="00754E39">
        <w:t>The uncertainty in the investigation methodology highlighted the need for considerable, in-depth studies into soil loss factors, which are limited in research and in defined calculation methods. To enable the method used to be suitable for predicting the effects of underground train vibration, either considerable examination into soil loss factors must be undertaken or simultaneous surface and below ground level vibration measurements be taken at each site where a new building with piled foundations is proposed above, or proximate to, an underground railway line.</w:t>
      </w:r>
    </w:p>
    <w:p w14:paraId="7F96B93E" w14:textId="77777777" w:rsidR="009F0AF4" w:rsidRPr="00C77B38" w:rsidRDefault="009F0AF4" w:rsidP="00B23B53">
      <w:pPr>
        <w:pStyle w:val="EAAAcknowledgements"/>
      </w:pPr>
      <w:r w:rsidRPr="009F0AF4">
        <w:t>Acknowledgement</w:t>
      </w:r>
    </w:p>
    <w:p w14:paraId="544D7DA0" w14:textId="5BC8EAE1" w:rsidR="009F0AF4" w:rsidRPr="009F0AF4" w:rsidRDefault="00900E13" w:rsidP="00900E13">
      <w:pPr>
        <w:pStyle w:val="EAAnormaltext"/>
      </w:pPr>
      <w:r>
        <w:t>This project was supported by London South Bank University</w:t>
      </w:r>
      <w:r w:rsidR="005C7D6B">
        <w:t xml:space="preserve"> </w:t>
      </w:r>
      <w:r w:rsidR="00DF2F0A">
        <w:t>and by Hilson Moran Partnership Ltd</w:t>
      </w:r>
      <w:r w:rsidR="009F0AF4" w:rsidRPr="009F0AF4">
        <w:t>.</w:t>
      </w:r>
    </w:p>
    <w:p w14:paraId="3BD957F0" w14:textId="77777777" w:rsidR="009F0AF4" w:rsidRPr="009F0AF4" w:rsidRDefault="009F0AF4" w:rsidP="00B23B53">
      <w:pPr>
        <w:pStyle w:val="EAAreferencetitle"/>
      </w:pPr>
      <w:r w:rsidRPr="009F0AF4">
        <w:t>References</w:t>
      </w:r>
    </w:p>
    <w:p w14:paraId="00D32D7F" w14:textId="2F790489" w:rsidR="007E11D8" w:rsidRDefault="002A4703" w:rsidP="00613304">
      <w:pPr>
        <w:pStyle w:val="EAAreferences"/>
      </w:pPr>
      <w:r>
        <w:t>[1]</w:t>
      </w:r>
      <w:r w:rsidR="009C09CF" w:rsidRPr="009C09CF">
        <w:t xml:space="preserve"> </w:t>
      </w:r>
      <w:r w:rsidR="009C09CF">
        <w:tab/>
      </w:r>
      <w:r w:rsidR="007E11D8">
        <w:t xml:space="preserve">E.E. </w:t>
      </w:r>
      <w:r w:rsidR="007E11D8" w:rsidRPr="007E11D8">
        <w:t>Ungar</w:t>
      </w:r>
      <w:r w:rsidR="007E11D8">
        <w:t>,</w:t>
      </w:r>
      <w:r w:rsidR="007E11D8" w:rsidRPr="007E11D8">
        <w:t xml:space="preserve"> E.</w:t>
      </w:r>
      <w:r w:rsidR="007E11D8">
        <w:t>K.</w:t>
      </w:r>
      <w:r w:rsidR="007E11D8" w:rsidRPr="007E11D8">
        <w:t xml:space="preserve"> Bender</w:t>
      </w:r>
      <w:r w:rsidR="007E11D8">
        <w:t>:</w:t>
      </w:r>
      <w:r w:rsidR="007E11D8" w:rsidRPr="007E11D8">
        <w:t xml:space="preserve"> Vibrations Produced in Buildings by Passage of Subway Trains; Parameter Estimation for Preliminary Design</w:t>
      </w:r>
      <w:r w:rsidR="007E11D8">
        <w:t>.</w:t>
      </w:r>
      <w:r w:rsidR="007E11D8" w:rsidRPr="007E11D8">
        <w:t xml:space="preserve"> Bolt Beranek and Newman In</w:t>
      </w:r>
      <w:r w:rsidR="007E11D8">
        <w:t xml:space="preserve">c. Cambridge Massachusetts, USA, </w:t>
      </w:r>
      <w:r w:rsidR="007E11D8" w:rsidRPr="007E11D8">
        <w:t>1975</w:t>
      </w:r>
      <w:r w:rsidR="007E11D8">
        <w:t>.</w:t>
      </w:r>
    </w:p>
    <w:p w14:paraId="4E411E82" w14:textId="6DB391DF" w:rsidR="008C0B80" w:rsidRDefault="008C0B80" w:rsidP="008C0B80">
      <w:pPr>
        <w:pStyle w:val="EAAreferences"/>
      </w:pPr>
      <w:r>
        <w:t>[2]</w:t>
      </w:r>
      <w:r>
        <w:tab/>
        <w:t xml:space="preserve">P.M. </w:t>
      </w:r>
      <w:r w:rsidRPr="00472E6E">
        <w:t>Nelson</w:t>
      </w:r>
      <w:r>
        <w:t xml:space="preserve">: </w:t>
      </w:r>
      <w:r w:rsidRPr="00472E6E">
        <w:t>Transportation Noise Reference Book</w:t>
      </w:r>
      <w:r>
        <w:t>.</w:t>
      </w:r>
      <w:r w:rsidRPr="00472E6E">
        <w:t xml:space="preserve"> Butterworth &amp; Co. (Publishers) Ltd</w:t>
      </w:r>
      <w:r>
        <w:t>, 1987.</w:t>
      </w:r>
    </w:p>
    <w:p w14:paraId="1CF01315" w14:textId="672C5D94" w:rsidR="005C7D6B" w:rsidRDefault="005C7D6B" w:rsidP="008C0B80">
      <w:pPr>
        <w:pStyle w:val="EAAreferences"/>
      </w:pPr>
      <w:r>
        <w:t xml:space="preserve">[3] </w:t>
      </w:r>
      <w:r w:rsidRPr="005C7D6B">
        <w:t>Crossrail</w:t>
      </w:r>
      <w:r>
        <w:t xml:space="preserve">: </w:t>
      </w:r>
      <w:r w:rsidRPr="005C7D6B">
        <w:t>Crossrail: Information for Dev</w:t>
      </w:r>
      <w:r>
        <w:t>elopers. London, Crossrail Ltd, 2008.</w:t>
      </w:r>
    </w:p>
    <w:p w14:paraId="1063FFC2" w14:textId="6EF5B0AB" w:rsidR="005C7D6B" w:rsidRDefault="005C7D6B" w:rsidP="008C0B80">
      <w:pPr>
        <w:pStyle w:val="EAAreferences"/>
      </w:pPr>
      <w:r>
        <w:t>[4]</w:t>
      </w:r>
      <w:r w:rsidRPr="005C7D6B">
        <w:t xml:space="preserve"> Crossrail</w:t>
      </w:r>
      <w:r>
        <w:t>:</w:t>
      </w:r>
      <w:r w:rsidRPr="005C7D6B">
        <w:t xml:space="preserve"> </w:t>
      </w:r>
      <w:r>
        <w:t xml:space="preserve">Crossrail 2 / </w:t>
      </w:r>
      <w:r w:rsidRPr="005C7D6B">
        <w:t>Chelsea Hackney Line: Information for Dev</w:t>
      </w:r>
      <w:r>
        <w:t>elopers. London, Crossrail Ltd, 2014.</w:t>
      </w:r>
    </w:p>
    <w:p w14:paraId="53A396C4" w14:textId="4762907E" w:rsidR="00613304" w:rsidRDefault="00613304" w:rsidP="00613304">
      <w:pPr>
        <w:pStyle w:val="EAAreferences"/>
      </w:pPr>
      <w:r>
        <w:t>[</w:t>
      </w:r>
      <w:r w:rsidR="005C7D6B">
        <w:t>5</w:t>
      </w:r>
      <w:r>
        <w:t>]</w:t>
      </w:r>
      <w:r>
        <w:tab/>
        <w:t>J. Forrest, H. Hunt: A three-dimensional tunnel model for calculation of train-induced ground vibration. Journal of Sound and Vibration 294 (2006) 4 – 5, 706 – 736.</w:t>
      </w:r>
    </w:p>
    <w:p w14:paraId="1CCF6286" w14:textId="6B9EFD86" w:rsidR="00613304" w:rsidRDefault="00613304" w:rsidP="00613304">
      <w:pPr>
        <w:pStyle w:val="EAAreferences"/>
      </w:pPr>
      <w:r>
        <w:t>[</w:t>
      </w:r>
      <w:r w:rsidR="005C7D6B">
        <w:t>6</w:t>
      </w:r>
      <w:r>
        <w:t>]</w:t>
      </w:r>
      <w:r>
        <w:tab/>
        <w:t>J. Forrest, H. Hunt: Ground vibration generated by trains in underground tunnels. Journal of Sound and Vibration 294 (2006) 4 – 5, 706 – 736.</w:t>
      </w:r>
    </w:p>
    <w:p w14:paraId="0B054AF1" w14:textId="01C3048C" w:rsidR="00613304" w:rsidRDefault="00613304" w:rsidP="00613304">
      <w:pPr>
        <w:pStyle w:val="EAAreferences"/>
      </w:pPr>
      <w:r>
        <w:t>[</w:t>
      </w:r>
      <w:r w:rsidR="005C7D6B">
        <w:t>7</w:t>
      </w:r>
      <w:r>
        <w:t>]</w:t>
      </w:r>
      <w:r>
        <w:tab/>
        <w:t xml:space="preserve">M. </w:t>
      </w:r>
      <w:r w:rsidRPr="00613304">
        <w:t xml:space="preserve">Hussein, </w:t>
      </w:r>
      <w:r>
        <w:t xml:space="preserve">H. </w:t>
      </w:r>
      <w:r w:rsidRPr="00613304">
        <w:t>Hunt</w:t>
      </w:r>
      <w:r>
        <w:t>:</w:t>
      </w:r>
      <w:r w:rsidRPr="00613304">
        <w:t xml:space="preserve"> A Software Application for Calculating Vibration due to Moving Trains in Underground Railway Tunnels</w:t>
      </w:r>
      <w:r>
        <w:t>.</w:t>
      </w:r>
      <w:r w:rsidRPr="00613304">
        <w:t xml:space="preserve"> NOVEM 2009, Oxford.</w:t>
      </w:r>
    </w:p>
    <w:p w14:paraId="1DC0F544" w14:textId="4CE03E90" w:rsidR="00613304" w:rsidRDefault="0050368C" w:rsidP="00613304">
      <w:pPr>
        <w:pStyle w:val="EAAreferences"/>
      </w:pPr>
      <w:r>
        <w:t>[</w:t>
      </w:r>
      <w:r w:rsidR="005C7D6B">
        <w:t>8</w:t>
      </w:r>
      <w:r>
        <w:t>]</w:t>
      </w:r>
      <w:r>
        <w:tab/>
        <w:t xml:space="preserve">R.M. </w:t>
      </w:r>
      <w:r w:rsidRPr="0050368C">
        <w:t>Thornely-Taylor</w:t>
      </w:r>
      <w:r>
        <w:t xml:space="preserve">: </w:t>
      </w:r>
      <w:r w:rsidRPr="0050368C">
        <w:t>Underground Acoustics</w:t>
      </w:r>
      <w:r>
        <w:t>.</w:t>
      </w:r>
      <w:r w:rsidRPr="0050368C">
        <w:t xml:space="preserve"> Rupert Taylor Ltd</w:t>
      </w:r>
      <w:r>
        <w:t>, 2016</w:t>
      </w:r>
      <w:r w:rsidRPr="0050368C">
        <w:t>.</w:t>
      </w:r>
    </w:p>
    <w:p w14:paraId="6748E575" w14:textId="421DA70B" w:rsidR="00472E6E" w:rsidRDefault="00472E6E" w:rsidP="00613304">
      <w:pPr>
        <w:pStyle w:val="EAAreferences"/>
      </w:pPr>
      <w:r>
        <w:t>[</w:t>
      </w:r>
      <w:r w:rsidR="005C7D6B">
        <w:t>9</w:t>
      </w:r>
      <w:r>
        <w:t>]</w:t>
      </w:r>
      <w:r>
        <w:tab/>
        <w:t xml:space="preserve">H. Hunt: </w:t>
      </w:r>
      <w:r w:rsidRPr="00472E6E">
        <w:t>Vibration from Underground Trains: Pipe-in-Pipe Software</w:t>
      </w:r>
      <w:r>
        <w:t>.</w:t>
      </w:r>
      <w:r w:rsidRPr="00472E6E">
        <w:t xml:space="preserve"> PowerPoint Presentation, Cambridge University Engineering Department, University of Cambridge</w:t>
      </w:r>
      <w:r>
        <w:t>, 2008</w:t>
      </w:r>
      <w:r w:rsidRPr="00472E6E">
        <w:t>.</w:t>
      </w:r>
    </w:p>
    <w:p w14:paraId="2684085C" w14:textId="63BFB63C" w:rsidR="00472E6E" w:rsidRDefault="0050368C" w:rsidP="00613304">
      <w:pPr>
        <w:pStyle w:val="EAAreferences"/>
      </w:pPr>
      <w:r>
        <w:t>[</w:t>
      </w:r>
      <w:r w:rsidR="005C7D6B">
        <w:t>10</w:t>
      </w:r>
      <w:r w:rsidR="00472E6E">
        <w:t>]</w:t>
      </w:r>
      <w:r w:rsidR="002E3CC5">
        <w:t xml:space="preserve"> </w:t>
      </w:r>
      <w:r w:rsidR="00472E6E">
        <w:t xml:space="preserve">British Standards Institution (BSI): </w:t>
      </w:r>
      <w:r w:rsidR="00472E6E" w:rsidRPr="00472E6E">
        <w:t>BS 6472:2008 Guide to evaluation of human exposure to vibrat</w:t>
      </w:r>
      <w:r w:rsidR="00472E6E">
        <w:t xml:space="preserve">ion in buildings. </w:t>
      </w:r>
      <w:r w:rsidR="00472E6E" w:rsidRPr="00472E6E">
        <w:t>BSI, Great Britain</w:t>
      </w:r>
      <w:r w:rsidR="00472E6E">
        <w:t>, 2008</w:t>
      </w:r>
      <w:r w:rsidR="00472E6E" w:rsidRPr="00472E6E">
        <w:t>.</w:t>
      </w:r>
    </w:p>
    <w:p w14:paraId="09DA9A87" w14:textId="063D4C6E" w:rsidR="00E91B00" w:rsidRDefault="0050368C" w:rsidP="00613304">
      <w:pPr>
        <w:pStyle w:val="EAAreferences"/>
      </w:pPr>
      <w:r>
        <w:t>[</w:t>
      </w:r>
      <w:r w:rsidR="005C7D6B">
        <w:t>11</w:t>
      </w:r>
      <w:r w:rsidR="00E91B00">
        <w:t>]</w:t>
      </w:r>
      <w:r w:rsidR="009C09CF" w:rsidRPr="009C09CF">
        <w:t xml:space="preserve"> </w:t>
      </w:r>
      <w:r w:rsidR="00E91B00">
        <w:t xml:space="preserve">BSI: BS 7385-2:1993 </w:t>
      </w:r>
      <w:r w:rsidR="00E91B00" w:rsidRPr="00E91B00">
        <w:t>Evaluation and measurement for vibration in buildings – Part 2: Guide to damage le</w:t>
      </w:r>
      <w:r w:rsidR="00E91B00">
        <w:t xml:space="preserve">vels from groundborne vibration. </w:t>
      </w:r>
      <w:r w:rsidR="00E91B00" w:rsidRPr="00472E6E">
        <w:t>BSI, Great Britain</w:t>
      </w:r>
      <w:r w:rsidR="00E91B00">
        <w:t>, 1993.</w:t>
      </w:r>
    </w:p>
    <w:p w14:paraId="551D2332" w14:textId="264A29B6" w:rsidR="00E91B00" w:rsidRDefault="0050368C" w:rsidP="00613304">
      <w:pPr>
        <w:pStyle w:val="EAAreferences"/>
      </w:pPr>
      <w:r>
        <w:t>[1</w:t>
      </w:r>
      <w:r w:rsidR="005C7D6B">
        <w:t>2</w:t>
      </w:r>
      <w:r w:rsidR="00E91B00">
        <w:t>]</w:t>
      </w:r>
      <w:r w:rsidR="009C09CF" w:rsidRPr="009C09CF">
        <w:t xml:space="preserve"> </w:t>
      </w:r>
      <w:r w:rsidR="00E91B00">
        <w:t>BSI</w:t>
      </w:r>
      <w:r w:rsidR="002A4703">
        <w:t xml:space="preserve">: </w:t>
      </w:r>
      <w:r w:rsidR="00E91B00" w:rsidRPr="00E91B00">
        <w:t>BS 5228-2:2009+A1:2014 Code of practice for noise and vibration control on construction and open sites. Vibration</w:t>
      </w:r>
      <w:r w:rsidR="00E91B00">
        <w:t>.</w:t>
      </w:r>
      <w:r w:rsidR="00E91B00" w:rsidRPr="00E91B00">
        <w:t xml:space="preserve"> BSI, Great Britain</w:t>
      </w:r>
      <w:r w:rsidR="00E91B00">
        <w:t>, 2014</w:t>
      </w:r>
      <w:r w:rsidR="00E91B00" w:rsidRPr="00E91B00">
        <w:t>.</w:t>
      </w:r>
    </w:p>
    <w:p w14:paraId="2CD4B79F" w14:textId="54D27D31" w:rsidR="00E91B00" w:rsidRDefault="0050368C" w:rsidP="00613304">
      <w:pPr>
        <w:pStyle w:val="EAAreferences"/>
      </w:pPr>
      <w:r>
        <w:t>[1</w:t>
      </w:r>
      <w:r w:rsidR="005C7D6B">
        <w:t>3</w:t>
      </w:r>
      <w:r w:rsidR="00E91B00">
        <w:t>]</w:t>
      </w:r>
      <w:r w:rsidR="009C09CF" w:rsidRPr="009C09CF">
        <w:t xml:space="preserve"> </w:t>
      </w:r>
      <w:r w:rsidR="00E91B00" w:rsidRPr="00E91B00">
        <w:t>Association of N</w:t>
      </w:r>
      <w:r w:rsidR="00E91B00">
        <w:t xml:space="preserve">oise Consultants (ANC): </w:t>
      </w:r>
      <w:r w:rsidR="00E91B00" w:rsidRPr="00E91B00">
        <w:t>Measurement and assessment of gro</w:t>
      </w:r>
      <w:r w:rsidR="00E91B00">
        <w:t xml:space="preserve">und-borne noise and vibration. </w:t>
      </w:r>
      <w:r w:rsidR="00E91B00" w:rsidRPr="00E91B00">
        <w:t>ANC</w:t>
      </w:r>
      <w:r w:rsidR="00E91B00">
        <w:t>, 2012</w:t>
      </w:r>
      <w:r w:rsidR="00E91B00" w:rsidRPr="00E91B00">
        <w:t>.</w:t>
      </w:r>
    </w:p>
    <w:p w14:paraId="108A0DEB" w14:textId="35B57B93" w:rsidR="002A4703" w:rsidRDefault="002A4703" w:rsidP="002A4703">
      <w:pPr>
        <w:pStyle w:val="EAAreferences"/>
      </w:pPr>
      <w:r>
        <w:t>[1</w:t>
      </w:r>
      <w:r w:rsidR="005C7D6B">
        <w:t>4</w:t>
      </w:r>
      <w:r>
        <w:t>] BSI: BS 8233:2014 Guidance on sound insulation and noise reduction for buildings. BSI, Great Britain, 2014.</w:t>
      </w:r>
    </w:p>
    <w:p w14:paraId="16E80C2B" w14:textId="10746C33" w:rsidR="009C09CF" w:rsidRDefault="009C09CF" w:rsidP="002A4703">
      <w:pPr>
        <w:pStyle w:val="EAAreferences"/>
      </w:pPr>
      <w:r>
        <w:t>[1</w:t>
      </w:r>
      <w:r w:rsidR="005C7D6B">
        <w:t>5</w:t>
      </w:r>
      <w:r>
        <w:t xml:space="preserve">] World Health Organization: Guidelines for community noise. WHO, Geneva, 1999. </w:t>
      </w:r>
    </w:p>
    <w:p w14:paraId="4EA0D521" w14:textId="69947CCF" w:rsidR="00E91B00" w:rsidRDefault="0050368C" w:rsidP="00613304">
      <w:pPr>
        <w:pStyle w:val="EAAreferences"/>
      </w:pPr>
      <w:r>
        <w:t>[</w:t>
      </w:r>
      <w:r w:rsidR="002A4703">
        <w:t>1</w:t>
      </w:r>
      <w:r w:rsidR="005C7D6B">
        <w:t>6</w:t>
      </w:r>
      <w:r w:rsidR="00E91B00">
        <w:t>]</w:t>
      </w:r>
      <w:r w:rsidR="009C09CF" w:rsidRPr="009C09CF">
        <w:t xml:space="preserve"> </w:t>
      </w:r>
      <w:r w:rsidR="00E91B00" w:rsidRPr="00E91B00">
        <w:t>Chartered Institution of Building Services Engineers (CIBSE)</w:t>
      </w:r>
      <w:r w:rsidR="00E91B00">
        <w:t>:</w:t>
      </w:r>
      <w:r w:rsidR="00E91B00" w:rsidRPr="00E91B00">
        <w:t xml:space="preserve"> CIBSE Recommended Noise Ratings For Internal Areas</w:t>
      </w:r>
      <w:r w:rsidR="00E91B00">
        <w:t>.</w:t>
      </w:r>
      <w:r w:rsidR="00E91B00" w:rsidRPr="00E91B00">
        <w:t xml:space="preserve"> CIBSE</w:t>
      </w:r>
      <w:r w:rsidR="00E91B00">
        <w:t>, 1999</w:t>
      </w:r>
      <w:r w:rsidR="00E91B00" w:rsidRPr="00E91B00">
        <w:t>.</w:t>
      </w:r>
    </w:p>
    <w:p w14:paraId="7A5782E4" w14:textId="09DD0668" w:rsidR="00E91B00" w:rsidRDefault="00E91B00" w:rsidP="00613304">
      <w:pPr>
        <w:pStyle w:val="EAAreferences"/>
      </w:pPr>
      <w:r>
        <w:t>[</w:t>
      </w:r>
      <w:r w:rsidR="002A4703">
        <w:t>1</w:t>
      </w:r>
      <w:r w:rsidR="005C7D6B">
        <w:t>7</w:t>
      </w:r>
      <w:r>
        <w:t>]</w:t>
      </w:r>
      <w:r w:rsidR="009C09CF" w:rsidRPr="009C09CF">
        <w:t xml:space="preserve"> </w:t>
      </w:r>
      <w:r>
        <w:t xml:space="preserve">C. </w:t>
      </w:r>
      <w:r w:rsidRPr="00E91B00">
        <w:t>Hanson,</w:t>
      </w:r>
      <w:r>
        <w:t xml:space="preserve"> D. </w:t>
      </w:r>
      <w:r w:rsidRPr="00E91B00">
        <w:t>Towers,</w:t>
      </w:r>
      <w:r>
        <w:t xml:space="preserve"> L. </w:t>
      </w:r>
      <w:r w:rsidRPr="00E91B00">
        <w:t>Meister</w:t>
      </w:r>
      <w:r>
        <w:t xml:space="preserve">: </w:t>
      </w:r>
      <w:r w:rsidRPr="00E91B00">
        <w:t>Transit Noise And Vibration</w:t>
      </w:r>
      <w:r>
        <w:t xml:space="preserve"> Impact Assessment.</w:t>
      </w:r>
      <w:r w:rsidRPr="00E91B00">
        <w:t xml:space="preserve"> Federal Transport Administration, Washington, DC, USA</w:t>
      </w:r>
      <w:r>
        <w:t>, 2006.</w:t>
      </w:r>
    </w:p>
    <w:p w14:paraId="77738943" w14:textId="0580C03E" w:rsidR="00E91B00" w:rsidRDefault="00E91B00" w:rsidP="00613304">
      <w:pPr>
        <w:pStyle w:val="EAAreferences"/>
      </w:pPr>
    </w:p>
    <w:sectPr w:rsidR="00E91B00" w:rsidSect="006E1D1A">
      <w:type w:val="continuous"/>
      <w:pgSz w:w="11906" w:h="16838"/>
      <w:pgMar w:top="1701" w:right="1134" w:bottom="1134" w:left="1134" w:header="397" w:footer="709" w:gutter="0"/>
      <w:cols w:num="2" w:space="45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CBD6D" w16cid:durableId="1E1B31F7"/>
  <w16cid:commentId w16cid:paraId="2ACECA05" w16cid:durableId="1E246933"/>
  <w16cid:commentId w16cid:paraId="7F78873B" w16cid:durableId="1E246AEB"/>
  <w16cid:commentId w16cid:paraId="11A1F7C0" w16cid:durableId="1E246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B502" w14:textId="77777777" w:rsidR="001E2C38" w:rsidRDefault="001E2C38" w:rsidP="00575E9F">
      <w:pPr>
        <w:spacing w:before="0"/>
      </w:pPr>
      <w:r>
        <w:separator/>
      </w:r>
    </w:p>
  </w:endnote>
  <w:endnote w:type="continuationSeparator" w:id="0">
    <w:p w14:paraId="5763052C" w14:textId="77777777" w:rsidR="001E2C38" w:rsidRDefault="001E2C38" w:rsidP="00575E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2235" w14:textId="77777777" w:rsidR="001E2C38" w:rsidRDefault="001E2C38" w:rsidP="009800AD">
    <w:pPr>
      <w:pStyle w:val="Footer"/>
      <w:tabs>
        <w:tab w:val="clear" w:pos="4536"/>
        <w:tab w:val="left" w:pos="2410"/>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D1BE9" w14:textId="77777777" w:rsidR="001E2C38" w:rsidRDefault="001E2C38" w:rsidP="00575E9F">
      <w:pPr>
        <w:spacing w:before="0"/>
      </w:pPr>
      <w:r>
        <w:separator/>
      </w:r>
    </w:p>
  </w:footnote>
  <w:footnote w:type="continuationSeparator" w:id="0">
    <w:p w14:paraId="23DD98C9" w14:textId="77777777" w:rsidR="001E2C38" w:rsidRDefault="001E2C38" w:rsidP="00575E9F">
      <w:pPr>
        <w:spacing w:before="0"/>
      </w:pPr>
      <w:r>
        <w:continuationSeparator/>
      </w:r>
    </w:p>
  </w:footnote>
  <w:footnote w:id="1">
    <w:p w14:paraId="5736B3D7" w14:textId="77777777" w:rsidR="001E2C38" w:rsidRDefault="001E2C38" w:rsidP="00AE2A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7600" w14:textId="77777777" w:rsidR="001E2C38" w:rsidRPr="00444733" w:rsidRDefault="001E2C38" w:rsidP="0044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
      </v:shape>
    </w:pict>
  </w:numPicBullet>
  <w:abstractNum w:abstractNumId="0" w15:restartNumberingAfterBreak="0">
    <w:nsid w:val="FFFFFF1D"/>
    <w:multiLevelType w:val="multilevel"/>
    <w:tmpl w:val="90267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66AB"/>
    <w:multiLevelType w:val="multilevel"/>
    <w:tmpl w:val="AA540A6A"/>
    <w:lvl w:ilvl="0">
      <w:start w:val="1"/>
      <w:numFmt w:val="decimal"/>
      <w:lvlText w:val="%1."/>
      <w:lvlJc w:val="left"/>
      <w:pPr>
        <w:ind w:left="360" w:hanging="360"/>
      </w:pPr>
    </w:lvl>
    <w:lvl w:ilvl="1">
      <w:start w:val="1"/>
      <w:numFmt w:val="decimal"/>
      <w:pStyle w:val="EAAheading2"/>
      <w:lvlText w:val="%1.%2."/>
      <w:lvlJc w:val="left"/>
      <w:pPr>
        <w:ind w:left="716" w:hanging="432"/>
      </w:pPr>
    </w:lvl>
    <w:lvl w:ilvl="2">
      <w:start w:val="1"/>
      <w:numFmt w:val="decimal"/>
      <w:pStyle w:val="EAA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CF131A"/>
    <w:multiLevelType w:val="hybridMultilevel"/>
    <w:tmpl w:val="DE80981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27F514F5"/>
    <w:multiLevelType w:val="hybridMultilevel"/>
    <w:tmpl w:val="7744060E"/>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2B15D26"/>
    <w:multiLevelType w:val="hybridMultilevel"/>
    <w:tmpl w:val="A1D04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627F85"/>
    <w:multiLevelType w:val="hybridMultilevel"/>
    <w:tmpl w:val="76841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4E4889"/>
    <w:multiLevelType w:val="hybridMultilevel"/>
    <w:tmpl w:val="74A20B18"/>
    <w:lvl w:ilvl="0" w:tplc="F3745D5A">
      <w:start w:val="1"/>
      <w:numFmt w:val="decimal"/>
      <w:pStyle w:val="EAA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6"/>
  </w:num>
  <w:num w:numId="16">
    <w:abstractNumId w:val="1"/>
  </w:num>
  <w:num w:numId="17">
    <w:abstractNumId w:val="1"/>
  </w:num>
  <w:num w:numId="18">
    <w:abstractNumId w:val="6"/>
  </w:num>
  <w:num w:numId="19">
    <w:abstractNumId w:val="1"/>
  </w:num>
  <w:num w:numId="20">
    <w:abstractNumId w:val="1"/>
  </w:num>
  <w:num w:numId="21">
    <w:abstractNumId w:val="6"/>
  </w:num>
  <w:num w:numId="22">
    <w:abstractNumId w:val="1"/>
  </w:num>
  <w:num w:numId="23">
    <w:abstractNumId w:val="1"/>
  </w:num>
  <w:num w:numId="24">
    <w:abstractNumId w:val="1"/>
  </w:num>
  <w:num w:numId="25">
    <w:abstractNumId w:val="1"/>
  </w:num>
  <w:num w:numId="26">
    <w:abstractNumId w:val="6"/>
  </w:num>
  <w:num w:numId="27">
    <w:abstractNumId w:val="1"/>
  </w:num>
  <w:num w:numId="28">
    <w:abstractNumId w:val="1"/>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F"/>
    <w:rsid w:val="00001E5E"/>
    <w:rsid w:val="00035915"/>
    <w:rsid w:val="00046F5B"/>
    <w:rsid w:val="00060D89"/>
    <w:rsid w:val="00063927"/>
    <w:rsid w:val="000656DF"/>
    <w:rsid w:val="0006771F"/>
    <w:rsid w:val="00073245"/>
    <w:rsid w:val="00086D1C"/>
    <w:rsid w:val="00086DCC"/>
    <w:rsid w:val="00094EE9"/>
    <w:rsid w:val="000A550F"/>
    <w:rsid w:val="000B4D4F"/>
    <w:rsid w:val="000C23B3"/>
    <w:rsid w:val="000C5C91"/>
    <w:rsid w:val="000C6BEF"/>
    <w:rsid w:val="000E025E"/>
    <w:rsid w:val="000E03AA"/>
    <w:rsid w:val="000F0573"/>
    <w:rsid w:val="000F1B7E"/>
    <w:rsid w:val="00125D03"/>
    <w:rsid w:val="0013327A"/>
    <w:rsid w:val="00134753"/>
    <w:rsid w:val="001440B9"/>
    <w:rsid w:val="00156F05"/>
    <w:rsid w:val="00170C8C"/>
    <w:rsid w:val="001843F7"/>
    <w:rsid w:val="00187347"/>
    <w:rsid w:val="001936EC"/>
    <w:rsid w:val="00197ED1"/>
    <w:rsid w:val="001A4767"/>
    <w:rsid w:val="001A5C38"/>
    <w:rsid w:val="001B0470"/>
    <w:rsid w:val="001B3716"/>
    <w:rsid w:val="001B384B"/>
    <w:rsid w:val="001B6C45"/>
    <w:rsid w:val="001D1F26"/>
    <w:rsid w:val="001D3BE7"/>
    <w:rsid w:val="001E2C38"/>
    <w:rsid w:val="001F7C2B"/>
    <w:rsid w:val="00216B7B"/>
    <w:rsid w:val="00227D2B"/>
    <w:rsid w:val="00246361"/>
    <w:rsid w:val="00253738"/>
    <w:rsid w:val="00266469"/>
    <w:rsid w:val="00280053"/>
    <w:rsid w:val="002822C3"/>
    <w:rsid w:val="00293172"/>
    <w:rsid w:val="002A4703"/>
    <w:rsid w:val="002A7262"/>
    <w:rsid w:val="002B51AB"/>
    <w:rsid w:val="002C025C"/>
    <w:rsid w:val="002C402F"/>
    <w:rsid w:val="002E3CC5"/>
    <w:rsid w:val="002F664E"/>
    <w:rsid w:val="00303FD5"/>
    <w:rsid w:val="0030570F"/>
    <w:rsid w:val="00313321"/>
    <w:rsid w:val="00336B21"/>
    <w:rsid w:val="003414BC"/>
    <w:rsid w:val="00342E55"/>
    <w:rsid w:val="00347D14"/>
    <w:rsid w:val="00354E74"/>
    <w:rsid w:val="00374AE3"/>
    <w:rsid w:val="003A71C5"/>
    <w:rsid w:val="003C02E2"/>
    <w:rsid w:val="003C23AC"/>
    <w:rsid w:val="003C3C1D"/>
    <w:rsid w:val="003C4E08"/>
    <w:rsid w:val="003D0FB5"/>
    <w:rsid w:val="003D1019"/>
    <w:rsid w:val="003E10B3"/>
    <w:rsid w:val="003F18FD"/>
    <w:rsid w:val="00400AFC"/>
    <w:rsid w:val="00401109"/>
    <w:rsid w:val="004215AB"/>
    <w:rsid w:val="00432717"/>
    <w:rsid w:val="004433B1"/>
    <w:rsid w:val="00444332"/>
    <w:rsid w:val="00444733"/>
    <w:rsid w:val="004605C0"/>
    <w:rsid w:val="00462369"/>
    <w:rsid w:val="00465AFC"/>
    <w:rsid w:val="004667B1"/>
    <w:rsid w:val="00472E6E"/>
    <w:rsid w:val="00475386"/>
    <w:rsid w:val="0048246C"/>
    <w:rsid w:val="00491731"/>
    <w:rsid w:val="00493F55"/>
    <w:rsid w:val="00497FB4"/>
    <w:rsid w:val="004A3005"/>
    <w:rsid w:val="004A5932"/>
    <w:rsid w:val="004D4021"/>
    <w:rsid w:val="004E399F"/>
    <w:rsid w:val="004E4689"/>
    <w:rsid w:val="004F03E8"/>
    <w:rsid w:val="004F0CCA"/>
    <w:rsid w:val="004F4A71"/>
    <w:rsid w:val="0050368C"/>
    <w:rsid w:val="005121A1"/>
    <w:rsid w:val="00515684"/>
    <w:rsid w:val="00533314"/>
    <w:rsid w:val="00536FFD"/>
    <w:rsid w:val="00553D00"/>
    <w:rsid w:val="005604FC"/>
    <w:rsid w:val="0056535F"/>
    <w:rsid w:val="00567736"/>
    <w:rsid w:val="0057165C"/>
    <w:rsid w:val="00575E9F"/>
    <w:rsid w:val="00583124"/>
    <w:rsid w:val="00597219"/>
    <w:rsid w:val="005A4328"/>
    <w:rsid w:val="005B1008"/>
    <w:rsid w:val="005B1060"/>
    <w:rsid w:val="005B1EB7"/>
    <w:rsid w:val="005B5BFE"/>
    <w:rsid w:val="005B6F5F"/>
    <w:rsid w:val="005C2BE6"/>
    <w:rsid w:val="005C7D6B"/>
    <w:rsid w:val="005E3E77"/>
    <w:rsid w:val="005E4AD2"/>
    <w:rsid w:val="005E53BA"/>
    <w:rsid w:val="005F2B3F"/>
    <w:rsid w:val="005F5358"/>
    <w:rsid w:val="00601F8E"/>
    <w:rsid w:val="00613304"/>
    <w:rsid w:val="00617928"/>
    <w:rsid w:val="00630504"/>
    <w:rsid w:val="006345ED"/>
    <w:rsid w:val="0064660B"/>
    <w:rsid w:val="006473BC"/>
    <w:rsid w:val="00657A1F"/>
    <w:rsid w:val="00665904"/>
    <w:rsid w:val="0067110D"/>
    <w:rsid w:val="0067232F"/>
    <w:rsid w:val="00680A5C"/>
    <w:rsid w:val="00683560"/>
    <w:rsid w:val="00684E9F"/>
    <w:rsid w:val="006B4CA7"/>
    <w:rsid w:val="006C06E8"/>
    <w:rsid w:val="006E1D1A"/>
    <w:rsid w:val="006E2E08"/>
    <w:rsid w:val="006F322E"/>
    <w:rsid w:val="006F3C07"/>
    <w:rsid w:val="006F47D5"/>
    <w:rsid w:val="006F7A9D"/>
    <w:rsid w:val="00701B4F"/>
    <w:rsid w:val="00720C0E"/>
    <w:rsid w:val="00723378"/>
    <w:rsid w:val="00730203"/>
    <w:rsid w:val="0073172B"/>
    <w:rsid w:val="00732BEB"/>
    <w:rsid w:val="00737A21"/>
    <w:rsid w:val="00745C95"/>
    <w:rsid w:val="00747657"/>
    <w:rsid w:val="00751426"/>
    <w:rsid w:val="00751998"/>
    <w:rsid w:val="00754E39"/>
    <w:rsid w:val="0075596C"/>
    <w:rsid w:val="00763820"/>
    <w:rsid w:val="0076619C"/>
    <w:rsid w:val="00774B08"/>
    <w:rsid w:val="007776C9"/>
    <w:rsid w:val="00782C83"/>
    <w:rsid w:val="00795E1E"/>
    <w:rsid w:val="007A23EB"/>
    <w:rsid w:val="007A2A36"/>
    <w:rsid w:val="007A3824"/>
    <w:rsid w:val="007A6C63"/>
    <w:rsid w:val="007C0D8B"/>
    <w:rsid w:val="007C3E1E"/>
    <w:rsid w:val="007C6515"/>
    <w:rsid w:val="007D03B1"/>
    <w:rsid w:val="007D0F11"/>
    <w:rsid w:val="007D2ACB"/>
    <w:rsid w:val="007D3ECF"/>
    <w:rsid w:val="007E11D8"/>
    <w:rsid w:val="007E5FAB"/>
    <w:rsid w:val="007F5CF8"/>
    <w:rsid w:val="007F6317"/>
    <w:rsid w:val="00820EF8"/>
    <w:rsid w:val="00824414"/>
    <w:rsid w:val="008424DF"/>
    <w:rsid w:val="00845E67"/>
    <w:rsid w:val="008516C6"/>
    <w:rsid w:val="00853B84"/>
    <w:rsid w:val="00881372"/>
    <w:rsid w:val="0088278B"/>
    <w:rsid w:val="008941D6"/>
    <w:rsid w:val="00894401"/>
    <w:rsid w:val="0089440C"/>
    <w:rsid w:val="008A5AA5"/>
    <w:rsid w:val="008B0C27"/>
    <w:rsid w:val="008B25F8"/>
    <w:rsid w:val="008B6D60"/>
    <w:rsid w:val="008C001A"/>
    <w:rsid w:val="008C0B80"/>
    <w:rsid w:val="008C3861"/>
    <w:rsid w:val="008D2CAC"/>
    <w:rsid w:val="008D4077"/>
    <w:rsid w:val="008D664C"/>
    <w:rsid w:val="008D67A7"/>
    <w:rsid w:val="008E051F"/>
    <w:rsid w:val="008E1955"/>
    <w:rsid w:val="008E51A6"/>
    <w:rsid w:val="008F625C"/>
    <w:rsid w:val="008F717F"/>
    <w:rsid w:val="00900E13"/>
    <w:rsid w:val="0090376E"/>
    <w:rsid w:val="0090769D"/>
    <w:rsid w:val="009076DC"/>
    <w:rsid w:val="00916EAB"/>
    <w:rsid w:val="009208BE"/>
    <w:rsid w:val="009409DF"/>
    <w:rsid w:val="00940BF2"/>
    <w:rsid w:val="009416D9"/>
    <w:rsid w:val="00952383"/>
    <w:rsid w:val="00952E6A"/>
    <w:rsid w:val="00961FD9"/>
    <w:rsid w:val="009672C0"/>
    <w:rsid w:val="00967B47"/>
    <w:rsid w:val="00970E39"/>
    <w:rsid w:val="00976FBA"/>
    <w:rsid w:val="009800AD"/>
    <w:rsid w:val="00983EDE"/>
    <w:rsid w:val="00984AFF"/>
    <w:rsid w:val="0098761F"/>
    <w:rsid w:val="00990148"/>
    <w:rsid w:val="00992209"/>
    <w:rsid w:val="00997822"/>
    <w:rsid w:val="009A1281"/>
    <w:rsid w:val="009B267F"/>
    <w:rsid w:val="009C09CF"/>
    <w:rsid w:val="009C2276"/>
    <w:rsid w:val="009C3E9B"/>
    <w:rsid w:val="009E2039"/>
    <w:rsid w:val="009F0AF4"/>
    <w:rsid w:val="009F4AD5"/>
    <w:rsid w:val="00A01ED0"/>
    <w:rsid w:val="00A128EA"/>
    <w:rsid w:val="00A14C2E"/>
    <w:rsid w:val="00A172EB"/>
    <w:rsid w:val="00A17E30"/>
    <w:rsid w:val="00A210A5"/>
    <w:rsid w:val="00A228CD"/>
    <w:rsid w:val="00A54B2A"/>
    <w:rsid w:val="00A72107"/>
    <w:rsid w:val="00A73479"/>
    <w:rsid w:val="00A74D0C"/>
    <w:rsid w:val="00A82DD3"/>
    <w:rsid w:val="00AA25D8"/>
    <w:rsid w:val="00AB67E2"/>
    <w:rsid w:val="00AC39C8"/>
    <w:rsid w:val="00AC5969"/>
    <w:rsid w:val="00AD331F"/>
    <w:rsid w:val="00AD4629"/>
    <w:rsid w:val="00AD7537"/>
    <w:rsid w:val="00AE2A35"/>
    <w:rsid w:val="00AE321A"/>
    <w:rsid w:val="00AE3A4E"/>
    <w:rsid w:val="00AE4679"/>
    <w:rsid w:val="00B20047"/>
    <w:rsid w:val="00B22C71"/>
    <w:rsid w:val="00B23B53"/>
    <w:rsid w:val="00B2520C"/>
    <w:rsid w:val="00B27FF8"/>
    <w:rsid w:val="00B31EBA"/>
    <w:rsid w:val="00B31ECC"/>
    <w:rsid w:val="00B33B39"/>
    <w:rsid w:val="00B34026"/>
    <w:rsid w:val="00B35145"/>
    <w:rsid w:val="00B44407"/>
    <w:rsid w:val="00B4561C"/>
    <w:rsid w:val="00B51399"/>
    <w:rsid w:val="00B564F8"/>
    <w:rsid w:val="00B56909"/>
    <w:rsid w:val="00B57F9E"/>
    <w:rsid w:val="00B6464B"/>
    <w:rsid w:val="00B80F86"/>
    <w:rsid w:val="00B868DC"/>
    <w:rsid w:val="00BB0E50"/>
    <w:rsid w:val="00BC54C2"/>
    <w:rsid w:val="00BC6E61"/>
    <w:rsid w:val="00BD2C77"/>
    <w:rsid w:val="00BD5CF1"/>
    <w:rsid w:val="00C0006F"/>
    <w:rsid w:val="00C02E11"/>
    <w:rsid w:val="00C12725"/>
    <w:rsid w:val="00C16CE7"/>
    <w:rsid w:val="00C230B5"/>
    <w:rsid w:val="00C25F88"/>
    <w:rsid w:val="00C273C6"/>
    <w:rsid w:val="00C33830"/>
    <w:rsid w:val="00C45AEC"/>
    <w:rsid w:val="00C5150D"/>
    <w:rsid w:val="00C62435"/>
    <w:rsid w:val="00C72F47"/>
    <w:rsid w:val="00C73C93"/>
    <w:rsid w:val="00C77B38"/>
    <w:rsid w:val="00C827CA"/>
    <w:rsid w:val="00C95A31"/>
    <w:rsid w:val="00CA6081"/>
    <w:rsid w:val="00CB0089"/>
    <w:rsid w:val="00CB1225"/>
    <w:rsid w:val="00CB4BC6"/>
    <w:rsid w:val="00CC71CD"/>
    <w:rsid w:val="00CD13B0"/>
    <w:rsid w:val="00CD69EA"/>
    <w:rsid w:val="00CF0A67"/>
    <w:rsid w:val="00D0432C"/>
    <w:rsid w:val="00D17872"/>
    <w:rsid w:val="00D26BAC"/>
    <w:rsid w:val="00D574FF"/>
    <w:rsid w:val="00D57696"/>
    <w:rsid w:val="00D601AD"/>
    <w:rsid w:val="00D62690"/>
    <w:rsid w:val="00D76913"/>
    <w:rsid w:val="00D769CA"/>
    <w:rsid w:val="00D94A1C"/>
    <w:rsid w:val="00DC3B90"/>
    <w:rsid w:val="00DC4D90"/>
    <w:rsid w:val="00DD724D"/>
    <w:rsid w:val="00DE06C3"/>
    <w:rsid w:val="00DE464E"/>
    <w:rsid w:val="00DF0F1C"/>
    <w:rsid w:val="00DF1B9C"/>
    <w:rsid w:val="00DF1EA4"/>
    <w:rsid w:val="00DF2B87"/>
    <w:rsid w:val="00DF2F0A"/>
    <w:rsid w:val="00DF6957"/>
    <w:rsid w:val="00DF7420"/>
    <w:rsid w:val="00E06A58"/>
    <w:rsid w:val="00E07043"/>
    <w:rsid w:val="00E2092C"/>
    <w:rsid w:val="00E22265"/>
    <w:rsid w:val="00E22B13"/>
    <w:rsid w:val="00E22C93"/>
    <w:rsid w:val="00E345DA"/>
    <w:rsid w:val="00E379FE"/>
    <w:rsid w:val="00E4245D"/>
    <w:rsid w:val="00E44949"/>
    <w:rsid w:val="00E46403"/>
    <w:rsid w:val="00E55B9C"/>
    <w:rsid w:val="00E56F18"/>
    <w:rsid w:val="00E60C3D"/>
    <w:rsid w:val="00E72101"/>
    <w:rsid w:val="00E74552"/>
    <w:rsid w:val="00E7492A"/>
    <w:rsid w:val="00E8036A"/>
    <w:rsid w:val="00E82C06"/>
    <w:rsid w:val="00E86B36"/>
    <w:rsid w:val="00E91567"/>
    <w:rsid w:val="00E91B00"/>
    <w:rsid w:val="00E97071"/>
    <w:rsid w:val="00EA30D7"/>
    <w:rsid w:val="00EB1188"/>
    <w:rsid w:val="00EB4315"/>
    <w:rsid w:val="00EB4A03"/>
    <w:rsid w:val="00EC1DD1"/>
    <w:rsid w:val="00ED1EE5"/>
    <w:rsid w:val="00EE3F4A"/>
    <w:rsid w:val="00EF3B67"/>
    <w:rsid w:val="00F00A42"/>
    <w:rsid w:val="00F038C5"/>
    <w:rsid w:val="00F07904"/>
    <w:rsid w:val="00F1635B"/>
    <w:rsid w:val="00F36A05"/>
    <w:rsid w:val="00F5020C"/>
    <w:rsid w:val="00F64286"/>
    <w:rsid w:val="00F67EDF"/>
    <w:rsid w:val="00F72497"/>
    <w:rsid w:val="00F74AB6"/>
    <w:rsid w:val="00F821FC"/>
    <w:rsid w:val="00F84CB6"/>
    <w:rsid w:val="00F8526A"/>
    <w:rsid w:val="00F959BF"/>
    <w:rsid w:val="00FB14AF"/>
    <w:rsid w:val="00FB3EBB"/>
    <w:rsid w:val="00FC3F77"/>
    <w:rsid w:val="00FC78A6"/>
    <w:rsid w:val="00FD4CB2"/>
    <w:rsid w:val="00FE1179"/>
    <w:rsid w:val="00FE7912"/>
    <w:rsid w:val="00FF3F02"/>
    <w:rsid w:val="00FF719E"/>
    <w:rsid w:val="00FF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1037A"/>
  <w15:docId w15:val="{C6FBF576-882C-4081-8F99-F4AC300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C8"/>
    <w:pPr>
      <w:spacing w:before="113" w:line="260" w:lineRule="exact"/>
      <w:jc w:val="both"/>
    </w:pPr>
    <w:rPr>
      <w:rFonts w:ascii="Times New Roman" w:hAnsi="Times New Roman"/>
      <w:spacing w:val="2"/>
      <w:sz w:val="22"/>
      <w:szCs w:val="22"/>
      <w:lang w:val="en-GB"/>
    </w:rPr>
  </w:style>
  <w:style w:type="paragraph" w:styleId="Heading1">
    <w:name w:val="heading 1"/>
    <w:basedOn w:val="Normal"/>
    <w:next w:val="Normal"/>
    <w:link w:val="Heading1Char"/>
    <w:uiPriority w:val="9"/>
    <w:qFormat/>
    <w:rsid w:val="00BC6E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C6E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F664E"/>
    <w:pPr>
      <w:keepNext/>
      <w:tabs>
        <w:tab w:val="left" w:pos="284"/>
        <w:tab w:val="left" w:pos="709"/>
        <w:tab w:val="left" w:pos="3686"/>
        <w:tab w:val="left" w:pos="4111"/>
        <w:tab w:val="left" w:pos="5954"/>
        <w:tab w:val="left" w:pos="6379"/>
        <w:tab w:val="left" w:pos="7655"/>
        <w:tab w:val="left" w:pos="8080"/>
      </w:tabs>
      <w:spacing w:before="0"/>
      <w:outlineLvl w:val="2"/>
    </w:pPr>
    <w:rPr>
      <w:rFonts w:ascii="Comic Sans MS" w:eastAsia="Times New Roman" w:hAnsi="Comic Sans MS"/>
      <w:b/>
      <w:color w:val="000080"/>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F"/>
    <w:pPr>
      <w:tabs>
        <w:tab w:val="center" w:pos="4536"/>
        <w:tab w:val="right" w:pos="9072"/>
      </w:tabs>
    </w:pPr>
  </w:style>
  <w:style w:type="character" w:customStyle="1" w:styleId="HeaderChar">
    <w:name w:val="Header Char"/>
    <w:basedOn w:val="DefaultParagraphFont"/>
    <w:link w:val="Header"/>
    <w:uiPriority w:val="99"/>
    <w:rsid w:val="00575E9F"/>
  </w:style>
  <w:style w:type="paragraph" w:styleId="Footer">
    <w:name w:val="footer"/>
    <w:basedOn w:val="Normal"/>
    <w:link w:val="FooterChar"/>
    <w:unhideWhenUsed/>
    <w:rsid w:val="00575E9F"/>
    <w:pPr>
      <w:tabs>
        <w:tab w:val="center" w:pos="4536"/>
        <w:tab w:val="right" w:pos="9072"/>
      </w:tabs>
    </w:pPr>
  </w:style>
  <w:style w:type="character" w:customStyle="1" w:styleId="FooterChar">
    <w:name w:val="Footer Char"/>
    <w:basedOn w:val="DefaultParagraphFont"/>
    <w:link w:val="Footer"/>
    <w:uiPriority w:val="99"/>
    <w:semiHidden/>
    <w:rsid w:val="00575E9F"/>
  </w:style>
  <w:style w:type="paragraph" w:styleId="BalloonText">
    <w:name w:val="Balloon Text"/>
    <w:basedOn w:val="Normal"/>
    <w:link w:val="BalloonTextChar"/>
    <w:uiPriority w:val="99"/>
    <w:semiHidden/>
    <w:unhideWhenUsed/>
    <w:rsid w:val="00575E9F"/>
    <w:pPr>
      <w:spacing w:before="0"/>
    </w:pPr>
    <w:rPr>
      <w:rFonts w:ascii="Tahoma" w:hAnsi="Tahoma" w:cs="Tahoma"/>
      <w:sz w:val="16"/>
      <w:szCs w:val="16"/>
    </w:rPr>
  </w:style>
  <w:style w:type="character" w:customStyle="1" w:styleId="BalloonTextChar">
    <w:name w:val="Balloon Text Char"/>
    <w:link w:val="BalloonText"/>
    <w:uiPriority w:val="99"/>
    <w:semiHidden/>
    <w:rsid w:val="00575E9F"/>
    <w:rPr>
      <w:rFonts w:ascii="Tahoma" w:eastAsia="Calibri" w:hAnsi="Tahoma" w:cs="Tahoma"/>
      <w:sz w:val="16"/>
      <w:szCs w:val="16"/>
    </w:rPr>
  </w:style>
  <w:style w:type="character" w:customStyle="1" w:styleId="Heading3Char">
    <w:name w:val="Heading 3 Char"/>
    <w:link w:val="Heading3"/>
    <w:rsid w:val="002F664E"/>
    <w:rPr>
      <w:rFonts w:ascii="Comic Sans MS" w:eastAsia="Times New Roman" w:hAnsi="Comic Sans MS"/>
      <w:b/>
      <w:color w:val="000080"/>
      <w:sz w:val="24"/>
    </w:rPr>
  </w:style>
  <w:style w:type="paragraph" w:styleId="Title">
    <w:name w:val="Title"/>
    <w:basedOn w:val="Normal"/>
    <w:link w:val="TitleChar"/>
    <w:qFormat/>
    <w:rsid w:val="002F664E"/>
    <w:pPr>
      <w:spacing w:before="0"/>
      <w:jc w:val="center"/>
    </w:pPr>
    <w:rPr>
      <w:rFonts w:ascii="Univers (WN)" w:eastAsia="Times New Roman" w:hAnsi="Univers (WN)"/>
      <w:sz w:val="32"/>
      <w:szCs w:val="20"/>
      <w:lang w:eastAsia="fr-FR"/>
    </w:rPr>
  </w:style>
  <w:style w:type="character" w:customStyle="1" w:styleId="TitleChar">
    <w:name w:val="Title Char"/>
    <w:link w:val="Title"/>
    <w:rsid w:val="002F664E"/>
    <w:rPr>
      <w:rFonts w:ascii="Univers (WN)" w:eastAsia="Times New Roman" w:hAnsi="Univers (WN)"/>
      <w:sz w:val="32"/>
    </w:rPr>
  </w:style>
  <w:style w:type="character" w:styleId="Hyperlink">
    <w:name w:val="Hyperlink"/>
    <w:rsid w:val="002F664E"/>
    <w:rPr>
      <w:color w:val="0000FF"/>
      <w:u w:val="single"/>
    </w:rPr>
  </w:style>
  <w:style w:type="table" w:styleId="TableGrid">
    <w:name w:val="Table Grid"/>
    <w:basedOn w:val="TableNormal"/>
    <w:uiPriority w:val="59"/>
    <w:rsid w:val="00B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C6E61"/>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C6E61"/>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semiHidden/>
    <w:unhideWhenUsed/>
    <w:rsid w:val="00D0432C"/>
    <w:rPr>
      <w:sz w:val="20"/>
      <w:szCs w:val="20"/>
    </w:rPr>
  </w:style>
  <w:style w:type="character" w:customStyle="1" w:styleId="FootnoteTextChar">
    <w:name w:val="Footnote Text Char"/>
    <w:link w:val="FootnoteText"/>
    <w:uiPriority w:val="99"/>
    <w:semiHidden/>
    <w:rsid w:val="00D0432C"/>
    <w:rPr>
      <w:lang w:eastAsia="en-US"/>
    </w:rPr>
  </w:style>
  <w:style w:type="character" w:styleId="FootnoteReference">
    <w:name w:val="footnote reference"/>
    <w:uiPriority w:val="99"/>
    <w:semiHidden/>
    <w:unhideWhenUsed/>
    <w:rsid w:val="00D0432C"/>
    <w:rPr>
      <w:vertAlign w:val="superscript"/>
    </w:rPr>
  </w:style>
  <w:style w:type="paragraph" w:customStyle="1" w:styleId="EAAsummary">
    <w:name w:val="EAA_summary"/>
    <w:basedOn w:val="Normal"/>
    <w:rsid w:val="00782C83"/>
    <w:pPr>
      <w:autoSpaceDE w:val="0"/>
      <w:autoSpaceDN w:val="0"/>
      <w:adjustRightInd w:val="0"/>
      <w:spacing w:before="0"/>
      <w:ind w:left="1531"/>
    </w:pPr>
    <w:rPr>
      <w:color w:val="000000"/>
      <w:sz w:val="20"/>
      <w:szCs w:val="20"/>
      <w:lang w:val="en-US" w:eastAsia="fr-FR"/>
    </w:rPr>
  </w:style>
  <w:style w:type="paragraph" w:customStyle="1" w:styleId="PACS">
    <w:name w:val="PACS"/>
    <w:basedOn w:val="Normal"/>
    <w:rsid w:val="007E5FAB"/>
    <w:pPr>
      <w:tabs>
        <w:tab w:val="left" w:pos="851"/>
        <w:tab w:val="left" w:pos="6237"/>
      </w:tabs>
      <w:spacing w:before="0" w:after="120"/>
      <w:ind w:left="1701"/>
    </w:pPr>
    <w:rPr>
      <w:b/>
      <w:color w:val="000000"/>
      <w:sz w:val="20"/>
      <w:szCs w:val="20"/>
      <w:lang w:val="en-US" w:eastAsia="fr-FR"/>
    </w:rPr>
  </w:style>
  <w:style w:type="character" w:customStyle="1" w:styleId="MediumGrid11">
    <w:name w:val="Medium Grid 11"/>
    <w:uiPriority w:val="67"/>
    <w:rsid w:val="008E51A6"/>
    <w:rPr>
      <w:color w:val="808080"/>
    </w:rPr>
  </w:style>
  <w:style w:type="paragraph" w:customStyle="1" w:styleId="EAAnormaltext">
    <w:name w:val="EAA_normaltext"/>
    <w:link w:val="EAAnormaltextChar"/>
    <w:qFormat/>
    <w:rsid w:val="00AC39C8"/>
    <w:pPr>
      <w:spacing w:line="260" w:lineRule="exact"/>
      <w:jc w:val="both"/>
    </w:pPr>
    <w:rPr>
      <w:rFonts w:ascii="Times New Roman" w:hAnsi="Times New Roman"/>
      <w:spacing w:val="2"/>
      <w:sz w:val="22"/>
      <w:szCs w:val="22"/>
      <w:lang w:eastAsia="fr-FR"/>
    </w:rPr>
  </w:style>
  <w:style w:type="paragraph" w:customStyle="1" w:styleId="EAAtitle">
    <w:name w:val="EAA_title"/>
    <w:qFormat/>
    <w:rsid w:val="00782C83"/>
    <w:pPr>
      <w:spacing w:before="120" w:after="540"/>
      <w:ind w:left="1531"/>
    </w:pPr>
    <w:rPr>
      <w:rFonts w:ascii="Helvetica" w:hAnsi="Helvetica" w:cs="Arial"/>
      <w:b/>
      <w:bCs/>
      <w:color w:val="000000"/>
      <w:spacing w:val="2"/>
      <w:sz w:val="34"/>
      <w:szCs w:val="34"/>
    </w:rPr>
  </w:style>
  <w:style w:type="paragraph" w:customStyle="1" w:styleId="EAAauthorname">
    <w:name w:val="EAA_authorname"/>
    <w:basedOn w:val="EAAnormaltext"/>
    <w:qFormat/>
    <w:rsid w:val="00782C83"/>
    <w:pPr>
      <w:autoSpaceDE w:val="0"/>
      <w:autoSpaceDN w:val="0"/>
      <w:adjustRightInd w:val="0"/>
      <w:ind w:left="1531"/>
    </w:pPr>
    <w:rPr>
      <w:color w:val="000000"/>
      <w:szCs w:val="20"/>
    </w:rPr>
  </w:style>
  <w:style w:type="paragraph" w:customStyle="1" w:styleId="EAAauthoraddress">
    <w:name w:val="EAA_authoraddress"/>
    <w:basedOn w:val="EAAauthorname"/>
    <w:qFormat/>
    <w:rsid w:val="00751426"/>
    <w:pPr>
      <w:spacing w:after="90"/>
    </w:pPr>
    <w:rPr>
      <w:sz w:val="20"/>
    </w:rPr>
  </w:style>
  <w:style w:type="paragraph" w:customStyle="1" w:styleId="EAAPACS">
    <w:name w:val="EAA_PACS"/>
    <w:basedOn w:val="EAAsummary"/>
    <w:qFormat/>
    <w:rsid w:val="009076DC"/>
    <w:pPr>
      <w:spacing w:before="100"/>
    </w:pPr>
    <w:rPr>
      <w:b/>
      <w:sz w:val="16"/>
    </w:rPr>
  </w:style>
  <w:style w:type="paragraph" w:customStyle="1" w:styleId="EAAfootnote">
    <w:name w:val="EAA_footnote"/>
    <w:basedOn w:val="EAAnormaltext"/>
    <w:qFormat/>
    <w:rsid w:val="00C62435"/>
    <w:pPr>
      <w:autoSpaceDE w:val="0"/>
      <w:autoSpaceDN w:val="0"/>
      <w:adjustRightInd w:val="0"/>
      <w:ind w:left="-57"/>
    </w:pPr>
    <w:rPr>
      <w:sz w:val="18"/>
      <w:szCs w:val="18"/>
    </w:rPr>
  </w:style>
  <w:style w:type="paragraph" w:customStyle="1" w:styleId="EAAheading1">
    <w:name w:val="EAA_heading1"/>
    <w:basedOn w:val="EAAnormaltext"/>
    <w:link w:val="EAAheading1Char"/>
    <w:qFormat/>
    <w:rsid w:val="0056535F"/>
    <w:pPr>
      <w:numPr>
        <w:numId w:val="4"/>
      </w:numPr>
      <w:spacing w:after="240"/>
    </w:pPr>
    <w:rPr>
      <w:b/>
      <w:sz w:val="24"/>
      <w:szCs w:val="24"/>
    </w:rPr>
  </w:style>
  <w:style w:type="character" w:customStyle="1" w:styleId="EAAnormaltextChar">
    <w:name w:val="EAA_normaltext Char"/>
    <w:link w:val="EAAnormaltext"/>
    <w:rsid w:val="0056535F"/>
    <w:rPr>
      <w:rFonts w:ascii="Times New Roman" w:hAnsi="Times New Roman"/>
      <w:spacing w:val="2"/>
      <w:sz w:val="22"/>
      <w:szCs w:val="22"/>
      <w:lang w:eastAsia="fr-FR"/>
    </w:rPr>
  </w:style>
  <w:style w:type="character" w:customStyle="1" w:styleId="EAAheading1Char">
    <w:name w:val="EAA_heading1 Char"/>
    <w:link w:val="EAAheading1"/>
    <w:rsid w:val="0056535F"/>
    <w:rPr>
      <w:rFonts w:ascii="Times New Roman" w:hAnsi="Times New Roman"/>
      <w:b/>
      <w:spacing w:val="2"/>
      <w:sz w:val="24"/>
      <w:szCs w:val="24"/>
      <w:lang w:eastAsia="fr-FR"/>
    </w:rPr>
  </w:style>
  <w:style w:type="paragraph" w:customStyle="1" w:styleId="EAAheading2">
    <w:name w:val="EAA_heading2"/>
    <w:basedOn w:val="EAAheading1"/>
    <w:link w:val="EAAheading2Char"/>
    <w:qFormat/>
    <w:rsid w:val="005F2B3F"/>
    <w:pPr>
      <w:numPr>
        <w:ilvl w:val="1"/>
        <w:numId w:val="5"/>
      </w:numPr>
      <w:spacing w:before="180" w:after="100"/>
    </w:pPr>
    <w:rPr>
      <w:sz w:val="22"/>
    </w:rPr>
  </w:style>
  <w:style w:type="character" w:customStyle="1" w:styleId="EAAheading2Char">
    <w:name w:val="EAA_heading2 Char"/>
    <w:link w:val="EAAheading2"/>
    <w:rsid w:val="005F2B3F"/>
    <w:rPr>
      <w:rFonts w:ascii="Times New Roman" w:hAnsi="Times New Roman"/>
      <w:b/>
      <w:spacing w:val="2"/>
      <w:sz w:val="22"/>
      <w:szCs w:val="24"/>
      <w:lang w:eastAsia="fr-FR"/>
    </w:rPr>
  </w:style>
  <w:style w:type="paragraph" w:customStyle="1" w:styleId="EAAheader">
    <w:name w:val="EAA_header"/>
    <w:basedOn w:val="EAAnormaltext"/>
    <w:link w:val="EAAheaderChar"/>
    <w:qFormat/>
    <w:rsid w:val="003C4E08"/>
    <w:pPr>
      <w:pBdr>
        <w:bottom w:val="single" w:sz="4" w:space="1" w:color="auto"/>
      </w:pBdr>
      <w:tabs>
        <w:tab w:val="right" w:pos="9639"/>
      </w:tabs>
    </w:pPr>
    <w:rPr>
      <w:rFonts w:ascii="Helvetica" w:hAnsi="Helvetica" w:cs="Arial"/>
      <w:b/>
      <w:bCs/>
      <w:spacing w:val="0"/>
      <w:sz w:val="18"/>
      <w:szCs w:val="18"/>
    </w:rPr>
  </w:style>
  <w:style w:type="character" w:customStyle="1" w:styleId="EAAheaderChar">
    <w:name w:val="EAA_header Char"/>
    <w:link w:val="EAAheader"/>
    <w:rsid w:val="003C4E08"/>
    <w:rPr>
      <w:rFonts w:ascii="Helvetica" w:hAnsi="Helvetica" w:cs="Arial"/>
      <w:b/>
      <w:bCs/>
      <w:sz w:val="18"/>
      <w:szCs w:val="18"/>
      <w:lang w:eastAsia="fr-FR"/>
    </w:rPr>
  </w:style>
  <w:style w:type="paragraph" w:customStyle="1" w:styleId="EAAsummarytitle">
    <w:name w:val="EAA_summarytitle"/>
    <w:basedOn w:val="EAAsummary"/>
    <w:qFormat/>
    <w:rsid w:val="00952E6A"/>
    <w:pPr>
      <w:spacing w:before="400"/>
    </w:pPr>
    <w:rPr>
      <w:b/>
    </w:rPr>
  </w:style>
  <w:style w:type="paragraph" w:customStyle="1" w:styleId="EAAfigurecaption">
    <w:name w:val="EAA_figurecaption"/>
    <w:basedOn w:val="EAAnormaltext"/>
    <w:link w:val="EAAfigurecaptionChar"/>
    <w:qFormat/>
    <w:rsid w:val="006F322E"/>
    <w:pPr>
      <w:spacing w:before="120"/>
    </w:pPr>
    <w:rPr>
      <w:noProof/>
      <w:sz w:val="20"/>
      <w:szCs w:val="20"/>
    </w:rPr>
  </w:style>
  <w:style w:type="character" w:customStyle="1" w:styleId="EAAfigurecaptionChar">
    <w:name w:val="EAA_figurecaption Char"/>
    <w:link w:val="EAAfigurecaption"/>
    <w:rsid w:val="006F322E"/>
    <w:rPr>
      <w:rFonts w:ascii="Times New Roman" w:hAnsi="Times New Roman"/>
      <w:noProof/>
      <w:spacing w:val="2"/>
      <w:sz w:val="22"/>
      <w:szCs w:val="22"/>
      <w:lang w:eastAsia="fr-FR"/>
    </w:rPr>
  </w:style>
  <w:style w:type="paragraph" w:customStyle="1" w:styleId="EAAtablecaption">
    <w:name w:val="EAA_tablecaption"/>
    <w:basedOn w:val="EAAnormaltext"/>
    <w:link w:val="EAAtablecaptionChar"/>
    <w:qFormat/>
    <w:rsid w:val="001440B9"/>
    <w:pPr>
      <w:spacing w:after="120"/>
    </w:pPr>
    <w:rPr>
      <w:sz w:val="20"/>
      <w:szCs w:val="20"/>
    </w:rPr>
  </w:style>
  <w:style w:type="character" w:customStyle="1" w:styleId="EAAtablecaptionChar">
    <w:name w:val="EAA_tablecaption Char"/>
    <w:link w:val="EAAtablecaption"/>
    <w:rsid w:val="001440B9"/>
    <w:rPr>
      <w:rFonts w:ascii="Times New Roman" w:hAnsi="Times New Roman"/>
      <w:spacing w:val="2"/>
      <w:sz w:val="22"/>
      <w:szCs w:val="22"/>
      <w:lang w:eastAsia="fr-FR"/>
    </w:rPr>
  </w:style>
  <w:style w:type="paragraph" w:customStyle="1" w:styleId="EAAheading3">
    <w:name w:val="EAA_heading3"/>
    <w:basedOn w:val="EAAheading2"/>
    <w:link w:val="EAAheading3Char"/>
    <w:qFormat/>
    <w:rsid w:val="0064660B"/>
    <w:pPr>
      <w:numPr>
        <w:ilvl w:val="2"/>
      </w:numPr>
      <w:spacing w:before="120" w:after="60"/>
    </w:pPr>
    <w:rPr>
      <w:b w:val="0"/>
      <w:szCs w:val="22"/>
    </w:rPr>
  </w:style>
  <w:style w:type="character" w:customStyle="1" w:styleId="EAAheading3Char">
    <w:name w:val="EAA_heading3 Char"/>
    <w:link w:val="EAAheading3"/>
    <w:rsid w:val="0064660B"/>
    <w:rPr>
      <w:rFonts w:ascii="Times New Roman" w:hAnsi="Times New Roman"/>
      <w:b w:val="0"/>
      <w:spacing w:val="2"/>
      <w:sz w:val="22"/>
      <w:szCs w:val="22"/>
      <w:lang w:eastAsia="fr-FR"/>
    </w:rPr>
  </w:style>
  <w:style w:type="paragraph" w:customStyle="1" w:styleId="EAAAcknowledgements">
    <w:name w:val="EAA_Acknowledgements"/>
    <w:basedOn w:val="EAAnormaltext"/>
    <w:link w:val="EAAAcknowledgementsChar"/>
    <w:qFormat/>
    <w:rsid w:val="00B23B53"/>
    <w:pPr>
      <w:spacing w:before="240" w:after="100"/>
    </w:pPr>
    <w:rPr>
      <w:b/>
    </w:rPr>
  </w:style>
  <w:style w:type="character" w:customStyle="1" w:styleId="EAAAcknowledgementsChar">
    <w:name w:val="EAA_Acknowledgements Char"/>
    <w:link w:val="EAAAcknowledgements"/>
    <w:rsid w:val="00B23B53"/>
    <w:rPr>
      <w:rFonts w:ascii="Times New Roman" w:hAnsi="Times New Roman"/>
      <w:b/>
      <w:spacing w:val="2"/>
      <w:sz w:val="22"/>
      <w:szCs w:val="22"/>
      <w:lang w:eastAsia="fr-FR"/>
    </w:rPr>
  </w:style>
  <w:style w:type="paragraph" w:customStyle="1" w:styleId="EAAreferencetitle">
    <w:name w:val="EAA_referencetitle"/>
    <w:basedOn w:val="EAAAcknowledgements"/>
    <w:link w:val="EAAreferencetitleChar"/>
    <w:qFormat/>
    <w:rsid w:val="00B23B53"/>
    <w:pPr>
      <w:spacing w:before="280"/>
    </w:pPr>
  </w:style>
  <w:style w:type="character" w:customStyle="1" w:styleId="EAAreferencetitleChar">
    <w:name w:val="EAA_referencetitle Char"/>
    <w:link w:val="EAAreferencetitle"/>
    <w:rsid w:val="00B23B53"/>
    <w:rPr>
      <w:rFonts w:ascii="Times New Roman" w:hAnsi="Times New Roman"/>
      <w:b/>
      <w:spacing w:val="2"/>
      <w:sz w:val="22"/>
      <w:szCs w:val="22"/>
      <w:lang w:eastAsia="fr-FR"/>
    </w:rPr>
  </w:style>
  <w:style w:type="paragraph" w:customStyle="1" w:styleId="EAAreferences">
    <w:name w:val="EAA_references"/>
    <w:basedOn w:val="EAAnormaltext"/>
    <w:qFormat/>
    <w:rsid w:val="00601F8E"/>
    <w:pPr>
      <w:tabs>
        <w:tab w:val="left" w:pos="426"/>
      </w:tabs>
      <w:autoSpaceDE w:val="0"/>
      <w:autoSpaceDN w:val="0"/>
      <w:adjustRightInd w:val="0"/>
      <w:spacing w:before="80" w:line="200" w:lineRule="exact"/>
      <w:ind w:left="284" w:hanging="284"/>
    </w:pPr>
    <w:rPr>
      <w:spacing w:val="-4"/>
      <w:sz w:val="20"/>
      <w:szCs w:val="20"/>
    </w:rPr>
  </w:style>
  <w:style w:type="character" w:styleId="FollowedHyperlink">
    <w:name w:val="FollowedHyperlink"/>
    <w:basedOn w:val="DefaultParagraphFont"/>
    <w:uiPriority w:val="99"/>
    <w:semiHidden/>
    <w:unhideWhenUsed/>
    <w:rsid w:val="00D94A1C"/>
    <w:rPr>
      <w:color w:val="800080" w:themeColor="followedHyperlink"/>
      <w:u w:val="single"/>
    </w:rPr>
  </w:style>
  <w:style w:type="character" w:styleId="CommentReference">
    <w:name w:val="annotation reference"/>
    <w:basedOn w:val="DefaultParagraphFont"/>
    <w:uiPriority w:val="99"/>
    <w:semiHidden/>
    <w:unhideWhenUsed/>
    <w:rsid w:val="004F03E8"/>
    <w:rPr>
      <w:sz w:val="16"/>
      <w:szCs w:val="16"/>
    </w:rPr>
  </w:style>
  <w:style w:type="paragraph" w:styleId="CommentText">
    <w:name w:val="annotation text"/>
    <w:basedOn w:val="Normal"/>
    <w:link w:val="CommentTextChar"/>
    <w:uiPriority w:val="99"/>
    <w:semiHidden/>
    <w:unhideWhenUsed/>
    <w:rsid w:val="004F03E8"/>
    <w:pPr>
      <w:spacing w:line="240" w:lineRule="auto"/>
    </w:pPr>
    <w:rPr>
      <w:sz w:val="20"/>
      <w:szCs w:val="20"/>
    </w:rPr>
  </w:style>
  <w:style w:type="character" w:customStyle="1" w:styleId="CommentTextChar">
    <w:name w:val="Comment Text Char"/>
    <w:basedOn w:val="DefaultParagraphFont"/>
    <w:link w:val="CommentText"/>
    <w:uiPriority w:val="99"/>
    <w:semiHidden/>
    <w:rsid w:val="004F03E8"/>
    <w:rPr>
      <w:rFonts w:ascii="Times New Roman" w:hAnsi="Times New Roman"/>
      <w:spacing w:val="2"/>
      <w:lang w:val="en-GB"/>
    </w:rPr>
  </w:style>
  <w:style w:type="paragraph" w:styleId="CommentSubject">
    <w:name w:val="annotation subject"/>
    <w:basedOn w:val="CommentText"/>
    <w:next w:val="CommentText"/>
    <w:link w:val="CommentSubjectChar"/>
    <w:uiPriority w:val="99"/>
    <w:semiHidden/>
    <w:unhideWhenUsed/>
    <w:rsid w:val="004F03E8"/>
    <w:rPr>
      <w:b/>
      <w:bCs/>
    </w:rPr>
  </w:style>
  <w:style w:type="character" w:customStyle="1" w:styleId="CommentSubjectChar">
    <w:name w:val="Comment Subject Char"/>
    <w:basedOn w:val="CommentTextChar"/>
    <w:link w:val="CommentSubject"/>
    <w:uiPriority w:val="99"/>
    <w:semiHidden/>
    <w:rsid w:val="004F03E8"/>
    <w:rPr>
      <w:rFonts w:ascii="Times New Roman" w:hAnsi="Times New Roman"/>
      <w:b/>
      <w:bCs/>
      <w:spacing w:val="2"/>
      <w:lang w:val="en-GB"/>
    </w:rPr>
  </w:style>
  <w:style w:type="character" w:styleId="PlaceholderText">
    <w:name w:val="Placeholder Text"/>
    <w:basedOn w:val="DefaultParagraphFont"/>
    <w:uiPriority w:val="67"/>
    <w:semiHidden/>
    <w:rsid w:val="003C23AC"/>
    <w:rPr>
      <w:color w:val="808080"/>
    </w:rPr>
  </w:style>
  <w:style w:type="paragraph" w:styleId="ListParagraph">
    <w:name w:val="List Paragraph"/>
    <w:basedOn w:val="Normal"/>
    <w:uiPriority w:val="72"/>
    <w:rsid w:val="00754E39"/>
    <w:pPr>
      <w:ind w:left="720"/>
      <w:contextualSpacing/>
    </w:pPr>
  </w:style>
  <w:style w:type="paragraph" w:styleId="Revision">
    <w:name w:val="Revision"/>
    <w:hidden/>
    <w:uiPriority w:val="71"/>
    <w:semiHidden/>
    <w:rsid w:val="00D601AD"/>
    <w:rPr>
      <w:rFonts w:ascii="Times New Roman" w:hAnsi="Times New Roman"/>
      <w:spacing w:val="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2663">
      <w:bodyDiv w:val="1"/>
      <w:marLeft w:val="0"/>
      <w:marRight w:val="0"/>
      <w:marTop w:val="0"/>
      <w:marBottom w:val="0"/>
      <w:divBdr>
        <w:top w:val="none" w:sz="0" w:space="0" w:color="auto"/>
        <w:left w:val="none" w:sz="0" w:space="0" w:color="auto"/>
        <w:bottom w:val="none" w:sz="0" w:space="0" w:color="auto"/>
        <w:right w:val="none" w:sz="0" w:space="0" w:color="auto"/>
      </w:divBdr>
    </w:div>
    <w:div w:id="1330213644">
      <w:bodyDiv w:val="1"/>
      <w:marLeft w:val="0"/>
      <w:marRight w:val="0"/>
      <w:marTop w:val="0"/>
      <w:marBottom w:val="0"/>
      <w:divBdr>
        <w:top w:val="none" w:sz="0" w:space="0" w:color="auto"/>
        <w:left w:val="none" w:sz="0" w:space="0" w:color="auto"/>
        <w:bottom w:val="none" w:sz="0" w:space="0" w:color="auto"/>
        <w:right w:val="none" w:sz="0" w:space="0" w:color="auto"/>
      </w:divBdr>
      <w:divsChild>
        <w:div w:id="772435117">
          <w:marLeft w:val="0"/>
          <w:marRight w:val="0"/>
          <w:marTop w:val="0"/>
          <w:marBottom w:val="0"/>
          <w:divBdr>
            <w:top w:val="none" w:sz="0" w:space="0" w:color="auto"/>
            <w:left w:val="none" w:sz="0" w:space="0" w:color="auto"/>
            <w:bottom w:val="none" w:sz="0" w:space="0" w:color="auto"/>
            <w:right w:val="none" w:sz="0" w:space="0" w:color="auto"/>
          </w:divBdr>
        </w:div>
      </w:divsChild>
    </w:div>
    <w:div w:id="1700885622">
      <w:bodyDiv w:val="1"/>
      <w:marLeft w:val="0"/>
      <w:marRight w:val="0"/>
      <w:marTop w:val="0"/>
      <w:marBottom w:val="0"/>
      <w:divBdr>
        <w:top w:val="none" w:sz="0" w:space="0" w:color="auto"/>
        <w:left w:val="none" w:sz="0" w:space="0" w:color="auto"/>
        <w:bottom w:val="none" w:sz="0" w:space="0" w:color="auto"/>
        <w:right w:val="none" w:sz="0" w:space="0" w:color="auto"/>
      </w:divBdr>
    </w:div>
    <w:div w:id="1881086888">
      <w:bodyDiv w:val="1"/>
      <w:marLeft w:val="0"/>
      <w:marRight w:val="0"/>
      <w:marTop w:val="0"/>
      <w:marBottom w:val="0"/>
      <w:divBdr>
        <w:top w:val="none" w:sz="0" w:space="0" w:color="auto"/>
        <w:left w:val="none" w:sz="0" w:space="0" w:color="auto"/>
        <w:bottom w:val="none" w:sz="0" w:space="0" w:color="auto"/>
        <w:right w:val="none" w:sz="0" w:space="0" w:color="auto"/>
      </w:divBdr>
    </w:div>
    <w:div w:id="1890650693">
      <w:bodyDiv w:val="1"/>
      <w:marLeft w:val="0"/>
      <w:marRight w:val="0"/>
      <w:marTop w:val="0"/>
      <w:marBottom w:val="0"/>
      <w:divBdr>
        <w:top w:val="none" w:sz="0" w:space="0" w:color="auto"/>
        <w:left w:val="none" w:sz="0" w:space="0" w:color="auto"/>
        <w:bottom w:val="none" w:sz="0" w:space="0" w:color="auto"/>
        <w:right w:val="none" w:sz="0" w:space="0" w:color="auto"/>
      </w:divBdr>
    </w:div>
    <w:div w:id="1983995969">
      <w:bodyDiv w:val="1"/>
      <w:marLeft w:val="0"/>
      <w:marRight w:val="0"/>
      <w:marTop w:val="0"/>
      <w:marBottom w:val="0"/>
      <w:divBdr>
        <w:top w:val="none" w:sz="0" w:space="0" w:color="auto"/>
        <w:left w:val="none" w:sz="0" w:space="0" w:color="auto"/>
        <w:bottom w:val="none" w:sz="0" w:space="0" w:color="auto"/>
        <w:right w:val="none" w:sz="0" w:space="0" w:color="auto"/>
      </w:divBdr>
    </w:div>
    <w:div w:id="208595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7229-9D70-40AF-91FB-AA9A12AB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4866</Words>
  <Characters>27738</Characters>
  <Application>Microsoft Office Word</Application>
  <DocSecurity>0</DocSecurity>
  <Lines>231</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AGH</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Rimeymeille Alain</dc:creator>
  <cp:lastModifiedBy>Jerry Rees</cp:lastModifiedBy>
  <cp:revision>2</cp:revision>
  <cp:lastPrinted>2014-12-08T10:27:00Z</cp:lastPrinted>
  <dcterms:created xsi:type="dcterms:W3CDTF">2018-03-26T11:31:00Z</dcterms:created>
  <dcterms:modified xsi:type="dcterms:W3CDTF">2018-03-26T11:31:00Z</dcterms:modified>
</cp:coreProperties>
</file>