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FB34" w14:textId="77777777" w:rsidR="00263F0B" w:rsidRPr="00263F0B" w:rsidRDefault="00263F0B" w:rsidP="00263F0B">
      <w:pPr>
        <w:rPr>
          <w:rFonts w:ascii="Arial" w:eastAsia="Arial" w:hAnsi="Arial" w:cs="Arial"/>
          <w:b/>
          <w:sz w:val="26"/>
          <w:szCs w:val="26"/>
        </w:rPr>
      </w:pPr>
      <w:r w:rsidRPr="00263F0B">
        <w:rPr>
          <w:rFonts w:ascii="Arial" w:eastAsia="Arial" w:hAnsi="Arial" w:cs="Arial"/>
          <w:b/>
          <w:sz w:val="26"/>
          <w:szCs w:val="26"/>
        </w:rPr>
        <w:t xml:space="preserve">Citation: </w:t>
      </w:r>
    </w:p>
    <w:p w14:paraId="38093832" w14:textId="5BAE1B11" w:rsidR="00263F0B" w:rsidRPr="00263F0B" w:rsidRDefault="00263F0B" w:rsidP="00263F0B">
      <w:pPr>
        <w:rPr>
          <w:rFonts w:ascii="Arial" w:eastAsia="Arial" w:hAnsi="Arial" w:cs="Arial"/>
          <w:b/>
          <w:sz w:val="26"/>
          <w:szCs w:val="26"/>
        </w:rPr>
      </w:pPr>
      <w:r w:rsidRPr="00263F0B">
        <w:rPr>
          <w:rFonts w:ascii="Arial" w:eastAsia="Arial" w:hAnsi="Arial" w:cs="Arial"/>
          <w:b/>
          <w:sz w:val="26"/>
          <w:szCs w:val="26"/>
        </w:rPr>
        <w:t xml:space="preserve">Aguda, O., Ebohon, O.J. and Leishman, C., 2019. Examining the Relationships between Young Adults’ Housing Tenure, Elements of Perceived Job Security and Social Capital in Britain (No. eres2019_54). European Real Estate Society (ERES). </w:t>
      </w:r>
    </w:p>
    <w:p w14:paraId="2A08D66F" w14:textId="77777777" w:rsidR="00263F0B" w:rsidRDefault="00263F0B">
      <w:pPr>
        <w:rPr>
          <w:rFonts w:ascii="Arial" w:eastAsia="Arial" w:hAnsi="Arial" w:cs="Arial"/>
          <w:b/>
          <w:sz w:val="26"/>
          <w:szCs w:val="26"/>
        </w:rPr>
      </w:pPr>
    </w:p>
    <w:p w14:paraId="00000001" w14:textId="695CD94A" w:rsidR="00FE0B4C" w:rsidRPr="007F121A" w:rsidRDefault="00791830">
      <w:pPr>
        <w:rPr>
          <w:rFonts w:ascii="Arial" w:hAnsi="Arial" w:cs="Arial"/>
        </w:rPr>
      </w:pPr>
      <w:bookmarkStart w:id="0" w:name="_GoBack"/>
      <w:bookmarkEnd w:id="0"/>
      <w:r w:rsidRPr="007F121A">
        <w:rPr>
          <w:rFonts w:ascii="Arial" w:eastAsia="Arial" w:hAnsi="Arial" w:cs="Arial"/>
          <w:b/>
          <w:sz w:val="26"/>
          <w:szCs w:val="26"/>
        </w:rPr>
        <w:t>Examining the Relationships between Young Adults’ Housing Tenure, Elements of Perceived Job Security and Social Capital in Britain</w:t>
      </w:r>
    </w:p>
    <w:p w14:paraId="00000002" w14:textId="77777777" w:rsidR="00FE0B4C" w:rsidRPr="007F121A" w:rsidRDefault="00791830">
      <w:pPr>
        <w:spacing w:line="257" w:lineRule="auto"/>
        <w:rPr>
          <w:rFonts w:ascii="Arial" w:hAnsi="Arial" w:cs="Arial"/>
        </w:rPr>
      </w:pPr>
      <w:r w:rsidRPr="007F121A">
        <w:rPr>
          <w:rFonts w:ascii="Arial" w:hAnsi="Arial" w:cs="Arial"/>
        </w:rPr>
        <w:t xml:space="preserve"> </w:t>
      </w:r>
    </w:p>
    <w:p w14:paraId="00000003" w14:textId="77777777" w:rsidR="00FE0B4C" w:rsidRPr="007F121A" w:rsidRDefault="00791830">
      <w:pPr>
        <w:spacing w:line="257" w:lineRule="auto"/>
        <w:jc w:val="center"/>
        <w:rPr>
          <w:rFonts w:ascii="Arial" w:hAnsi="Arial" w:cs="Arial"/>
        </w:rPr>
      </w:pPr>
      <w:r w:rsidRPr="007F121A">
        <w:rPr>
          <w:rFonts w:ascii="Arial" w:hAnsi="Arial" w:cs="Arial"/>
          <w:b/>
          <w:sz w:val="24"/>
          <w:szCs w:val="24"/>
        </w:rPr>
        <w:t>Dr Oluwadamilola Aguda</w:t>
      </w:r>
      <w:r w:rsidRPr="007F121A">
        <w:rPr>
          <w:rFonts w:ascii="Arial" w:hAnsi="Arial" w:cs="Arial"/>
          <w:b/>
          <w:sz w:val="24"/>
          <w:szCs w:val="24"/>
          <w:vertAlign w:val="superscript"/>
        </w:rPr>
        <w:t>1</w:t>
      </w:r>
      <w:r w:rsidRPr="007F121A">
        <w:rPr>
          <w:rFonts w:ascii="Arial" w:hAnsi="Arial" w:cs="Arial"/>
          <w:b/>
          <w:sz w:val="24"/>
          <w:szCs w:val="24"/>
        </w:rPr>
        <w:t>, Professor Obas John Ebohon</w:t>
      </w:r>
      <w:r w:rsidRPr="007F121A">
        <w:rPr>
          <w:rFonts w:ascii="Arial" w:hAnsi="Arial" w:cs="Arial"/>
          <w:b/>
          <w:sz w:val="24"/>
          <w:szCs w:val="24"/>
          <w:vertAlign w:val="superscript"/>
        </w:rPr>
        <w:t xml:space="preserve">2 </w:t>
      </w:r>
    </w:p>
    <w:p w14:paraId="00000004" w14:textId="77777777" w:rsidR="00FE0B4C" w:rsidRPr="007F121A" w:rsidRDefault="00791830">
      <w:pPr>
        <w:spacing w:line="257" w:lineRule="auto"/>
        <w:jc w:val="center"/>
        <w:rPr>
          <w:rFonts w:ascii="Arial" w:hAnsi="Arial" w:cs="Arial"/>
        </w:rPr>
      </w:pPr>
      <w:r w:rsidRPr="007F121A">
        <w:rPr>
          <w:rFonts w:ascii="Arial" w:hAnsi="Arial" w:cs="Arial"/>
          <w:vertAlign w:val="superscript"/>
        </w:rPr>
        <w:t>1</w:t>
      </w:r>
      <w:r w:rsidRPr="007F121A">
        <w:rPr>
          <w:rFonts w:ascii="Arial" w:hAnsi="Arial" w:cs="Arial"/>
        </w:rPr>
        <w:t>Construction Management, Economics and Integrated Delivery (CMEID) Research Centre, London South Bank University, UK</w:t>
      </w:r>
    </w:p>
    <w:p w14:paraId="00000005" w14:textId="77777777" w:rsidR="00FE0B4C" w:rsidRPr="007F121A" w:rsidRDefault="00791830">
      <w:pPr>
        <w:spacing w:line="257" w:lineRule="auto"/>
        <w:jc w:val="center"/>
        <w:rPr>
          <w:rFonts w:ascii="Arial" w:hAnsi="Arial" w:cs="Arial"/>
        </w:rPr>
      </w:pPr>
      <w:r w:rsidRPr="007F121A">
        <w:rPr>
          <w:rFonts w:ascii="Arial" w:hAnsi="Arial" w:cs="Arial"/>
          <w:vertAlign w:val="superscript"/>
        </w:rPr>
        <w:t>2</w:t>
      </w:r>
      <w:r w:rsidRPr="007F121A">
        <w:rPr>
          <w:rFonts w:ascii="Arial" w:hAnsi="Arial" w:cs="Arial"/>
        </w:rPr>
        <w:t>Centre for Sustainability and Resilient Infrastructures &amp; Communities (SaRIC), London South Bank University, UK</w:t>
      </w:r>
    </w:p>
    <w:p w14:paraId="00000006" w14:textId="77777777" w:rsidR="00FE0B4C" w:rsidRPr="007F121A" w:rsidRDefault="00791830">
      <w:pPr>
        <w:spacing w:line="257" w:lineRule="auto"/>
        <w:rPr>
          <w:rFonts w:ascii="Arial" w:hAnsi="Arial" w:cs="Arial"/>
        </w:rPr>
      </w:pPr>
      <w:r w:rsidRPr="007F121A">
        <w:rPr>
          <w:rFonts w:ascii="Arial" w:hAnsi="Arial" w:cs="Arial"/>
        </w:rPr>
        <w:t xml:space="preserve"> </w:t>
      </w:r>
    </w:p>
    <w:p w14:paraId="00000007" w14:textId="77777777" w:rsidR="00FE0B4C" w:rsidRPr="007F121A" w:rsidRDefault="00791830" w:rsidP="00D77F14">
      <w:pPr>
        <w:pStyle w:val="Heading1"/>
      </w:pPr>
      <w:r w:rsidRPr="007F121A">
        <w:t>Abstract</w:t>
      </w:r>
    </w:p>
    <w:p w14:paraId="00000008" w14:textId="032733B8" w:rsidR="00FE0B4C" w:rsidRPr="007F121A" w:rsidRDefault="50F71898" w:rsidP="50F71898">
      <w:pPr>
        <w:spacing w:after="240" w:line="360" w:lineRule="auto"/>
        <w:jc w:val="both"/>
        <w:rPr>
          <w:rFonts w:ascii="Arial" w:hAnsi="Arial" w:cs="Arial"/>
        </w:rPr>
      </w:pPr>
      <w:r w:rsidRPr="50F71898">
        <w:rPr>
          <w:rFonts w:ascii="Arial" w:eastAsia="Arial" w:hAnsi="Arial" w:cs="Arial"/>
        </w:rPr>
        <w:t xml:space="preserve">This paper investigates the relationships between young adults’ housing tenure, social capital, and elements of perceived job security in Britain. Against the backdrop of the changing trends in tenure in the UK housing system, young adults are faced with different situations that continue to shape their housing consumption and decisions. Socio-psychological dimension of housing tenure decisions has been receiving attention by housing market analysts and practitioners seeking deeper understandings of UK housing market dynamics, particularly in the wake of changing tastes and preferences of young people concerning housing decisions across major cities of the world. More specifically, very little research has been done to investigate the contributions of social capital formation, for example, neighbourhood or social integration and social relations, and elements of perceived job security, on housing tenure transitions among British young adults. </w:t>
      </w:r>
    </w:p>
    <w:p w14:paraId="00000009" w14:textId="1520057F" w:rsidR="00FE0B4C" w:rsidRPr="007F121A" w:rsidRDefault="50F71898" w:rsidP="50F71898">
      <w:pPr>
        <w:spacing w:line="360" w:lineRule="auto"/>
        <w:jc w:val="both"/>
        <w:rPr>
          <w:rFonts w:ascii="Arial" w:eastAsia="Arial" w:hAnsi="Arial" w:cs="Arial"/>
        </w:rPr>
      </w:pPr>
      <w:r w:rsidRPr="50F71898">
        <w:rPr>
          <w:rFonts w:ascii="Arial" w:eastAsia="Arial" w:hAnsi="Arial" w:cs="Arial"/>
        </w:rPr>
        <w:t xml:space="preserve"> A quantitative approach has been applied to the British Household Panel Survey (BHPS) from 2001-2015. We discover that British young adults’ home ownership decisions are further influenced by social capital and elements of perceived job insecurity, depending on their tenure of origin. Although we find minimal evidence of a combination effect from our variables of interest. Nevertheless, it is our view that findings from this study will significantly enhance our </w:t>
      </w:r>
      <w:r w:rsidRPr="50F71898">
        <w:rPr>
          <w:rFonts w:ascii="Arial" w:eastAsia="Arial" w:hAnsi="Arial" w:cs="Arial"/>
        </w:rPr>
        <w:lastRenderedPageBreak/>
        <w:t>understanding of tenure shifts amongst young adults in the UK and provide property developers, local authorities, and central governments the knowledge and information to guide economic policies, urban renewal towards achieving better social cohesion and sustainable communities.</w:t>
      </w:r>
    </w:p>
    <w:p w14:paraId="0000000A" w14:textId="77777777" w:rsidR="00FE0B4C" w:rsidRPr="007F121A" w:rsidRDefault="00791830">
      <w:pPr>
        <w:spacing w:line="360" w:lineRule="auto"/>
        <w:rPr>
          <w:rFonts w:ascii="Arial" w:hAnsi="Arial" w:cs="Arial"/>
        </w:rPr>
      </w:pPr>
      <w:r w:rsidRPr="007F121A">
        <w:rPr>
          <w:rFonts w:ascii="Arial" w:eastAsia="Arial" w:hAnsi="Arial" w:cs="Arial"/>
          <w:b/>
        </w:rPr>
        <w:t>Keywords</w:t>
      </w:r>
    </w:p>
    <w:p w14:paraId="0000000B" w14:textId="6E541E54" w:rsidR="00FE0B4C" w:rsidRPr="007F121A" w:rsidRDefault="50F71898" w:rsidP="50F71898">
      <w:pPr>
        <w:spacing w:line="360" w:lineRule="auto"/>
        <w:rPr>
          <w:rFonts w:ascii="Arial" w:hAnsi="Arial" w:cs="Arial"/>
        </w:rPr>
      </w:pPr>
      <w:r w:rsidRPr="50F71898">
        <w:rPr>
          <w:rFonts w:ascii="Arial" w:eastAsia="Arial" w:hAnsi="Arial" w:cs="Arial"/>
        </w:rPr>
        <w:t xml:space="preserve">Housing Tenure; Social Capital Formation; Job Insecurity; Neighbourhood Integration; UK </w:t>
      </w:r>
    </w:p>
    <w:p w14:paraId="0000000D" w14:textId="77777777" w:rsidR="00FE0B4C" w:rsidRPr="007F121A" w:rsidRDefault="00791830" w:rsidP="00D77F14">
      <w:pPr>
        <w:pStyle w:val="Heading1"/>
        <w:numPr>
          <w:ilvl w:val="0"/>
          <w:numId w:val="1"/>
        </w:numPr>
      </w:pPr>
      <w:r w:rsidRPr="007F121A">
        <w:t>Introduction</w:t>
      </w:r>
    </w:p>
    <w:p w14:paraId="0000000E" w14:textId="77777777" w:rsidR="00FE0B4C" w:rsidRPr="007F121A" w:rsidRDefault="00791830">
      <w:pPr>
        <w:spacing w:after="240" w:line="360" w:lineRule="auto"/>
        <w:jc w:val="both"/>
        <w:rPr>
          <w:rFonts w:ascii="Arial" w:eastAsia="Arial" w:hAnsi="Arial" w:cs="Arial"/>
        </w:rPr>
      </w:pPr>
      <w:r w:rsidRPr="007F121A">
        <w:rPr>
          <w:rFonts w:ascii="Arial" w:eastAsia="Arial" w:hAnsi="Arial" w:cs="Arial"/>
        </w:rPr>
        <w:t>Housing has continued to be a top subject among policymakers around the world. In the UK, the housing crisis remain relevant and policymakers are seeking more understanding of how the housing market works in order to propose better solutions. Among several housing issues, housing tenure decisions (i.e. decisions to buy or rent) have been key to understanding the market demand drivers. After a long steady rise in the owner occupation sector since the 80s, the UK private rented sector began to expand in the noughties at the expense of a shrinking owner occupation sector (Belfield et al., 2015). Considering the importance of housing as a major decision for any individual or household in their lifetime, the influences of housing tenure decisions form an integral part of understanding the major shifts in the housing market. In literature, well-established drivers of tenure transitions have been integral to explaining tenure decisions (See (Andrew and Meen, 2003; Di Salvo and Ermisch, 1997). Literature has attributed these trends mainly to demographic, economic, and affordability conditions. Nevertheless, additional explanations of tenure shifts, through socio-psychological contexts, have emerged in literature in recent times (See Aguda, 2019; Ben-Shahar, 2007; Drew, 2014 and Reid, 2013). More recently, there has been record rise in employment in the UK, but the record has often come with criticisms of bad employment and working conditions. This inadvertently affects individual’s perception of job security and consequently important decision for their social life. To date, no housing tenure research has explored the impact of individual perception of job security and the possible linkage with social connections to contribute to housing tenure decisions.</w:t>
      </w:r>
    </w:p>
    <w:p w14:paraId="0000000F" w14:textId="77777777" w:rsidR="00FE0B4C" w:rsidRPr="007F121A" w:rsidRDefault="00791830">
      <w:pPr>
        <w:spacing w:line="360" w:lineRule="auto"/>
        <w:jc w:val="both"/>
        <w:rPr>
          <w:rFonts w:ascii="Arial" w:eastAsia="Arial" w:hAnsi="Arial" w:cs="Arial"/>
        </w:rPr>
      </w:pPr>
      <w:r w:rsidRPr="007F121A">
        <w:rPr>
          <w:rFonts w:ascii="Arial" w:eastAsia="Arial" w:hAnsi="Arial" w:cs="Arial"/>
        </w:rPr>
        <w:t xml:space="preserve">To explore these possible additional influences, the paper is formed of five main sections. The next section provides a background and review of the drivers of tenure transitions. Within this review, the conceptual framework and justification of social capital linkages and elements of perceived job security are achieved. Afterwards, the research questions, applicable data and methodology is discussed and justified in section 3. The established drivers of tenure choice are controlled for in fixed effects logistic regression models that include social capital and perceived </w:t>
      </w:r>
      <w:r w:rsidRPr="007F121A">
        <w:rPr>
          <w:rFonts w:ascii="Arial" w:eastAsia="Arial" w:hAnsi="Arial" w:cs="Arial"/>
        </w:rPr>
        <w:lastRenderedPageBreak/>
        <w:t>job security variables. Following this is a discussion of results and conclusions are carried out in sections 4 and 5 respectively.</w:t>
      </w:r>
    </w:p>
    <w:p w14:paraId="00000010" w14:textId="77777777" w:rsidR="00FE0B4C" w:rsidRPr="007F121A" w:rsidRDefault="00791830" w:rsidP="00D77F14">
      <w:pPr>
        <w:pStyle w:val="Heading1"/>
        <w:rPr>
          <w:rFonts w:eastAsia="Arial"/>
        </w:rPr>
      </w:pPr>
      <w:r w:rsidRPr="007F121A">
        <w:rPr>
          <w:rFonts w:eastAsia="Arial"/>
        </w:rPr>
        <w:t xml:space="preserve"> 2. Background</w:t>
      </w:r>
    </w:p>
    <w:p w14:paraId="00000011" w14:textId="7312753C" w:rsidR="00FE0B4C" w:rsidRPr="007F121A" w:rsidRDefault="00791830" w:rsidP="00E9504E">
      <w:pPr>
        <w:pStyle w:val="Heading2"/>
        <w:spacing w:after="240"/>
        <w:jc w:val="both"/>
        <w:rPr>
          <w:rFonts w:eastAsia="Arial" w:cs="Arial"/>
        </w:rPr>
      </w:pPr>
      <w:r w:rsidRPr="007F121A">
        <w:rPr>
          <w:rFonts w:eastAsia="Arial" w:cs="Arial"/>
        </w:rPr>
        <w:t xml:space="preserve">2.1 Established drivers of </w:t>
      </w:r>
      <w:r w:rsidR="0012367B" w:rsidRPr="007F121A">
        <w:rPr>
          <w:rFonts w:eastAsia="Arial" w:cs="Arial"/>
        </w:rPr>
        <w:t xml:space="preserve">housing </w:t>
      </w:r>
      <w:r w:rsidRPr="007F121A">
        <w:rPr>
          <w:rFonts w:eastAsia="Arial" w:cs="Arial"/>
        </w:rPr>
        <w:t>tenure transitions in Britain</w:t>
      </w:r>
    </w:p>
    <w:p w14:paraId="31E33ED7" w14:textId="1ACF6963" w:rsidR="005A6416" w:rsidRPr="007F121A" w:rsidRDefault="00E9504E" w:rsidP="00867112">
      <w:pPr>
        <w:spacing w:after="240" w:line="360" w:lineRule="auto"/>
        <w:jc w:val="both"/>
        <w:rPr>
          <w:rFonts w:ascii="Arial" w:hAnsi="Arial" w:cs="Arial"/>
        </w:rPr>
      </w:pPr>
      <w:r w:rsidRPr="007F121A">
        <w:rPr>
          <w:rFonts w:ascii="Arial" w:hAnsi="Arial" w:cs="Arial"/>
        </w:rPr>
        <w:t xml:space="preserve">It is no question as to how affordability is </w:t>
      </w:r>
      <w:r w:rsidR="00B61FC6" w:rsidRPr="007F121A">
        <w:rPr>
          <w:rFonts w:ascii="Arial" w:hAnsi="Arial" w:cs="Arial"/>
        </w:rPr>
        <w:t>considered</w:t>
      </w:r>
      <w:r w:rsidRPr="007F121A">
        <w:rPr>
          <w:rFonts w:ascii="Arial" w:hAnsi="Arial" w:cs="Arial"/>
        </w:rPr>
        <w:t xml:space="preserve"> as a major housing issue in the UK and in major cities around the world. This is also very much present in previous </w:t>
      </w:r>
      <w:r w:rsidR="00B61FC6" w:rsidRPr="007F121A">
        <w:rPr>
          <w:rFonts w:ascii="Arial" w:hAnsi="Arial" w:cs="Arial"/>
        </w:rPr>
        <w:t xml:space="preserve">housing related </w:t>
      </w:r>
      <w:r w:rsidRPr="007F121A">
        <w:rPr>
          <w:rFonts w:ascii="Arial" w:hAnsi="Arial" w:cs="Arial"/>
        </w:rPr>
        <w:t>studies</w:t>
      </w:r>
      <w:r w:rsidR="00B61FC6" w:rsidRPr="007F121A">
        <w:rPr>
          <w:rFonts w:ascii="Arial" w:hAnsi="Arial" w:cs="Arial"/>
        </w:rPr>
        <w:t xml:space="preserve">. In the UK, </w:t>
      </w:r>
      <w:r w:rsidR="002326EC" w:rsidRPr="007F121A">
        <w:rPr>
          <w:rFonts w:ascii="Arial" w:hAnsi="Arial" w:cs="Arial"/>
        </w:rPr>
        <w:t xml:space="preserve">housing affordability has worsened over time, mostly affecting young adults. </w:t>
      </w:r>
      <w:r w:rsidR="002C5EBF" w:rsidRPr="007F121A">
        <w:rPr>
          <w:rFonts w:ascii="Arial" w:hAnsi="Arial" w:cs="Arial"/>
        </w:rPr>
        <w:t xml:space="preserve">Some prominent </w:t>
      </w:r>
      <w:r w:rsidR="003529D1" w:rsidRPr="007F121A">
        <w:rPr>
          <w:rFonts w:ascii="Arial" w:hAnsi="Arial" w:cs="Arial"/>
        </w:rPr>
        <w:t>factors are</w:t>
      </w:r>
      <w:r w:rsidR="002326EC" w:rsidRPr="007F121A">
        <w:rPr>
          <w:rFonts w:ascii="Arial" w:hAnsi="Arial" w:cs="Arial"/>
        </w:rPr>
        <w:t xml:space="preserve"> income </w:t>
      </w:r>
      <w:r w:rsidR="003079BD" w:rsidRPr="007F121A">
        <w:rPr>
          <w:rFonts w:ascii="Arial" w:hAnsi="Arial" w:cs="Arial"/>
        </w:rPr>
        <w:t xml:space="preserve">and wealth </w:t>
      </w:r>
      <w:r w:rsidR="002326EC" w:rsidRPr="007F121A">
        <w:rPr>
          <w:rFonts w:ascii="Arial" w:hAnsi="Arial" w:cs="Arial"/>
        </w:rPr>
        <w:t xml:space="preserve">disparity among </w:t>
      </w:r>
      <w:r w:rsidR="003079BD" w:rsidRPr="007F121A">
        <w:rPr>
          <w:rFonts w:ascii="Arial" w:hAnsi="Arial" w:cs="Arial"/>
        </w:rPr>
        <w:t>generations</w:t>
      </w:r>
      <w:r w:rsidR="002326EC" w:rsidRPr="007F121A">
        <w:rPr>
          <w:rFonts w:ascii="Arial" w:hAnsi="Arial" w:cs="Arial"/>
        </w:rPr>
        <w:t xml:space="preserve"> (Andrew and Meen, 2003)</w:t>
      </w:r>
      <w:r w:rsidR="003079BD" w:rsidRPr="007F121A">
        <w:rPr>
          <w:rFonts w:ascii="Arial" w:hAnsi="Arial" w:cs="Arial"/>
        </w:rPr>
        <w:t>,</w:t>
      </w:r>
      <w:r w:rsidR="002326EC" w:rsidRPr="007F121A">
        <w:rPr>
          <w:rFonts w:ascii="Arial" w:hAnsi="Arial" w:cs="Arial"/>
        </w:rPr>
        <w:t xml:space="preserve"> income </w:t>
      </w:r>
      <w:r w:rsidR="00C26861" w:rsidRPr="007F121A">
        <w:rPr>
          <w:rFonts w:ascii="Arial" w:hAnsi="Arial" w:cs="Arial"/>
        </w:rPr>
        <w:t>risks</w:t>
      </w:r>
      <w:r w:rsidR="002326EC" w:rsidRPr="007F121A">
        <w:rPr>
          <w:rFonts w:ascii="Arial" w:hAnsi="Arial" w:cs="Arial"/>
        </w:rPr>
        <w:t xml:space="preserve"> (Gathergood, 2011)</w:t>
      </w:r>
      <w:r w:rsidR="00492856" w:rsidRPr="007F121A">
        <w:rPr>
          <w:rFonts w:ascii="Arial" w:hAnsi="Arial" w:cs="Arial"/>
        </w:rPr>
        <w:t>,</w:t>
      </w:r>
      <w:r w:rsidR="002326EC" w:rsidRPr="007F121A">
        <w:rPr>
          <w:rFonts w:ascii="Arial" w:hAnsi="Arial" w:cs="Arial"/>
        </w:rPr>
        <w:t xml:space="preserve"> </w:t>
      </w:r>
      <w:r w:rsidR="00867112" w:rsidRPr="007F121A">
        <w:rPr>
          <w:rFonts w:ascii="Arial" w:hAnsi="Arial" w:cs="Arial"/>
        </w:rPr>
        <w:t>borrowing restrictions</w:t>
      </w:r>
      <w:r w:rsidR="002326EC" w:rsidRPr="007F121A">
        <w:rPr>
          <w:rFonts w:ascii="Arial" w:hAnsi="Arial" w:cs="Arial"/>
        </w:rPr>
        <w:t xml:space="preserve"> (</w:t>
      </w:r>
      <w:r w:rsidR="002326EC" w:rsidRPr="007F121A">
        <w:rPr>
          <w:rFonts w:ascii="Arial" w:hAnsi="Arial" w:cs="Arial"/>
          <w:sz w:val="23"/>
          <w:szCs w:val="23"/>
        </w:rPr>
        <w:t>Andrew and Pannell, 2006; Andrew, 2012</w:t>
      </w:r>
      <w:r w:rsidR="002326EC" w:rsidRPr="007F121A">
        <w:rPr>
          <w:rFonts w:ascii="Arial" w:hAnsi="Arial" w:cs="Arial"/>
        </w:rPr>
        <w:t>)</w:t>
      </w:r>
      <w:r w:rsidR="00492856" w:rsidRPr="007F121A">
        <w:rPr>
          <w:rFonts w:ascii="Arial" w:hAnsi="Arial" w:cs="Arial"/>
        </w:rPr>
        <w:t xml:space="preserve"> and user cost of owning to renting (Bourassa, 1995</w:t>
      </w:r>
      <w:r w:rsidR="005A6416" w:rsidRPr="007F121A">
        <w:rPr>
          <w:rFonts w:ascii="Arial" w:hAnsi="Arial" w:cs="Arial"/>
        </w:rPr>
        <w:t>; Ermisch and Di Salvo, 1996</w:t>
      </w:r>
      <w:r w:rsidR="00492856" w:rsidRPr="007F121A">
        <w:rPr>
          <w:rFonts w:ascii="Arial" w:hAnsi="Arial" w:cs="Arial"/>
        </w:rPr>
        <w:t>)</w:t>
      </w:r>
      <w:r w:rsidR="002326EC" w:rsidRPr="007F121A">
        <w:rPr>
          <w:rFonts w:ascii="Arial" w:hAnsi="Arial" w:cs="Arial"/>
        </w:rPr>
        <w:t xml:space="preserve">. </w:t>
      </w:r>
      <w:r w:rsidR="003529D1" w:rsidRPr="007F121A">
        <w:rPr>
          <w:rFonts w:ascii="Arial" w:hAnsi="Arial" w:cs="Arial"/>
        </w:rPr>
        <w:t>Although</w:t>
      </w:r>
      <w:r w:rsidR="002326EC" w:rsidRPr="007F121A">
        <w:rPr>
          <w:rFonts w:ascii="Arial" w:hAnsi="Arial" w:cs="Arial"/>
        </w:rPr>
        <w:t xml:space="preserve">, these are mostly external </w:t>
      </w:r>
      <w:r w:rsidR="005A6416" w:rsidRPr="007F121A">
        <w:rPr>
          <w:rFonts w:ascii="Arial" w:hAnsi="Arial" w:cs="Arial"/>
        </w:rPr>
        <w:t xml:space="preserve">microeconomic </w:t>
      </w:r>
      <w:r w:rsidR="002326EC" w:rsidRPr="007F121A">
        <w:rPr>
          <w:rFonts w:ascii="Arial" w:hAnsi="Arial" w:cs="Arial"/>
        </w:rPr>
        <w:t>factors</w:t>
      </w:r>
      <w:r w:rsidR="00C26861" w:rsidRPr="007F121A">
        <w:rPr>
          <w:rFonts w:ascii="Arial" w:hAnsi="Arial" w:cs="Arial"/>
        </w:rPr>
        <w:t xml:space="preserve"> to individuals and households. </w:t>
      </w:r>
      <w:r w:rsidR="003529D1" w:rsidRPr="007F121A">
        <w:rPr>
          <w:rFonts w:ascii="Arial" w:hAnsi="Arial" w:cs="Arial"/>
        </w:rPr>
        <w:t xml:space="preserve">Nevertheless, they </w:t>
      </w:r>
      <w:r w:rsidR="005A6416" w:rsidRPr="007F121A">
        <w:rPr>
          <w:rFonts w:ascii="Arial" w:hAnsi="Arial" w:cs="Arial"/>
        </w:rPr>
        <w:t>depict</w:t>
      </w:r>
      <w:r w:rsidR="003529D1" w:rsidRPr="007F121A">
        <w:rPr>
          <w:rFonts w:ascii="Arial" w:hAnsi="Arial" w:cs="Arial"/>
        </w:rPr>
        <w:t xml:space="preserve"> a picture of changes in the </w:t>
      </w:r>
      <w:r w:rsidR="005A6416" w:rsidRPr="007F121A">
        <w:rPr>
          <w:rFonts w:ascii="Arial" w:hAnsi="Arial" w:cs="Arial"/>
        </w:rPr>
        <w:t xml:space="preserve">overall </w:t>
      </w:r>
      <w:r w:rsidR="003529D1" w:rsidRPr="007F121A">
        <w:rPr>
          <w:rFonts w:ascii="Arial" w:hAnsi="Arial" w:cs="Arial"/>
        </w:rPr>
        <w:t>economy, and the effect of the changes in the housing sector</w:t>
      </w:r>
      <w:r w:rsidR="003529D1" w:rsidRPr="007F121A">
        <w:rPr>
          <w:rStyle w:val="FootnoteReference"/>
          <w:rFonts w:ascii="Arial" w:hAnsi="Arial" w:cs="Arial"/>
        </w:rPr>
        <w:footnoteReference w:id="2"/>
      </w:r>
      <w:r w:rsidR="003529D1" w:rsidRPr="007F121A">
        <w:rPr>
          <w:rFonts w:ascii="Arial" w:hAnsi="Arial" w:cs="Arial"/>
        </w:rPr>
        <w:t xml:space="preserve">. </w:t>
      </w:r>
    </w:p>
    <w:p w14:paraId="4596B5AC" w14:textId="7222540E" w:rsidR="007A7006" w:rsidRPr="007F121A" w:rsidRDefault="00492856" w:rsidP="00867112">
      <w:pPr>
        <w:spacing w:after="240" w:line="360" w:lineRule="auto"/>
        <w:jc w:val="both"/>
        <w:rPr>
          <w:rFonts w:ascii="Arial" w:hAnsi="Arial" w:cs="Arial"/>
        </w:rPr>
      </w:pPr>
      <w:r w:rsidRPr="007F121A">
        <w:rPr>
          <w:rFonts w:ascii="Arial" w:hAnsi="Arial" w:cs="Arial"/>
        </w:rPr>
        <w:t>Drivers of tenure transitions</w:t>
      </w:r>
      <w:r w:rsidR="0041355A">
        <w:rPr>
          <w:rFonts w:ascii="Arial" w:hAnsi="Arial" w:cs="Arial"/>
        </w:rPr>
        <w:t xml:space="preserve"> also</w:t>
      </w:r>
      <w:r w:rsidRPr="007F121A">
        <w:rPr>
          <w:rFonts w:ascii="Arial" w:hAnsi="Arial" w:cs="Arial"/>
        </w:rPr>
        <w:t xml:space="preserve"> </w:t>
      </w:r>
      <w:r w:rsidR="0041355A">
        <w:rPr>
          <w:rFonts w:ascii="Arial" w:hAnsi="Arial" w:cs="Arial"/>
        </w:rPr>
        <w:t>exist along</w:t>
      </w:r>
      <w:r w:rsidRPr="007F121A">
        <w:rPr>
          <w:rFonts w:ascii="Arial" w:hAnsi="Arial" w:cs="Arial"/>
        </w:rPr>
        <w:t xml:space="preserve"> demographic lines, such as hous</w:t>
      </w:r>
      <w:r w:rsidR="00E56438" w:rsidRPr="007F121A">
        <w:rPr>
          <w:rFonts w:ascii="Arial" w:hAnsi="Arial" w:cs="Arial"/>
        </w:rPr>
        <w:t>ehold composition, race, sex,</w:t>
      </w:r>
      <w:r w:rsidRPr="007F121A">
        <w:rPr>
          <w:rFonts w:ascii="Arial" w:hAnsi="Arial" w:cs="Arial"/>
        </w:rPr>
        <w:t xml:space="preserve"> age</w:t>
      </w:r>
      <w:r w:rsidR="00E56438" w:rsidRPr="007F121A">
        <w:rPr>
          <w:rFonts w:ascii="Arial" w:hAnsi="Arial" w:cs="Arial"/>
        </w:rPr>
        <w:t xml:space="preserve"> and mobility patterns (Baddeley, 2011; Drew, 2014; Fu, 2014).</w:t>
      </w:r>
      <w:r w:rsidR="00731E0E" w:rsidRPr="007F121A">
        <w:rPr>
          <w:rFonts w:ascii="Arial" w:hAnsi="Arial" w:cs="Arial"/>
        </w:rPr>
        <w:t xml:space="preserve"> These also include </w:t>
      </w:r>
      <w:r w:rsidR="00771BCC" w:rsidRPr="007F121A">
        <w:rPr>
          <w:rFonts w:ascii="Arial" w:hAnsi="Arial" w:cs="Arial"/>
        </w:rPr>
        <w:t xml:space="preserve">influences of </w:t>
      </w:r>
      <w:r w:rsidR="0046026F" w:rsidRPr="007F121A">
        <w:rPr>
          <w:rFonts w:ascii="Arial" w:hAnsi="Arial" w:cs="Arial"/>
        </w:rPr>
        <w:t>pathways</w:t>
      </w:r>
      <w:r w:rsidR="00235BAF" w:rsidRPr="007F121A">
        <w:rPr>
          <w:rFonts w:ascii="Arial" w:hAnsi="Arial" w:cs="Arial"/>
        </w:rPr>
        <w:t xml:space="preserve"> and </w:t>
      </w:r>
      <w:r w:rsidR="00AF719B" w:rsidRPr="007F121A">
        <w:rPr>
          <w:rFonts w:ascii="Arial" w:hAnsi="Arial" w:cs="Arial"/>
        </w:rPr>
        <w:t xml:space="preserve">mobility </w:t>
      </w:r>
      <w:r w:rsidR="000178F1" w:rsidRPr="007F121A">
        <w:rPr>
          <w:rFonts w:ascii="Arial" w:hAnsi="Arial" w:cs="Arial"/>
        </w:rPr>
        <w:t xml:space="preserve">patterns </w:t>
      </w:r>
      <w:r w:rsidR="00771BCC" w:rsidRPr="007F121A">
        <w:rPr>
          <w:rFonts w:ascii="Arial" w:hAnsi="Arial" w:cs="Arial"/>
        </w:rPr>
        <w:t xml:space="preserve">for young people’s tenure described in </w:t>
      </w:r>
      <w:r w:rsidR="00CC471F">
        <w:rPr>
          <w:rFonts w:ascii="Arial" w:hAnsi="Arial" w:cs="Arial"/>
        </w:rPr>
        <w:t xml:space="preserve">Ford </w:t>
      </w:r>
      <w:r w:rsidR="00CC471F" w:rsidRPr="00CC471F">
        <w:rPr>
          <w:rFonts w:ascii="Arial" w:hAnsi="Arial" w:cs="Arial"/>
          <w:i/>
        </w:rPr>
        <w:t>et al</w:t>
      </w:r>
      <w:r w:rsidR="00CC471F">
        <w:rPr>
          <w:rFonts w:ascii="Arial" w:hAnsi="Arial" w:cs="Arial"/>
          <w:i/>
        </w:rPr>
        <w:t>.</w:t>
      </w:r>
      <w:r w:rsidR="00CC471F">
        <w:rPr>
          <w:rFonts w:ascii="Arial" w:hAnsi="Arial" w:cs="Arial"/>
        </w:rPr>
        <w:t xml:space="preserve"> (2012); </w:t>
      </w:r>
      <w:r w:rsidR="004F5ACF" w:rsidRPr="007F121A">
        <w:rPr>
          <w:rFonts w:ascii="Arial" w:hAnsi="Arial" w:cs="Arial"/>
        </w:rPr>
        <w:t>Heath</w:t>
      </w:r>
      <w:r w:rsidR="0041355A">
        <w:rPr>
          <w:rFonts w:ascii="Arial" w:hAnsi="Arial" w:cs="Arial"/>
        </w:rPr>
        <w:t xml:space="preserve"> (2008) and C</w:t>
      </w:r>
      <w:r w:rsidR="00086895" w:rsidRPr="007F121A">
        <w:rPr>
          <w:rFonts w:ascii="Arial" w:hAnsi="Arial" w:cs="Arial"/>
        </w:rPr>
        <w:t>lapham</w:t>
      </w:r>
      <w:r w:rsidR="0041355A">
        <w:rPr>
          <w:rFonts w:ascii="Arial" w:hAnsi="Arial" w:cs="Arial"/>
        </w:rPr>
        <w:t xml:space="preserve"> </w:t>
      </w:r>
      <w:r w:rsidR="0041355A" w:rsidRPr="0041355A">
        <w:rPr>
          <w:rFonts w:ascii="Arial" w:hAnsi="Arial" w:cs="Arial"/>
          <w:i/>
        </w:rPr>
        <w:t>et al</w:t>
      </w:r>
      <w:r w:rsidR="0041355A">
        <w:rPr>
          <w:rFonts w:ascii="Arial" w:hAnsi="Arial" w:cs="Arial"/>
        </w:rPr>
        <w:t>.</w:t>
      </w:r>
      <w:r w:rsidR="00086895" w:rsidRPr="007F121A">
        <w:rPr>
          <w:rFonts w:ascii="Arial" w:hAnsi="Arial" w:cs="Arial"/>
        </w:rPr>
        <w:t xml:space="preserve"> </w:t>
      </w:r>
      <w:r w:rsidR="0041355A">
        <w:rPr>
          <w:rFonts w:ascii="Arial" w:hAnsi="Arial" w:cs="Arial"/>
        </w:rPr>
        <w:t>(</w:t>
      </w:r>
      <w:r w:rsidR="00086895" w:rsidRPr="007F121A">
        <w:rPr>
          <w:rFonts w:ascii="Arial" w:hAnsi="Arial" w:cs="Arial"/>
        </w:rPr>
        <w:t>2014</w:t>
      </w:r>
      <w:r w:rsidR="0041355A">
        <w:rPr>
          <w:rFonts w:ascii="Arial" w:hAnsi="Arial" w:cs="Arial"/>
        </w:rPr>
        <w:t>)</w:t>
      </w:r>
      <w:r w:rsidR="00C51204" w:rsidRPr="007F121A">
        <w:rPr>
          <w:rFonts w:ascii="Arial" w:hAnsi="Arial" w:cs="Arial"/>
        </w:rPr>
        <w:t>.</w:t>
      </w:r>
      <w:r w:rsidR="00B14721" w:rsidRPr="007F121A">
        <w:rPr>
          <w:rFonts w:ascii="Arial" w:hAnsi="Arial" w:cs="Arial"/>
        </w:rPr>
        <w:t xml:space="preserve"> Home ownership remains the largest and most popular tenure. Nevertheless, considering the recent housing mobility and tenure shifts, the private rented sector may </w:t>
      </w:r>
      <w:r w:rsidR="0041355A">
        <w:rPr>
          <w:rFonts w:ascii="Arial" w:hAnsi="Arial" w:cs="Arial"/>
        </w:rPr>
        <w:t xml:space="preserve">gradually </w:t>
      </w:r>
      <w:r w:rsidR="00B14721" w:rsidRPr="007F121A">
        <w:rPr>
          <w:rFonts w:ascii="Arial" w:hAnsi="Arial" w:cs="Arial"/>
        </w:rPr>
        <w:t xml:space="preserve">be becoming a more stable tenure rather than a temporary tenure as was suggested in </w:t>
      </w:r>
      <w:r w:rsidR="0041355A">
        <w:rPr>
          <w:rFonts w:ascii="Arial" w:hAnsi="Arial" w:cs="Arial"/>
        </w:rPr>
        <w:t>Kemp (2002)</w:t>
      </w:r>
      <w:r w:rsidR="00413FE9">
        <w:rPr>
          <w:rFonts w:ascii="Arial" w:hAnsi="Arial" w:cs="Arial"/>
        </w:rPr>
        <w:t xml:space="preserve"> and Ford </w:t>
      </w:r>
      <w:r w:rsidR="00413FE9" w:rsidRPr="00413FE9">
        <w:rPr>
          <w:rFonts w:ascii="Arial" w:hAnsi="Arial" w:cs="Arial"/>
          <w:i/>
        </w:rPr>
        <w:t>et al</w:t>
      </w:r>
      <w:r w:rsidR="00413FE9">
        <w:rPr>
          <w:rFonts w:ascii="Arial" w:hAnsi="Arial" w:cs="Arial"/>
        </w:rPr>
        <w:t xml:space="preserve"> (2002)</w:t>
      </w:r>
      <w:r w:rsidR="0041355A">
        <w:rPr>
          <w:rFonts w:ascii="Arial" w:hAnsi="Arial" w:cs="Arial"/>
        </w:rPr>
        <w:t xml:space="preserve">. </w:t>
      </w:r>
      <w:r w:rsidR="00260EF6" w:rsidRPr="007F121A">
        <w:rPr>
          <w:rFonts w:ascii="Arial" w:hAnsi="Arial" w:cs="Arial"/>
        </w:rPr>
        <w:t>Essentially, y</w:t>
      </w:r>
      <w:r w:rsidR="00F92C9D" w:rsidRPr="007F121A">
        <w:rPr>
          <w:rFonts w:ascii="Arial" w:hAnsi="Arial" w:cs="Arial"/>
        </w:rPr>
        <w:t>oung people</w:t>
      </w:r>
      <w:r w:rsidR="009C197C" w:rsidRPr="007F121A">
        <w:rPr>
          <w:rFonts w:ascii="Arial" w:hAnsi="Arial" w:cs="Arial"/>
        </w:rPr>
        <w:t>’s</w:t>
      </w:r>
      <w:r w:rsidR="00F92C9D" w:rsidRPr="007F121A">
        <w:rPr>
          <w:rFonts w:ascii="Arial" w:hAnsi="Arial" w:cs="Arial"/>
        </w:rPr>
        <w:t xml:space="preserve"> </w:t>
      </w:r>
      <w:r w:rsidR="009C197C" w:rsidRPr="007F121A">
        <w:rPr>
          <w:rFonts w:ascii="Arial" w:hAnsi="Arial" w:cs="Arial"/>
        </w:rPr>
        <w:t>decisions on</w:t>
      </w:r>
      <w:r w:rsidR="00260EF6" w:rsidRPr="007F121A">
        <w:rPr>
          <w:rFonts w:ascii="Arial" w:hAnsi="Arial" w:cs="Arial"/>
        </w:rPr>
        <w:t xml:space="preserve"> </w:t>
      </w:r>
      <w:r w:rsidR="009C197C" w:rsidRPr="007F121A">
        <w:rPr>
          <w:rFonts w:ascii="Arial" w:hAnsi="Arial" w:cs="Arial"/>
        </w:rPr>
        <w:t xml:space="preserve">housing tenure has continued to change, </w:t>
      </w:r>
      <w:r w:rsidR="00357FB2" w:rsidRPr="007F121A">
        <w:rPr>
          <w:rFonts w:ascii="Arial" w:hAnsi="Arial" w:cs="Arial"/>
        </w:rPr>
        <w:t xml:space="preserve">by drifting towards private renting </w:t>
      </w:r>
      <w:r w:rsidR="002B0487" w:rsidRPr="007F121A">
        <w:rPr>
          <w:rFonts w:ascii="Arial" w:hAnsi="Arial" w:cs="Arial"/>
        </w:rPr>
        <w:t>(Heath, 2008).</w:t>
      </w:r>
      <w:r w:rsidR="007255AF" w:rsidRPr="007F121A">
        <w:rPr>
          <w:rFonts w:ascii="Arial" w:hAnsi="Arial" w:cs="Arial"/>
        </w:rPr>
        <w:t xml:space="preserve"> Economic and demographic factors have proven to be </w:t>
      </w:r>
      <w:r w:rsidR="00D31BD0" w:rsidRPr="007F121A">
        <w:rPr>
          <w:rFonts w:ascii="Arial" w:hAnsi="Arial" w:cs="Arial"/>
        </w:rPr>
        <w:t>core to explaining tenure decisions</w:t>
      </w:r>
      <w:r w:rsidR="006C2F6A" w:rsidRPr="007F121A">
        <w:rPr>
          <w:rFonts w:ascii="Arial" w:hAnsi="Arial" w:cs="Arial"/>
        </w:rPr>
        <w:t>,</w:t>
      </w:r>
      <w:r w:rsidR="00D31BD0" w:rsidRPr="007F121A">
        <w:rPr>
          <w:rFonts w:ascii="Arial" w:hAnsi="Arial" w:cs="Arial"/>
        </w:rPr>
        <w:t xml:space="preserve"> but are yet to fully explain the shifts</w:t>
      </w:r>
      <w:r w:rsidR="007A34A9" w:rsidRPr="007F121A">
        <w:rPr>
          <w:rFonts w:ascii="Arial" w:hAnsi="Arial" w:cs="Arial"/>
        </w:rPr>
        <w:t>.</w:t>
      </w:r>
      <w:r w:rsidR="002B0487" w:rsidRPr="007F121A">
        <w:rPr>
          <w:rFonts w:ascii="Arial" w:hAnsi="Arial" w:cs="Arial"/>
        </w:rPr>
        <w:t xml:space="preserve"> </w:t>
      </w:r>
      <w:r w:rsidR="00041A7C" w:rsidRPr="007F121A">
        <w:rPr>
          <w:rFonts w:ascii="Arial" w:hAnsi="Arial" w:cs="Arial"/>
        </w:rPr>
        <w:t>H</w:t>
      </w:r>
      <w:r w:rsidR="009C197C" w:rsidRPr="007F121A">
        <w:rPr>
          <w:rFonts w:ascii="Arial" w:hAnsi="Arial" w:cs="Arial"/>
        </w:rPr>
        <w:t>ence</w:t>
      </w:r>
      <w:r w:rsidR="00041A7C" w:rsidRPr="007F121A">
        <w:rPr>
          <w:rFonts w:ascii="Arial" w:hAnsi="Arial" w:cs="Arial"/>
        </w:rPr>
        <w:t>,</w:t>
      </w:r>
      <w:r w:rsidR="009C197C" w:rsidRPr="007F121A">
        <w:rPr>
          <w:rFonts w:ascii="Arial" w:hAnsi="Arial" w:cs="Arial"/>
        </w:rPr>
        <w:t xml:space="preserve"> </w:t>
      </w:r>
      <w:r w:rsidR="00B65BDF" w:rsidRPr="007F121A">
        <w:rPr>
          <w:rFonts w:ascii="Arial" w:hAnsi="Arial" w:cs="Arial"/>
        </w:rPr>
        <w:t>there is a</w:t>
      </w:r>
      <w:r w:rsidR="009C197C" w:rsidRPr="007F121A">
        <w:rPr>
          <w:rFonts w:ascii="Arial" w:hAnsi="Arial" w:cs="Arial"/>
        </w:rPr>
        <w:t xml:space="preserve"> need t</w:t>
      </w:r>
      <w:r w:rsidR="00B65BDF" w:rsidRPr="007F121A">
        <w:rPr>
          <w:rFonts w:ascii="Arial" w:hAnsi="Arial" w:cs="Arial"/>
        </w:rPr>
        <w:t xml:space="preserve">o </w:t>
      </w:r>
      <w:r w:rsidR="00865D21" w:rsidRPr="007F121A">
        <w:rPr>
          <w:rFonts w:ascii="Arial" w:hAnsi="Arial" w:cs="Arial"/>
        </w:rPr>
        <w:t xml:space="preserve">further </w:t>
      </w:r>
      <w:r w:rsidR="009C197C" w:rsidRPr="007F121A">
        <w:rPr>
          <w:rFonts w:ascii="Arial" w:hAnsi="Arial" w:cs="Arial"/>
        </w:rPr>
        <w:t xml:space="preserve">understand these changing patterns in the housing market. </w:t>
      </w:r>
    </w:p>
    <w:p w14:paraId="082D5656" w14:textId="008D1AD7" w:rsidR="00782C92" w:rsidRPr="007F121A" w:rsidRDefault="006C2F6A" w:rsidP="00867112">
      <w:pPr>
        <w:spacing w:after="240" w:line="360" w:lineRule="auto"/>
        <w:jc w:val="both"/>
        <w:rPr>
          <w:rFonts w:ascii="Arial" w:hAnsi="Arial" w:cs="Arial"/>
        </w:rPr>
      </w:pPr>
      <w:r w:rsidRPr="007F121A">
        <w:rPr>
          <w:rFonts w:ascii="Arial" w:hAnsi="Arial" w:cs="Arial"/>
        </w:rPr>
        <w:t xml:space="preserve">Socio-psychological dimensions </w:t>
      </w:r>
      <w:r w:rsidR="0008531C" w:rsidRPr="007F121A">
        <w:rPr>
          <w:rFonts w:ascii="Arial" w:hAnsi="Arial" w:cs="Arial"/>
        </w:rPr>
        <w:t>have</w:t>
      </w:r>
      <w:r w:rsidR="00A4593B" w:rsidRPr="007F121A">
        <w:rPr>
          <w:rFonts w:ascii="Arial" w:hAnsi="Arial" w:cs="Arial"/>
        </w:rPr>
        <w:t xml:space="preserve"> provided additional explanations in recent literature. However, they are yet to be well developed in empirical context.</w:t>
      </w:r>
      <w:r w:rsidR="001E60C9" w:rsidRPr="007F121A">
        <w:rPr>
          <w:rFonts w:ascii="Arial" w:hAnsi="Arial" w:cs="Arial"/>
        </w:rPr>
        <w:t xml:space="preserve"> Theoretically, </w:t>
      </w:r>
      <w:r w:rsidR="00D13AC5" w:rsidRPr="007F121A">
        <w:rPr>
          <w:rFonts w:ascii="Arial" w:hAnsi="Arial" w:cs="Arial"/>
        </w:rPr>
        <w:t xml:space="preserve">social </w:t>
      </w:r>
      <w:r w:rsidR="00CD7087" w:rsidRPr="007F121A">
        <w:rPr>
          <w:rFonts w:ascii="Arial" w:hAnsi="Arial" w:cs="Arial"/>
        </w:rPr>
        <w:t xml:space="preserve">dimensions exist in housing tenure studies in the form of </w:t>
      </w:r>
      <w:r w:rsidR="004834C0" w:rsidRPr="007F121A">
        <w:rPr>
          <w:rFonts w:ascii="Arial" w:hAnsi="Arial" w:cs="Arial"/>
        </w:rPr>
        <w:t xml:space="preserve">socialisation processes unfolding overtime </w:t>
      </w:r>
      <w:r w:rsidR="00F7610A" w:rsidRPr="007F121A">
        <w:rPr>
          <w:rFonts w:ascii="Arial" w:hAnsi="Arial" w:cs="Arial"/>
        </w:rPr>
        <w:t xml:space="preserve">through parental influence or the immediate environment. </w:t>
      </w:r>
      <w:r w:rsidR="00261890" w:rsidRPr="007F121A">
        <w:rPr>
          <w:rFonts w:ascii="Arial" w:hAnsi="Arial" w:cs="Arial"/>
        </w:rPr>
        <w:t xml:space="preserve">More specifically, socialisation towards home ownership, for </w:t>
      </w:r>
      <w:r w:rsidR="008D6D01" w:rsidRPr="007F121A">
        <w:rPr>
          <w:rFonts w:ascii="Arial" w:hAnsi="Arial" w:cs="Arial"/>
        </w:rPr>
        <w:t xml:space="preserve">instance, </w:t>
      </w:r>
      <w:r w:rsidR="000A299D" w:rsidRPr="007F121A">
        <w:rPr>
          <w:rFonts w:ascii="Arial" w:hAnsi="Arial" w:cs="Arial"/>
        </w:rPr>
        <w:t xml:space="preserve">deals broadly with </w:t>
      </w:r>
      <w:r w:rsidR="00886D53">
        <w:rPr>
          <w:rFonts w:ascii="Arial" w:hAnsi="Arial" w:cs="Arial"/>
        </w:rPr>
        <w:t xml:space="preserve">developing </w:t>
      </w:r>
      <w:r w:rsidR="006831E5" w:rsidRPr="007F121A">
        <w:rPr>
          <w:rFonts w:ascii="Arial" w:hAnsi="Arial" w:cs="Arial"/>
        </w:rPr>
        <w:t xml:space="preserve">aspirations </w:t>
      </w:r>
      <w:r w:rsidR="00CD4DE1">
        <w:rPr>
          <w:rFonts w:ascii="Arial" w:hAnsi="Arial" w:cs="Arial"/>
        </w:rPr>
        <w:t>and</w:t>
      </w:r>
      <w:r w:rsidR="006831E5" w:rsidRPr="007F121A">
        <w:rPr>
          <w:rFonts w:ascii="Arial" w:hAnsi="Arial" w:cs="Arial"/>
        </w:rPr>
        <w:t xml:space="preserve"> preferences (</w:t>
      </w:r>
      <w:r w:rsidR="00CD4DE1">
        <w:rPr>
          <w:rFonts w:ascii="Arial" w:hAnsi="Arial" w:cs="Arial"/>
        </w:rPr>
        <w:t xml:space="preserve">Ben-Shahar, </w:t>
      </w:r>
      <w:r w:rsidR="00CD4DE1">
        <w:rPr>
          <w:rFonts w:ascii="Arial" w:hAnsi="Arial" w:cs="Arial"/>
        </w:rPr>
        <w:lastRenderedPageBreak/>
        <w:t>2007</w:t>
      </w:r>
      <w:r w:rsidR="006831E5" w:rsidRPr="007F121A">
        <w:rPr>
          <w:rFonts w:ascii="Arial" w:hAnsi="Arial" w:cs="Arial"/>
        </w:rPr>
        <w:t>)</w:t>
      </w:r>
      <w:r w:rsidR="00CD4DE1">
        <w:rPr>
          <w:rFonts w:ascii="Arial" w:hAnsi="Arial" w:cs="Arial"/>
        </w:rPr>
        <w:t>;</w:t>
      </w:r>
      <w:r w:rsidR="006831E5" w:rsidRPr="007F121A">
        <w:rPr>
          <w:rFonts w:ascii="Arial" w:hAnsi="Arial" w:cs="Arial"/>
        </w:rPr>
        <w:t xml:space="preserve"> </w:t>
      </w:r>
      <w:r w:rsidR="00465AA2">
        <w:rPr>
          <w:rFonts w:ascii="Arial" w:hAnsi="Arial" w:cs="Arial"/>
        </w:rPr>
        <w:t xml:space="preserve">inspirations (Reid, 2013); </w:t>
      </w:r>
      <w:r w:rsidR="006831E5" w:rsidRPr="007F121A">
        <w:rPr>
          <w:rFonts w:ascii="Arial" w:hAnsi="Arial" w:cs="Arial"/>
        </w:rPr>
        <w:t>habitual behaviours (</w:t>
      </w:r>
      <w:r w:rsidR="00CD4DE1" w:rsidRPr="00CD4DE1">
        <w:rPr>
          <w:rFonts w:ascii="Arial" w:hAnsi="Arial" w:cs="Arial"/>
        </w:rPr>
        <w:t>Ab Majid et al., 2014</w:t>
      </w:r>
      <w:r w:rsidR="006831E5" w:rsidRPr="007F121A">
        <w:rPr>
          <w:rFonts w:ascii="Arial" w:hAnsi="Arial" w:cs="Arial"/>
        </w:rPr>
        <w:t>)</w:t>
      </w:r>
      <w:r w:rsidR="00CD4DE1">
        <w:rPr>
          <w:rFonts w:ascii="Arial" w:hAnsi="Arial" w:cs="Arial"/>
        </w:rPr>
        <w:t>;</w:t>
      </w:r>
      <w:r w:rsidR="00CE5888" w:rsidRPr="007F121A">
        <w:rPr>
          <w:rFonts w:ascii="Arial" w:hAnsi="Arial" w:cs="Arial"/>
        </w:rPr>
        <w:t xml:space="preserve"> path-dependence </w:t>
      </w:r>
      <w:r w:rsidR="0007746B" w:rsidRPr="0007746B">
        <w:rPr>
          <w:rFonts w:ascii="Arial" w:hAnsi="Arial" w:cs="Arial"/>
        </w:rPr>
        <w:t>(Lersch and Luijkx, 2015; Coulter, 2016</w:t>
      </w:r>
      <w:r w:rsidR="0007746B">
        <w:rPr>
          <w:rFonts w:ascii="Arial" w:hAnsi="Arial" w:cs="Arial"/>
        </w:rPr>
        <w:t xml:space="preserve">; </w:t>
      </w:r>
      <w:r w:rsidR="0007746B" w:rsidRPr="0007746B">
        <w:rPr>
          <w:rFonts w:ascii="Arial" w:hAnsi="Arial" w:cs="Arial"/>
        </w:rPr>
        <w:t>Lux et al., 2018;</w:t>
      </w:r>
      <w:r w:rsidR="0007746B">
        <w:rPr>
          <w:rFonts w:ascii="Arial" w:hAnsi="Arial" w:cs="Arial"/>
        </w:rPr>
        <w:t xml:space="preserve"> Aguda, 2019</w:t>
      </w:r>
      <w:r w:rsidR="00CE5888" w:rsidRPr="007F121A">
        <w:rPr>
          <w:rFonts w:ascii="Arial" w:hAnsi="Arial" w:cs="Arial"/>
        </w:rPr>
        <w:t>)</w:t>
      </w:r>
      <w:r w:rsidR="00264B7A">
        <w:rPr>
          <w:rFonts w:ascii="Arial" w:hAnsi="Arial" w:cs="Arial"/>
        </w:rPr>
        <w:t>.</w:t>
      </w:r>
      <w:r w:rsidR="00CD4DE1">
        <w:rPr>
          <w:rFonts w:ascii="Arial" w:hAnsi="Arial" w:cs="Arial"/>
        </w:rPr>
        <w:t xml:space="preserve"> </w:t>
      </w:r>
      <w:r w:rsidR="00B0560D" w:rsidRPr="007F121A">
        <w:rPr>
          <w:rFonts w:ascii="Arial" w:hAnsi="Arial" w:cs="Arial"/>
        </w:rPr>
        <w:t xml:space="preserve">The psychology </w:t>
      </w:r>
      <w:r w:rsidR="00063DE7" w:rsidRPr="007F121A">
        <w:rPr>
          <w:rFonts w:ascii="Arial" w:hAnsi="Arial" w:cs="Arial"/>
        </w:rPr>
        <w:t>literature</w:t>
      </w:r>
      <w:r w:rsidR="003C3EA1" w:rsidRPr="007F121A">
        <w:rPr>
          <w:rFonts w:ascii="Arial" w:hAnsi="Arial" w:cs="Arial"/>
        </w:rPr>
        <w:t xml:space="preserve"> further</w:t>
      </w:r>
      <w:r w:rsidR="00B0560D" w:rsidRPr="007F121A">
        <w:rPr>
          <w:rFonts w:ascii="Arial" w:hAnsi="Arial" w:cs="Arial"/>
        </w:rPr>
        <w:t xml:space="preserve"> involves the </w:t>
      </w:r>
      <w:r w:rsidR="006A186D" w:rsidRPr="007F121A">
        <w:rPr>
          <w:rFonts w:ascii="Arial" w:hAnsi="Arial" w:cs="Arial"/>
        </w:rPr>
        <w:t xml:space="preserve">possibility of </w:t>
      </w:r>
      <w:r w:rsidR="00C93A93" w:rsidRPr="007F121A">
        <w:rPr>
          <w:rFonts w:ascii="Arial" w:hAnsi="Arial" w:cs="Arial"/>
        </w:rPr>
        <w:t xml:space="preserve">developing </w:t>
      </w:r>
      <w:r w:rsidR="00264B7A">
        <w:rPr>
          <w:rFonts w:ascii="Arial" w:hAnsi="Arial" w:cs="Arial"/>
        </w:rPr>
        <w:t>values, prospects and norms</w:t>
      </w:r>
      <w:r w:rsidR="00264B7A" w:rsidRPr="007F121A">
        <w:rPr>
          <w:rFonts w:ascii="Arial" w:hAnsi="Arial" w:cs="Arial"/>
        </w:rPr>
        <w:t xml:space="preserve"> (</w:t>
      </w:r>
      <w:r w:rsidR="00264B7A">
        <w:rPr>
          <w:rFonts w:ascii="Arial" w:hAnsi="Arial" w:cs="Arial"/>
        </w:rPr>
        <w:t>Drew, 2014</w:t>
      </w:r>
      <w:r w:rsidR="00264B7A" w:rsidRPr="007F121A">
        <w:rPr>
          <w:rFonts w:ascii="Arial" w:hAnsi="Arial" w:cs="Arial"/>
        </w:rPr>
        <w:t>)</w:t>
      </w:r>
      <w:r w:rsidR="00C93A93" w:rsidRPr="007F121A">
        <w:rPr>
          <w:rFonts w:ascii="Arial" w:hAnsi="Arial" w:cs="Arial"/>
        </w:rPr>
        <w:t xml:space="preserve"> </w:t>
      </w:r>
      <w:r w:rsidR="00264B7A">
        <w:rPr>
          <w:rFonts w:ascii="Arial" w:hAnsi="Arial" w:cs="Arial"/>
        </w:rPr>
        <w:t xml:space="preserve">and other factors such </w:t>
      </w:r>
      <w:r w:rsidR="00264B7A" w:rsidRPr="00465AA2">
        <w:rPr>
          <w:rFonts w:ascii="Arial" w:hAnsi="Arial" w:cs="Arial"/>
        </w:rPr>
        <w:t>as privacy, comfort, cautiousness, safety, welfare, class</w:t>
      </w:r>
      <w:r w:rsidR="00264B7A">
        <w:rPr>
          <w:rFonts w:ascii="Arial" w:hAnsi="Arial" w:cs="Arial"/>
        </w:rPr>
        <w:t xml:space="preserve"> etc. (Fu, 2014) </w:t>
      </w:r>
      <w:r w:rsidR="003C3EA1" w:rsidRPr="007F121A">
        <w:rPr>
          <w:rFonts w:ascii="Arial" w:hAnsi="Arial" w:cs="Arial"/>
        </w:rPr>
        <w:t xml:space="preserve">towards </w:t>
      </w:r>
      <w:r w:rsidR="00063DE7" w:rsidRPr="007F121A">
        <w:rPr>
          <w:rFonts w:ascii="Arial" w:hAnsi="Arial" w:cs="Arial"/>
        </w:rPr>
        <w:t>housing tenure choice.</w:t>
      </w:r>
      <w:r w:rsidR="00963A5B" w:rsidRPr="007F121A">
        <w:rPr>
          <w:rFonts w:ascii="Arial" w:hAnsi="Arial" w:cs="Arial"/>
        </w:rPr>
        <w:t xml:space="preserve"> </w:t>
      </w:r>
      <w:r w:rsidR="006E60B6" w:rsidRPr="007F121A">
        <w:rPr>
          <w:rFonts w:ascii="Arial" w:hAnsi="Arial" w:cs="Arial"/>
        </w:rPr>
        <w:t xml:space="preserve">Home ownership is regarded in the psychology literature as the </w:t>
      </w:r>
      <w:r w:rsidR="00C04ABE" w:rsidRPr="007F121A">
        <w:rPr>
          <w:rFonts w:ascii="Arial" w:hAnsi="Arial" w:cs="Arial"/>
        </w:rPr>
        <w:t xml:space="preserve">utmost tenure, but this may be changing </w:t>
      </w:r>
      <w:r w:rsidR="003A65B2" w:rsidRPr="007F121A">
        <w:rPr>
          <w:rFonts w:ascii="Arial" w:hAnsi="Arial" w:cs="Arial"/>
        </w:rPr>
        <w:t xml:space="preserve">among young people. </w:t>
      </w:r>
      <w:r w:rsidR="009978A3" w:rsidRPr="007F121A">
        <w:rPr>
          <w:rFonts w:ascii="Arial" w:hAnsi="Arial" w:cs="Arial"/>
        </w:rPr>
        <w:t>This is because</w:t>
      </w:r>
      <w:r w:rsidR="008170E0" w:rsidRPr="007F121A">
        <w:rPr>
          <w:rFonts w:ascii="Arial" w:hAnsi="Arial" w:cs="Arial"/>
        </w:rPr>
        <w:t xml:space="preserve"> young people are beginning to question home ownership as </w:t>
      </w:r>
      <w:r w:rsidR="00790487" w:rsidRPr="007F121A">
        <w:rPr>
          <w:rFonts w:ascii="Arial" w:hAnsi="Arial" w:cs="Arial"/>
        </w:rPr>
        <w:t xml:space="preserve">a </w:t>
      </w:r>
      <w:r w:rsidR="007E5ECF">
        <w:rPr>
          <w:rFonts w:ascii="Arial" w:hAnsi="Arial" w:cs="Arial"/>
        </w:rPr>
        <w:t>prerequisite for security and a satisfying</w:t>
      </w:r>
      <w:r w:rsidR="00790487" w:rsidRPr="007F121A">
        <w:rPr>
          <w:rFonts w:ascii="Arial" w:hAnsi="Arial" w:cs="Arial"/>
        </w:rPr>
        <w:t xml:space="preserve"> life (</w:t>
      </w:r>
      <w:r w:rsidR="007E5ECF">
        <w:rPr>
          <w:rFonts w:ascii="Arial" w:hAnsi="Arial" w:cs="Arial"/>
        </w:rPr>
        <w:t>Baum, 2017</w:t>
      </w:r>
      <w:r w:rsidR="00790487" w:rsidRPr="007F121A">
        <w:rPr>
          <w:rFonts w:ascii="Arial" w:hAnsi="Arial" w:cs="Arial"/>
        </w:rPr>
        <w:t>).</w:t>
      </w:r>
      <w:r w:rsidR="001E68AB" w:rsidRPr="007F121A">
        <w:rPr>
          <w:rFonts w:ascii="Arial" w:hAnsi="Arial" w:cs="Arial"/>
        </w:rPr>
        <w:t xml:space="preserve"> Nevertheless, </w:t>
      </w:r>
      <w:r w:rsidR="00782C92" w:rsidRPr="007F121A">
        <w:rPr>
          <w:rFonts w:ascii="Arial" w:hAnsi="Arial" w:cs="Arial"/>
        </w:rPr>
        <w:t xml:space="preserve">a significant number of this group still believe that </w:t>
      </w:r>
      <w:r w:rsidR="001809DD" w:rsidRPr="007F121A">
        <w:rPr>
          <w:rFonts w:ascii="Arial" w:hAnsi="Arial" w:cs="Arial"/>
        </w:rPr>
        <w:t xml:space="preserve">home ownership must be achieved either </w:t>
      </w:r>
      <w:r w:rsidR="004046B9" w:rsidRPr="007F121A">
        <w:rPr>
          <w:rFonts w:ascii="Arial" w:hAnsi="Arial" w:cs="Arial"/>
        </w:rPr>
        <w:t xml:space="preserve">directly from parental housing or through the private </w:t>
      </w:r>
      <w:r w:rsidR="00D513C2" w:rsidRPr="007F121A">
        <w:rPr>
          <w:rFonts w:ascii="Arial" w:hAnsi="Arial" w:cs="Arial"/>
        </w:rPr>
        <w:t xml:space="preserve">rented </w:t>
      </w:r>
      <w:r w:rsidR="00F0209D" w:rsidRPr="007F121A">
        <w:rPr>
          <w:rFonts w:ascii="Arial" w:hAnsi="Arial" w:cs="Arial"/>
        </w:rPr>
        <w:t xml:space="preserve">sector </w:t>
      </w:r>
      <w:r w:rsidR="00D513C2" w:rsidRPr="007F121A">
        <w:rPr>
          <w:rFonts w:ascii="Arial" w:hAnsi="Arial" w:cs="Arial"/>
        </w:rPr>
        <w:t>pathway</w:t>
      </w:r>
      <w:r w:rsidR="004C064C">
        <w:rPr>
          <w:rFonts w:ascii="Arial" w:hAnsi="Arial" w:cs="Arial"/>
        </w:rPr>
        <w:t xml:space="preserve"> (C</w:t>
      </w:r>
      <w:r w:rsidR="00F0209D" w:rsidRPr="007F121A">
        <w:rPr>
          <w:rFonts w:ascii="Arial" w:hAnsi="Arial" w:cs="Arial"/>
        </w:rPr>
        <w:t>lapham</w:t>
      </w:r>
      <w:r w:rsidR="004C064C">
        <w:rPr>
          <w:rFonts w:ascii="Arial" w:hAnsi="Arial" w:cs="Arial"/>
        </w:rPr>
        <w:t xml:space="preserve"> </w:t>
      </w:r>
      <w:r w:rsidR="004C064C" w:rsidRPr="004C064C">
        <w:rPr>
          <w:rFonts w:ascii="Arial" w:hAnsi="Arial" w:cs="Arial"/>
          <w:i/>
        </w:rPr>
        <w:t>et al</w:t>
      </w:r>
      <w:r w:rsidR="00F0209D" w:rsidRPr="007F121A">
        <w:rPr>
          <w:rFonts w:ascii="Arial" w:hAnsi="Arial" w:cs="Arial"/>
        </w:rPr>
        <w:t>, 2014).</w:t>
      </w:r>
      <w:r w:rsidR="00C3181B" w:rsidRPr="007F121A">
        <w:rPr>
          <w:rFonts w:ascii="Arial" w:hAnsi="Arial" w:cs="Arial"/>
        </w:rPr>
        <w:t xml:space="preserve"> For this, parental financial assistance has been found to </w:t>
      </w:r>
      <w:r w:rsidR="00767DAB" w:rsidRPr="007F121A">
        <w:rPr>
          <w:rFonts w:ascii="Arial" w:hAnsi="Arial" w:cs="Arial"/>
        </w:rPr>
        <w:t>rise with time</w:t>
      </w:r>
      <w:r w:rsidR="00603638" w:rsidRPr="007F121A">
        <w:rPr>
          <w:rFonts w:ascii="Arial" w:hAnsi="Arial" w:cs="Arial"/>
        </w:rPr>
        <w:t>, while</w:t>
      </w:r>
      <w:r w:rsidR="007E0691" w:rsidRPr="007F121A">
        <w:rPr>
          <w:rFonts w:ascii="Arial" w:hAnsi="Arial" w:cs="Arial"/>
        </w:rPr>
        <w:t xml:space="preserve"> other evidences show longer stay in parental housing over time</w:t>
      </w:r>
      <w:r w:rsidR="00767DAB" w:rsidRPr="007F121A">
        <w:rPr>
          <w:rFonts w:ascii="Arial" w:hAnsi="Arial" w:cs="Arial"/>
        </w:rPr>
        <w:t xml:space="preserve"> (</w:t>
      </w:r>
      <w:r w:rsidR="009F4EC4" w:rsidRPr="007F121A">
        <w:rPr>
          <w:rFonts w:ascii="Arial" w:hAnsi="Arial" w:cs="Arial"/>
        </w:rPr>
        <w:t>Tatch</w:t>
      </w:r>
      <w:r w:rsidR="00A47A26">
        <w:rPr>
          <w:rFonts w:ascii="Arial" w:hAnsi="Arial" w:cs="Arial"/>
        </w:rPr>
        <w:t>, 2007</w:t>
      </w:r>
      <w:r w:rsidR="00767DAB" w:rsidRPr="007F121A">
        <w:rPr>
          <w:rFonts w:ascii="Arial" w:hAnsi="Arial" w:cs="Arial"/>
        </w:rPr>
        <w:t>)</w:t>
      </w:r>
      <w:r w:rsidR="004A0B6E">
        <w:rPr>
          <w:rStyle w:val="FootnoteReference"/>
          <w:rFonts w:ascii="Arial" w:hAnsi="Arial" w:cs="Arial"/>
        </w:rPr>
        <w:footnoteReference w:id="3"/>
      </w:r>
      <w:r w:rsidR="004A0B6E">
        <w:rPr>
          <w:rFonts w:ascii="Arial" w:hAnsi="Arial" w:cs="Arial"/>
        </w:rPr>
        <w:t xml:space="preserve">. </w:t>
      </w:r>
    </w:p>
    <w:p w14:paraId="00000012" w14:textId="5068B285" w:rsidR="00FE0B4C" w:rsidRPr="007F121A" w:rsidRDefault="00791830" w:rsidP="007F121A">
      <w:pPr>
        <w:pStyle w:val="Heading2"/>
        <w:spacing w:after="240" w:line="360" w:lineRule="auto"/>
        <w:jc w:val="both"/>
        <w:rPr>
          <w:rFonts w:eastAsia="Arial" w:cs="Arial"/>
        </w:rPr>
      </w:pPr>
      <w:r w:rsidRPr="007F121A">
        <w:rPr>
          <w:rFonts w:eastAsia="Arial" w:cs="Arial"/>
        </w:rPr>
        <w:t xml:space="preserve">2.2 </w:t>
      </w:r>
      <w:r w:rsidR="003E524C" w:rsidRPr="007F121A">
        <w:rPr>
          <w:rFonts w:eastAsia="Arial" w:cs="Arial"/>
        </w:rPr>
        <w:t>Additional drivers</w:t>
      </w:r>
      <w:r w:rsidR="008D28D5" w:rsidRPr="007F121A">
        <w:rPr>
          <w:rFonts w:eastAsia="Arial" w:cs="Arial"/>
        </w:rPr>
        <w:t xml:space="preserve"> – s</w:t>
      </w:r>
      <w:r w:rsidR="00FB7151" w:rsidRPr="007F121A">
        <w:rPr>
          <w:rFonts w:eastAsia="Arial" w:cs="Arial"/>
        </w:rPr>
        <w:t>ocial capital and</w:t>
      </w:r>
      <w:r w:rsidRPr="007F121A">
        <w:rPr>
          <w:rFonts w:eastAsia="Arial" w:cs="Arial"/>
        </w:rPr>
        <w:t xml:space="preserve"> perceived job </w:t>
      </w:r>
      <w:r w:rsidR="005F3992" w:rsidRPr="007F121A">
        <w:rPr>
          <w:rFonts w:eastAsia="Arial" w:cs="Arial"/>
        </w:rPr>
        <w:t>in</w:t>
      </w:r>
      <w:r w:rsidRPr="007F121A">
        <w:rPr>
          <w:rFonts w:eastAsia="Arial" w:cs="Arial"/>
        </w:rPr>
        <w:t>security</w:t>
      </w:r>
      <w:r w:rsidR="00A0540E" w:rsidRPr="007F121A">
        <w:rPr>
          <w:rFonts w:eastAsia="Arial" w:cs="Arial"/>
        </w:rPr>
        <w:t xml:space="preserve"> in housing tenure transitions</w:t>
      </w:r>
    </w:p>
    <w:p w14:paraId="48F3F326" w14:textId="29192027" w:rsidR="00360610" w:rsidRPr="007F121A" w:rsidRDefault="00EB42C7" w:rsidP="00824E71">
      <w:pPr>
        <w:spacing w:after="240" w:line="360" w:lineRule="auto"/>
        <w:jc w:val="both"/>
        <w:rPr>
          <w:rFonts w:ascii="Arial" w:hAnsi="Arial" w:cs="Arial"/>
        </w:rPr>
      </w:pPr>
      <w:r w:rsidRPr="007F121A">
        <w:rPr>
          <w:rFonts w:ascii="Arial" w:hAnsi="Arial" w:cs="Arial"/>
        </w:rPr>
        <w:t>R</w:t>
      </w:r>
      <w:r w:rsidR="00AB4E92" w:rsidRPr="007F121A">
        <w:rPr>
          <w:rFonts w:ascii="Arial" w:hAnsi="Arial" w:cs="Arial"/>
        </w:rPr>
        <w:t xml:space="preserve">ecent tenure shifts appear to continue to defy the understanding of the </w:t>
      </w:r>
      <w:r w:rsidR="006F7C78" w:rsidRPr="007F121A">
        <w:rPr>
          <w:rFonts w:ascii="Arial" w:hAnsi="Arial" w:cs="Arial"/>
        </w:rPr>
        <w:t xml:space="preserve">key </w:t>
      </w:r>
      <w:r w:rsidR="009F7D7C" w:rsidRPr="007F121A">
        <w:rPr>
          <w:rFonts w:ascii="Arial" w:hAnsi="Arial" w:cs="Arial"/>
        </w:rPr>
        <w:t>drivers of housing tenure transitions in Britain.</w:t>
      </w:r>
      <w:r w:rsidR="00D93A3B" w:rsidRPr="007F121A">
        <w:rPr>
          <w:rFonts w:ascii="Arial" w:hAnsi="Arial" w:cs="Arial"/>
        </w:rPr>
        <w:t xml:space="preserve"> As the private rented sector continues to expand while the owner occupation sector shrinks, </w:t>
      </w:r>
      <w:r w:rsidR="008E32A4" w:rsidRPr="007F121A">
        <w:rPr>
          <w:rFonts w:ascii="Arial" w:hAnsi="Arial" w:cs="Arial"/>
        </w:rPr>
        <w:t xml:space="preserve">questions have been raised whether young adults, the most affected age group, are beginning to settle for the </w:t>
      </w:r>
      <w:r w:rsidR="001A7BC0" w:rsidRPr="007F121A">
        <w:rPr>
          <w:rFonts w:ascii="Arial" w:hAnsi="Arial" w:cs="Arial"/>
        </w:rPr>
        <w:t xml:space="preserve">status quo. This is linked to the possibility of following </w:t>
      </w:r>
      <w:r w:rsidR="000D3E57" w:rsidRPr="007F121A">
        <w:rPr>
          <w:rFonts w:ascii="Arial" w:hAnsi="Arial" w:cs="Arial"/>
        </w:rPr>
        <w:t>others' decisions</w:t>
      </w:r>
      <w:r w:rsidR="00F77C5E" w:rsidRPr="007F121A">
        <w:rPr>
          <w:rFonts w:ascii="Arial" w:hAnsi="Arial" w:cs="Arial"/>
        </w:rPr>
        <w:t>, norms</w:t>
      </w:r>
      <w:r w:rsidR="000D3E57" w:rsidRPr="007F121A">
        <w:rPr>
          <w:rFonts w:ascii="Arial" w:hAnsi="Arial" w:cs="Arial"/>
        </w:rPr>
        <w:t xml:space="preserve"> </w:t>
      </w:r>
      <w:r w:rsidR="00F77C5E" w:rsidRPr="007F121A">
        <w:rPr>
          <w:rFonts w:ascii="Arial" w:hAnsi="Arial" w:cs="Arial"/>
        </w:rPr>
        <w:t xml:space="preserve">and advice </w:t>
      </w:r>
      <w:r w:rsidR="000D3E57" w:rsidRPr="007F121A">
        <w:rPr>
          <w:rFonts w:ascii="Arial" w:hAnsi="Arial" w:cs="Arial"/>
        </w:rPr>
        <w:t xml:space="preserve">as illustrated in Aguda (2019). </w:t>
      </w:r>
      <w:r w:rsidR="00A66AD9" w:rsidRPr="007F121A">
        <w:rPr>
          <w:rFonts w:ascii="Arial" w:hAnsi="Arial" w:cs="Arial"/>
        </w:rPr>
        <w:t xml:space="preserve">The suggestion is also strongly based on </w:t>
      </w:r>
      <w:r w:rsidR="00967272" w:rsidRPr="007F121A">
        <w:rPr>
          <w:rFonts w:ascii="Arial" w:hAnsi="Arial" w:cs="Arial"/>
        </w:rPr>
        <w:t xml:space="preserve">the contributions of </w:t>
      </w:r>
      <w:r w:rsidR="00A66AD9" w:rsidRPr="007F121A">
        <w:rPr>
          <w:rFonts w:ascii="Arial" w:hAnsi="Arial" w:cs="Arial"/>
        </w:rPr>
        <w:t>social capital</w:t>
      </w:r>
      <w:r w:rsidR="002F11B2" w:rsidRPr="007F121A">
        <w:rPr>
          <w:rFonts w:ascii="Arial" w:hAnsi="Arial" w:cs="Arial"/>
        </w:rPr>
        <w:t xml:space="preserve"> – part of </w:t>
      </w:r>
      <w:r w:rsidR="00D62662" w:rsidRPr="007F121A">
        <w:rPr>
          <w:rFonts w:ascii="Arial" w:hAnsi="Arial" w:cs="Arial"/>
        </w:rPr>
        <w:t>s</w:t>
      </w:r>
      <w:r w:rsidR="002F11B2" w:rsidRPr="007F121A">
        <w:rPr>
          <w:rFonts w:ascii="Arial" w:hAnsi="Arial" w:cs="Arial"/>
        </w:rPr>
        <w:t xml:space="preserve">ocio-psychology </w:t>
      </w:r>
      <w:r w:rsidR="00D62662" w:rsidRPr="007F121A">
        <w:rPr>
          <w:rFonts w:ascii="Arial" w:hAnsi="Arial" w:cs="Arial"/>
        </w:rPr>
        <w:t xml:space="preserve">framework. </w:t>
      </w:r>
      <w:r w:rsidR="00CD6085" w:rsidRPr="007F121A">
        <w:rPr>
          <w:rFonts w:ascii="Arial" w:hAnsi="Arial" w:cs="Arial"/>
        </w:rPr>
        <w:t>More specifically, s</w:t>
      </w:r>
      <w:r w:rsidR="00D62662" w:rsidRPr="007F121A">
        <w:rPr>
          <w:rFonts w:ascii="Arial" w:hAnsi="Arial" w:cs="Arial"/>
        </w:rPr>
        <w:t>ocial capital deals with</w:t>
      </w:r>
      <w:r w:rsidR="00824E71" w:rsidRPr="00824E71">
        <w:t xml:space="preserve"> </w:t>
      </w:r>
      <w:r w:rsidR="00824E71">
        <w:rPr>
          <w:rFonts w:ascii="Arial" w:hAnsi="Arial" w:cs="Arial"/>
        </w:rPr>
        <w:t>associations</w:t>
      </w:r>
      <w:r w:rsidR="00824E71" w:rsidRPr="00824E71">
        <w:rPr>
          <w:rFonts w:ascii="Arial" w:hAnsi="Arial" w:cs="Arial"/>
        </w:rPr>
        <w:t xml:space="preserve"> </w:t>
      </w:r>
      <w:r w:rsidR="00824E71">
        <w:rPr>
          <w:rFonts w:ascii="Arial" w:hAnsi="Arial" w:cs="Arial"/>
        </w:rPr>
        <w:t>that form common</w:t>
      </w:r>
      <w:r w:rsidR="00824E71" w:rsidRPr="00824E71">
        <w:rPr>
          <w:rFonts w:ascii="Arial" w:hAnsi="Arial" w:cs="Arial"/>
        </w:rPr>
        <w:t xml:space="preserve"> </w:t>
      </w:r>
      <w:r w:rsidR="00824E71">
        <w:rPr>
          <w:rFonts w:ascii="Arial" w:hAnsi="Arial" w:cs="Arial"/>
        </w:rPr>
        <w:t>standards and beliefs, thereby enabling collaborations and support within or</w:t>
      </w:r>
      <w:r w:rsidR="00824E71" w:rsidRPr="00824E71">
        <w:rPr>
          <w:rFonts w:ascii="Arial" w:hAnsi="Arial" w:cs="Arial"/>
        </w:rPr>
        <w:t xml:space="preserve"> among groups</w:t>
      </w:r>
      <w:r w:rsidR="00824E71">
        <w:rPr>
          <w:rFonts w:ascii="Arial" w:hAnsi="Arial" w:cs="Arial"/>
        </w:rPr>
        <w:t xml:space="preserve"> </w:t>
      </w:r>
      <w:r w:rsidR="00736DDE" w:rsidRPr="007F121A">
        <w:rPr>
          <w:rFonts w:ascii="Arial" w:hAnsi="Arial" w:cs="Arial"/>
        </w:rPr>
        <w:t>(</w:t>
      </w:r>
      <w:r w:rsidR="00824E71">
        <w:rPr>
          <w:rFonts w:ascii="Arial" w:hAnsi="Arial" w:cs="Arial"/>
        </w:rPr>
        <w:t>Cote and Healy, 2001</w:t>
      </w:r>
      <w:r w:rsidR="001E7457" w:rsidRPr="007F121A">
        <w:rPr>
          <w:rFonts w:ascii="Arial" w:hAnsi="Arial" w:cs="Arial"/>
        </w:rPr>
        <w:t>)</w:t>
      </w:r>
      <w:r w:rsidR="00F430B5">
        <w:rPr>
          <w:rFonts w:ascii="Arial" w:hAnsi="Arial" w:cs="Arial"/>
        </w:rPr>
        <w:t>.</w:t>
      </w:r>
      <w:r w:rsidR="00024B9F" w:rsidRPr="007F121A">
        <w:rPr>
          <w:rFonts w:ascii="Arial" w:hAnsi="Arial" w:cs="Arial"/>
        </w:rPr>
        <w:t xml:space="preserve">        </w:t>
      </w:r>
      <w:r w:rsidR="00521F08" w:rsidRPr="007F121A">
        <w:rPr>
          <w:rFonts w:ascii="Arial" w:hAnsi="Arial" w:cs="Arial"/>
        </w:rPr>
        <w:t>In relation to housing tenure decisions, it could</w:t>
      </w:r>
      <w:r w:rsidR="00C43AF8" w:rsidRPr="007F121A">
        <w:rPr>
          <w:rFonts w:ascii="Arial" w:hAnsi="Arial" w:cs="Arial"/>
        </w:rPr>
        <w:t xml:space="preserve"> result from</w:t>
      </w:r>
      <w:r w:rsidR="00521F08" w:rsidRPr="007F121A">
        <w:rPr>
          <w:rFonts w:ascii="Arial" w:hAnsi="Arial" w:cs="Arial"/>
        </w:rPr>
        <w:t xml:space="preserve"> </w:t>
      </w:r>
      <w:r w:rsidR="001A3262" w:rsidRPr="007F121A">
        <w:rPr>
          <w:rFonts w:ascii="Arial" w:hAnsi="Arial" w:cs="Arial"/>
        </w:rPr>
        <w:t xml:space="preserve">bonds formed through </w:t>
      </w:r>
      <w:r w:rsidR="009907CE" w:rsidRPr="007F121A">
        <w:rPr>
          <w:rFonts w:ascii="Arial" w:hAnsi="Arial" w:cs="Arial"/>
        </w:rPr>
        <w:t>integration in an area</w:t>
      </w:r>
      <w:r w:rsidR="00D77C51" w:rsidRPr="007F121A">
        <w:rPr>
          <w:rFonts w:ascii="Arial" w:hAnsi="Arial" w:cs="Arial"/>
        </w:rPr>
        <w:t xml:space="preserve"> and with family, or</w:t>
      </w:r>
      <w:r w:rsidR="009907CE" w:rsidRPr="007F121A">
        <w:rPr>
          <w:rFonts w:ascii="Arial" w:hAnsi="Arial" w:cs="Arial"/>
        </w:rPr>
        <w:t xml:space="preserve"> </w:t>
      </w:r>
      <w:r w:rsidR="00F430B5">
        <w:rPr>
          <w:rFonts w:ascii="Arial" w:hAnsi="Arial" w:cs="Arial"/>
        </w:rPr>
        <w:t>links formed with</w:t>
      </w:r>
      <w:r w:rsidR="002E1BC3" w:rsidRPr="007F121A">
        <w:rPr>
          <w:rFonts w:ascii="Arial" w:hAnsi="Arial" w:cs="Arial"/>
        </w:rPr>
        <w:t xml:space="preserve"> </w:t>
      </w:r>
      <w:r w:rsidR="007E2F68" w:rsidRPr="007F121A">
        <w:rPr>
          <w:rFonts w:ascii="Arial" w:hAnsi="Arial" w:cs="Arial"/>
        </w:rPr>
        <w:t>individuals within</w:t>
      </w:r>
      <w:r w:rsidR="00D77C51" w:rsidRPr="007F121A">
        <w:rPr>
          <w:rFonts w:ascii="Arial" w:hAnsi="Arial" w:cs="Arial"/>
        </w:rPr>
        <w:t xml:space="preserve"> local</w:t>
      </w:r>
      <w:r w:rsidR="007E2F68" w:rsidRPr="007F121A">
        <w:rPr>
          <w:rFonts w:ascii="Arial" w:hAnsi="Arial" w:cs="Arial"/>
        </w:rPr>
        <w:t xml:space="preserve"> </w:t>
      </w:r>
      <w:r w:rsidR="001A3262" w:rsidRPr="007F121A">
        <w:rPr>
          <w:rFonts w:ascii="Arial" w:hAnsi="Arial" w:cs="Arial"/>
        </w:rPr>
        <w:t>organisations they identify with</w:t>
      </w:r>
      <w:r w:rsidR="00D77C51" w:rsidRPr="007F121A">
        <w:rPr>
          <w:rFonts w:ascii="Arial" w:hAnsi="Arial" w:cs="Arial"/>
        </w:rPr>
        <w:t xml:space="preserve"> (</w:t>
      </w:r>
      <w:r w:rsidR="00967982" w:rsidRPr="007F121A">
        <w:rPr>
          <w:rFonts w:ascii="Arial" w:hAnsi="Arial" w:cs="Arial"/>
        </w:rPr>
        <w:t>Aguda, 2019).</w:t>
      </w:r>
      <w:r w:rsidR="00746DBF" w:rsidRPr="007F121A">
        <w:rPr>
          <w:rFonts w:ascii="Arial" w:hAnsi="Arial" w:cs="Arial"/>
        </w:rPr>
        <w:t xml:space="preserve"> </w:t>
      </w:r>
      <w:r w:rsidR="002673B7" w:rsidRPr="007F121A">
        <w:rPr>
          <w:rFonts w:ascii="Arial" w:hAnsi="Arial" w:cs="Arial"/>
        </w:rPr>
        <w:t xml:space="preserve">However, </w:t>
      </w:r>
      <w:r w:rsidR="00F430B5">
        <w:rPr>
          <w:rFonts w:ascii="Arial" w:hAnsi="Arial" w:cs="Arial"/>
        </w:rPr>
        <w:t>social capital effects</w:t>
      </w:r>
      <w:r w:rsidR="00111058" w:rsidRPr="007F121A">
        <w:rPr>
          <w:rFonts w:ascii="Arial" w:hAnsi="Arial" w:cs="Arial"/>
        </w:rPr>
        <w:t xml:space="preserve"> may</w:t>
      </w:r>
      <w:r w:rsidR="004820FE" w:rsidRPr="007F121A">
        <w:rPr>
          <w:rFonts w:ascii="Arial" w:hAnsi="Arial" w:cs="Arial"/>
        </w:rPr>
        <w:t xml:space="preserve"> not be </w:t>
      </w:r>
      <w:r w:rsidR="004168D0" w:rsidRPr="007F121A">
        <w:rPr>
          <w:rFonts w:ascii="Arial" w:hAnsi="Arial" w:cs="Arial"/>
        </w:rPr>
        <w:t>independent of</w:t>
      </w:r>
      <w:r w:rsidR="00111058" w:rsidRPr="007F121A">
        <w:rPr>
          <w:rFonts w:ascii="Arial" w:hAnsi="Arial" w:cs="Arial"/>
        </w:rPr>
        <w:t xml:space="preserve"> </w:t>
      </w:r>
      <w:r w:rsidR="003F69FA" w:rsidRPr="007F121A">
        <w:rPr>
          <w:rFonts w:ascii="Arial" w:hAnsi="Arial" w:cs="Arial"/>
        </w:rPr>
        <w:t xml:space="preserve">the current economic conditions affecting young people’s important </w:t>
      </w:r>
      <w:r w:rsidR="00424A84" w:rsidRPr="007F121A">
        <w:rPr>
          <w:rFonts w:ascii="Arial" w:hAnsi="Arial" w:cs="Arial"/>
        </w:rPr>
        <w:t xml:space="preserve">decision. </w:t>
      </w:r>
      <w:r w:rsidR="00783C46">
        <w:rPr>
          <w:rFonts w:ascii="Arial" w:hAnsi="Arial" w:cs="Arial"/>
        </w:rPr>
        <w:t xml:space="preserve">Eventual outcomes may partly result from </w:t>
      </w:r>
      <w:r w:rsidR="00A35257" w:rsidRPr="007F121A">
        <w:rPr>
          <w:rFonts w:ascii="Arial" w:hAnsi="Arial" w:cs="Arial"/>
        </w:rPr>
        <w:t xml:space="preserve">advice </w:t>
      </w:r>
      <w:r w:rsidR="00783C46">
        <w:rPr>
          <w:rFonts w:ascii="Arial" w:hAnsi="Arial" w:cs="Arial"/>
        </w:rPr>
        <w:t xml:space="preserve">obtained </w:t>
      </w:r>
      <w:r w:rsidR="00A35257" w:rsidRPr="007F121A">
        <w:rPr>
          <w:rFonts w:ascii="Arial" w:hAnsi="Arial" w:cs="Arial"/>
        </w:rPr>
        <w:t xml:space="preserve">from associations </w:t>
      </w:r>
      <w:r w:rsidR="0031765B" w:rsidRPr="007F121A">
        <w:rPr>
          <w:rFonts w:ascii="Arial" w:hAnsi="Arial" w:cs="Arial"/>
        </w:rPr>
        <w:t>formed within</w:t>
      </w:r>
      <w:r w:rsidR="00A35257" w:rsidRPr="007F121A">
        <w:rPr>
          <w:rFonts w:ascii="Arial" w:hAnsi="Arial" w:cs="Arial"/>
        </w:rPr>
        <w:t xml:space="preserve"> social capital linkages</w:t>
      </w:r>
      <w:r w:rsidR="008B4805" w:rsidRPr="007F121A">
        <w:rPr>
          <w:rFonts w:ascii="Arial" w:hAnsi="Arial" w:cs="Arial"/>
        </w:rPr>
        <w:t xml:space="preserve"> in relation to the current economic conditions</w:t>
      </w:r>
      <w:r w:rsidR="00F430B5">
        <w:rPr>
          <w:rFonts w:ascii="Arial" w:hAnsi="Arial" w:cs="Arial"/>
        </w:rPr>
        <w:t xml:space="preserve">; or other forms of linkages </w:t>
      </w:r>
      <w:r w:rsidR="00783C46">
        <w:rPr>
          <w:rFonts w:ascii="Arial" w:hAnsi="Arial" w:cs="Arial"/>
        </w:rPr>
        <w:t>between social capital and</w:t>
      </w:r>
      <w:r w:rsidR="00F430B5">
        <w:rPr>
          <w:rFonts w:ascii="Arial" w:hAnsi="Arial" w:cs="Arial"/>
        </w:rPr>
        <w:t xml:space="preserve"> the labour market as illustrated in</w:t>
      </w:r>
      <w:r w:rsidR="00783C46">
        <w:rPr>
          <w:rFonts w:ascii="Arial" w:hAnsi="Arial" w:cs="Arial"/>
        </w:rPr>
        <w:t xml:space="preserve"> Brook (2005)</w:t>
      </w:r>
      <w:r w:rsidR="00885C32" w:rsidRPr="007F121A">
        <w:rPr>
          <w:rFonts w:ascii="Arial" w:hAnsi="Arial" w:cs="Arial"/>
        </w:rPr>
        <w:t xml:space="preserve">. </w:t>
      </w:r>
      <w:r w:rsidR="005E2BAB">
        <w:rPr>
          <w:rFonts w:ascii="Arial" w:hAnsi="Arial" w:cs="Arial"/>
        </w:rPr>
        <w:t xml:space="preserve">Such relationships </w:t>
      </w:r>
      <w:r w:rsidR="00FC6538">
        <w:rPr>
          <w:rFonts w:ascii="Arial" w:hAnsi="Arial" w:cs="Arial"/>
        </w:rPr>
        <w:t>may</w:t>
      </w:r>
      <w:r w:rsidR="006B41A6">
        <w:rPr>
          <w:rFonts w:ascii="Arial" w:hAnsi="Arial" w:cs="Arial"/>
        </w:rPr>
        <w:t>,</w:t>
      </w:r>
      <w:r w:rsidR="005E2BAB">
        <w:rPr>
          <w:rFonts w:ascii="Arial" w:hAnsi="Arial" w:cs="Arial"/>
        </w:rPr>
        <w:t xml:space="preserve"> direc</w:t>
      </w:r>
      <w:r w:rsidR="00FC6538">
        <w:rPr>
          <w:rFonts w:ascii="Arial" w:hAnsi="Arial" w:cs="Arial"/>
        </w:rPr>
        <w:t>tly or indirectly</w:t>
      </w:r>
      <w:r w:rsidR="006B41A6">
        <w:rPr>
          <w:rFonts w:ascii="Arial" w:hAnsi="Arial" w:cs="Arial"/>
        </w:rPr>
        <w:t>,</w:t>
      </w:r>
      <w:r w:rsidR="00FC6538">
        <w:rPr>
          <w:rFonts w:ascii="Arial" w:hAnsi="Arial" w:cs="Arial"/>
        </w:rPr>
        <w:t xml:space="preserve"> shape individual outcomes. </w:t>
      </w:r>
      <w:r w:rsidR="00FC6538" w:rsidRPr="006B41A6">
        <w:rPr>
          <w:rFonts w:ascii="Arial" w:hAnsi="Arial" w:cs="Arial"/>
        </w:rPr>
        <w:t xml:space="preserve">Evidence of such occurrences </w:t>
      </w:r>
      <w:r w:rsidR="006B41A6" w:rsidRPr="006B41A6">
        <w:rPr>
          <w:rFonts w:ascii="Arial" w:hAnsi="Arial" w:cs="Arial"/>
        </w:rPr>
        <w:t>exist</w:t>
      </w:r>
      <w:r w:rsidR="00FC6538" w:rsidRPr="006B41A6">
        <w:rPr>
          <w:rFonts w:ascii="Arial" w:hAnsi="Arial" w:cs="Arial"/>
        </w:rPr>
        <w:t xml:space="preserve"> in recent </w:t>
      </w:r>
      <w:r w:rsidR="006B41A6" w:rsidRPr="006B41A6">
        <w:rPr>
          <w:rFonts w:ascii="Arial" w:hAnsi="Arial" w:cs="Arial"/>
        </w:rPr>
        <w:t xml:space="preserve">qualitative </w:t>
      </w:r>
      <w:r w:rsidR="00FC6538" w:rsidRPr="006B41A6">
        <w:rPr>
          <w:rFonts w:ascii="Arial" w:hAnsi="Arial" w:cs="Arial"/>
        </w:rPr>
        <w:t xml:space="preserve">studies. </w:t>
      </w:r>
      <w:r w:rsidR="006B41A6" w:rsidRPr="006B41A6">
        <w:rPr>
          <w:rFonts w:ascii="Arial" w:hAnsi="Arial" w:cs="Arial"/>
        </w:rPr>
        <w:t>For instance,</w:t>
      </w:r>
      <w:r w:rsidR="005E2BAB" w:rsidRPr="006B41A6">
        <w:rPr>
          <w:rFonts w:ascii="Arial" w:hAnsi="Arial" w:cs="Arial"/>
        </w:rPr>
        <w:t xml:space="preserve"> </w:t>
      </w:r>
      <w:r w:rsidR="00885C32" w:rsidRPr="006B41A6">
        <w:rPr>
          <w:rFonts w:ascii="Arial" w:hAnsi="Arial" w:cs="Arial"/>
        </w:rPr>
        <w:t xml:space="preserve">Clapham </w:t>
      </w:r>
      <w:r w:rsidR="005E2BAB" w:rsidRPr="006B41A6">
        <w:rPr>
          <w:rFonts w:ascii="Arial" w:hAnsi="Arial" w:cs="Arial"/>
          <w:i/>
        </w:rPr>
        <w:t>et al</w:t>
      </w:r>
      <w:r w:rsidR="005E2BAB" w:rsidRPr="006B41A6">
        <w:rPr>
          <w:rFonts w:ascii="Arial" w:hAnsi="Arial" w:cs="Arial"/>
        </w:rPr>
        <w:t xml:space="preserve"> (2014, pp 2022) </w:t>
      </w:r>
      <w:r w:rsidR="00885C32" w:rsidRPr="006B41A6">
        <w:rPr>
          <w:rFonts w:ascii="Arial" w:hAnsi="Arial" w:cs="Arial"/>
        </w:rPr>
        <w:t xml:space="preserve">observed that young individuals </w:t>
      </w:r>
      <w:r w:rsidR="0088267F" w:rsidRPr="006B41A6">
        <w:rPr>
          <w:rFonts w:ascii="Arial" w:hAnsi="Arial" w:cs="Arial"/>
        </w:rPr>
        <w:t>relate with their neighbours</w:t>
      </w:r>
      <w:r w:rsidR="006B41A6" w:rsidRPr="006B41A6">
        <w:rPr>
          <w:rFonts w:ascii="Arial" w:hAnsi="Arial" w:cs="Arial"/>
        </w:rPr>
        <w:t xml:space="preserve"> </w:t>
      </w:r>
      <w:r w:rsidR="006B41A6" w:rsidRPr="006B41A6">
        <w:rPr>
          <w:rFonts w:ascii="Arial" w:hAnsi="Arial" w:cs="Arial"/>
        </w:rPr>
        <w:lastRenderedPageBreak/>
        <w:t>regarding their current economic and housing situations, with the tendency of reacting to other’s expectations</w:t>
      </w:r>
      <w:r w:rsidR="00B2085C" w:rsidRPr="006B41A6">
        <w:rPr>
          <w:rFonts w:ascii="Arial" w:hAnsi="Arial" w:cs="Arial"/>
        </w:rPr>
        <w:t>.</w:t>
      </w:r>
      <w:r w:rsidR="0031765B" w:rsidRPr="007F121A">
        <w:rPr>
          <w:rFonts w:ascii="Arial" w:hAnsi="Arial" w:cs="Arial"/>
        </w:rPr>
        <w:t xml:space="preserve"> </w:t>
      </w:r>
    </w:p>
    <w:p w14:paraId="549FA168" w14:textId="26EE50A6" w:rsidR="00B942AD" w:rsidRPr="007F121A" w:rsidRDefault="00BA4D44" w:rsidP="007F121A">
      <w:pPr>
        <w:spacing w:line="360" w:lineRule="auto"/>
        <w:jc w:val="both"/>
        <w:rPr>
          <w:rFonts w:ascii="Arial" w:hAnsi="Arial" w:cs="Arial"/>
        </w:rPr>
      </w:pPr>
      <w:r w:rsidRPr="007F121A">
        <w:rPr>
          <w:rFonts w:ascii="Arial" w:hAnsi="Arial" w:cs="Arial"/>
        </w:rPr>
        <w:t xml:space="preserve">On </w:t>
      </w:r>
      <w:r w:rsidR="00FC1F4D">
        <w:rPr>
          <w:rFonts w:ascii="Arial" w:hAnsi="Arial" w:cs="Arial"/>
        </w:rPr>
        <w:t xml:space="preserve">the </w:t>
      </w:r>
      <w:r w:rsidRPr="007F121A">
        <w:rPr>
          <w:rFonts w:ascii="Arial" w:hAnsi="Arial" w:cs="Arial"/>
        </w:rPr>
        <w:t xml:space="preserve">one hand, </w:t>
      </w:r>
      <w:r w:rsidR="00FB5F94" w:rsidRPr="007F121A">
        <w:rPr>
          <w:rFonts w:ascii="Arial" w:hAnsi="Arial" w:cs="Arial"/>
        </w:rPr>
        <w:t xml:space="preserve">employment rates have improved </w:t>
      </w:r>
      <w:r w:rsidR="00E53BC1" w:rsidRPr="007F121A">
        <w:rPr>
          <w:rFonts w:ascii="Arial" w:hAnsi="Arial" w:cs="Arial"/>
        </w:rPr>
        <w:t>in the Labour market (</w:t>
      </w:r>
      <w:r w:rsidR="00A24FEA">
        <w:rPr>
          <w:rFonts w:ascii="Arial" w:hAnsi="Arial" w:cs="Arial"/>
        </w:rPr>
        <w:t>Office of National Statistics, 2019</w:t>
      </w:r>
      <w:r w:rsidR="00E53BC1" w:rsidRPr="007F121A">
        <w:rPr>
          <w:rFonts w:ascii="Arial" w:hAnsi="Arial" w:cs="Arial"/>
        </w:rPr>
        <w:t>)</w:t>
      </w:r>
      <w:r w:rsidR="001147F2" w:rsidRPr="007F121A">
        <w:rPr>
          <w:rFonts w:ascii="Arial" w:hAnsi="Arial" w:cs="Arial"/>
        </w:rPr>
        <w:t xml:space="preserve">, but this is also met with </w:t>
      </w:r>
      <w:r w:rsidR="006B5085">
        <w:rPr>
          <w:rFonts w:ascii="Arial" w:hAnsi="Arial" w:cs="Arial"/>
        </w:rPr>
        <w:t xml:space="preserve">some </w:t>
      </w:r>
      <w:r w:rsidR="001147F2" w:rsidRPr="007F121A">
        <w:rPr>
          <w:rFonts w:ascii="Arial" w:hAnsi="Arial" w:cs="Arial"/>
        </w:rPr>
        <w:t xml:space="preserve">evidence of corresponding </w:t>
      </w:r>
      <w:r w:rsidR="00591232" w:rsidRPr="007F121A">
        <w:rPr>
          <w:rFonts w:ascii="Arial" w:hAnsi="Arial" w:cs="Arial"/>
        </w:rPr>
        <w:t>job insecurity.</w:t>
      </w:r>
      <w:r w:rsidR="00D961E2" w:rsidRPr="007F121A">
        <w:rPr>
          <w:rFonts w:ascii="Arial" w:hAnsi="Arial" w:cs="Arial"/>
        </w:rPr>
        <w:t xml:space="preserve"> How individuals perceive their current </w:t>
      </w:r>
      <w:r w:rsidR="0080386A" w:rsidRPr="007F121A">
        <w:rPr>
          <w:rFonts w:ascii="Arial" w:hAnsi="Arial" w:cs="Arial"/>
        </w:rPr>
        <w:t>jobs is important for making big decisions such as housing.</w:t>
      </w:r>
      <w:r w:rsidR="00591232" w:rsidRPr="007F121A">
        <w:rPr>
          <w:rFonts w:ascii="Arial" w:hAnsi="Arial" w:cs="Arial"/>
        </w:rPr>
        <w:t xml:space="preserve"> </w:t>
      </w:r>
      <w:r w:rsidR="004117F0">
        <w:rPr>
          <w:rFonts w:ascii="Arial" w:hAnsi="Arial" w:cs="Arial"/>
        </w:rPr>
        <w:t xml:space="preserve">Gallie </w:t>
      </w:r>
      <w:r w:rsidR="004117F0" w:rsidRPr="004117F0">
        <w:rPr>
          <w:rFonts w:ascii="Arial" w:hAnsi="Arial" w:cs="Arial"/>
          <w:i/>
        </w:rPr>
        <w:t>et al</w:t>
      </w:r>
      <w:r w:rsidR="004117F0">
        <w:rPr>
          <w:rFonts w:ascii="Arial" w:hAnsi="Arial" w:cs="Arial"/>
        </w:rPr>
        <w:t xml:space="preserve"> </w:t>
      </w:r>
      <w:r w:rsidR="00591232" w:rsidRPr="007F121A">
        <w:rPr>
          <w:rFonts w:ascii="Arial" w:hAnsi="Arial" w:cs="Arial"/>
        </w:rPr>
        <w:t>(</w:t>
      </w:r>
      <w:r w:rsidR="004117F0">
        <w:rPr>
          <w:rFonts w:ascii="Arial" w:hAnsi="Arial" w:cs="Arial"/>
        </w:rPr>
        <w:t>2017</w:t>
      </w:r>
      <w:r w:rsidR="00591232" w:rsidRPr="007F121A">
        <w:rPr>
          <w:rFonts w:ascii="Arial" w:hAnsi="Arial" w:cs="Arial"/>
        </w:rPr>
        <w:t xml:space="preserve">) found that </w:t>
      </w:r>
      <w:r w:rsidR="004117F0">
        <w:rPr>
          <w:rFonts w:ascii="Arial" w:hAnsi="Arial" w:cs="Arial"/>
        </w:rPr>
        <w:t>actual</w:t>
      </w:r>
      <w:r w:rsidR="00BB46D9" w:rsidRPr="007F121A">
        <w:rPr>
          <w:rFonts w:ascii="Arial" w:hAnsi="Arial" w:cs="Arial"/>
        </w:rPr>
        <w:t xml:space="preserve"> </w:t>
      </w:r>
      <w:r w:rsidR="00591232" w:rsidRPr="007F121A">
        <w:rPr>
          <w:rFonts w:ascii="Arial" w:hAnsi="Arial" w:cs="Arial"/>
        </w:rPr>
        <w:t xml:space="preserve">job </w:t>
      </w:r>
      <w:r w:rsidR="0091322C" w:rsidRPr="007F121A">
        <w:rPr>
          <w:rFonts w:ascii="Arial" w:hAnsi="Arial" w:cs="Arial"/>
        </w:rPr>
        <w:t xml:space="preserve">insecurity has worsened over time due to </w:t>
      </w:r>
      <w:r w:rsidR="004A1ABC" w:rsidRPr="007F121A">
        <w:rPr>
          <w:rFonts w:ascii="Arial" w:hAnsi="Arial" w:cs="Arial"/>
        </w:rPr>
        <w:t>poor working conditions</w:t>
      </w:r>
      <w:r w:rsidR="004117F0">
        <w:rPr>
          <w:rFonts w:ascii="Arial" w:hAnsi="Arial" w:cs="Arial"/>
        </w:rPr>
        <w:t>, unfavourable job status, economic status</w:t>
      </w:r>
      <w:r w:rsidR="004A1ABC" w:rsidRPr="007F121A">
        <w:rPr>
          <w:rFonts w:ascii="Arial" w:hAnsi="Arial" w:cs="Arial"/>
        </w:rPr>
        <w:t xml:space="preserve"> etc</w:t>
      </w:r>
      <w:r w:rsidR="004117F0">
        <w:rPr>
          <w:rFonts w:ascii="Arial" w:hAnsi="Arial" w:cs="Arial"/>
        </w:rPr>
        <w:t>.</w:t>
      </w:r>
      <w:r w:rsidR="004A1ABC" w:rsidRPr="007F121A">
        <w:rPr>
          <w:rFonts w:ascii="Arial" w:hAnsi="Arial" w:cs="Arial"/>
        </w:rPr>
        <w:t xml:space="preserve">, thereby negatively impacting on </w:t>
      </w:r>
      <w:r w:rsidR="00A37D70" w:rsidRPr="007F121A">
        <w:rPr>
          <w:rFonts w:ascii="Arial" w:hAnsi="Arial" w:cs="Arial"/>
        </w:rPr>
        <w:t xml:space="preserve">individual’s eventual social outcomes. </w:t>
      </w:r>
      <w:r w:rsidR="004117F0">
        <w:rPr>
          <w:rFonts w:ascii="Arial" w:hAnsi="Arial" w:cs="Arial"/>
        </w:rPr>
        <w:t>These claims, however, conflicts with</w:t>
      </w:r>
      <w:r w:rsidR="00A90309" w:rsidRPr="00A90309">
        <w:rPr>
          <w:rFonts w:ascii="Arial" w:hAnsi="Arial" w:cs="Arial"/>
        </w:rPr>
        <w:t xml:space="preserve"> Felstead </w:t>
      </w:r>
      <w:r w:rsidR="00A90309" w:rsidRPr="00A90309">
        <w:rPr>
          <w:rFonts w:ascii="Arial" w:hAnsi="Arial" w:cs="Arial"/>
          <w:i/>
        </w:rPr>
        <w:t>et al</w:t>
      </w:r>
      <w:r w:rsidR="00A90309">
        <w:rPr>
          <w:rFonts w:ascii="Arial" w:hAnsi="Arial" w:cs="Arial"/>
        </w:rPr>
        <w:t xml:space="preserve"> </w:t>
      </w:r>
      <w:r w:rsidR="004117F0">
        <w:rPr>
          <w:rFonts w:ascii="Arial" w:hAnsi="Arial" w:cs="Arial"/>
        </w:rPr>
        <w:t>(</w:t>
      </w:r>
      <w:r w:rsidR="00A90309">
        <w:rPr>
          <w:rFonts w:ascii="Arial" w:hAnsi="Arial" w:cs="Arial"/>
        </w:rPr>
        <w:t>2017</w:t>
      </w:r>
      <w:r w:rsidR="004117F0">
        <w:rPr>
          <w:rFonts w:ascii="Arial" w:hAnsi="Arial" w:cs="Arial"/>
        </w:rPr>
        <w:t>)</w:t>
      </w:r>
      <w:r w:rsidR="00A90309">
        <w:rPr>
          <w:rFonts w:ascii="Arial" w:hAnsi="Arial" w:cs="Arial"/>
        </w:rPr>
        <w:t>’s findings</w:t>
      </w:r>
      <w:r w:rsidR="004117F0">
        <w:rPr>
          <w:rFonts w:ascii="Arial" w:hAnsi="Arial" w:cs="Arial"/>
        </w:rPr>
        <w:t xml:space="preserve"> as they found otherwise. Nevertheless, the conflict in findings appear to be drawn along the lines of objectivity and subjectivity</w:t>
      </w:r>
      <w:r w:rsidR="00763C1D">
        <w:rPr>
          <w:rFonts w:ascii="Arial" w:hAnsi="Arial" w:cs="Arial"/>
        </w:rPr>
        <w:t xml:space="preserve"> (</w:t>
      </w:r>
      <w:r w:rsidR="00763C1D" w:rsidRPr="00763C1D">
        <w:rPr>
          <w:rFonts w:ascii="Arial" w:hAnsi="Arial" w:cs="Arial"/>
        </w:rPr>
        <w:t>Erlinghagen</w:t>
      </w:r>
      <w:r w:rsidR="00763C1D">
        <w:rPr>
          <w:rFonts w:ascii="Arial" w:hAnsi="Arial" w:cs="Arial"/>
        </w:rPr>
        <w:t xml:space="preserve">, 2007; Gallie </w:t>
      </w:r>
      <w:r w:rsidR="00763C1D" w:rsidRPr="004117F0">
        <w:rPr>
          <w:rFonts w:ascii="Arial" w:hAnsi="Arial" w:cs="Arial"/>
          <w:i/>
        </w:rPr>
        <w:t>et al</w:t>
      </w:r>
      <w:r w:rsidR="00763C1D">
        <w:rPr>
          <w:rFonts w:ascii="Arial" w:hAnsi="Arial" w:cs="Arial"/>
          <w:i/>
        </w:rPr>
        <w:t>,</w:t>
      </w:r>
      <w:r w:rsidR="00763C1D">
        <w:rPr>
          <w:rFonts w:ascii="Arial" w:hAnsi="Arial" w:cs="Arial"/>
        </w:rPr>
        <w:t xml:space="preserve"> 2017)</w:t>
      </w:r>
      <w:r w:rsidR="004117F0">
        <w:rPr>
          <w:rFonts w:ascii="Arial" w:hAnsi="Arial" w:cs="Arial"/>
        </w:rPr>
        <w:t xml:space="preserve">. </w:t>
      </w:r>
      <w:r w:rsidR="00BA0DF3" w:rsidRPr="007F121A">
        <w:rPr>
          <w:rFonts w:ascii="Arial" w:hAnsi="Arial" w:cs="Arial"/>
        </w:rPr>
        <w:t xml:space="preserve">Perception of job insecurity, although </w:t>
      </w:r>
      <w:r w:rsidR="00EC6030" w:rsidRPr="007F121A">
        <w:rPr>
          <w:rFonts w:ascii="Arial" w:hAnsi="Arial" w:cs="Arial"/>
        </w:rPr>
        <w:t>subjective</w:t>
      </w:r>
      <w:r w:rsidR="00FC724C" w:rsidRPr="007F121A">
        <w:rPr>
          <w:rFonts w:ascii="Arial" w:hAnsi="Arial" w:cs="Arial"/>
        </w:rPr>
        <w:t xml:space="preserve"> and psychological</w:t>
      </w:r>
      <w:r w:rsidR="00EC6030" w:rsidRPr="007F121A">
        <w:rPr>
          <w:rFonts w:ascii="Arial" w:hAnsi="Arial" w:cs="Arial"/>
        </w:rPr>
        <w:t xml:space="preserve"> in nature, is </w:t>
      </w:r>
      <w:r w:rsidR="00DF1D8A" w:rsidRPr="007F121A">
        <w:rPr>
          <w:rFonts w:ascii="Arial" w:hAnsi="Arial" w:cs="Arial"/>
        </w:rPr>
        <w:t>very likely</w:t>
      </w:r>
      <w:r w:rsidR="00EC6030" w:rsidRPr="007F121A">
        <w:rPr>
          <w:rFonts w:ascii="Arial" w:hAnsi="Arial" w:cs="Arial"/>
        </w:rPr>
        <w:t xml:space="preserve"> </w:t>
      </w:r>
      <w:r w:rsidR="00FC724C" w:rsidRPr="007F121A">
        <w:rPr>
          <w:rFonts w:ascii="Arial" w:hAnsi="Arial" w:cs="Arial"/>
        </w:rPr>
        <w:t>a result of the actual</w:t>
      </w:r>
      <w:r w:rsidR="00DF1D8A" w:rsidRPr="007F121A">
        <w:rPr>
          <w:rFonts w:ascii="Arial" w:hAnsi="Arial" w:cs="Arial"/>
        </w:rPr>
        <w:t xml:space="preserve"> </w:t>
      </w:r>
      <w:r w:rsidR="00E5399B" w:rsidRPr="007F121A">
        <w:rPr>
          <w:rFonts w:ascii="Arial" w:hAnsi="Arial" w:cs="Arial"/>
        </w:rPr>
        <w:t>working conditions</w:t>
      </w:r>
      <w:r w:rsidR="00FC1F4D">
        <w:rPr>
          <w:rFonts w:ascii="Arial" w:hAnsi="Arial" w:cs="Arial"/>
        </w:rPr>
        <w:t xml:space="preserve"> and the macroeconomy </w:t>
      </w:r>
      <w:r w:rsidR="0023438F" w:rsidRPr="007F121A">
        <w:rPr>
          <w:rFonts w:ascii="Arial" w:hAnsi="Arial" w:cs="Arial"/>
        </w:rPr>
        <w:t>(</w:t>
      </w:r>
      <w:r w:rsidR="00FC1F4D" w:rsidRPr="00763C1D">
        <w:rPr>
          <w:rFonts w:ascii="Arial" w:hAnsi="Arial" w:cs="Arial"/>
        </w:rPr>
        <w:t>Erlinghagen</w:t>
      </w:r>
      <w:r w:rsidR="00FC1F4D">
        <w:rPr>
          <w:rFonts w:ascii="Arial" w:hAnsi="Arial" w:cs="Arial"/>
        </w:rPr>
        <w:t>, 2007</w:t>
      </w:r>
      <w:r w:rsidR="0023438F" w:rsidRPr="007F121A">
        <w:rPr>
          <w:rFonts w:ascii="Arial" w:hAnsi="Arial" w:cs="Arial"/>
        </w:rPr>
        <w:t>)</w:t>
      </w:r>
      <w:r w:rsidR="00DF1D8A" w:rsidRPr="007F121A">
        <w:rPr>
          <w:rFonts w:ascii="Arial" w:hAnsi="Arial" w:cs="Arial"/>
        </w:rPr>
        <w:t xml:space="preserve">. </w:t>
      </w:r>
      <w:r w:rsidR="000C6515" w:rsidRPr="007F121A">
        <w:rPr>
          <w:rFonts w:ascii="Arial" w:hAnsi="Arial" w:cs="Arial"/>
        </w:rPr>
        <w:t xml:space="preserve">The </w:t>
      </w:r>
      <w:r w:rsidR="00FC1F4D">
        <w:rPr>
          <w:rFonts w:ascii="Arial" w:hAnsi="Arial" w:cs="Arial"/>
        </w:rPr>
        <w:t>assumption</w:t>
      </w:r>
      <w:r w:rsidR="000C6515" w:rsidRPr="007F121A">
        <w:rPr>
          <w:rFonts w:ascii="Arial" w:hAnsi="Arial" w:cs="Arial"/>
        </w:rPr>
        <w:t xml:space="preserve"> is that such perceptions </w:t>
      </w:r>
      <w:r w:rsidR="00C51776" w:rsidRPr="007F121A">
        <w:rPr>
          <w:rFonts w:ascii="Arial" w:hAnsi="Arial" w:cs="Arial"/>
        </w:rPr>
        <w:t xml:space="preserve">form part of discussions and advice </w:t>
      </w:r>
      <w:r w:rsidR="003A10A4" w:rsidRPr="007F121A">
        <w:rPr>
          <w:rFonts w:ascii="Arial" w:hAnsi="Arial" w:cs="Arial"/>
        </w:rPr>
        <w:t xml:space="preserve">obtained from social capital linkages, thereby contributing to </w:t>
      </w:r>
      <w:r w:rsidR="0023438F" w:rsidRPr="007F121A">
        <w:rPr>
          <w:rFonts w:ascii="Arial" w:hAnsi="Arial" w:cs="Arial"/>
        </w:rPr>
        <w:t>tenure transitions in Britain.</w:t>
      </w:r>
      <w:r w:rsidR="000C1C82" w:rsidRPr="007F121A">
        <w:rPr>
          <w:rFonts w:ascii="Arial" w:hAnsi="Arial" w:cs="Arial"/>
        </w:rPr>
        <w:t xml:space="preserve"> </w:t>
      </w:r>
      <w:r w:rsidR="00FC1F4D">
        <w:rPr>
          <w:rFonts w:ascii="Arial" w:hAnsi="Arial" w:cs="Arial"/>
        </w:rPr>
        <w:t xml:space="preserve">It is expected that the perception of job insecurity would negatively correlate with, say, home ownership transition. </w:t>
      </w:r>
      <w:r w:rsidR="000C1C82" w:rsidRPr="007F121A">
        <w:rPr>
          <w:rFonts w:ascii="Arial" w:hAnsi="Arial" w:cs="Arial"/>
        </w:rPr>
        <w:t xml:space="preserve">Hence, it </w:t>
      </w:r>
      <w:r w:rsidR="00381C2D" w:rsidRPr="007F121A">
        <w:rPr>
          <w:rFonts w:ascii="Arial" w:hAnsi="Arial" w:cs="Arial"/>
        </w:rPr>
        <w:t>becomes necessary</w:t>
      </w:r>
      <w:r w:rsidR="00157DAD" w:rsidRPr="007F121A">
        <w:rPr>
          <w:rFonts w:ascii="Arial" w:hAnsi="Arial" w:cs="Arial"/>
        </w:rPr>
        <w:t xml:space="preserve"> to </w:t>
      </w:r>
      <w:r w:rsidR="00A12476" w:rsidRPr="007F121A">
        <w:rPr>
          <w:rFonts w:ascii="Arial" w:hAnsi="Arial" w:cs="Arial"/>
        </w:rPr>
        <w:t xml:space="preserve">empirically </w:t>
      </w:r>
      <w:r w:rsidR="00B942AD" w:rsidRPr="007F121A">
        <w:rPr>
          <w:rFonts w:ascii="Arial" w:hAnsi="Arial" w:cs="Arial"/>
        </w:rPr>
        <w:t xml:space="preserve">investigate the extent to which the perception of job insecurity </w:t>
      </w:r>
      <w:r w:rsidR="003F5171" w:rsidRPr="007F121A">
        <w:rPr>
          <w:rFonts w:ascii="Arial" w:hAnsi="Arial" w:cs="Arial"/>
        </w:rPr>
        <w:t xml:space="preserve">influence housing tenure decisions. Furthermore, </w:t>
      </w:r>
      <w:r w:rsidR="002521B4" w:rsidRPr="007F121A">
        <w:rPr>
          <w:rFonts w:ascii="Arial" w:hAnsi="Arial" w:cs="Arial"/>
        </w:rPr>
        <w:t>exploring</w:t>
      </w:r>
      <w:r w:rsidR="005D5160" w:rsidRPr="007F121A">
        <w:rPr>
          <w:rFonts w:ascii="Arial" w:hAnsi="Arial" w:cs="Arial"/>
        </w:rPr>
        <w:t xml:space="preserve"> the</w:t>
      </w:r>
      <w:r w:rsidR="003F5171" w:rsidRPr="007F121A">
        <w:rPr>
          <w:rFonts w:ascii="Arial" w:hAnsi="Arial" w:cs="Arial"/>
        </w:rPr>
        <w:t xml:space="preserve"> </w:t>
      </w:r>
      <w:r w:rsidR="005D5160" w:rsidRPr="007F121A">
        <w:rPr>
          <w:rFonts w:ascii="Arial" w:hAnsi="Arial" w:cs="Arial"/>
        </w:rPr>
        <w:t>relationships</w:t>
      </w:r>
      <w:r w:rsidR="003F5171" w:rsidRPr="007F121A">
        <w:rPr>
          <w:rFonts w:ascii="Arial" w:hAnsi="Arial" w:cs="Arial"/>
        </w:rPr>
        <w:t xml:space="preserve"> between these perceptions and social capital linkages </w:t>
      </w:r>
      <w:r w:rsidR="002521B4" w:rsidRPr="007F121A">
        <w:rPr>
          <w:rFonts w:ascii="Arial" w:hAnsi="Arial" w:cs="Arial"/>
        </w:rPr>
        <w:t xml:space="preserve">for </w:t>
      </w:r>
      <w:r w:rsidR="00B9726B" w:rsidRPr="007F121A">
        <w:rPr>
          <w:rFonts w:ascii="Arial" w:hAnsi="Arial" w:cs="Arial"/>
        </w:rPr>
        <w:t xml:space="preserve">housing tenure </w:t>
      </w:r>
      <w:r w:rsidR="002521B4" w:rsidRPr="007F121A">
        <w:rPr>
          <w:rFonts w:ascii="Arial" w:hAnsi="Arial" w:cs="Arial"/>
        </w:rPr>
        <w:t>transition</w:t>
      </w:r>
      <w:r w:rsidR="005D5160" w:rsidRPr="007F121A">
        <w:rPr>
          <w:rFonts w:ascii="Arial" w:hAnsi="Arial" w:cs="Arial"/>
        </w:rPr>
        <w:t xml:space="preserve">s </w:t>
      </w:r>
      <w:r w:rsidR="00A71CDA" w:rsidRPr="007F121A">
        <w:rPr>
          <w:rFonts w:ascii="Arial" w:hAnsi="Arial" w:cs="Arial"/>
        </w:rPr>
        <w:t xml:space="preserve">could provide additional understanding </w:t>
      </w:r>
      <w:r w:rsidR="0084036E" w:rsidRPr="007F121A">
        <w:rPr>
          <w:rFonts w:ascii="Arial" w:hAnsi="Arial" w:cs="Arial"/>
        </w:rPr>
        <w:t>to the tenure shifts in Britain.</w:t>
      </w:r>
    </w:p>
    <w:p w14:paraId="00000013" w14:textId="4F5A7B73" w:rsidR="00FE0B4C" w:rsidRPr="007F121A" w:rsidRDefault="00791830" w:rsidP="00D77F14">
      <w:pPr>
        <w:pStyle w:val="Heading1"/>
        <w:rPr>
          <w:rFonts w:eastAsia="Arial"/>
        </w:rPr>
      </w:pPr>
      <w:r w:rsidRPr="007F121A">
        <w:rPr>
          <w:rFonts w:eastAsia="Arial"/>
        </w:rPr>
        <w:t>3. Research question, data and method</w:t>
      </w:r>
    </w:p>
    <w:p w14:paraId="5D3ED420" w14:textId="1E2EB5AB" w:rsidR="0012367B" w:rsidRPr="007F121A" w:rsidRDefault="0012367B" w:rsidP="007F121A">
      <w:pPr>
        <w:spacing w:after="240" w:line="360" w:lineRule="auto"/>
        <w:jc w:val="both"/>
        <w:rPr>
          <w:rFonts w:ascii="Arial" w:hAnsi="Arial" w:cs="Arial"/>
        </w:rPr>
      </w:pPr>
      <w:r w:rsidRPr="007F121A">
        <w:rPr>
          <w:rFonts w:ascii="Arial" w:hAnsi="Arial" w:cs="Arial"/>
        </w:rPr>
        <w:t>Some questions have emerged from our literature review that would be worth stating clearly thus:</w:t>
      </w:r>
    </w:p>
    <w:p w14:paraId="00FC16A0" w14:textId="74A96AC1" w:rsidR="0012367B" w:rsidRPr="007F121A" w:rsidRDefault="005F3992" w:rsidP="007F121A">
      <w:pPr>
        <w:pStyle w:val="ListParagraph"/>
        <w:numPr>
          <w:ilvl w:val="0"/>
          <w:numId w:val="2"/>
        </w:numPr>
        <w:spacing w:before="240" w:line="360" w:lineRule="auto"/>
        <w:jc w:val="both"/>
        <w:rPr>
          <w:rFonts w:ascii="Arial" w:hAnsi="Arial" w:cs="Arial"/>
        </w:rPr>
      </w:pPr>
      <w:r w:rsidRPr="007F121A">
        <w:rPr>
          <w:rFonts w:ascii="Arial" w:hAnsi="Arial" w:cs="Arial"/>
        </w:rPr>
        <w:t>Are</w:t>
      </w:r>
      <w:r w:rsidR="0012367B" w:rsidRPr="007F121A">
        <w:rPr>
          <w:rFonts w:ascii="Arial" w:hAnsi="Arial" w:cs="Arial"/>
        </w:rPr>
        <w:t xml:space="preserve"> social capital linkages </w:t>
      </w:r>
      <w:r w:rsidRPr="007F121A">
        <w:rPr>
          <w:rFonts w:ascii="Arial" w:hAnsi="Arial" w:cs="Arial"/>
        </w:rPr>
        <w:t>gradually becoming stabilized driver</w:t>
      </w:r>
      <w:r w:rsidR="0012367B" w:rsidRPr="007F121A">
        <w:rPr>
          <w:rFonts w:ascii="Arial" w:hAnsi="Arial" w:cs="Arial"/>
        </w:rPr>
        <w:t xml:space="preserve"> </w:t>
      </w:r>
      <w:r w:rsidRPr="007F121A">
        <w:rPr>
          <w:rFonts w:ascii="Arial" w:hAnsi="Arial" w:cs="Arial"/>
        </w:rPr>
        <w:t>of</w:t>
      </w:r>
      <w:r w:rsidR="0012367B" w:rsidRPr="007F121A">
        <w:rPr>
          <w:rFonts w:ascii="Arial" w:hAnsi="Arial" w:cs="Arial"/>
        </w:rPr>
        <w:t xml:space="preserve"> housing tenure </w:t>
      </w:r>
      <w:r w:rsidRPr="007F121A">
        <w:rPr>
          <w:rFonts w:ascii="Arial" w:hAnsi="Arial" w:cs="Arial"/>
        </w:rPr>
        <w:t>transitions</w:t>
      </w:r>
      <w:r w:rsidR="0012367B" w:rsidRPr="007F121A">
        <w:rPr>
          <w:rFonts w:ascii="Arial" w:hAnsi="Arial" w:cs="Arial"/>
        </w:rPr>
        <w:t xml:space="preserve"> in Britain?</w:t>
      </w:r>
    </w:p>
    <w:p w14:paraId="312AAAB2" w14:textId="6AD4EA03" w:rsidR="0012367B" w:rsidRPr="007F121A" w:rsidRDefault="0012367B" w:rsidP="007F121A">
      <w:pPr>
        <w:pStyle w:val="ListParagraph"/>
        <w:numPr>
          <w:ilvl w:val="0"/>
          <w:numId w:val="2"/>
        </w:numPr>
        <w:spacing w:before="240" w:line="360" w:lineRule="auto"/>
        <w:jc w:val="both"/>
        <w:rPr>
          <w:rFonts w:ascii="Arial" w:hAnsi="Arial" w:cs="Arial"/>
        </w:rPr>
      </w:pPr>
      <w:r w:rsidRPr="007F121A">
        <w:rPr>
          <w:rFonts w:ascii="Arial" w:hAnsi="Arial" w:cs="Arial"/>
        </w:rPr>
        <w:t xml:space="preserve">What impact does perceived job </w:t>
      </w:r>
      <w:r w:rsidR="005F3992" w:rsidRPr="007F121A">
        <w:rPr>
          <w:rFonts w:ascii="Arial" w:hAnsi="Arial" w:cs="Arial"/>
        </w:rPr>
        <w:t>in</w:t>
      </w:r>
      <w:r w:rsidRPr="007F121A">
        <w:rPr>
          <w:rFonts w:ascii="Arial" w:hAnsi="Arial" w:cs="Arial"/>
        </w:rPr>
        <w:t>security have on housing tenure shifts and what are the implications for young households in Britain?</w:t>
      </w:r>
    </w:p>
    <w:p w14:paraId="580D12C6" w14:textId="6C0D12DD" w:rsidR="0012367B" w:rsidRPr="007F121A" w:rsidRDefault="0012367B" w:rsidP="007F121A">
      <w:pPr>
        <w:pStyle w:val="ListParagraph"/>
        <w:numPr>
          <w:ilvl w:val="0"/>
          <w:numId w:val="2"/>
        </w:numPr>
        <w:spacing w:before="240" w:line="360" w:lineRule="auto"/>
        <w:jc w:val="both"/>
        <w:rPr>
          <w:rFonts w:ascii="Arial" w:hAnsi="Arial" w:cs="Arial"/>
        </w:rPr>
      </w:pPr>
      <w:r w:rsidRPr="007F121A">
        <w:rPr>
          <w:rFonts w:ascii="Arial" w:hAnsi="Arial" w:cs="Arial"/>
        </w:rPr>
        <w:t xml:space="preserve">Is there a connection between perceived job </w:t>
      </w:r>
      <w:r w:rsidR="005F3992" w:rsidRPr="007F121A">
        <w:rPr>
          <w:rFonts w:ascii="Arial" w:hAnsi="Arial" w:cs="Arial"/>
        </w:rPr>
        <w:t>in</w:t>
      </w:r>
      <w:r w:rsidRPr="007F121A">
        <w:rPr>
          <w:rFonts w:ascii="Arial" w:hAnsi="Arial" w:cs="Arial"/>
        </w:rPr>
        <w:t>security and social capital in contributing to housing tenure shifts in Britain?</w:t>
      </w:r>
    </w:p>
    <w:p w14:paraId="53EF684D" w14:textId="5711342C" w:rsidR="0012367B" w:rsidRPr="007F121A" w:rsidRDefault="0012367B" w:rsidP="007F121A">
      <w:pPr>
        <w:spacing w:line="360" w:lineRule="auto"/>
        <w:jc w:val="both"/>
        <w:rPr>
          <w:rFonts w:ascii="Arial" w:hAnsi="Arial" w:cs="Arial"/>
        </w:rPr>
      </w:pPr>
      <w:r w:rsidRPr="007F121A">
        <w:rPr>
          <w:rFonts w:ascii="Arial" w:hAnsi="Arial" w:cs="Arial"/>
        </w:rPr>
        <w:t>To determine the answers to these questions through an empirical approach, we make use of the</w:t>
      </w:r>
      <w:r w:rsidR="00381C2D" w:rsidRPr="007F121A">
        <w:rPr>
          <w:rFonts w:ascii="Arial" w:hAnsi="Arial" w:cs="Arial"/>
        </w:rPr>
        <w:t xml:space="preserve"> </w:t>
      </w:r>
      <w:r w:rsidR="00463306">
        <w:rPr>
          <w:rFonts w:ascii="Arial" w:hAnsi="Arial" w:cs="Arial"/>
        </w:rPr>
        <w:t>harmonis</w:t>
      </w:r>
      <w:r w:rsidR="00582049" w:rsidRPr="007F121A">
        <w:rPr>
          <w:rFonts w:ascii="Arial" w:hAnsi="Arial" w:cs="Arial"/>
        </w:rPr>
        <w:t xml:space="preserve">ed </w:t>
      </w:r>
      <w:r w:rsidR="00381C2D" w:rsidRPr="007F121A">
        <w:rPr>
          <w:rFonts w:ascii="Arial" w:hAnsi="Arial" w:cs="Arial"/>
        </w:rPr>
        <w:t>British Household Panel Survey</w:t>
      </w:r>
      <w:r w:rsidRPr="007F121A">
        <w:rPr>
          <w:rFonts w:ascii="Arial" w:hAnsi="Arial" w:cs="Arial"/>
        </w:rPr>
        <w:t xml:space="preserve"> </w:t>
      </w:r>
      <w:r w:rsidR="00B81441" w:rsidRPr="007F121A">
        <w:rPr>
          <w:rFonts w:ascii="Arial" w:hAnsi="Arial" w:cs="Arial"/>
        </w:rPr>
        <w:t>(</w:t>
      </w:r>
      <w:r w:rsidRPr="007F121A">
        <w:rPr>
          <w:rFonts w:ascii="Arial" w:hAnsi="Arial" w:cs="Arial"/>
        </w:rPr>
        <w:t>BHPS</w:t>
      </w:r>
      <w:r w:rsidR="00B81441" w:rsidRPr="007F121A">
        <w:rPr>
          <w:rFonts w:ascii="Arial" w:hAnsi="Arial" w:cs="Arial"/>
        </w:rPr>
        <w:t>)</w:t>
      </w:r>
      <w:r w:rsidRPr="007F121A">
        <w:rPr>
          <w:rFonts w:ascii="Arial" w:hAnsi="Arial" w:cs="Arial"/>
        </w:rPr>
        <w:t xml:space="preserve"> data</w:t>
      </w:r>
      <w:r w:rsidR="00054EC2" w:rsidRPr="007F121A">
        <w:rPr>
          <w:rFonts w:ascii="Arial" w:hAnsi="Arial" w:cs="Arial"/>
        </w:rPr>
        <w:t xml:space="preserve"> (</w:t>
      </w:r>
      <w:r w:rsidR="00463306" w:rsidRPr="00463306">
        <w:rPr>
          <w:rFonts w:ascii="Arial" w:hAnsi="Arial" w:cs="Arial"/>
        </w:rPr>
        <w:t>University of Essex, Institute f</w:t>
      </w:r>
      <w:r w:rsidR="00463306">
        <w:rPr>
          <w:rFonts w:ascii="Arial" w:hAnsi="Arial" w:cs="Arial"/>
        </w:rPr>
        <w:t>or Social and Economic Research,</w:t>
      </w:r>
      <w:r w:rsidR="00463306" w:rsidRPr="00463306">
        <w:rPr>
          <w:rFonts w:ascii="Arial" w:hAnsi="Arial" w:cs="Arial"/>
        </w:rPr>
        <w:t xml:space="preserve"> 2019</w:t>
      </w:r>
      <w:r w:rsidR="00054EC2" w:rsidRPr="007F121A">
        <w:rPr>
          <w:rFonts w:ascii="Arial" w:hAnsi="Arial" w:cs="Arial"/>
        </w:rPr>
        <w:t>)</w:t>
      </w:r>
      <w:r w:rsidR="00463306">
        <w:rPr>
          <w:rFonts w:ascii="Arial" w:hAnsi="Arial" w:cs="Arial"/>
        </w:rPr>
        <w:t xml:space="preserve">. The BHPS, which </w:t>
      </w:r>
      <w:r w:rsidR="00463306" w:rsidRPr="007F121A">
        <w:rPr>
          <w:rFonts w:ascii="Arial" w:hAnsi="Arial" w:cs="Arial"/>
        </w:rPr>
        <w:t>is an annual collection of data relating to socio-economic situations of</w:t>
      </w:r>
      <w:r w:rsidR="00463306">
        <w:rPr>
          <w:rFonts w:ascii="Arial" w:hAnsi="Arial" w:cs="Arial"/>
        </w:rPr>
        <w:t xml:space="preserve"> UK</w:t>
      </w:r>
      <w:r w:rsidR="00463306" w:rsidRPr="007F121A">
        <w:rPr>
          <w:rFonts w:ascii="Arial" w:hAnsi="Arial" w:cs="Arial"/>
        </w:rPr>
        <w:t xml:space="preserve"> individuals and households</w:t>
      </w:r>
      <w:r w:rsidR="00463306">
        <w:rPr>
          <w:rFonts w:ascii="Arial" w:hAnsi="Arial" w:cs="Arial"/>
        </w:rPr>
        <w:t>,</w:t>
      </w:r>
      <w:r w:rsidR="00B81441" w:rsidRPr="007F121A">
        <w:rPr>
          <w:rFonts w:ascii="Arial" w:hAnsi="Arial" w:cs="Arial"/>
        </w:rPr>
        <w:t xml:space="preserve"> is </w:t>
      </w:r>
      <w:r w:rsidR="006F259A" w:rsidRPr="007F121A">
        <w:rPr>
          <w:rFonts w:ascii="Arial" w:hAnsi="Arial" w:cs="Arial"/>
        </w:rPr>
        <w:t xml:space="preserve">popular for housing tenure studies </w:t>
      </w:r>
      <w:r w:rsidR="006F259A" w:rsidRPr="007F121A">
        <w:rPr>
          <w:rFonts w:ascii="Arial" w:hAnsi="Arial" w:cs="Arial"/>
        </w:rPr>
        <w:lastRenderedPageBreak/>
        <w:t>across the UK.</w:t>
      </w:r>
      <w:r w:rsidR="007D4A39" w:rsidRPr="007F121A">
        <w:rPr>
          <w:rFonts w:ascii="Arial" w:hAnsi="Arial" w:cs="Arial"/>
        </w:rPr>
        <w:t xml:space="preserve"> </w:t>
      </w:r>
      <w:r w:rsidR="00A3242B" w:rsidRPr="007F121A">
        <w:rPr>
          <w:rFonts w:ascii="Arial" w:hAnsi="Arial" w:cs="Arial"/>
        </w:rPr>
        <w:t xml:space="preserve">It started in 1991 </w:t>
      </w:r>
      <w:r w:rsidR="00C86CF6" w:rsidRPr="007F121A">
        <w:rPr>
          <w:rFonts w:ascii="Arial" w:hAnsi="Arial" w:cs="Arial"/>
        </w:rPr>
        <w:t xml:space="preserve">(wave 1) </w:t>
      </w:r>
      <w:r w:rsidR="00A3242B" w:rsidRPr="007F121A">
        <w:rPr>
          <w:rFonts w:ascii="Arial" w:hAnsi="Arial" w:cs="Arial"/>
        </w:rPr>
        <w:t xml:space="preserve">with about 5500 households and </w:t>
      </w:r>
      <w:r w:rsidR="00463306">
        <w:rPr>
          <w:rFonts w:ascii="Arial" w:hAnsi="Arial" w:cs="Arial"/>
        </w:rPr>
        <w:t>10,300</w:t>
      </w:r>
      <w:r w:rsidR="006754B0" w:rsidRPr="007F121A">
        <w:rPr>
          <w:rFonts w:ascii="Arial" w:hAnsi="Arial" w:cs="Arial"/>
        </w:rPr>
        <w:t xml:space="preserve"> individuals and continues </w:t>
      </w:r>
      <w:r w:rsidR="00DA76B1" w:rsidRPr="007F121A">
        <w:rPr>
          <w:rFonts w:ascii="Arial" w:hAnsi="Arial" w:cs="Arial"/>
        </w:rPr>
        <w:t>to date</w:t>
      </w:r>
      <w:r w:rsidR="00BA2709" w:rsidRPr="007F121A">
        <w:rPr>
          <w:rFonts w:ascii="Arial" w:hAnsi="Arial" w:cs="Arial"/>
        </w:rPr>
        <w:t xml:space="preserve">. However, the rage of data applicable in this study is from </w:t>
      </w:r>
      <w:r w:rsidR="00571E2F">
        <w:rPr>
          <w:rFonts w:ascii="Arial" w:hAnsi="Arial" w:cs="Arial"/>
        </w:rPr>
        <w:t>wave 11</w:t>
      </w:r>
      <w:r w:rsidR="001B7A0E" w:rsidRPr="007F121A">
        <w:rPr>
          <w:rFonts w:ascii="Arial" w:hAnsi="Arial" w:cs="Arial"/>
        </w:rPr>
        <w:t xml:space="preserve"> </w:t>
      </w:r>
      <w:r w:rsidR="00C86CF6" w:rsidRPr="007F121A">
        <w:rPr>
          <w:rFonts w:ascii="Arial" w:hAnsi="Arial" w:cs="Arial"/>
        </w:rPr>
        <w:t>(</w:t>
      </w:r>
      <w:r w:rsidR="00463306">
        <w:rPr>
          <w:rFonts w:ascii="Arial" w:hAnsi="Arial" w:cs="Arial"/>
        </w:rPr>
        <w:t xml:space="preserve">i.e. </w:t>
      </w:r>
      <w:r w:rsidR="00C86CF6" w:rsidRPr="007F121A">
        <w:rPr>
          <w:rFonts w:ascii="Arial" w:hAnsi="Arial" w:cs="Arial"/>
        </w:rPr>
        <w:t>year 20</w:t>
      </w:r>
      <w:r w:rsidR="00FB3CA0" w:rsidRPr="007F121A">
        <w:rPr>
          <w:rFonts w:ascii="Arial" w:hAnsi="Arial" w:cs="Arial"/>
        </w:rPr>
        <w:t>0</w:t>
      </w:r>
      <w:r w:rsidR="00571E2F">
        <w:rPr>
          <w:rFonts w:ascii="Arial" w:hAnsi="Arial" w:cs="Arial"/>
        </w:rPr>
        <w:t>1</w:t>
      </w:r>
      <w:r w:rsidR="00C86CF6" w:rsidRPr="007F121A">
        <w:rPr>
          <w:rFonts w:ascii="Arial" w:hAnsi="Arial" w:cs="Arial"/>
        </w:rPr>
        <w:t>)</w:t>
      </w:r>
      <w:r w:rsidR="00FB3CA0" w:rsidRPr="007F121A">
        <w:rPr>
          <w:rFonts w:ascii="Arial" w:hAnsi="Arial" w:cs="Arial"/>
        </w:rPr>
        <w:t xml:space="preserve"> to wave 25 (</w:t>
      </w:r>
      <w:r w:rsidR="00463306">
        <w:rPr>
          <w:rFonts w:ascii="Arial" w:hAnsi="Arial" w:cs="Arial"/>
        </w:rPr>
        <w:t xml:space="preserve">i.e. </w:t>
      </w:r>
      <w:r w:rsidR="001333FD" w:rsidRPr="007F121A">
        <w:rPr>
          <w:rFonts w:ascii="Arial" w:hAnsi="Arial" w:cs="Arial"/>
        </w:rPr>
        <w:t xml:space="preserve">year </w:t>
      </w:r>
      <w:r w:rsidR="00463306">
        <w:rPr>
          <w:rFonts w:ascii="Arial" w:hAnsi="Arial" w:cs="Arial"/>
        </w:rPr>
        <w:t>2014/</w:t>
      </w:r>
      <w:r w:rsidR="001333FD" w:rsidRPr="007F121A">
        <w:rPr>
          <w:rFonts w:ascii="Arial" w:hAnsi="Arial" w:cs="Arial"/>
        </w:rPr>
        <w:t>2015). The choice of</w:t>
      </w:r>
      <w:r w:rsidR="001B464B" w:rsidRPr="007F121A">
        <w:rPr>
          <w:rFonts w:ascii="Arial" w:hAnsi="Arial" w:cs="Arial"/>
        </w:rPr>
        <w:t xml:space="preserve"> </w:t>
      </w:r>
      <w:r w:rsidR="00463306" w:rsidRPr="007F121A">
        <w:rPr>
          <w:rFonts w:ascii="Arial" w:hAnsi="Arial" w:cs="Arial"/>
        </w:rPr>
        <w:t>period</w:t>
      </w:r>
      <w:r w:rsidR="001333FD" w:rsidRPr="007F121A">
        <w:rPr>
          <w:rFonts w:ascii="Arial" w:hAnsi="Arial" w:cs="Arial"/>
        </w:rPr>
        <w:t xml:space="preserve"> is for two reasons. Firstly, </w:t>
      </w:r>
      <w:r w:rsidR="00CF2A6E" w:rsidRPr="007F121A">
        <w:rPr>
          <w:rFonts w:ascii="Arial" w:hAnsi="Arial" w:cs="Arial"/>
        </w:rPr>
        <w:t xml:space="preserve">the </w:t>
      </w:r>
      <w:r w:rsidR="00463306">
        <w:rPr>
          <w:rFonts w:ascii="Arial" w:hAnsi="Arial" w:cs="Arial"/>
        </w:rPr>
        <w:t>period considered corresponds with</w:t>
      </w:r>
      <w:r w:rsidR="00CF2A6E" w:rsidRPr="007F121A">
        <w:rPr>
          <w:rFonts w:ascii="Arial" w:hAnsi="Arial" w:cs="Arial"/>
        </w:rPr>
        <w:t xml:space="preserve"> the time when </w:t>
      </w:r>
      <w:r w:rsidR="004C26CF" w:rsidRPr="007F121A">
        <w:rPr>
          <w:rFonts w:ascii="Arial" w:hAnsi="Arial" w:cs="Arial"/>
        </w:rPr>
        <w:t xml:space="preserve">the </w:t>
      </w:r>
      <w:r w:rsidR="004B1F99" w:rsidRPr="007F121A">
        <w:rPr>
          <w:rFonts w:ascii="Arial" w:hAnsi="Arial" w:cs="Arial"/>
        </w:rPr>
        <w:t xml:space="preserve">private </w:t>
      </w:r>
      <w:r w:rsidR="004C26CF" w:rsidRPr="007F121A">
        <w:rPr>
          <w:rFonts w:ascii="Arial" w:hAnsi="Arial" w:cs="Arial"/>
        </w:rPr>
        <w:t>rented sector</w:t>
      </w:r>
      <w:r w:rsidR="004B1F99" w:rsidRPr="007F121A">
        <w:rPr>
          <w:rFonts w:ascii="Arial" w:hAnsi="Arial" w:cs="Arial"/>
        </w:rPr>
        <w:t xml:space="preserve"> started expanding </w:t>
      </w:r>
      <w:r w:rsidR="00463306">
        <w:rPr>
          <w:rFonts w:ascii="Arial" w:hAnsi="Arial" w:cs="Arial"/>
        </w:rPr>
        <w:t>while at the same time,</w:t>
      </w:r>
      <w:r w:rsidR="004C26CF" w:rsidRPr="007F121A">
        <w:rPr>
          <w:rFonts w:ascii="Arial" w:hAnsi="Arial" w:cs="Arial"/>
        </w:rPr>
        <w:t xml:space="preserve"> the</w:t>
      </w:r>
      <w:r w:rsidR="004B1F99" w:rsidRPr="007F121A">
        <w:rPr>
          <w:rFonts w:ascii="Arial" w:hAnsi="Arial" w:cs="Arial"/>
        </w:rPr>
        <w:t xml:space="preserve"> owner occupation sector </w:t>
      </w:r>
      <w:r w:rsidR="00463306">
        <w:rPr>
          <w:rFonts w:ascii="Arial" w:hAnsi="Arial" w:cs="Arial"/>
        </w:rPr>
        <w:t>declining</w:t>
      </w:r>
      <w:r w:rsidR="00571E2F">
        <w:rPr>
          <w:rStyle w:val="FootnoteReference"/>
          <w:rFonts w:ascii="Arial" w:hAnsi="Arial" w:cs="Arial"/>
        </w:rPr>
        <w:footnoteReference w:id="4"/>
      </w:r>
      <w:r w:rsidR="00332FDC" w:rsidRPr="007F121A">
        <w:rPr>
          <w:rFonts w:ascii="Arial" w:hAnsi="Arial" w:cs="Arial"/>
        </w:rPr>
        <w:t>.</w:t>
      </w:r>
      <w:r w:rsidR="002116D6" w:rsidRPr="007F121A">
        <w:rPr>
          <w:rFonts w:ascii="Arial" w:hAnsi="Arial" w:cs="Arial"/>
        </w:rPr>
        <w:t xml:space="preserve"> </w:t>
      </w:r>
      <w:r w:rsidR="00211DE4" w:rsidRPr="007F121A">
        <w:rPr>
          <w:rFonts w:ascii="Arial" w:hAnsi="Arial" w:cs="Arial"/>
        </w:rPr>
        <w:t>Secondly, specific</w:t>
      </w:r>
      <w:r w:rsidR="006A6B8A" w:rsidRPr="007F121A">
        <w:rPr>
          <w:rFonts w:ascii="Arial" w:hAnsi="Arial" w:cs="Arial"/>
        </w:rPr>
        <w:t xml:space="preserve"> BHPS</w:t>
      </w:r>
      <w:r w:rsidR="00211DE4" w:rsidRPr="007F121A">
        <w:rPr>
          <w:rFonts w:ascii="Arial" w:hAnsi="Arial" w:cs="Arial"/>
        </w:rPr>
        <w:t xml:space="preserve"> </w:t>
      </w:r>
      <w:r w:rsidR="002A3459" w:rsidRPr="007F121A">
        <w:rPr>
          <w:rFonts w:ascii="Arial" w:hAnsi="Arial" w:cs="Arial"/>
        </w:rPr>
        <w:t xml:space="preserve">data </w:t>
      </w:r>
      <w:r w:rsidR="00AC69EC" w:rsidRPr="007F121A">
        <w:rPr>
          <w:rFonts w:ascii="Arial" w:hAnsi="Arial" w:cs="Arial"/>
        </w:rPr>
        <w:t>representing proxies for</w:t>
      </w:r>
      <w:r w:rsidR="002A3459" w:rsidRPr="007F121A">
        <w:rPr>
          <w:rFonts w:ascii="Arial" w:hAnsi="Arial" w:cs="Arial"/>
        </w:rPr>
        <w:t xml:space="preserve"> social capital</w:t>
      </w:r>
      <w:r w:rsidR="00120FA4" w:rsidRPr="007F121A">
        <w:rPr>
          <w:rFonts w:ascii="Arial" w:hAnsi="Arial" w:cs="Arial"/>
        </w:rPr>
        <w:t xml:space="preserve"> were collected from year 2000 onward.</w:t>
      </w:r>
    </w:p>
    <w:p w14:paraId="1D679761" w14:textId="7B40AF91" w:rsidR="000D61AC" w:rsidRDefault="002012A5" w:rsidP="007F121A">
      <w:pPr>
        <w:spacing w:line="360" w:lineRule="auto"/>
        <w:jc w:val="both"/>
        <w:rPr>
          <w:rFonts w:ascii="Arial" w:hAnsi="Arial" w:cs="Arial"/>
        </w:rPr>
      </w:pPr>
      <w:r w:rsidRPr="007F121A">
        <w:rPr>
          <w:rFonts w:ascii="Arial" w:hAnsi="Arial" w:cs="Arial"/>
        </w:rPr>
        <w:t xml:space="preserve">Proxies </w:t>
      </w:r>
      <w:r w:rsidR="00C00132" w:rsidRPr="007F121A">
        <w:rPr>
          <w:rFonts w:ascii="Arial" w:hAnsi="Arial" w:cs="Arial"/>
        </w:rPr>
        <w:t xml:space="preserve">representing social capital </w:t>
      </w:r>
      <w:r w:rsidR="003647B2" w:rsidRPr="007F121A">
        <w:rPr>
          <w:rFonts w:ascii="Arial" w:hAnsi="Arial" w:cs="Arial"/>
        </w:rPr>
        <w:t xml:space="preserve">in the BHPS </w:t>
      </w:r>
      <w:r w:rsidR="00C00132" w:rsidRPr="007F121A">
        <w:rPr>
          <w:rFonts w:ascii="Arial" w:hAnsi="Arial" w:cs="Arial"/>
        </w:rPr>
        <w:t xml:space="preserve">are adopted from </w:t>
      </w:r>
      <w:r w:rsidR="003647B2" w:rsidRPr="007F121A">
        <w:rPr>
          <w:rFonts w:ascii="Arial" w:hAnsi="Arial" w:cs="Arial"/>
        </w:rPr>
        <w:t xml:space="preserve">Aguda (2019). These provide information on </w:t>
      </w:r>
      <w:r w:rsidR="004315C2" w:rsidRPr="007F121A">
        <w:rPr>
          <w:rFonts w:ascii="Arial" w:hAnsi="Arial" w:cs="Arial"/>
        </w:rPr>
        <w:t xml:space="preserve">the tendency of </w:t>
      </w:r>
      <w:r w:rsidR="002A7AF2" w:rsidRPr="007F121A">
        <w:rPr>
          <w:rFonts w:ascii="Arial" w:hAnsi="Arial" w:cs="Arial"/>
        </w:rPr>
        <w:t xml:space="preserve">becoming integrated in </w:t>
      </w:r>
      <w:r w:rsidR="00743AC9">
        <w:rPr>
          <w:rFonts w:ascii="Arial" w:hAnsi="Arial" w:cs="Arial"/>
        </w:rPr>
        <w:t>an</w:t>
      </w:r>
      <w:r w:rsidR="002A7AF2" w:rsidRPr="007F121A">
        <w:rPr>
          <w:rFonts w:ascii="Arial" w:hAnsi="Arial" w:cs="Arial"/>
        </w:rPr>
        <w:t xml:space="preserve"> area</w:t>
      </w:r>
      <w:r w:rsidR="00B40C20" w:rsidRPr="007F121A">
        <w:rPr>
          <w:rFonts w:ascii="Arial" w:hAnsi="Arial" w:cs="Arial"/>
        </w:rPr>
        <w:t xml:space="preserve"> </w:t>
      </w:r>
      <w:r w:rsidR="00743AC9">
        <w:rPr>
          <w:rFonts w:ascii="Arial" w:hAnsi="Arial" w:cs="Arial"/>
        </w:rPr>
        <w:t xml:space="preserve">through bonds formed with neighbours or neighbourhoods </w:t>
      </w:r>
      <w:r w:rsidR="00B40C20" w:rsidRPr="007F121A">
        <w:rPr>
          <w:rFonts w:ascii="Arial" w:hAnsi="Arial" w:cs="Arial"/>
        </w:rPr>
        <w:t>(</w:t>
      </w:r>
      <w:r w:rsidR="00743AC9">
        <w:rPr>
          <w:rFonts w:ascii="Arial" w:hAnsi="Arial" w:cs="Arial"/>
        </w:rPr>
        <w:t>Leviten-Reid and Matthew (2017</w:t>
      </w:r>
      <w:r w:rsidR="00B40C20" w:rsidRPr="007F121A">
        <w:rPr>
          <w:rFonts w:ascii="Arial" w:hAnsi="Arial" w:cs="Arial"/>
        </w:rPr>
        <w:t>)</w:t>
      </w:r>
      <w:r w:rsidR="0058310A" w:rsidRPr="007F121A">
        <w:rPr>
          <w:rFonts w:ascii="Arial" w:hAnsi="Arial" w:cs="Arial"/>
        </w:rPr>
        <w:t xml:space="preserve">; </w:t>
      </w:r>
      <w:r w:rsidR="00846A8C" w:rsidRPr="007F121A">
        <w:rPr>
          <w:rFonts w:ascii="Arial" w:hAnsi="Arial" w:cs="Arial"/>
        </w:rPr>
        <w:t>identification with</w:t>
      </w:r>
      <w:r w:rsidR="00953894" w:rsidRPr="007F121A">
        <w:rPr>
          <w:rFonts w:ascii="Arial" w:hAnsi="Arial" w:cs="Arial"/>
        </w:rPr>
        <w:t xml:space="preserve"> meaningful</w:t>
      </w:r>
      <w:r w:rsidR="00846A8C" w:rsidRPr="007F121A">
        <w:rPr>
          <w:rFonts w:ascii="Arial" w:hAnsi="Arial" w:cs="Arial"/>
        </w:rPr>
        <w:t xml:space="preserve"> socio-economic </w:t>
      </w:r>
      <w:r w:rsidR="007D6F5F" w:rsidRPr="007F121A">
        <w:rPr>
          <w:rFonts w:ascii="Arial" w:hAnsi="Arial" w:cs="Arial"/>
        </w:rPr>
        <w:t>groups</w:t>
      </w:r>
      <w:r w:rsidR="00B40C20" w:rsidRPr="007F121A">
        <w:rPr>
          <w:rFonts w:ascii="Arial" w:hAnsi="Arial" w:cs="Arial"/>
        </w:rPr>
        <w:t xml:space="preserve"> </w:t>
      </w:r>
      <w:r w:rsidR="00743AC9">
        <w:rPr>
          <w:rFonts w:ascii="Arial" w:hAnsi="Arial" w:cs="Arial"/>
        </w:rPr>
        <w:t xml:space="preserve">and networks </w:t>
      </w:r>
      <w:r w:rsidR="00B40C20" w:rsidRPr="007F121A">
        <w:rPr>
          <w:rFonts w:ascii="Arial" w:hAnsi="Arial" w:cs="Arial"/>
        </w:rPr>
        <w:t>(</w:t>
      </w:r>
      <w:r w:rsidR="00743AC9">
        <w:rPr>
          <w:rFonts w:ascii="Arial" w:hAnsi="Arial" w:cs="Arial"/>
        </w:rPr>
        <w:t>Lin, 2017; Brady, 2015</w:t>
      </w:r>
      <w:r w:rsidR="00B40C20" w:rsidRPr="007F121A">
        <w:rPr>
          <w:rFonts w:ascii="Arial" w:hAnsi="Arial" w:cs="Arial"/>
        </w:rPr>
        <w:t>)</w:t>
      </w:r>
      <w:r w:rsidR="007D6F5F" w:rsidRPr="007F121A">
        <w:rPr>
          <w:rFonts w:ascii="Arial" w:hAnsi="Arial" w:cs="Arial"/>
        </w:rPr>
        <w:t xml:space="preserve">; and </w:t>
      </w:r>
      <w:r w:rsidR="00387B41" w:rsidRPr="007F121A">
        <w:rPr>
          <w:rFonts w:ascii="Arial" w:hAnsi="Arial" w:cs="Arial"/>
        </w:rPr>
        <w:t>relationships formed with family or friends</w:t>
      </w:r>
      <w:r w:rsidR="00B40C20" w:rsidRPr="007F121A">
        <w:rPr>
          <w:rFonts w:ascii="Arial" w:hAnsi="Arial" w:cs="Arial"/>
        </w:rPr>
        <w:t xml:space="preserve"> (</w:t>
      </w:r>
      <w:r w:rsidR="00BB3207">
        <w:rPr>
          <w:rFonts w:ascii="Arial" w:hAnsi="Arial" w:cs="Arial"/>
        </w:rPr>
        <w:t xml:space="preserve">Brook, 2005; </w:t>
      </w:r>
      <w:r w:rsidR="00743AC9">
        <w:rPr>
          <w:rFonts w:ascii="Arial" w:hAnsi="Arial" w:cs="Arial"/>
        </w:rPr>
        <w:t>Brady, 2015</w:t>
      </w:r>
      <w:r w:rsidR="00B40C20" w:rsidRPr="007F121A">
        <w:rPr>
          <w:rFonts w:ascii="Arial" w:hAnsi="Arial" w:cs="Arial"/>
        </w:rPr>
        <w:t>)</w:t>
      </w:r>
      <w:r w:rsidR="00BB3207">
        <w:rPr>
          <w:rFonts w:ascii="Arial" w:hAnsi="Arial" w:cs="Arial"/>
        </w:rPr>
        <w:t xml:space="preserve">. These variables are further explained, with the questions and interpretations in </w:t>
      </w:r>
      <w:r w:rsidR="00953894" w:rsidRPr="007F121A">
        <w:rPr>
          <w:rFonts w:ascii="Arial" w:hAnsi="Arial" w:cs="Arial"/>
        </w:rPr>
        <w:t xml:space="preserve">table 1. </w:t>
      </w:r>
      <w:r w:rsidR="00202E05" w:rsidRPr="007F121A">
        <w:rPr>
          <w:rFonts w:ascii="Arial" w:hAnsi="Arial" w:cs="Arial"/>
        </w:rPr>
        <w:t xml:space="preserve">Furthermore, the BHPS provides </w:t>
      </w:r>
      <w:r w:rsidR="00BB3207">
        <w:rPr>
          <w:rFonts w:ascii="Arial" w:hAnsi="Arial" w:cs="Arial"/>
        </w:rPr>
        <w:t>measures of</w:t>
      </w:r>
      <w:r w:rsidR="001B12BE" w:rsidRPr="007F121A">
        <w:rPr>
          <w:rFonts w:ascii="Arial" w:hAnsi="Arial" w:cs="Arial"/>
        </w:rPr>
        <w:t xml:space="preserve"> perception of job insecurity</w:t>
      </w:r>
      <w:r w:rsidR="00AC6A6A" w:rsidRPr="007F121A">
        <w:rPr>
          <w:rFonts w:ascii="Arial" w:hAnsi="Arial" w:cs="Arial"/>
        </w:rPr>
        <w:t xml:space="preserve">, </w:t>
      </w:r>
      <w:r w:rsidR="00FB3E95">
        <w:rPr>
          <w:rFonts w:ascii="Arial" w:hAnsi="Arial" w:cs="Arial"/>
        </w:rPr>
        <w:t xml:space="preserve">such as </w:t>
      </w:r>
      <w:r w:rsidR="00BB3207">
        <w:rPr>
          <w:rFonts w:ascii="Arial" w:hAnsi="Arial" w:cs="Arial"/>
        </w:rPr>
        <w:t>their likelihood of becoming unemployed in a year’s time</w:t>
      </w:r>
      <w:r w:rsidR="00670A58">
        <w:rPr>
          <w:rFonts w:ascii="Arial" w:hAnsi="Arial" w:cs="Arial"/>
        </w:rPr>
        <w:t xml:space="preserve"> – “</w:t>
      </w:r>
      <w:r w:rsidR="00670A58" w:rsidRPr="00670A58">
        <w:rPr>
          <w:rFonts w:ascii="Arial" w:hAnsi="Arial" w:cs="Arial"/>
          <w:i/>
        </w:rPr>
        <w:t>eprosc</w:t>
      </w:r>
      <w:r w:rsidR="00670A58">
        <w:rPr>
          <w:rFonts w:ascii="Arial" w:hAnsi="Arial" w:cs="Arial"/>
          <w:i/>
        </w:rPr>
        <w:t>”</w:t>
      </w:r>
      <w:r w:rsidR="00FB3E95">
        <w:rPr>
          <w:rFonts w:ascii="Arial" w:hAnsi="Arial" w:cs="Arial"/>
        </w:rPr>
        <w:t xml:space="preserve"> (</w:t>
      </w:r>
      <w:r w:rsidR="00BB3207">
        <w:rPr>
          <w:rFonts w:ascii="Arial" w:hAnsi="Arial" w:cs="Arial"/>
        </w:rPr>
        <w:t xml:space="preserve">Green </w:t>
      </w:r>
      <w:r w:rsidR="00BB3207" w:rsidRPr="00BB3207">
        <w:rPr>
          <w:rFonts w:ascii="Arial" w:hAnsi="Arial" w:cs="Arial"/>
          <w:i/>
        </w:rPr>
        <w:t>et al</w:t>
      </w:r>
      <w:r w:rsidR="00BB3207">
        <w:rPr>
          <w:rFonts w:ascii="Arial" w:hAnsi="Arial" w:cs="Arial"/>
        </w:rPr>
        <w:t>, 2001</w:t>
      </w:r>
      <w:r w:rsidR="000254DA">
        <w:rPr>
          <w:rFonts w:ascii="Arial" w:hAnsi="Arial" w:cs="Arial"/>
        </w:rPr>
        <w:t>; Fevre, 2007</w:t>
      </w:r>
      <w:r w:rsidR="00FB3E95">
        <w:rPr>
          <w:rFonts w:ascii="Arial" w:hAnsi="Arial" w:cs="Arial"/>
        </w:rPr>
        <w:t xml:space="preserve">) or </w:t>
      </w:r>
      <w:r w:rsidR="007C2549">
        <w:rPr>
          <w:rFonts w:ascii="Arial" w:hAnsi="Arial" w:cs="Arial"/>
        </w:rPr>
        <w:t>their levels of satisfaction with their job security</w:t>
      </w:r>
      <w:r w:rsidR="00670A58">
        <w:rPr>
          <w:rFonts w:ascii="Arial" w:hAnsi="Arial" w:cs="Arial"/>
        </w:rPr>
        <w:t xml:space="preserve"> – “</w:t>
      </w:r>
      <w:r w:rsidR="00670A58" w:rsidRPr="00670A58">
        <w:rPr>
          <w:rFonts w:ascii="Arial" w:hAnsi="Arial" w:cs="Arial"/>
          <w:i/>
        </w:rPr>
        <w:t>jbsat4</w:t>
      </w:r>
      <w:r w:rsidR="00670A58">
        <w:rPr>
          <w:rFonts w:ascii="Arial" w:hAnsi="Arial" w:cs="Arial"/>
        </w:rPr>
        <w:t>”</w:t>
      </w:r>
      <w:r w:rsidR="00FB3E95">
        <w:rPr>
          <w:rFonts w:ascii="Arial" w:hAnsi="Arial" w:cs="Arial"/>
        </w:rPr>
        <w:t xml:space="preserve"> (</w:t>
      </w:r>
      <w:r w:rsidR="007C2549">
        <w:rPr>
          <w:rFonts w:ascii="Arial" w:hAnsi="Arial" w:cs="Arial"/>
        </w:rPr>
        <w:t>Jara</w:t>
      </w:r>
      <w:r w:rsidR="009C03E4">
        <w:rPr>
          <w:rFonts w:ascii="Arial" w:hAnsi="Arial" w:cs="Arial"/>
        </w:rPr>
        <w:t>, 201</w:t>
      </w:r>
      <w:r w:rsidR="007C2549">
        <w:rPr>
          <w:rFonts w:ascii="Arial" w:hAnsi="Arial" w:cs="Arial"/>
        </w:rPr>
        <w:t>5</w:t>
      </w:r>
      <w:r w:rsidR="00FB3E95">
        <w:rPr>
          <w:rFonts w:ascii="Arial" w:hAnsi="Arial" w:cs="Arial"/>
        </w:rPr>
        <w:t xml:space="preserve">). However, due to the limited collection of </w:t>
      </w:r>
      <w:r w:rsidR="00670A58">
        <w:rPr>
          <w:rFonts w:ascii="Arial" w:hAnsi="Arial" w:cs="Arial"/>
        </w:rPr>
        <w:t>“</w:t>
      </w:r>
      <w:r w:rsidR="00670A58" w:rsidRPr="00670A58">
        <w:rPr>
          <w:rFonts w:ascii="Arial" w:hAnsi="Arial" w:cs="Arial"/>
          <w:i/>
        </w:rPr>
        <w:t>eprosc</w:t>
      </w:r>
      <w:r w:rsidR="00670A58">
        <w:rPr>
          <w:rFonts w:ascii="Arial" w:hAnsi="Arial" w:cs="Arial"/>
          <w:i/>
        </w:rPr>
        <w:t>”</w:t>
      </w:r>
      <w:r w:rsidR="00670A58">
        <w:rPr>
          <w:rStyle w:val="FootnoteReference"/>
          <w:rFonts w:ascii="Arial" w:hAnsi="Arial" w:cs="Arial"/>
          <w:i/>
        </w:rPr>
        <w:footnoteReference w:id="5"/>
      </w:r>
      <w:r w:rsidR="00FB3E95">
        <w:rPr>
          <w:rFonts w:ascii="Arial" w:hAnsi="Arial" w:cs="Arial"/>
        </w:rPr>
        <w:t>,</w:t>
      </w:r>
      <w:r w:rsidR="00670A58">
        <w:rPr>
          <w:rFonts w:ascii="Arial" w:hAnsi="Arial" w:cs="Arial"/>
        </w:rPr>
        <w:t xml:space="preserve"> make use of the more consistent variable</w:t>
      </w:r>
      <w:r w:rsidR="00FB3E95">
        <w:rPr>
          <w:rFonts w:ascii="Arial" w:hAnsi="Arial" w:cs="Arial"/>
        </w:rPr>
        <w:t xml:space="preserve"> </w:t>
      </w:r>
      <w:r w:rsidR="00670A58">
        <w:rPr>
          <w:rFonts w:ascii="Arial" w:hAnsi="Arial" w:cs="Arial"/>
        </w:rPr>
        <w:t>“</w:t>
      </w:r>
      <w:r w:rsidR="00670A58" w:rsidRPr="00670A58">
        <w:rPr>
          <w:rFonts w:ascii="Arial" w:hAnsi="Arial" w:cs="Arial"/>
          <w:i/>
        </w:rPr>
        <w:t>jbsat4</w:t>
      </w:r>
      <w:r w:rsidR="00670A58">
        <w:rPr>
          <w:rFonts w:ascii="Arial" w:hAnsi="Arial" w:cs="Arial"/>
        </w:rPr>
        <w:t>”</w:t>
      </w:r>
      <w:r w:rsidR="00AC6A6A" w:rsidRPr="007F121A">
        <w:rPr>
          <w:rFonts w:ascii="Arial" w:hAnsi="Arial" w:cs="Arial"/>
        </w:rPr>
        <w:t>.</w:t>
      </w:r>
      <w:r w:rsidR="006645E1" w:rsidRPr="007F121A">
        <w:rPr>
          <w:rFonts w:ascii="Arial" w:hAnsi="Arial" w:cs="Arial"/>
        </w:rPr>
        <w:t xml:space="preserve"> </w:t>
      </w:r>
      <w:r w:rsidR="00670A58">
        <w:rPr>
          <w:rFonts w:ascii="Arial" w:hAnsi="Arial" w:cs="Arial"/>
        </w:rPr>
        <w:t>We also make use of data relating to job status – “</w:t>
      </w:r>
      <w:r w:rsidR="00670A58" w:rsidRPr="00670A58">
        <w:rPr>
          <w:rFonts w:ascii="Arial" w:hAnsi="Arial" w:cs="Arial"/>
          <w:i/>
        </w:rPr>
        <w:t>jbstat</w:t>
      </w:r>
      <w:r w:rsidR="00670A58">
        <w:rPr>
          <w:rFonts w:ascii="Arial" w:hAnsi="Arial" w:cs="Arial"/>
          <w:i/>
        </w:rPr>
        <w:t>”</w:t>
      </w:r>
      <w:r w:rsidR="00670A58">
        <w:rPr>
          <w:rFonts w:ascii="Arial" w:hAnsi="Arial" w:cs="Arial"/>
        </w:rPr>
        <w:t xml:space="preserve"> to create a </w:t>
      </w:r>
      <w:r w:rsidR="00A42D8C">
        <w:rPr>
          <w:rFonts w:ascii="Arial" w:hAnsi="Arial" w:cs="Arial"/>
        </w:rPr>
        <w:t>measure</w:t>
      </w:r>
      <w:r w:rsidR="00670A58">
        <w:rPr>
          <w:rFonts w:ascii="Arial" w:hAnsi="Arial" w:cs="Arial"/>
        </w:rPr>
        <w:t xml:space="preserve"> that reveals the acquisition of a new job</w:t>
      </w:r>
      <w:r w:rsidR="00670A58">
        <w:rPr>
          <w:rStyle w:val="FootnoteReference"/>
          <w:rFonts w:ascii="Arial" w:hAnsi="Arial" w:cs="Arial"/>
        </w:rPr>
        <w:footnoteReference w:id="6"/>
      </w:r>
      <w:r w:rsidR="00670A58">
        <w:rPr>
          <w:rFonts w:ascii="Arial" w:hAnsi="Arial" w:cs="Arial"/>
        </w:rPr>
        <w:t xml:space="preserve">. This is because job status tends to influence the perception of job </w:t>
      </w:r>
      <w:r w:rsidR="000D5141">
        <w:rPr>
          <w:rFonts w:ascii="Arial" w:hAnsi="Arial" w:cs="Arial"/>
        </w:rPr>
        <w:t>in</w:t>
      </w:r>
      <w:r w:rsidR="00670A58">
        <w:rPr>
          <w:rFonts w:ascii="Arial" w:hAnsi="Arial" w:cs="Arial"/>
        </w:rPr>
        <w:t xml:space="preserve">security </w:t>
      </w:r>
      <w:r w:rsidR="000D5141">
        <w:rPr>
          <w:rFonts w:ascii="Arial" w:hAnsi="Arial" w:cs="Arial"/>
        </w:rPr>
        <w:t>(</w:t>
      </w:r>
      <w:r w:rsidR="000D5141" w:rsidRPr="00763C1D">
        <w:rPr>
          <w:rFonts w:ascii="Arial" w:hAnsi="Arial" w:cs="Arial"/>
        </w:rPr>
        <w:t>Erlinghagen</w:t>
      </w:r>
      <w:r w:rsidR="000D5141">
        <w:rPr>
          <w:rFonts w:ascii="Arial" w:hAnsi="Arial" w:cs="Arial"/>
        </w:rPr>
        <w:t>, 2007)</w:t>
      </w:r>
      <w:r w:rsidR="00670A58">
        <w:rPr>
          <w:rFonts w:ascii="Arial" w:hAnsi="Arial" w:cs="Arial"/>
        </w:rPr>
        <w:t xml:space="preserve">. </w:t>
      </w:r>
      <w:r w:rsidR="0055114A" w:rsidRPr="007F121A">
        <w:rPr>
          <w:rFonts w:ascii="Arial" w:hAnsi="Arial" w:cs="Arial"/>
        </w:rPr>
        <w:t xml:space="preserve">Levels of perceived job </w:t>
      </w:r>
      <w:r w:rsidR="00EC7A30" w:rsidRPr="007F121A">
        <w:rPr>
          <w:rFonts w:ascii="Arial" w:hAnsi="Arial" w:cs="Arial"/>
        </w:rPr>
        <w:t xml:space="preserve">security provides us with information on the possibilities of </w:t>
      </w:r>
      <w:r w:rsidR="002B650A" w:rsidRPr="007F121A">
        <w:rPr>
          <w:rFonts w:ascii="Arial" w:hAnsi="Arial" w:cs="Arial"/>
        </w:rPr>
        <w:t>measuring</w:t>
      </w:r>
      <w:r w:rsidR="008651E8" w:rsidRPr="007F121A">
        <w:rPr>
          <w:rFonts w:ascii="Arial" w:hAnsi="Arial" w:cs="Arial"/>
        </w:rPr>
        <w:t xml:space="preserve"> </w:t>
      </w:r>
      <w:r w:rsidR="004D4E2A" w:rsidRPr="007F121A">
        <w:rPr>
          <w:rFonts w:ascii="Arial" w:hAnsi="Arial" w:cs="Arial"/>
        </w:rPr>
        <w:t xml:space="preserve">the level </w:t>
      </w:r>
      <w:r w:rsidR="00E54D8F" w:rsidRPr="007F121A">
        <w:rPr>
          <w:rFonts w:ascii="Arial" w:hAnsi="Arial" w:cs="Arial"/>
        </w:rPr>
        <w:t>of assurance for</w:t>
      </w:r>
      <w:r w:rsidR="004D4E2A" w:rsidRPr="007F121A">
        <w:rPr>
          <w:rFonts w:ascii="Arial" w:hAnsi="Arial" w:cs="Arial"/>
        </w:rPr>
        <w:t xml:space="preserve"> </w:t>
      </w:r>
      <w:r w:rsidR="002763D3" w:rsidRPr="007F121A">
        <w:rPr>
          <w:rFonts w:ascii="Arial" w:hAnsi="Arial" w:cs="Arial"/>
        </w:rPr>
        <w:t xml:space="preserve">economic </w:t>
      </w:r>
      <w:r w:rsidR="00E54D8F" w:rsidRPr="007F121A">
        <w:rPr>
          <w:rFonts w:ascii="Arial" w:hAnsi="Arial" w:cs="Arial"/>
        </w:rPr>
        <w:t>stability</w:t>
      </w:r>
      <w:r w:rsidR="002763D3" w:rsidRPr="007F121A">
        <w:rPr>
          <w:rFonts w:ascii="Arial" w:hAnsi="Arial" w:cs="Arial"/>
        </w:rPr>
        <w:t xml:space="preserve"> and sustainability</w:t>
      </w:r>
      <w:r w:rsidR="00E54D8F" w:rsidRPr="007F121A">
        <w:rPr>
          <w:rFonts w:ascii="Arial" w:hAnsi="Arial" w:cs="Arial"/>
        </w:rPr>
        <w:t xml:space="preserve">, which helps in important </w:t>
      </w:r>
      <w:r w:rsidR="006B41A6" w:rsidRPr="007F121A">
        <w:rPr>
          <w:rFonts w:ascii="Arial" w:hAnsi="Arial" w:cs="Arial"/>
        </w:rPr>
        <w:t>decision-making</w:t>
      </w:r>
      <w:r w:rsidR="002763D3" w:rsidRPr="007F121A">
        <w:rPr>
          <w:rFonts w:ascii="Arial" w:hAnsi="Arial" w:cs="Arial"/>
        </w:rPr>
        <w:t>.</w:t>
      </w:r>
      <w:r w:rsidR="00CE132D" w:rsidRPr="007F121A">
        <w:rPr>
          <w:rFonts w:ascii="Arial" w:hAnsi="Arial" w:cs="Arial"/>
        </w:rPr>
        <w:t xml:space="preserve"> </w:t>
      </w:r>
    </w:p>
    <w:tbl>
      <w:tblPr>
        <w:tblStyle w:val="TableGrid"/>
        <w:tblW w:w="11483" w:type="dxa"/>
        <w:tblInd w:w="-9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966"/>
        <w:gridCol w:w="2263"/>
        <w:gridCol w:w="2552"/>
      </w:tblGrid>
      <w:tr w:rsidR="001300F6" w:rsidRPr="006B4C67" w14:paraId="210369CB" w14:textId="77777777" w:rsidTr="001300F6">
        <w:trPr>
          <w:trHeight w:val="747"/>
        </w:trPr>
        <w:tc>
          <w:tcPr>
            <w:tcW w:w="1702" w:type="dxa"/>
          </w:tcPr>
          <w:p w14:paraId="2A8BB51B" w14:textId="61C7325B" w:rsidR="00A42D8C" w:rsidRPr="006B4C67" w:rsidRDefault="00A42D8C" w:rsidP="007F121A">
            <w:pPr>
              <w:spacing w:line="360" w:lineRule="auto"/>
              <w:jc w:val="both"/>
              <w:rPr>
                <w:rFonts w:ascii="Arial" w:hAnsi="Arial" w:cs="Arial"/>
                <w:b/>
              </w:rPr>
            </w:pPr>
            <w:r w:rsidRPr="006B4C67">
              <w:rPr>
                <w:rFonts w:ascii="Arial" w:hAnsi="Arial" w:cs="Arial"/>
                <w:b/>
              </w:rPr>
              <w:t>BHPS Variables</w:t>
            </w:r>
          </w:p>
        </w:tc>
        <w:tc>
          <w:tcPr>
            <w:tcW w:w="4966" w:type="dxa"/>
            <w:tcBorders>
              <w:top w:val="single" w:sz="4" w:space="0" w:color="auto"/>
              <w:bottom w:val="single" w:sz="4" w:space="0" w:color="auto"/>
            </w:tcBorders>
          </w:tcPr>
          <w:p w14:paraId="4CAF89BA" w14:textId="77F3A926" w:rsidR="00A42D8C" w:rsidRPr="006B4C67" w:rsidRDefault="00A42D8C" w:rsidP="007F121A">
            <w:pPr>
              <w:spacing w:line="360" w:lineRule="auto"/>
              <w:jc w:val="both"/>
              <w:rPr>
                <w:rFonts w:ascii="Arial" w:hAnsi="Arial" w:cs="Arial"/>
                <w:b/>
              </w:rPr>
            </w:pPr>
            <w:r w:rsidRPr="006B4C67">
              <w:rPr>
                <w:rFonts w:ascii="Arial" w:hAnsi="Arial" w:cs="Arial"/>
                <w:b/>
              </w:rPr>
              <w:t>Question</w:t>
            </w:r>
          </w:p>
        </w:tc>
        <w:tc>
          <w:tcPr>
            <w:tcW w:w="2263" w:type="dxa"/>
            <w:tcBorders>
              <w:top w:val="single" w:sz="4" w:space="0" w:color="auto"/>
              <w:bottom w:val="single" w:sz="4" w:space="0" w:color="auto"/>
            </w:tcBorders>
          </w:tcPr>
          <w:p w14:paraId="054371E6" w14:textId="0B964E15" w:rsidR="00A42D8C" w:rsidRPr="006B4C67" w:rsidRDefault="00A42D8C" w:rsidP="007F121A">
            <w:pPr>
              <w:spacing w:line="360" w:lineRule="auto"/>
              <w:jc w:val="both"/>
              <w:rPr>
                <w:rFonts w:ascii="Arial" w:hAnsi="Arial" w:cs="Arial"/>
                <w:b/>
              </w:rPr>
            </w:pPr>
            <w:r w:rsidRPr="006B4C67">
              <w:rPr>
                <w:rFonts w:ascii="Arial" w:hAnsi="Arial" w:cs="Arial"/>
                <w:b/>
              </w:rPr>
              <w:t>Response</w:t>
            </w:r>
          </w:p>
        </w:tc>
        <w:tc>
          <w:tcPr>
            <w:tcW w:w="2552" w:type="dxa"/>
            <w:tcBorders>
              <w:top w:val="single" w:sz="4" w:space="0" w:color="auto"/>
              <w:bottom w:val="single" w:sz="4" w:space="0" w:color="auto"/>
            </w:tcBorders>
          </w:tcPr>
          <w:p w14:paraId="0775496B" w14:textId="16E33976" w:rsidR="00A42D8C" w:rsidRPr="006B4C67" w:rsidRDefault="00A42D8C" w:rsidP="007F121A">
            <w:pPr>
              <w:spacing w:line="360" w:lineRule="auto"/>
              <w:jc w:val="both"/>
              <w:rPr>
                <w:rFonts w:ascii="Arial" w:hAnsi="Arial" w:cs="Arial"/>
                <w:b/>
              </w:rPr>
            </w:pPr>
            <w:r w:rsidRPr="006B4C67">
              <w:rPr>
                <w:rFonts w:ascii="Arial" w:hAnsi="Arial" w:cs="Arial"/>
                <w:b/>
              </w:rPr>
              <w:t>Regroup</w:t>
            </w:r>
            <w:r w:rsidR="008D5B01" w:rsidRPr="006B4C67">
              <w:rPr>
                <w:rFonts w:ascii="Arial" w:hAnsi="Arial" w:cs="Arial"/>
                <w:b/>
              </w:rPr>
              <w:t>/recode</w:t>
            </w:r>
          </w:p>
        </w:tc>
      </w:tr>
      <w:tr w:rsidR="001300F6" w14:paraId="0D02028E" w14:textId="77777777" w:rsidTr="001300F6">
        <w:trPr>
          <w:trHeight w:val="373"/>
        </w:trPr>
        <w:tc>
          <w:tcPr>
            <w:tcW w:w="1702" w:type="dxa"/>
          </w:tcPr>
          <w:p w14:paraId="1AFE42CD" w14:textId="6FE69371" w:rsidR="00A42D8C" w:rsidRPr="00ED7844" w:rsidRDefault="00ED7844" w:rsidP="00A42D8C">
            <w:pPr>
              <w:spacing w:line="360" w:lineRule="auto"/>
              <w:jc w:val="both"/>
              <w:rPr>
                <w:rFonts w:ascii="Arial" w:hAnsi="Arial" w:cs="Arial"/>
                <w:i/>
              </w:rPr>
            </w:pPr>
            <w:r w:rsidRPr="00ED7844">
              <w:rPr>
                <w:rFonts w:ascii="Arial" w:hAnsi="Arial" w:cs="Arial"/>
                <w:i/>
              </w:rPr>
              <w:t>lknbrd</w:t>
            </w:r>
          </w:p>
        </w:tc>
        <w:tc>
          <w:tcPr>
            <w:tcW w:w="4966" w:type="dxa"/>
            <w:tcBorders>
              <w:top w:val="single" w:sz="4" w:space="0" w:color="auto"/>
            </w:tcBorders>
          </w:tcPr>
          <w:p w14:paraId="275572D7" w14:textId="1A05F8D1" w:rsidR="00A42D8C" w:rsidRPr="00783043" w:rsidRDefault="00ED7844" w:rsidP="00A42D8C">
            <w:pPr>
              <w:pStyle w:val="TableParagraph"/>
              <w:tabs>
                <w:tab w:val="left" w:pos="647"/>
                <w:tab w:val="left" w:pos="649"/>
              </w:tabs>
              <w:spacing w:before="12"/>
              <w:rPr>
                <w:rFonts w:ascii="Arial" w:hAnsi="Arial" w:cs="Arial"/>
              </w:rPr>
            </w:pPr>
            <w:r>
              <w:rPr>
                <w:rFonts w:ascii="Arial" w:hAnsi="Arial" w:cs="Arial"/>
                <w:color w:val="072328"/>
              </w:rPr>
              <w:t>Do you like living in this neighbourhood?</w:t>
            </w:r>
          </w:p>
        </w:tc>
        <w:tc>
          <w:tcPr>
            <w:tcW w:w="2263" w:type="dxa"/>
            <w:tcBorders>
              <w:top w:val="single" w:sz="4" w:space="0" w:color="auto"/>
            </w:tcBorders>
          </w:tcPr>
          <w:p w14:paraId="142356B5" w14:textId="4130FB6E" w:rsidR="00A42D8C" w:rsidRPr="00A42D8C" w:rsidRDefault="00A42D8C" w:rsidP="00ED7844">
            <w:pPr>
              <w:spacing w:line="360" w:lineRule="auto"/>
              <w:jc w:val="both"/>
              <w:rPr>
                <w:rFonts w:ascii="Arial" w:hAnsi="Arial" w:cs="Arial"/>
              </w:rPr>
            </w:pPr>
            <w:r w:rsidRPr="00ED7844">
              <w:rPr>
                <w:rFonts w:ascii="Arial" w:hAnsi="Arial" w:cs="Arial"/>
                <w:i/>
                <w:color w:val="072328"/>
              </w:rPr>
              <w:t>Yes</w:t>
            </w:r>
            <w:r w:rsidR="00ED7844">
              <w:rPr>
                <w:rFonts w:ascii="Arial" w:hAnsi="Arial" w:cs="Arial"/>
                <w:color w:val="072328"/>
              </w:rPr>
              <w:t xml:space="preserve"> (1);</w:t>
            </w:r>
            <w:r w:rsidR="00ED7844" w:rsidRPr="00ED7844">
              <w:rPr>
                <w:rFonts w:ascii="Arial" w:hAnsi="Arial" w:cs="Arial"/>
                <w:i/>
                <w:color w:val="072328"/>
              </w:rPr>
              <w:t xml:space="preserve"> No</w:t>
            </w:r>
            <w:r w:rsidR="00ED7844">
              <w:rPr>
                <w:rFonts w:ascii="Arial" w:hAnsi="Arial" w:cs="Arial"/>
                <w:color w:val="072328"/>
              </w:rPr>
              <w:t xml:space="preserve"> (2)</w:t>
            </w:r>
          </w:p>
        </w:tc>
        <w:tc>
          <w:tcPr>
            <w:tcW w:w="2552" w:type="dxa"/>
            <w:tcBorders>
              <w:top w:val="single" w:sz="4" w:space="0" w:color="auto"/>
            </w:tcBorders>
          </w:tcPr>
          <w:p w14:paraId="2AC224DD" w14:textId="677EDF47" w:rsidR="00A42D8C" w:rsidRDefault="00ED7844" w:rsidP="00A42D8C">
            <w:pPr>
              <w:spacing w:line="360" w:lineRule="auto"/>
              <w:jc w:val="both"/>
              <w:rPr>
                <w:rFonts w:ascii="Arial" w:hAnsi="Arial" w:cs="Arial"/>
              </w:rPr>
            </w:pPr>
            <w:r w:rsidRPr="00ED7844">
              <w:rPr>
                <w:rFonts w:ascii="Arial" w:hAnsi="Arial" w:cs="Arial"/>
                <w:i/>
                <w:color w:val="072328"/>
              </w:rPr>
              <w:t>No</w:t>
            </w:r>
            <w:r>
              <w:rPr>
                <w:rFonts w:ascii="Arial" w:hAnsi="Arial" w:cs="Arial"/>
                <w:color w:val="072328"/>
              </w:rPr>
              <w:t xml:space="preserve"> (0); </w:t>
            </w:r>
            <w:r w:rsidRPr="00ED7844">
              <w:rPr>
                <w:rFonts w:ascii="Arial" w:hAnsi="Arial" w:cs="Arial"/>
                <w:i/>
                <w:color w:val="072328"/>
              </w:rPr>
              <w:t>Yes</w:t>
            </w:r>
            <w:r>
              <w:rPr>
                <w:rFonts w:ascii="Arial" w:hAnsi="Arial" w:cs="Arial"/>
                <w:color w:val="072328"/>
              </w:rPr>
              <w:t xml:space="preserve"> (1)</w:t>
            </w:r>
          </w:p>
        </w:tc>
      </w:tr>
      <w:tr w:rsidR="001300F6" w14:paraId="6A9DD48A" w14:textId="77777777" w:rsidTr="001300F6">
        <w:trPr>
          <w:trHeight w:val="373"/>
        </w:trPr>
        <w:tc>
          <w:tcPr>
            <w:tcW w:w="1702" w:type="dxa"/>
          </w:tcPr>
          <w:p w14:paraId="2128BEF4" w14:textId="1D5BD362" w:rsidR="00A42D8C" w:rsidRPr="00ED7844" w:rsidRDefault="00ED7844" w:rsidP="00A42D8C">
            <w:pPr>
              <w:spacing w:line="360" w:lineRule="auto"/>
              <w:jc w:val="both"/>
              <w:rPr>
                <w:rFonts w:ascii="Arial" w:hAnsi="Arial" w:cs="Arial"/>
                <w:i/>
              </w:rPr>
            </w:pPr>
            <w:r w:rsidRPr="00ED7844">
              <w:rPr>
                <w:rFonts w:ascii="Arial" w:hAnsi="Arial" w:cs="Arial"/>
                <w:i/>
              </w:rPr>
              <w:t>frna</w:t>
            </w:r>
          </w:p>
        </w:tc>
        <w:tc>
          <w:tcPr>
            <w:tcW w:w="4966" w:type="dxa"/>
          </w:tcPr>
          <w:p w14:paraId="3332676A" w14:textId="3B000BB9" w:rsidR="00A42D8C" w:rsidRPr="00783043" w:rsidRDefault="00A42D8C" w:rsidP="00ED7844">
            <w:pPr>
              <w:pStyle w:val="TableParagraph"/>
              <w:tabs>
                <w:tab w:val="left" w:pos="647"/>
                <w:tab w:val="left" w:pos="649"/>
              </w:tabs>
              <w:spacing w:before="13"/>
              <w:rPr>
                <w:rFonts w:ascii="Arial" w:hAnsi="Arial" w:cs="Arial"/>
              </w:rPr>
            </w:pPr>
            <w:r w:rsidRPr="00783043">
              <w:rPr>
                <w:rFonts w:ascii="Arial" w:hAnsi="Arial" w:cs="Arial"/>
                <w:color w:val="072328"/>
              </w:rPr>
              <w:t>How frequent</w:t>
            </w:r>
            <w:r w:rsidRPr="00783043">
              <w:rPr>
                <w:rFonts w:ascii="Arial" w:hAnsi="Arial" w:cs="Arial"/>
                <w:color w:val="072328"/>
                <w:spacing w:val="-10"/>
              </w:rPr>
              <w:t xml:space="preserve"> </w:t>
            </w:r>
            <w:r w:rsidR="00ED7844">
              <w:rPr>
                <w:rFonts w:ascii="Arial" w:hAnsi="Arial" w:cs="Arial"/>
                <w:color w:val="072328"/>
              </w:rPr>
              <w:t>do you interact with any of your neighbours?</w:t>
            </w:r>
          </w:p>
        </w:tc>
        <w:tc>
          <w:tcPr>
            <w:tcW w:w="2263" w:type="dxa"/>
          </w:tcPr>
          <w:p w14:paraId="2FB62001" w14:textId="14DAB841" w:rsidR="00A42D8C" w:rsidRPr="00A42D8C" w:rsidRDefault="00ED7844" w:rsidP="00A42D8C">
            <w:pPr>
              <w:spacing w:line="360" w:lineRule="auto"/>
              <w:jc w:val="both"/>
              <w:rPr>
                <w:rFonts w:ascii="Arial" w:hAnsi="Arial" w:cs="Arial"/>
              </w:rPr>
            </w:pPr>
            <w:r>
              <w:rPr>
                <w:rFonts w:ascii="Arial" w:hAnsi="Arial" w:cs="Arial"/>
              </w:rPr>
              <w:t>“</w:t>
            </w:r>
            <w:r w:rsidRPr="00ED7844">
              <w:rPr>
                <w:rFonts w:ascii="Arial" w:hAnsi="Arial" w:cs="Arial"/>
                <w:i/>
              </w:rPr>
              <w:t>On most days</w:t>
            </w:r>
            <w:r>
              <w:rPr>
                <w:rFonts w:ascii="Arial" w:hAnsi="Arial" w:cs="Arial"/>
              </w:rPr>
              <w:t>” (1) – “</w:t>
            </w:r>
            <w:r w:rsidRPr="00ED7844">
              <w:rPr>
                <w:rFonts w:ascii="Arial" w:hAnsi="Arial" w:cs="Arial"/>
                <w:i/>
              </w:rPr>
              <w:t>Never</w:t>
            </w:r>
            <w:r>
              <w:rPr>
                <w:rFonts w:ascii="Arial" w:hAnsi="Arial" w:cs="Arial"/>
              </w:rPr>
              <w:t>” (5)</w:t>
            </w:r>
          </w:p>
        </w:tc>
        <w:tc>
          <w:tcPr>
            <w:tcW w:w="2552" w:type="dxa"/>
          </w:tcPr>
          <w:p w14:paraId="6B9BB1A1" w14:textId="538D65BD" w:rsidR="00A42D8C" w:rsidRPr="00A42D8C" w:rsidRDefault="00ED7844" w:rsidP="00ED7844">
            <w:pPr>
              <w:pStyle w:val="TableParagraph"/>
              <w:spacing w:before="14"/>
              <w:rPr>
                <w:rFonts w:ascii="Arial" w:hAnsi="Arial" w:cs="Arial"/>
              </w:rPr>
            </w:pPr>
            <w:r w:rsidRPr="00ED7844">
              <w:rPr>
                <w:rFonts w:ascii="Arial" w:hAnsi="Arial" w:cs="Arial"/>
                <w:i/>
                <w:color w:val="072328"/>
              </w:rPr>
              <w:t>L</w:t>
            </w:r>
            <w:r w:rsidR="00A42D8C" w:rsidRPr="00ED7844">
              <w:rPr>
                <w:rFonts w:ascii="Arial" w:hAnsi="Arial" w:cs="Arial"/>
                <w:i/>
                <w:color w:val="072328"/>
              </w:rPr>
              <w:t>ow</w:t>
            </w:r>
            <w:r w:rsidR="00FB73FE">
              <w:rPr>
                <w:rFonts w:ascii="Arial" w:hAnsi="Arial" w:cs="Arial"/>
                <w:color w:val="072328"/>
              </w:rPr>
              <w:t xml:space="preserve"> (4-5</w:t>
            </w:r>
            <w:r>
              <w:rPr>
                <w:rFonts w:ascii="Arial" w:hAnsi="Arial" w:cs="Arial"/>
                <w:color w:val="072328"/>
              </w:rPr>
              <w:t>);</w:t>
            </w:r>
            <w:r w:rsidR="00A42D8C" w:rsidRPr="00A42D8C">
              <w:rPr>
                <w:rFonts w:ascii="Arial" w:hAnsi="Arial" w:cs="Arial"/>
                <w:color w:val="072328"/>
              </w:rPr>
              <w:t xml:space="preserve"> </w:t>
            </w:r>
            <w:r w:rsidRPr="00ED7844">
              <w:rPr>
                <w:rFonts w:ascii="Arial" w:hAnsi="Arial" w:cs="Arial"/>
                <w:i/>
                <w:color w:val="072328"/>
              </w:rPr>
              <w:t>M</w:t>
            </w:r>
            <w:r w:rsidR="00A42D8C" w:rsidRPr="00ED7844">
              <w:rPr>
                <w:rFonts w:ascii="Arial" w:hAnsi="Arial" w:cs="Arial"/>
                <w:i/>
                <w:color w:val="072328"/>
              </w:rPr>
              <w:t>oderate</w:t>
            </w:r>
            <w:r w:rsidR="00FB73FE">
              <w:rPr>
                <w:rFonts w:ascii="Arial" w:hAnsi="Arial" w:cs="Arial"/>
                <w:color w:val="072328"/>
              </w:rPr>
              <w:t xml:space="preserve"> (3</w:t>
            </w:r>
            <w:r>
              <w:rPr>
                <w:rFonts w:ascii="Arial" w:hAnsi="Arial" w:cs="Arial"/>
                <w:color w:val="072328"/>
              </w:rPr>
              <w:t>);</w:t>
            </w:r>
          </w:p>
          <w:p w14:paraId="78F69FAD" w14:textId="26DEE1F7" w:rsidR="00A42D8C" w:rsidRDefault="00ED7844" w:rsidP="00ED7844">
            <w:pPr>
              <w:spacing w:line="360" w:lineRule="auto"/>
              <w:jc w:val="both"/>
              <w:rPr>
                <w:rFonts w:ascii="Arial" w:hAnsi="Arial" w:cs="Arial"/>
              </w:rPr>
            </w:pPr>
            <w:r>
              <w:rPr>
                <w:rFonts w:ascii="Arial" w:hAnsi="Arial" w:cs="Arial"/>
                <w:color w:val="072328"/>
              </w:rPr>
              <w:t>and</w:t>
            </w:r>
            <w:r w:rsidR="00A42D8C" w:rsidRPr="00A42D8C">
              <w:rPr>
                <w:rFonts w:ascii="Arial" w:hAnsi="Arial" w:cs="Arial"/>
                <w:color w:val="072328"/>
              </w:rPr>
              <w:t xml:space="preserve"> </w:t>
            </w:r>
            <w:r w:rsidRPr="00ED7844">
              <w:rPr>
                <w:rFonts w:ascii="Arial" w:hAnsi="Arial" w:cs="Arial"/>
                <w:i/>
                <w:color w:val="072328"/>
              </w:rPr>
              <w:t>H</w:t>
            </w:r>
            <w:r w:rsidR="00A42D8C" w:rsidRPr="00ED7844">
              <w:rPr>
                <w:rFonts w:ascii="Arial" w:hAnsi="Arial" w:cs="Arial"/>
                <w:i/>
                <w:color w:val="072328"/>
              </w:rPr>
              <w:t>igh</w:t>
            </w:r>
            <w:r w:rsidR="00FB73FE">
              <w:rPr>
                <w:rFonts w:ascii="Arial" w:hAnsi="Arial" w:cs="Arial"/>
                <w:color w:val="072328"/>
              </w:rPr>
              <w:t xml:space="preserve"> (1-2</w:t>
            </w:r>
            <w:r>
              <w:rPr>
                <w:rFonts w:ascii="Arial" w:hAnsi="Arial" w:cs="Arial"/>
                <w:color w:val="072328"/>
              </w:rPr>
              <w:t>)</w:t>
            </w:r>
          </w:p>
        </w:tc>
      </w:tr>
      <w:tr w:rsidR="001300F6" w14:paraId="66EFDCB2" w14:textId="77777777" w:rsidTr="001300F6">
        <w:trPr>
          <w:trHeight w:val="373"/>
        </w:trPr>
        <w:tc>
          <w:tcPr>
            <w:tcW w:w="1702" w:type="dxa"/>
          </w:tcPr>
          <w:p w14:paraId="43EFAB11" w14:textId="2E788F0C" w:rsidR="00ED7844" w:rsidRPr="00ED7844" w:rsidRDefault="00ED7844" w:rsidP="00ED7844">
            <w:pPr>
              <w:spacing w:line="360" w:lineRule="auto"/>
              <w:jc w:val="both"/>
              <w:rPr>
                <w:rFonts w:ascii="Arial" w:hAnsi="Arial" w:cs="Arial"/>
                <w:i/>
              </w:rPr>
            </w:pPr>
            <w:r w:rsidRPr="00ED7844">
              <w:rPr>
                <w:rFonts w:ascii="Arial" w:hAnsi="Arial" w:cs="Arial"/>
                <w:i/>
              </w:rPr>
              <w:t>orga</w:t>
            </w:r>
          </w:p>
        </w:tc>
        <w:tc>
          <w:tcPr>
            <w:tcW w:w="4966" w:type="dxa"/>
          </w:tcPr>
          <w:p w14:paraId="5C828B75" w14:textId="26122DD8" w:rsidR="00ED7844" w:rsidRPr="00783043" w:rsidRDefault="00ED7844" w:rsidP="00ED7844">
            <w:pPr>
              <w:spacing w:line="360" w:lineRule="auto"/>
              <w:jc w:val="both"/>
              <w:rPr>
                <w:rFonts w:ascii="Arial" w:hAnsi="Arial" w:cs="Arial"/>
              </w:rPr>
            </w:pPr>
            <w:r>
              <w:rPr>
                <w:rFonts w:ascii="Arial" w:hAnsi="Arial" w:cs="Arial"/>
                <w:color w:val="072328"/>
              </w:rPr>
              <w:t>Are you active in any of the organisations listed?</w:t>
            </w:r>
          </w:p>
        </w:tc>
        <w:tc>
          <w:tcPr>
            <w:tcW w:w="2263" w:type="dxa"/>
          </w:tcPr>
          <w:p w14:paraId="172CF101" w14:textId="5B410576" w:rsidR="00ED7844" w:rsidRPr="00A42D8C" w:rsidRDefault="00ED7844" w:rsidP="00ED7844">
            <w:pPr>
              <w:spacing w:line="360" w:lineRule="auto"/>
              <w:jc w:val="both"/>
              <w:rPr>
                <w:rFonts w:ascii="Arial" w:hAnsi="Arial" w:cs="Arial"/>
              </w:rPr>
            </w:pPr>
            <w:r w:rsidRPr="00ED7844">
              <w:rPr>
                <w:rFonts w:ascii="Arial" w:hAnsi="Arial" w:cs="Arial"/>
                <w:i/>
                <w:color w:val="072328"/>
              </w:rPr>
              <w:t>Yes</w:t>
            </w:r>
            <w:r>
              <w:rPr>
                <w:rFonts w:ascii="Arial" w:hAnsi="Arial" w:cs="Arial"/>
                <w:color w:val="072328"/>
              </w:rPr>
              <w:t xml:space="preserve"> (1);</w:t>
            </w:r>
            <w:r w:rsidRPr="00ED7844">
              <w:rPr>
                <w:rFonts w:ascii="Arial" w:hAnsi="Arial" w:cs="Arial"/>
                <w:i/>
                <w:color w:val="072328"/>
              </w:rPr>
              <w:t xml:space="preserve"> No</w:t>
            </w:r>
            <w:r>
              <w:rPr>
                <w:rFonts w:ascii="Arial" w:hAnsi="Arial" w:cs="Arial"/>
                <w:color w:val="072328"/>
              </w:rPr>
              <w:t xml:space="preserve"> (2)</w:t>
            </w:r>
          </w:p>
        </w:tc>
        <w:tc>
          <w:tcPr>
            <w:tcW w:w="2552" w:type="dxa"/>
          </w:tcPr>
          <w:p w14:paraId="3226839D" w14:textId="31B42AAE" w:rsidR="00ED7844" w:rsidRDefault="00ED7844" w:rsidP="00ED7844">
            <w:pPr>
              <w:spacing w:line="360" w:lineRule="auto"/>
              <w:jc w:val="both"/>
              <w:rPr>
                <w:rFonts w:ascii="Arial" w:hAnsi="Arial" w:cs="Arial"/>
              </w:rPr>
            </w:pPr>
            <w:r w:rsidRPr="00A42D8C">
              <w:rPr>
                <w:rFonts w:ascii="Arial" w:hAnsi="Arial" w:cs="Arial"/>
                <w:color w:val="072328"/>
              </w:rPr>
              <w:t>No</w:t>
            </w:r>
            <w:r>
              <w:rPr>
                <w:rFonts w:ascii="Arial" w:hAnsi="Arial" w:cs="Arial"/>
                <w:color w:val="072328"/>
              </w:rPr>
              <w:t xml:space="preserve"> (0); </w:t>
            </w:r>
            <w:r w:rsidRPr="00A42D8C">
              <w:rPr>
                <w:rFonts w:ascii="Arial" w:hAnsi="Arial" w:cs="Arial"/>
                <w:color w:val="072328"/>
              </w:rPr>
              <w:t>Yes</w:t>
            </w:r>
            <w:r>
              <w:rPr>
                <w:rFonts w:ascii="Arial" w:hAnsi="Arial" w:cs="Arial"/>
                <w:color w:val="072328"/>
              </w:rPr>
              <w:t xml:space="preserve"> (1)</w:t>
            </w:r>
          </w:p>
        </w:tc>
      </w:tr>
      <w:tr w:rsidR="001300F6" w14:paraId="340E8C02" w14:textId="77777777" w:rsidTr="001300F6">
        <w:trPr>
          <w:trHeight w:val="373"/>
        </w:trPr>
        <w:tc>
          <w:tcPr>
            <w:tcW w:w="1702" w:type="dxa"/>
          </w:tcPr>
          <w:p w14:paraId="1AF283AA" w14:textId="4859F75A" w:rsidR="00ED7844" w:rsidRDefault="006B4C67" w:rsidP="00ED7844">
            <w:pPr>
              <w:spacing w:line="360" w:lineRule="auto"/>
              <w:jc w:val="both"/>
              <w:rPr>
                <w:rFonts w:ascii="Arial" w:hAnsi="Arial" w:cs="Arial"/>
              </w:rPr>
            </w:pPr>
            <w:r w:rsidRPr="006B4C67">
              <w:rPr>
                <w:rFonts w:ascii="Arial" w:hAnsi="Arial" w:cs="Arial"/>
                <w:i/>
              </w:rPr>
              <w:t>masee, pasee, matel, pate</w:t>
            </w:r>
            <w:r>
              <w:rPr>
                <w:rFonts w:ascii="Arial" w:hAnsi="Arial" w:cs="Arial"/>
              </w:rPr>
              <w:t>l</w:t>
            </w:r>
          </w:p>
        </w:tc>
        <w:tc>
          <w:tcPr>
            <w:tcW w:w="4966" w:type="dxa"/>
          </w:tcPr>
          <w:p w14:paraId="64B1D2EB" w14:textId="02E4723F" w:rsidR="00ED7844" w:rsidRPr="00783043" w:rsidRDefault="006B4C67" w:rsidP="00FB73FE">
            <w:pPr>
              <w:pStyle w:val="TableParagraph"/>
              <w:tabs>
                <w:tab w:val="left" w:pos="647"/>
                <w:tab w:val="left" w:pos="649"/>
              </w:tabs>
              <w:spacing w:before="12"/>
              <w:rPr>
                <w:rFonts w:ascii="Arial" w:hAnsi="Arial" w:cs="Arial"/>
              </w:rPr>
            </w:pPr>
            <w:r>
              <w:rPr>
                <w:rFonts w:ascii="Arial" w:hAnsi="Arial" w:cs="Arial"/>
                <w:color w:val="072328"/>
              </w:rPr>
              <w:t xml:space="preserve">How frequent </w:t>
            </w:r>
            <w:r w:rsidR="00FB73FE">
              <w:rPr>
                <w:rFonts w:ascii="Arial" w:hAnsi="Arial" w:cs="Arial"/>
                <w:color w:val="072328"/>
              </w:rPr>
              <w:t>are you in</w:t>
            </w:r>
            <w:r>
              <w:rPr>
                <w:rFonts w:ascii="Arial" w:hAnsi="Arial" w:cs="Arial"/>
                <w:color w:val="072328"/>
              </w:rPr>
              <w:t xml:space="preserve"> contact </w:t>
            </w:r>
            <w:r w:rsidR="00FB73FE">
              <w:rPr>
                <w:rFonts w:ascii="Arial" w:hAnsi="Arial" w:cs="Arial"/>
                <w:color w:val="072328"/>
              </w:rPr>
              <w:t>with</w:t>
            </w:r>
            <w:r>
              <w:rPr>
                <w:rFonts w:ascii="Arial" w:hAnsi="Arial" w:cs="Arial"/>
                <w:color w:val="072328"/>
              </w:rPr>
              <w:t xml:space="preserve"> parent(s) (</w:t>
            </w:r>
            <w:r w:rsidR="00FB73FE">
              <w:rPr>
                <w:rFonts w:ascii="Arial" w:hAnsi="Arial" w:cs="Arial"/>
                <w:color w:val="072328"/>
              </w:rPr>
              <w:t>physically</w:t>
            </w:r>
            <w:r>
              <w:rPr>
                <w:rFonts w:ascii="Arial" w:hAnsi="Arial" w:cs="Arial"/>
                <w:color w:val="072328"/>
              </w:rPr>
              <w:t xml:space="preserve"> or phone call)?</w:t>
            </w:r>
          </w:p>
        </w:tc>
        <w:tc>
          <w:tcPr>
            <w:tcW w:w="2263" w:type="dxa"/>
          </w:tcPr>
          <w:p w14:paraId="14F56A20" w14:textId="243378A0" w:rsidR="00ED7844" w:rsidRPr="00A42D8C" w:rsidRDefault="00FB73FE" w:rsidP="00ED7844">
            <w:pPr>
              <w:spacing w:line="360" w:lineRule="auto"/>
              <w:jc w:val="both"/>
              <w:rPr>
                <w:rFonts w:ascii="Arial" w:hAnsi="Arial" w:cs="Arial"/>
              </w:rPr>
            </w:pPr>
            <w:r>
              <w:rPr>
                <w:rFonts w:ascii="Arial" w:hAnsi="Arial" w:cs="Arial"/>
              </w:rPr>
              <w:t>“</w:t>
            </w:r>
            <w:r w:rsidRPr="00FB73FE">
              <w:rPr>
                <w:rFonts w:ascii="Arial" w:hAnsi="Arial" w:cs="Arial"/>
                <w:i/>
              </w:rPr>
              <w:t>Daily</w:t>
            </w:r>
            <w:r>
              <w:rPr>
                <w:rFonts w:ascii="Arial" w:hAnsi="Arial" w:cs="Arial"/>
              </w:rPr>
              <w:t>” (1) – “</w:t>
            </w:r>
            <w:r w:rsidRPr="00FB73FE">
              <w:rPr>
                <w:rFonts w:ascii="Arial" w:hAnsi="Arial" w:cs="Arial"/>
                <w:i/>
              </w:rPr>
              <w:t>Never</w:t>
            </w:r>
            <w:r>
              <w:rPr>
                <w:rFonts w:ascii="Arial" w:hAnsi="Arial" w:cs="Arial"/>
              </w:rPr>
              <w:t>” (6)</w:t>
            </w:r>
          </w:p>
        </w:tc>
        <w:tc>
          <w:tcPr>
            <w:tcW w:w="2552" w:type="dxa"/>
          </w:tcPr>
          <w:p w14:paraId="25F4FE8E" w14:textId="2F3A8A19" w:rsidR="00ED7844" w:rsidRDefault="00FB73FE" w:rsidP="00FB73FE">
            <w:pPr>
              <w:pStyle w:val="TableParagraph"/>
              <w:spacing w:before="14"/>
              <w:rPr>
                <w:rFonts w:ascii="Arial" w:hAnsi="Arial" w:cs="Arial"/>
              </w:rPr>
            </w:pPr>
            <w:r w:rsidRPr="00FB73FE">
              <w:rPr>
                <w:rFonts w:ascii="Arial" w:hAnsi="Arial" w:cs="Arial"/>
                <w:i/>
                <w:color w:val="072328"/>
              </w:rPr>
              <w:t>L</w:t>
            </w:r>
            <w:r w:rsidR="00ED7844" w:rsidRPr="00FB73FE">
              <w:rPr>
                <w:rFonts w:ascii="Arial" w:hAnsi="Arial" w:cs="Arial"/>
                <w:i/>
                <w:color w:val="072328"/>
              </w:rPr>
              <w:t>ow</w:t>
            </w:r>
            <w:r>
              <w:rPr>
                <w:rFonts w:ascii="Arial" w:hAnsi="Arial" w:cs="Arial"/>
                <w:color w:val="072328"/>
              </w:rPr>
              <w:t xml:space="preserve"> (5-6); </w:t>
            </w:r>
            <w:r w:rsidRPr="00FB73FE">
              <w:rPr>
                <w:rFonts w:ascii="Arial" w:hAnsi="Arial" w:cs="Arial"/>
                <w:i/>
                <w:color w:val="072328"/>
              </w:rPr>
              <w:t>M</w:t>
            </w:r>
            <w:r w:rsidR="00ED7844" w:rsidRPr="00FB73FE">
              <w:rPr>
                <w:rFonts w:ascii="Arial" w:hAnsi="Arial" w:cs="Arial"/>
                <w:i/>
                <w:color w:val="072328"/>
              </w:rPr>
              <w:t>oderate</w:t>
            </w:r>
            <w:r>
              <w:rPr>
                <w:rFonts w:ascii="Arial" w:hAnsi="Arial" w:cs="Arial"/>
                <w:color w:val="072328"/>
              </w:rPr>
              <w:t xml:space="preserve"> (3-4); </w:t>
            </w:r>
            <w:r w:rsidR="00ED7844" w:rsidRPr="00A42D8C">
              <w:rPr>
                <w:rFonts w:ascii="Arial" w:hAnsi="Arial" w:cs="Arial"/>
                <w:color w:val="072328"/>
              </w:rPr>
              <w:t xml:space="preserve">&amp; </w:t>
            </w:r>
            <w:r w:rsidRPr="00FB73FE">
              <w:rPr>
                <w:rFonts w:ascii="Arial" w:hAnsi="Arial" w:cs="Arial"/>
                <w:i/>
                <w:color w:val="072328"/>
              </w:rPr>
              <w:t>H</w:t>
            </w:r>
            <w:r w:rsidR="00ED7844" w:rsidRPr="00FB73FE">
              <w:rPr>
                <w:rFonts w:ascii="Arial" w:hAnsi="Arial" w:cs="Arial"/>
                <w:i/>
                <w:color w:val="072328"/>
              </w:rPr>
              <w:t>igh</w:t>
            </w:r>
            <w:r>
              <w:rPr>
                <w:rFonts w:ascii="Arial" w:hAnsi="Arial" w:cs="Arial"/>
                <w:color w:val="072328"/>
              </w:rPr>
              <w:t xml:space="preserve"> (1-2)</w:t>
            </w:r>
          </w:p>
        </w:tc>
      </w:tr>
      <w:tr w:rsidR="001300F6" w14:paraId="51C1E0A6" w14:textId="77777777" w:rsidTr="001300F6">
        <w:trPr>
          <w:trHeight w:val="373"/>
        </w:trPr>
        <w:tc>
          <w:tcPr>
            <w:tcW w:w="1702" w:type="dxa"/>
          </w:tcPr>
          <w:p w14:paraId="2D1DEA37" w14:textId="43B7FF4A" w:rsidR="00ED7844" w:rsidRDefault="00ED7844" w:rsidP="00ED7844">
            <w:pPr>
              <w:spacing w:line="360" w:lineRule="auto"/>
              <w:jc w:val="both"/>
              <w:rPr>
                <w:rFonts w:ascii="Arial" w:hAnsi="Arial" w:cs="Arial"/>
              </w:rPr>
            </w:pPr>
            <w:r w:rsidRPr="00670A58">
              <w:rPr>
                <w:rFonts w:ascii="Arial" w:hAnsi="Arial" w:cs="Arial"/>
                <w:i/>
              </w:rPr>
              <w:lastRenderedPageBreak/>
              <w:t>jbsat4</w:t>
            </w:r>
          </w:p>
        </w:tc>
        <w:tc>
          <w:tcPr>
            <w:tcW w:w="4966" w:type="dxa"/>
          </w:tcPr>
          <w:p w14:paraId="6FAF1060" w14:textId="1755EA2F" w:rsidR="00ED7844" w:rsidRPr="00A42D8C" w:rsidRDefault="00ED7844" w:rsidP="00ED7844">
            <w:pPr>
              <w:spacing w:line="360" w:lineRule="auto"/>
              <w:jc w:val="both"/>
              <w:rPr>
                <w:rFonts w:ascii="Arial" w:hAnsi="Arial" w:cs="Arial"/>
              </w:rPr>
            </w:pPr>
            <w:r>
              <w:rPr>
                <w:rFonts w:ascii="Arial" w:hAnsi="Arial" w:cs="Arial"/>
                <w:color w:val="072328"/>
              </w:rPr>
              <w:t>Are you satisfied with your job security?</w:t>
            </w:r>
          </w:p>
        </w:tc>
        <w:tc>
          <w:tcPr>
            <w:tcW w:w="2263" w:type="dxa"/>
          </w:tcPr>
          <w:p w14:paraId="2A142F42" w14:textId="61C8E293" w:rsidR="00ED7844" w:rsidRPr="00A42D8C" w:rsidRDefault="00ED7844" w:rsidP="00ED7844">
            <w:pPr>
              <w:spacing w:line="360" w:lineRule="auto"/>
              <w:jc w:val="both"/>
              <w:rPr>
                <w:rFonts w:ascii="Arial" w:hAnsi="Arial" w:cs="Arial"/>
              </w:rPr>
            </w:pPr>
            <w:r>
              <w:rPr>
                <w:rFonts w:ascii="Arial" w:hAnsi="Arial" w:cs="Arial"/>
              </w:rPr>
              <w:t>“</w:t>
            </w:r>
            <w:r w:rsidRPr="008D5B01">
              <w:rPr>
                <w:rFonts w:ascii="Arial" w:hAnsi="Arial" w:cs="Arial"/>
                <w:i/>
              </w:rPr>
              <w:t>Not satisfied at all</w:t>
            </w:r>
            <w:r>
              <w:rPr>
                <w:rFonts w:ascii="Arial" w:hAnsi="Arial" w:cs="Arial"/>
              </w:rPr>
              <w:t>” (1) – “</w:t>
            </w:r>
            <w:r>
              <w:rPr>
                <w:rFonts w:ascii="Arial" w:hAnsi="Arial" w:cs="Arial"/>
                <w:i/>
              </w:rPr>
              <w:t>C</w:t>
            </w:r>
            <w:r w:rsidRPr="008D5B01">
              <w:rPr>
                <w:rFonts w:ascii="Arial" w:hAnsi="Arial" w:cs="Arial"/>
                <w:i/>
              </w:rPr>
              <w:t>ompletely satisfied</w:t>
            </w:r>
            <w:r>
              <w:rPr>
                <w:rFonts w:ascii="Arial" w:hAnsi="Arial" w:cs="Arial"/>
              </w:rPr>
              <w:t>” (7)</w:t>
            </w:r>
          </w:p>
        </w:tc>
        <w:tc>
          <w:tcPr>
            <w:tcW w:w="2552" w:type="dxa"/>
          </w:tcPr>
          <w:p w14:paraId="6365BE88" w14:textId="1F3B92DE" w:rsidR="00ED7844" w:rsidRDefault="00ED7844" w:rsidP="00ED7844">
            <w:pPr>
              <w:spacing w:line="360" w:lineRule="auto"/>
              <w:jc w:val="both"/>
              <w:rPr>
                <w:rFonts w:ascii="Arial" w:hAnsi="Arial" w:cs="Arial"/>
              </w:rPr>
            </w:pPr>
            <w:r w:rsidRPr="008D5B01">
              <w:rPr>
                <w:rFonts w:ascii="Arial" w:hAnsi="Arial" w:cs="Arial"/>
                <w:i/>
                <w:color w:val="072328"/>
              </w:rPr>
              <w:t>Low satisfaction</w:t>
            </w:r>
            <w:r>
              <w:rPr>
                <w:rFonts w:ascii="Arial" w:hAnsi="Arial" w:cs="Arial"/>
                <w:color w:val="072328"/>
              </w:rPr>
              <w:t xml:space="preserve"> (1-2); </w:t>
            </w:r>
            <w:r w:rsidRPr="008D5B01">
              <w:rPr>
                <w:rFonts w:ascii="Arial" w:hAnsi="Arial" w:cs="Arial"/>
                <w:i/>
                <w:color w:val="072328"/>
              </w:rPr>
              <w:t>medium satisfaction</w:t>
            </w:r>
            <w:r>
              <w:rPr>
                <w:rFonts w:ascii="Arial" w:hAnsi="Arial" w:cs="Arial"/>
                <w:color w:val="072328"/>
              </w:rPr>
              <w:t xml:space="preserve"> (3-5); </w:t>
            </w:r>
            <w:r w:rsidRPr="008D5B01">
              <w:rPr>
                <w:rFonts w:ascii="Arial" w:hAnsi="Arial" w:cs="Arial"/>
                <w:i/>
                <w:color w:val="072328"/>
              </w:rPr>
              <w:t>High satisfaction</w:t>
            </w:r>
            <w:r>
              <w:rPr>
                <w:rFonts w:ascii="Arial" w:hAnsi="Arial" w:cs="Arial"/>
                <w:color w:val="072328"/>
              </w:rPr>
              <w:t xml:space="preserve"> (6-7)</w:t>
            </w:r>
          </w:p>
        </w:tc>
      </w:tr>
      <w:tr w:rsidR="001300F6" w14:paraId="08616933" w14:textId="77777777" w:rsidTr="001300F6">
        <w:trPr>
          <w:trHeight w:val="356"/>
        </w:trPr>
        <w:tc>
          <w:tcPr>
            <w:tcW w:w="1702" w:type="dxa"/>
          </w:tcPr>
          <w:p w14:paraId="15D42636" w14:textId="4179D84C" w:rsidR="00ED7844" w:rsidRPr="001300F6" w:rsidRDefault="00ED7844" w:rsidP="00ED7844">
            <w:pPr>
              <w:spacing w:line="360" w:lineRule="auto"/>
              <w:jc w:val="both"/>
              <w:rPr>
                <w:rFonts w:ascii="Arial" w:hAnsi="Arial" w:cs="Arial"/>
                <w:i/>
              </w:rPr>
            </w:pPr>
            <w:r w:rsidRPr="001300F6">
              <w:rPr>
                <w:rFonts w:ascii="Arial" w:hAnsi="Arial" w:cs="Arial"/>
                <w:i/>
              </w:rPr>
              <w:t>jbstat</w:t>
            </w:r>
          </w:p>
        </w:tc>
        <w:tc>
          <w:tcPr>
            <w:tcW w:w="4966" w:type="dxa"/>
          </w:tcPr>
          <w:p w14:paraId="55F9ACF4" w14:textId="59207EE2" w:rsidR="00ED7844" w:rsidRPr="00A42D8C" w:rsidRDefault="00ED7844" w:rsidP="00ED7844">
            <w:pPr>
              <w:pStyle w:val="TableParagraph"/>
              <w:tabs>
                <w:tab w:val="left" w:pos="648"/>
              </w:tabs>
              <w:spacing w:before="159" w:line="266" w:lineRule="auto"/>
              <w:ind w:right="114"/>
              <w:jc w:val="both"/>
              <w:rPr>
                <w:rFonts w:ascii="Arial" w:hAnsi="Arial" w:cs="Arial"/>
              </w:rPr>
            </w:pPr>
            <w:r>
              <w:rPr>
                <w:rFonts w:ascii="Arial" w:hAnsi="Arial" w:cs="Arial"/>
                <w:color w:val="072328"/>
              </w:rPr>
              <w:t>What is your current economic activity?</w:t>
            </w:r>
          </w:p>
          <w:p w14:paraId="06CA9A4C" w14:textId="666CEDBF" w:rsidR="00ED7844" w:rsidRPr="00A42D8C" w:rsidRDefault="00ED7844" w:rsidP="00ED7844">
            <w:pPr>
              <w:spacing w:line="360" w:lineRule="auto"/>
              <w:jc w:val="both"/>
              <w:rPr>
                <w:rFonts w:ascii="Arial" w:hAnsi="Arial" w:cs="Arial"/>
              </w:rPr>
            </w:pPr>
            <w:r w:rsidRPr="00A42D8C">
              <w:rPr>
                <w:rFonts w:ascii="Arial" w:hAnsi="Arial" w:cs="Arial"/>
                <w:color w:val="072328"/>
              </w:rPr>
              <w:t>employment status</w:t>
            </w:r>
          </w:p>
        </w:tc>
        <w:tc>
          <w:tcPr>
            <w:tcW w:w="2263" w:type="dxa"/>
          </w:tcPr>
          <w:p w14:paraId="258DFD53" w14:textId="13A55820" w:rsidR="00ED7844" w:rsidRPr="00A42D8C" w:rsidRDefault="00ED7844" w:rsidP="00ED7844">
            <w:pPr>
              <w:spacing w:line="360" w:lineRule="auto"/>
              <w:jc w:val="both"/>
              <w:rPr>
                <w:rFonts w:ascii="Arial" w:hAnsi="Arial" w:cs="Arial"/>
              </w:rPr>
            </w:pPr>
            <w:r>
              <w:rPr>
                <w:rFonts w:ascii="Arial" w:hAnsi="Arial" w:cs="Arial"/>
                <w:color w:val="072328"/>
              </w:rPr>
              <w:t>“</w:t>
            </w:r>
            <w:r w:rsidRPr="008D5B01">
              <w:rPr>
                <w:rFonts w:ascii="Arial" w:hAnsi="Arial" w:cs="Arial"/>
                <w:i/>
                <w:color w:val="072328"/>
              </w:rPr>
              <w:t>self-employed</w:t>
            </w:r>
            <w:r>
              <w:rPr>
                <w:rFonts w:ascii="Arial" w:hAnsi="Arial" w:cs="Arial"/>
                <w:color w:val="072328"/>
              </w:rPr>
              <w:t>” (1) – “</w:t>
            </w:r>
            <w:r w:rsidRPr="008D5B01">
              <w:rPr>
                <w:rFonts w:ascii="Arial" w:hAnsi="Arial" w:cs="Arial"/>
                <w:i/>
                <w:color w:val="072328"/>
              </w:rPr>
              <w:t>other</w:t>
            </w:r>
            <w:r>
              <w:rPr>
                <w:rFonts w:ascii="Arial" w:hAnsi="Arial" w:cs="Arial"/>
                <w:color w:val="072328"/>
              </w:rPr>
              <w:t>” (10)</w:t>
            </w:r>
          </w:p>
        </w:tc>
        <w:tc>
          <w:tcPr>
            <w:tcW w:w="2552" w:type="dxa"/>
          </w:tcPr>
          <w:p w14:paraId="533C16F8" w14:textId="0E9D1127" w:rsidR="00ED7844" w:rsidRDefault="00ED7844" w:rsidP="00ED7844">
            <w:pPr>
              <w:spacing w:line="360" w:lineRule="auto"/>
              <w:jc w:val="both"/>
              <w:rPr>
                <w:rFonts w:ascii="Arial" w:hAnsi="Arial" w:cs="Arial"/>
              </w:rPr>
            </w:pPr>
            <w:r w:rsidRPr="008D5B01">
              <w:rPr>
                <w:rFonts w:ascii="Arial" w:hAnsi="Arial" w:cs="Arial"/>
                <w:i/>
              </w:rPr>
              <w:t>New job</w:t>
            </w:r>
            <w:r>
              <w:rPr>
                <w:rFonts w:ascii="Arial" w:hAnsi="Arial" w:cs="Arial"/>
              </w:rPr>
              <w:t xml:space="preserve"> (1); </w:t>
            </w:r>
            <w:r w:rsidRPr="008D5B01">
              <w:rPr>
                <w:rFonts w:ascii="Arial" w:hAnsi="Arial" w:cs="Arial"/>
                <w:i/>
              </w:rPr>
              <w:t>other</w:t>
            </w:r>
            <w:r>
              <w:rPr>
                <w:rFonts w:ascii="Arial" w:hAnsi="Arial" w:cs="Arial"/>
              </w:rPr>
              <w:t xml:space="preserve"> (0)</w:t>
            </w:r>
          </w:p>
        </w:tc>
      </w:tr>
    </w:tbl>
    <w:p w14:paraId="70E3867D" w14:textId="15D20BFB" w:rsidR="00E43C37" w:rsidRPr="007F121A" w:rsidRDefault="00E43C37" w:rsidP="007F121A">
      <w:pPr>
        <w:spacing w:line="360" w:lineRule="auto"/>
        <w:jc w:val="both"/>
        <w:rPr>
          <w:rFonts w:ascii="Arial" w:hAnsi="Arial" w:cs="Arial"/>
        </w:rPr>
      </w:pPr>
      <w:r w:rsidRPr="007F121A">
        <w:rPr>
          <w:rFonts w:ascii="Arial" w:hAnsi="Arial" w:cs="Arial"/>
        </w:rPr>
        <w:t>Table 1</w:t>
      </w:r>
      <w:r w:rsidR="00873A96">
        <w:rPr>
          <w:rFonts w:ascii="Arial" w:hAnsi="Arial" w:cs="Arial"/>
        </w:rPr>
        <w:t>: V</w:t>
      </w:r>
      <w:r w:rsidR="00CB2CDA">
        <w:rPr>
          <w:rFonts w:ascii="Arial" w:hAnsi="Arial" w:cs="Arial"/>
        </w:rPr>
        <w:t>ariables of interest</w:t>
      </w:r>
      <w:r w:rsidR="00873A96">
        <w:rPr>
          <w:rFonts w:ascii="Arial" w:hAnsi="Arial" w:cs="Arial"/>
        </w:rPr>
        <w:t xml:space="preserve"> taken from the BHPS</w:t>
      </w:r>
    </w:p>
    <w:p w14:paraId="7895C5C9" w14:textId="2726F52B" w:rsidR="002F4EB9" w:rsidRPr="007F121A" w:rsidRDefault="003A4972" w:rsidP="007F121A">
      <w:pPr>
        <w:spacing w:line="360" w:lineRule="auto"/>
        <w:jc w:val="both"/>
        <w:rPr>
          <w:rFonts w:ascii="Arial" w:hAnsi="Arial" w:cs="Arial"/>
        </w:rPr>
      </w:pPr>
      <w:r w:rsidRPr="007F121A">
        <w:rPr>
          <w:rFonts w:ascii="Arial" w:hAnsi="Arial" w:cs="Arial"/>
        </w:rPr>
        <w:t xml:space="preserve">The </w:t>
      </w:r>
      <w:r w:rsidR="00E5336F" w:rsidRPr="007F121A">
        <w:rPr>
          <w:rFonts w:ascii="Arial" w:hAnsi="Arial" w:cs="Arial"/>
        </w:rPr>
        <w:t xml:space="preserve">analysis </w:t>
      </w:r>
      <w:r w:rsidRPr="007F121A">
        <w:rPr>
          <w:rFonts w:ascii="Arial" w:hAnsi="Arial" w:cs="Arial"/>
        </w:rPr>
        <w:t xml:space="preserve">focuses on </w:t>
      </w:r>
      <w:r w:rsidR="00C81EA6">
        <w:rPr>
          <w:rFonts w:ascii="Arial" w:hAnsi="Arial" w:cs="Arial"/>
        </w:rPr>
        <w:t xml:space="preserve">heads of young adults </w:t>
      </w:r>
      <w:r w:rsidRPr="007F121A">
        <w:rPr>
          <w:rFonts w:ascii="Arial" w:hAnsi="Arial" w:cs="Arial"/>
        </w:rPr>
        <w:t>aged 18</w:t>
      </w:r>
      <w:r w:rsidR="002431D3" w:rsidRPr="007F121A">
        <w:rPr>
          <w:rFonts w:ascii="Arial" w:hAnsi="Arial" w:cs="Arial"/>
        </w:rPr>
        <w:t xml:space="preserve"> – 34 </w:t>
      </w:r>
      <w:r w:rsidR="00C61DFB" w:rsidRPr="007F121A">
        <w:rPr>
          <w:rFonts w:ascii="Arial" w:hAnsi="Arial" w:cs="Arial"/>
        </w:rPr>
        <w:t xml:space="preserve">(at first </w:t>
      </w:r>
      <w:r w:rsidR="007F465B">
        <w:rPr>
          <w:rFonts w:ascii="Arial" w:hAnsi="Arial" w:cs="Arial"/>
        </w:rPr>
        <w:t>appearance</w:t>
      </w:r>
      <w:r w:rsidR="00C61DFB" w:rsidRPr="007F121A">
        <w:rPr>
          <w:rFonts w:ascii="Arial" w:hAnsi="Arial" w:cs="Arial"/>
        </w:rPr>
        <w:t>)</w:t>
      </w:r>
      <w:r w:rsidR="00C81EA6">
        <w:rPr>
          <w:rFonts w:ascii="Arial" w:hAnsi="Arial" w:cs="Arial"/>
        </w:rPr>
        <w:t>. The choice of age range is because they are</w:t>
      </w:r>
      <w:r w:rsidR="002431D3" w:rsidRPr="007F121A">
        <w:rPr>
          <w:rFonts w:ascii="Arial" w:hAnsi="Arial" w:cs="Arial"/>
        </w:rPr>
        <w:t xml:space="preserve"> mostly affected by the</w:t>
      </w:r>
      <w:r w:rsidR="00CE5904" w:rsidRPr="007F121A">
        <w:rPr>
          <w:rFonts w:ascii="Arial" w:hAnsi="Arial" w:cs="Arial"/>
        </w:rPr>
        <w:t xml:space="preserve"> recent</w:t>
      </w:r>
      <w:r w:rsidR="002431D3" w:rsidRPr="007F121A">
        <w:rPr>
          <w:rFonts w:ascii="Arial" w:hAnsi="Arial" w:cs="Arial"/>
        </w:rPr>
        <w:t xml:space="preserve"> tenure shifts (</w:t>
      </w:r>
      <w:r w:rsidR="00122CC4">
        <w:rPr>
          <w:rFonts w:ascii="Arial" w:hAnsi="Arial" w:cs="Arial"/>
        </w:rPr>
        <w:t>Ministry of Housing, Communities and Local Government, 2018</w:t>
      </w:r>
      <w:r w:rsidR="002431D3" w:rsidRPr="007F121A">
        <w:rPr>
          <w:rFonts w:ascii="Arial" w:hAnsi="Arial" w:cs="Arial"/>
        </w:rPr>
        <w:t>).</w:t>
      </w:r>
      <w:r w:rsidR="00F31CE6" w:rsidRPr="007F121A">
        <w:rPr>
          <w:rFonts w:ascii="Arial" w:hAnsi="Arial" w:cs="Arial"/>
        </w:rPr>
        <w:t xml:space="preserve"> Furthermore, </w:t>
      </w:r>
      <w:r w:rsidR="005A435E" w:rsidRPr="007F121A">
        <w:rPr>
          <w:rFonts w:ascii="Arial" w:hAnsi="Arial" w:cs="Arial"/>
        </w:rPr>
        <w:t xml:space="preserve">it concentrates on </w:t>
      </w:r>
      <w:r w:rsidR="002B6B65" w:rsidRPr="007F121A">
        <w:rPr>
          <w:rFonts w:ascii="Arial" w:hAnsi="Arial" w:cs="Arial"/>
        </w:rPr>
        <w:t>home ownership transitions from either private renting</w:t>
      </w:r>
      <w:r w:rsidR="00C81EA6">
        <w:rPr>
          <w:rStyle w:val="FootnoteReference"/>
          <w:rFonts w:ascii="Arial" w:hAnsi="Arial" w:cs="Arial"/>
        </w:rPr>
        <w:footnoteReference w:id="7"/>
      </w:r>
      <w:r w:rsidR="002B6B65" w:rsidRPr="007F121A">
        <w:rPr>
          <w:rFonts w:ascii="Arial" w:hAnsi="Arial" w:cs="Arial"/>
        </w:rPr>
        <w:t xml:space="preserve"> or parental housing</w:t>
      </w:r>
      <w:r w:rsidR="00CE5904" w:rsidRPr="007F121A">
        <w:rPr>
          <w:rFonts w:ascii="Arial" w:hAnsi="Arial" w:cs="Arial"/>
        </w:rPr>
        <w:t xml:space="preserve"> only</w:t>
      </w:r>
      <w:r w:rsidR="002B6B65" w:rsidRPr="007F121A">
        <w:rPr>
          <w:rFonts w:ascii="Arial" w:hAnsi="Arial" w:cs="Arial"/>
        </w:rPr>
        <w:t xml:space="preserve">. Social renting </w:t>
      </w:r>
      <w:r w:rsidR="00434B50" w:rsidRPr="007F121A">
        <w:rPr>
          <w:rFonts w:ascii="Arial" w:hAnsi="Arial" w:cs="Arial"/>
        </w:rPr>
        <w:t>falls</w:t>
      </w:r>
      <w:r w:rsidR="005867B6" w:rsidRPr="007F121A">
        <w:rPr>
          <w:rFonts w:ascii="Arial" w:hAnsi="Arial" w:cs="Arial"/>
        </w:rPr>
        <w:t xml:space="preserve"> out</w:t>
      </w:r>
      <w:r w:rsidR="00CE5904" w:rsidRPr="007F121A">
        <w:rPr>
          <w:rFonts w:ascii="Arial" w:hAnsi="Arial" w:cs="Arial"/>
        </w:rPr>
        <w:t xml:space="preserve">side </w:t>
      </w:r>
      <w:r w:rsidR="005867B6" w:rsidRPr="007F121A">
        <w:rPr>
          <w:rFonts w:ascii="Arial" w:hAnsi="Arial" w:cs="Arial"/>
        </w:rPr>
        <w:t>the scope of this study as the social rented sector</w:t>
      </w:r>
      <w:r w:rsidR="004E4DC5" w:rsidRPr="007F121A">
        <w:rPr>
          <w:rFonts w:ascii="Arial" w:hAnsi="Arial" w:cs="Arial"/>
        </w:rPr>
        <w:t xml:space="preserve"> size has been declining</w:t>
      </w:r>
      <w:r w:rsidR="00AF40DB" w:rsidRPr="007F121A">
        <w:rPr>
          <w:rFonts w:ascii="Arial" w:hAnsi="Arial" w:cs="Arial"/>
        </w:rPr>
        <w:t xml:space="preserve"> since the 80’s mainly </w:t>
      </w:r>
      <w:r w:rsidR="004026B2">
        <w:rPr>
          <w:rFonts w:ascii="Arial" w:hAnsi="Arial" w:cs="Arial"/>
        </w:rPr>
        <w:t>due to policy drive</w:t>
      </w:r>
      <w:r w:rsidR="00AF40DB" w:rsidRPr="007F121A">
        <w:rPr>
          <w:rFonts w:ascii="Arial" w:hAnsi="Arial" w:cs="Arial"/>
        </w:rPr>
        <w:t xml:space="preserve"> </w:t>
      </w:r>
      <w:r w:rsidR="00434B50" w:rsidRPr="007F121A">
        <w:rPr>
          <w:rFonts w:ascii="Arial" w:hAnsi="Arial" w:cs="Arial"/>
        </w:rPr>
        <w:t>(</w:t>
      </w:r>
      <w:r w:rsidR="004026B2">
        <w:rPr>
          <w:rFonts w:ascii="Arial" w:hAnsi="Arial" w:cs="Arial"/>
        </w:rPr>
        <w:t>Malpass and Victory, 2010</w:t>
      </w:r>
      <w:r w:rsidR="00434B50" w:rsidRPr="007F121A">
        <w:rPr>
          <w:rFonts w:ascii="Arial" w:hAnsi="Arial" w:cs="Arial"/>
        </w:rPr>
        <w:t xml:space="preserve">). </w:t>
      </w:r>
      <w:r w:rsidR="00792D31" w:rsidRPr="007F121A">
        <w:rPr>
          <w:rFonts w:ascii="Arial" w:hAnsi="Arial" w:cs="Arial"/>
        </w:rPr>
        <w:t>Parental housing</w:t>
      </w:r>
      <w:r w:rsidR="00E97CFF" w:rsidRPr="007F121A">
        <w:rPr>
          <w:rFonts w:ascii="Arial" w:hAnsi="Arial" w:cs="Arial"/>
        </w:rPr>
        <w:t xml:space="preserve"> stayers</w:t>
      </w:r>
      <w:r w:rsidR="002A705F" w:rsidRPr="007F121A">
        <w:rPr>
          <w:rFonts w:ascii="Arial" w:hAnsi="Arial" w:cs="Arial"/>
        </w:rPr>
        <w:t xml:space="preserve"> </w:t>
      </w:r>
      <w:r w:rsidR="00E97CFF" w:rsidRPr="007F121A">
        <w:rPr>
          <w:rFonts w:ascii="Arial" w:hAnsi="Arial" w:cs="Arial"/>
        </w:rPr>
        <w:t>have</w:t>
      </w:r>
      <w:r w:rsidR="002A705F" w:rsidRPr="007F121A">
        <w:rPr>
          <w:rFonts w:ascii="Arial" w:hAnsi="Arial" w:cs="Arial"/>
        </w:rPr>
        <w:t xml:space="preserve"> been considered </w:t>
      </w:r>
      <w:r w:rsidR="00E97CFF" w:rsidRPr="007F121A">
        <w:rPr>
          <w:rFonts w:ascii="Arial" w:hAnsi="Arial" w:cs="Arial"/>
        </w:rPr>
        <w:t xml:space="preserve">separately </w:t>
      </w:r>
      <w:r w:rsidR="002A705F" w:rsidRPr="007F121A">
        <w:rPr>
          <w:rFonts w:ascii="Arial" w:hAnsi="Arial" w:cs="Arial"/>
        </w:rPr>
        <w:t>due t</w:t>
      </w:r>
      <w:r w:rsidR="00316424" w:rsidRPr="007F121A">
        <w:rPr>
          <w:rFonts w:ascii="Arial" w:hAnsi="Arial" w:cs="Arial"/>
        </w:rPr>
        <w:t>o</w:t>
      </w:r>
      <w:r w:rsidR="006F020A" w:rsidRPr="007F121A">
        <w:rPr>
          <w:rFonts w:ascii="Arial" w:hAnsi="Arial" w:cs="Arial"/>
        </w:rPr>
        <w:t xml:space="preserve"> </w:t>
      </w:r>
      <w:r w:rsidR="00316424" w:rsidRPr="007F121A">
        <w:rPr>
          <w:rFonts w:ascii="Arial" w:hAnsi="Arial" w:cs="Arial"/>
        </w:rPr>
        <w:t xml:space="preserve">their </w:t>
      </w:r>
      <w:r w:rsidR="00E37CA1" w:rsidRPr="007F121A">
        <w:rPr>
          <w:rFonts w:ascii="Arial" w:hAnsi="Arial" w:cs="Arial"/>
        </w:rPr>
        <w:t>non-independent status</w:t>
      </w:r>
      <w:r w:rsidR="006F020A" w:rsidRPr="007F121A">
        <w:rPr>
          <w:rFonts w:ascii="Arial" w:hAnsi="Arial" w:cs="Arial"/>
        </w:rPr>
        <w:t xml:space="preserve"> (</w:t>
      </w:r>
      <w:r w:rsidR="00665983" w:rsidRPr="007F121A">
        <w:rPr>
          <w:rFonts w:ascii="Arial" w:hAnsi="Arial" w:cs="Arial"/>
        </w:rPr>
        <w:t>Andrew, 2012)</w:t>
      </w:r>
      <w:r w:rsidR="00C9751C" w:rsidRPr="007F121A">
        <w:rPr>
          <w:rFonts w:ascii="Arial" w:hAnsi="Arial" w:cs="Arial"/>
        </w:rPr>
        <w:t>. Additionally,</w:t>
      </w:r>
      <w:r w:rsidR="006F020A" w:rsidRPr="007F121A">
        <w:rPr>
          <w:rFonts w:ascii="Arial" w:hAnsi="Arial" w:cs="Arial"/>
        </w:rPr>
        <w:t xml:space="preserve"> </w:t>
      </w:r>
      <w:r w:rsidR="0012092E" w:rsidRPr="007F121A">
        <w:rPr>
          <w:rFonts w:ascii="Arial" w:hAnsi="Arial" w:cs="Arial"/>
        </w:rPr>
        <w:t xml:space="preserve">recent studies </w:t>
      </w:r>
      <w:r w:rsidR="00E37CA1" w:rsidRPr="007F121A">
        <w:rPr>
          <w:rFonts w:ascii="Arial" w:hAnsi="Arial" w:cs="Arial"/>
        </w:rPr>
        <w:t>have shown evidence of</w:t>
      </w:r>
      <w:r w:rsidR="0012092E" w:rsidRPr="007F121A">
        <w:rPr>
          <w:rFonts w:ascii="Arial" w:hAnsi="Arial" w:cs="Arial"/>
        </w:rPr>
        <w:t xml:space="preserve"> young people staying longer in parental housing</w:t>
      </w:r>
      <w:r w:rsidR="00D16B17" w:rsidRPr="007F121A">
        <w:rPr>
          <w:rFonts w:ascii="Arial" w:hAnsi="Arial" w:cs="Arial"/>
        </w:rPr>
        <w:t xml:space="preserve"> to</w:t>
      </w:r>
      <w:r w:rsidR="0012092E" w:rsidRPr="007F121A">
        <w:rPr>
          <w:rFonts w:ascii="Arial" w:hAnsi="Arial" w:cs="Arial"/>
        </w:rPr>
        <w:t xml:space="preserve"> either jump</w:t>
      </w:r>
      <w:r w:rsidR="0008049B" w:rsidRPr="007F121A">
        <w:rPr>
          <w:rFonts w:ascii="Arial" w:hAnsi="Arial" w:cs="Arial"/>
        </w:rPr>
        <w:t xml:space="preserve"> or pass</w:t>
      </w:r>
      <w:r w:rsidR="0012092E" w:rsidRPr="007F121A">
        <w:rPr>
          <w:rFonts w:ascii="Arial" w:hAnsi="Arial" w:cs="Arial"/>
        </w:rPr>
        <w:t xml:space="preserve"> </w:t>
      </w:r>
      <w:r w:rsidR="0008049B" w:rsidRPr="007F121A">
        <w:rPr>
          <w:rFonts w:ascii="Arial" w:hAnsi="Arial" w:cs="Arial"/>
        </w:rPr>
        <w:t>through the private rented sector</w:t>
      </w:r>
      <w:r w:rsidR="00E91E12">
        <w:rPr>
          <w:rFonts w:ascii="Arial" w:hAnsi="Arial" w:cs="Arial"/>
        </w:rPr>
        <w:t xml:space="preserve"> on their path</w:t>
      </w:r>
      <w:r w:rsidR="0086637B" w:rsidRPr="007F121A">
        <w:rPr>
          <w:rFonts w:ascii="Arial" w:hAnsi="Arial" w:cs="Arial"/>
        </w:rPr>
        <w:t xml:space="preserve"> to home ownership (</w:t>
      </w:r>
      <w:r w:rsidR="007D58F0">
        <w:rPr>
          <w:rFonts w:ascii="Arial" w:hAnsi="Arial" w:cs="Arial"/>
        </w:rPr>
        <w:t>C</w:t>
      </w:r>
      <w:r w:rsidR="007D58F0" w:rsidRPr="007F121A">
        <w:rPr>
          <w:rFonts w:ascii="Arial" w:hAnsi="Arial" w:cs="Arial"/>
        </w:rPr>
        <w:t>lapham</w:t>
      </w:r>
      <w:r w:rsidR="007D58F0">
        <w:rPr>
          <w:rFonts w:ascii="Arial" w:hAnsi="Arial" w:cs="Arial"/>
        </w:rPr>
        <w:t xml:space="preserve"> </w:t>
      </w:r>
      <w:r w:rsidR="007D58F0" w:rsidRPr="004C064C">
        <w:rPr>
          <w:rFonts w:ascii="Arial" w:hAnsi="Arial" w:cs="Arial"/>
          <w:i/>
        </w:rPr>
        <w:t>et al</w:t>
      </w:r>
      <w:r w:rsidR="007D58F0" w:rsidRPr="007F121A">
        <w:rPr>
          <w:rFonts w:ascii="Arial" w:hAnsi="Arial" w:cs="Arial"/>
        </w:rPr>
        <w:t>, 2014</w:t>
      </w:r>
      <w:r w:rsidR="0086637B" w:rsidRPr="007F121A">
        <w:rPr>
          <w:rFonts w:ascii="Arial" w:hAnsi="Arial" w:cs="Arial"/>
        </w:rPr>
        <w:t>)</w:t>
      </w:r>
      <w:r w:rsidR="005F1171" w:rsidRPr="007F121A">
        <w:rPr>
          <w:rFonts w:ascii="Arial" w:hAnsi="Arial" w:cs="Arial"/>
        </w:rPr>
        <w:t>.</w:t>
      </w:r>
      <w:r w:rsidR="00314BE4" w:rsidRPr="007F121A">
        <w:rPr>
          <w:rFonts w:ascii="Arial" w:hAnsi="Arial" w:cs="Arial"/>
        </w:rPr>
        <w:t xml:space="preserve"> To ensure that a longitudinal dataset is maintained, respondents who participated in, at least, three consecutive waves were retained (Aguda, 2019). The sample data resulted to </w:t>
      </w:r>
      <w:r w:rsidR="00835C23">
        <w:rPr>
          <w:rFonts w:ascii="Arial" w:hAnsi="Arial" w:cs="Arial"/>
        </w:rPr>
        <w:t xml:space="preserve">31,126 observations and </w:t>
      </w:r>
      <w:r w:rsidR="00E44ADC">
        <w:rPr>
          <w:rFonts w:ascii="Arial" w:hAnsi="Arial" w:cs="Arial"/>
        </w:rPr>
        <w:t>5479</w:t>
      </w:r>
      <w:r w:rsidR="00314BE4" w:rsidRPr="007F121A">
        <w:rPr>
          <w:rFonts w:ascii="Arial" w:hAnsi="Arial" w:cs="Arial"/>
        </w:rPr>
        <w:t xml:space="preserve"> individuals who are yet to become a home owner at their first survey participation (appendix 1).</w:t>
      </w:r>
      <w:r w:rsidR="002044D5" w:rsidRPr="007F121A">
        <w:rPr>
          <w:rFonts w:ascii="Arial" w:hAnsi="Arial" w:cs="Arial"/>
        </w:rPr>
        <w:t xml:space="preserve"> The</w:t>
      </w:r>
      <w:r w:rsidR="0050327D" w:rsidRPr="007F121A">
        <w:rPr>
          <w:rFonts w:ascii="Arial" w:hAnsi="Arial" w:cs="Arial"/>
        </w:rPr>
        <w:t xml:space="preserve"> </w:t>
      </w:r>
      <w:r w:rsidR="002044D5" w:rsidRPr="007F121A">
        <w:rPr>
          <w:rFonts w:ascii="Arial" w:hAnsi="Arial" w:cs="Arial"/>
        </w:rPr>
        <w:t xml:space="preserve">mean age </w:t>
      </w:r>
      <w:r w:rsidR="0050327D" w:rsidRPr="007F121A">
        <w:rPr>
          <w:rFonts w:ascii="Arial" w:hAnsi="Arial" w:cs="Arial"/>
        </w:rPr>
        <w:t>is</w:t>
      </w:r>
      <w:r w:rsidR="002044D5" w:rsidRPr="007F121A">
        <w:rPr>
          <w:rFonts w:ascii="Arial" w:hAnsi="Arial" w:cs="Arial"/>
        </w:rPr>
        <w:t xml:space="preserve"> </w:t>
      </w:r>
      <w:r w:rsidR="00E44ADC">
        <w:rPr>
          <w:rFonts w:ascii="Arial" w:hAnsi="Arial" w:cs="Arial"/>
        </w:rPr>
        <w:t>25 years</w:t>
      </w:r>
      <w:r w:rsidR="002044D5" w:rsidRPr="007F121A">
        <w:rPr>
          <w:rFonts w:ascii="Arial" w:hAnsi="Arial" w:cs="Arial"/>
        </w:rPr>
        <w:t xml:space="preserve"> </w:t>
      </w:r>
      <w:r w:rsidR="00E44ADC">
        <w:rPr>
          <w:rFonts w:ascii="Arial" w:hAnsi="Arial" w:cs="Arial"/>
        </w:rPr>
        <w:t xml:space="preserve">at first participation </w:t>
      </w:r>
      <w:r w:rsidR="002044D5" w:rsidRPr="007F121A">
        <w:rPr>
          <w:rFonts w:ascii="Arial" w:hAnsi="Arial" w:cs="Arial"/>
        </w:rPr>
        <w:t>with female amounting to 52 percent</w:t>
      </w:r>
      <w:r w:rsidR="00010BF3" w:rsidRPr="007F121A">
        <w:rPr>
          <w:rFonts w:ascii="Arial" w:hAnsi="Arial" w:cs="Arial"/>
        </w:rPr>
        <w:t xml:space="preserve"> of the sample</w:t>
      </w:r>
      <w:r w:rsidR="002044D5" w:rsidRPr="007F121A">
        <w:rPr>
          <w:rFonts w:ascii="Arial" w:hAnsi="Arial" w:cs="Arial"/>
        </w:rPr>
        <w:t xml:space="preserve">. </w:t>
      </w:r>
    </w:p>
    <w:p w14:paraId="4D67E62A" w14:textId="205972CC" w:rsidR="0012367B" w:rsidRPr="007F121A" w:rsidRDefault="00ED2A94" w:rsidP="007F121A">
      <w:pPr>
        <w:spacing w:line="360" w:lineRule="auto"/>
        <w:jc w:val="both"/>
        <w:rPr>
          <w:rFonts w:ascii="Arial" w:hAnsi="Arial" w:cs="Arial"/>
        </w:rPr>
      </w:pPr>
      <w:r w:rsidRPr="007F121A">
        <w:rPr>
          <w:rFonts w:ascii="Arial" w:hAnsi="Arial" w:cs="Arial"/>
        </w:rPr>
        <w:t xml:space="preserve">The model applicable </w:t>
      </w:r>
      <w:r w:rsidR="00135475">
        <w:rPr>
          <w:rFonts w:ascii="Arial" w:hAnsi="Arial" w:cs="Arial"/>
        </w:rPr>
        <w:t xml:space="preserve">for our analysis is the </w:t>
      </w:r>
      <w:r w:rsidR="002A1416">
        <w:rPr>
          <w:rFonts w:ascii="Arial" w:hAnsi="Arial" w:cs="Arial"/>
        </w:rPr>
        <w:t>fixed effects</w:t>
      </w:r>
      <w:r w:rsidR="00F4291F">
        <w:rPr>
          <w:rStyle w:val="FootnoteReference"/>
          <w:rFonts w:ascii="Arial" w:hAnsi="Arial" w:cs="Arial"/>
        </w:rPr>
        <w:footnoteReference w:id="8"/>
      </w:r>
      <w:r w:rsidR="00382C0B" w:rsidRPr="007F121A">
        <w:rPr>
          <w:rFonts w:ascii="Arial" w:hAnsi="Arial" w:cs="Arial"/>
        </w:rPr>
        <w:t xml:space="preserve"> logistic regression of </w:t>
      </w:r>
      <w:r w:rsidR="002F4039" w:rsidRPr="007F121A">
        <w:rPr>
          <w:rFonts w:ascii="Arial" w:hAnsi="Arial" w:cs="Arial"/>
        </w:rPr>
        <w:t>home ownership transition</w:t>
      </w:r>
      <w:r w:rsidR="00A20054" w:rsidRPr="007F121A">
        <w:rPr>
          <w:rFonts w:ascii="Arial" w:hAnsi="Arial" w:cs="Arial"/>
        </w:rPr>
        <w:t xml:space="preserve">, using the </w:t>
      </w:r>
      <w:r w:rsidR="00552A33" w:rsidRPr="007D58F0">
        <w:rPr>
          <w:rFonts w:ascii="Arial" w:hAnsi="Arial" w:cs="Arial"/>
          <w:i/>
        </w:rPr>
        <w:t>stata</w:t>
      </w:r>
      <w:r w:rsidR="00A20054" w:rsidRPr="007F121A">
        <w:rPr>
          <w:rFonts w:ascii="Arial" w:hAnsi="Arial" w:cs="Arial"/>
        </w:rPr>
        <w:t xml:space="preserve"> </w:t>
      </w:r>
      <w:r w:rsidR="00552A33" w:rsidRPr="007F121A">
        <w:rPr>
          <w:rFonts w:ascii="Arial" w:hAnsi="Arial" w:cs="Arial"/>
        </w:rPr>
        <w:t>software</w:t>
      </w:r>
      <w:r w:rsidR="006266DE" w:rsidRPr="007F121A">
        <w:rPr>
          <w:rFonts w:ascii="Arial" w:hAnsi="Arial" w:cs="Arial"/>
        </w:rPr>
        <w:t xml:space="preserve"> and the command </w:t>
      </w:r>
      <w:r w:rsidR="001A36C4" w:rsidRPr="007F121A">
        <w:rPr>
          <w:rFonts w:ascii="Arial" w:hAnsi="Arial" w:cs="Arial"/>
          <w:i/>
          <w:iCs/>
        </w:rPr>
        <w:t>clogit</w:t>
      </w:r>
      <w:r w:rsidR="008F659F">
        <w:rPr>
          <w:rFonts w:ascii="Arial" w:hAnsi="Arial" w:cs="Arial"/>
          <w:i/>
          <w:iCs/>
        </w:rPr>
        <w:t xml:space="preserve"> </w:t>
      </w:r>
      <w:r w:rsidR="00C33EA7">
        <w:rPr>
          <w:rFonts w:ascii="Arial" w:hAnsi="Arial" w:cs="Arial"/>
          <w:iCs/>
        </w:rPr>
        <w:t>(StataCorp, 2019)</w:t>
      </w:r>
      <w:r w:rsidR="002F4039" w:rsidRPr="007F121A">
        <w:rPr>
          <w:rFonts w:ascii="Arial" w:hAnsi="Arial" w:cs="Arial"/>
        </w:rPr>
        <w:t xml:space="preserve">. This predicts the </w:t>
      </w:r>
      <w:r w:rsidR="00E40DCE">
        <w:rPr>
          <w:rFonts w:ascii="Arial" w:hAnsi="Arial" w:cs="Arial"/>
        </w:rPr>
        <w:t>probability</w:t>
      </w:r>
      <w:r w:rsidR="002F4039" w:rsidRPr="007F121A">
        <w:rPr>
          <w:rFonts w:ascii="Arial" w:hAnsi="Arial" w:cs="Arial"/>
        </w:rPr>
        <w:t xml:space="preserve"> of making a transition to </w:t>
      </w:r>
      <w:r w:rsidR="00A20054" w:rsidRPr="007F121A">
        <w:rPr>
          <w:rFonts w:ascii="Arial" w:hAnsi="Arial" w:cs="Arial"/>
        </w:rPr>
        <w:t>home ownership from either private renting or parental housing</w:t>
      </w:r>
      <w:r w:rsidR="001A36C4" w:rsidRPr="007F121A">
        <w:rPr>
          <w:rFonts w:ascii="Arial" w:hAnsi="Arial" w:cs="Arial"/>
        </w:rPr>
        <w:t xml:space="preserve">, </w:t>
      </w:r>
      <w:r w:rsidR="00C33EA7">
        <w:rPr>
          <w:rFonts w:ascii="Arial" w:hAnsi="Arial" w:cs="Arial"/>
        </w:rPr>
        <w:t xml:space="preserve">conditional on </w:t>
      </w:r>
      <w:r w:rsidR="00E40DCE">
        <w:rPr>
          <w:rFonts w:ascii="Arial" w:hAnsi="Arial" w:cs="Arial"/>
        </w:rPr>
        <w:t xml:space="preserve">unobservable </w:t>
      </w:r>
      <w:r w:rsidR="002A1416">
        <w:rPr>
          <w:rFonts w:ascii="Arial" w:hAnsi="Arial" w:cs="Arial"/>
        </w:rPr>
        <w:t>fixed effects</w:t>
      </w:r>
      <w:r w:rsidR="00E40DCE">
        <w:rPr>
          <w:rFonts w:ascii="Arial" w:hAnsi="Arial" w:cs="Arial"/>
        </w:rPr>
        <w:t xml:space="preserve"> for each individual</w:t>
      </w:r>
      <w:r w:rsidR="00C33EA7">
        <w:rPr>
          <w:rFonts w:ascii="Arial" w:hAnsi="Arial" w:cs="Arial"/>
        </w:rPr>
        <w:t>.</w:t>
      </w:r>
      <w:r w:rsidR="00552A33" w:rsidRPr="007F121A">
        <w:rPr>
          <w:rFonts w:ascii="Arial" w:hAnsi="Arial" w:cs="Arial"/>
        </w:rPr>
        <w:t xml:space="preserve"> </w:t>
      </w:r>
      <w:r w:rsidR="005273DA" w:rsidRPr="007F121A">
        <w:rPr>
          <w:rFonts w:ascii="Arial" w:hAnsi="Arial" w:cs="Arial"/>
        </w:rPr>
        <w:t>Th</w:t>
      </w:r>
      <w:r w:rsidR="00F26061" w:rsidRPr="007F121A">
        <w:rPr>
          <w:rFonts w:ascii="Arial" w:hAnsi="Arial" w:cs="Arial"/>
        </w:rPr>
        <w:t>e model</w:t>
      </w:r>
      <w:r w:rsidR="00C33EA7">
        <w:rPr>
          <w:rFonts w:ascii="Arial" w:hAnsi="Arial" w:cs="Arial"/>
        </w:rPr>
        <w:t xml:space="preserve"> is further </w:t>
      </w:r>
      <w:r w:rsidR="00D71E5B">
        <w:rPr>
          <w:rFonts w:ascii="Arial" w:hAnsi="Arial" w:cs="Arial"/>
        </w:rPr>
        <w:t xml:space="preserve">applied depending on </w:t>
      </w:r>
      <w:r w:rsidR="008446B7" w:rsidRPr="007F121A">
        <w:rPr>
          <w:rFonts w:ascii="Arial" w:hAnsi="Arial" w:cs="Arial"/>
        </w:rPr>
        <w:t xml:space="preserve">the tenure of origin. </w:t>
      </w:r>
      <w:r w:rsidR="00D71E5B" w:rsidRPr="007F121A">
        <w:rPr>
          <w:rFonts w:ascii="Arial" w:hAnsi="Arial" w:cs="Arial"/>
        </w:rPr>
        <w:t>Hence,</w:t>
      </w:r>
      <w:r w:rsidR="008446B7" w:rsidRPr="007F121A">
        <w:rPr>
          <w:rFonts w:ascii="Arial" w:hAnsi="Arial" w:cs="Arial"/>
        </w:rPr>
        <w:t xml:space="preserve"> </w:t>
      </w:r>
      <w:r w:rsidR="00D71E5B">
        <w:rPr>
          <w:rFonts w:ascii="Arial" w:hAnsi="Arial" w:cs="Arial"/>
        </w:rPr>
        <w:t xml:space="preserve">we have two separate models of the same computation (equation 1), where </w:t>
      </w:r>
      <w:r w:rsidR="00296917" w:rsidRPr="007F121A">
        <w:rPr>
          <w:rFonts w:ascii="Arial" w:hAnsi="Arial" w:cs="Arial"/>
        </w:rPr>
        <w:t>model 1</w:t>
      </w:r>
      <w:r w:rsidR="00102691" w:rsidRPr="007F121A">
        <w:rPr>
          <w:rFonts w:ascii="Arial" w:hAnsi="Arial" w:cs="Arial"/>
        </w:rPr>
        <w:t xml:space="preserve"> considers </w:t>
      </w:r>
      <w:r w:rsidR="00266B63" w:rsidRPr="007F121A">
        <w:rPr>
          <w:rFonts w:ascii="Arial" w:hAnsi="Arial" w:cs="Arial"/>
        </w:rPr>
        <w:t xml:space="preserve">individuals making </w:t>
      </w:r>
      <w:r w:rsidR="00102691" w:rsidRPr="007F121A">
        <w:rPr>
          <w:rFonts w:ascii="Arial" w:hAnsi="Arial" w:cs="Arial"/>
        </w:rPr>
        <w:t>transition from</w:t>
      </w:r>
      <w:r w:rsidR="00840648" w:rsidRPr="007F121A">
        <w:rPr>
          <w:rFonts w:ascii="Arial" w:hAnsi="Arial" w:cs="Arial"/>
        </w:rPr>
        <w:t xml:space="preserve"> </w:t>
      </w:r>
      <w:r w:rsidR="000552C9">
        <w:rPr>
          <w:rFonts w:ascii="Arial" w:hAnsi="Arial" w:cs="Arial"/>
        </w:rPr>
        <w:t>P</w:t>
      </w:r>
      <w:r w:rsidR="00102691" w:rsidRPr="007F121A">
        <w:rPr>
          <w:rFonts w:ascii="Arial" w:hAnsi="Arial" w:cs="Arial"/>
        </w:rPr>
        <w:t xml:space="preserve">rivate </w:t>
      </w:r>
      <w:r w:rsidR="000552C9">
        <w:rPr>
          <w:rFonts w:ascii="Arial" w:hAnsi="Arial" w:cs="Arial"/>
        </w:rPr>
        <w:t>R</w:t>
      </w:r>
      <w:r w:rsidR="00151065">
        <w:rPr>
          <w:rFonts w:ascii="Arial" w:hAnsi="Arial" w:cs="Arial"/>
        </w:rPr>
        <w:t>enting (PR)</w:t>
      </w:r>
      <w:r w:rsidR="00102691" w:rsidRPr="007F121A">
        <w:rPr>
          <w:rFonts w:ascii="Arial" w:hAnsi="Arial" w:cs="Arial"/>
        </w:rPr>
        <w:t xml:space="preserve"> </w:t>
      </w:r>
      <w:r w:rsidR="00D71E5B">
        <w:rPr>
          <w:rFonts w:ascii="Arial" w:hAnsi="Arial" w:cs="Arial"/>
        </w:rPr>
        <w:t>whereas</w:t>
      </w:r>
      <w:r w:rsidR="00102691" w:rsidRPr="007F121A">
        <w:rPr>
          <w:rFonts w:ascii="Arial" w:hAnsi="Arial" w:cs="Arial"/>
        </w:rPr>
        <w:t xml:space="preserve"> model 2</w:t>
      </w:r>
      <w:r w:rsidR="007A3D70" w:rsidRPr="007F121A">
        <w:rPr>
          <w:rFonts w:ascii="Arial" w:hAnsi="Arial" w:cs="Arial"/>
        </w:rPr>
        <w:t xml:space="preserve"> considers </w:t>
      </w:r>
      <w:r w:rsidR="00840648" w:rsidRPr="007F121A">
        <w:rPr>
          <w:rFonts w:ascii="Arial" w:hAnsi="Arial" w:cs="Arial"/>
        </w:rPr>
        <w:t>transitions</w:t>
      </w:r>
      <w:r w:rsidR="007A3D70" w:rsidRPr="007F121A">
        <w:rPr>
          <w:rFonts w:ascii="Arial" w:hAnsi="Arial" w:cs="Arial"/>
        </w:rPr>
        <w:t xml:space="preserve"> from </w:t>
      </w:r>
      <w:r w:rsidR="000552C9">
        <w:rPr>
          <w:rFonts w:ascii="Arial" w:hAnsi="Arial" w:cs="Arial"/>
        </w:rPr>
        <w:t>Parental H</w:t>
      </w:r>
      <w:r w:rsidR="007A3D70" w:rsidRPr="007F121A">
        <w:rPr>
          <w:rFonts w:ascii="Arial" w:hAnsi="Arial" w:cs="Arial"/>
        </w:rPr>
        <w:t>ousing</w:t>
      </w:r>
      <w:r w:rsidR="00840648" w:rsidRPr="007F121A">
        <w:rPr>
          <w:rFonts w:ascii="Arial" w:hAnsi="Arial" w:cs="Arial"/>
        </w:rPr>
        <w:t xml:space="preserve"> </w:t>
      </w:r>
      <w:r w:rsidR="00151065">
        <w:rPr>
          <w:rFonts w:ascii="Arial" w:hAnsi="Arial" w:cs="Arial"/>
        </w:rPr>
        <w:t xml:space="preserve">(PH) </w:t>
      </w:r>
      <w:r w:rsidR="00840648" w:rsidRPr="007F121A">
        <w:rPr>
          <w:rFonts w:ascii="Arial" w:hAnsi="Arial" w:cs="Arial"/>
        </w:rPr>
        <w:t xml:space="preserve">to </w:t>
      </w:r>
      <w:r w:rsidR="000552C9">
        <w:rPr>
          <w:rFonts w:ascii="Arial" w:hAnsi="Arial" w:cs="Arial"/>
        </w:rPr>
        <w:t>H</w:t>
      </w:r>
      <w:r w:rsidR="00840648" w:rsidRPr="007F121A">
        <w:rPr>
          <w:rFonts w:ascii="Arial" w:hAnsi="Arial" w:cs="Arial"/>
        </w:rPr>
        <w:t xml:space="preserve">ome </w:t>
      </w:r>
      <w:r w:rsidR="000552C9">
        <w:rPr>
          <w:rFonts w:ascii="Arial" w:hAnsi="Arial" w:cs="Arial"/>
        </w:rPr>
        <w:t>O</w:t>
      </w:r>
      <w:r w:rsidR="00840648" w:rsidRPr="007F121A">
        <w:rPr>
          <w:rFonts w:ascii="Arial" w:hAnsi="Arial" w:cs="Arial"/>
        </w:rPr>
        <w:t>wnership</w:t>
      </w:r>
      <w:r w:rsidR="00151065">
        <w:rPr>
          <w:rFonts w:ascii="Arial" w:hAnsi="Arial" w:cs="Arial"/>
        </w:rPr>
        <w:t xml:space="preserve"> (HO)</w:t>
      </w:r>
      <w:r w:rsidR="007A3D70" w:rsidRPr="007F121A">
        <w:rPr>
          <w:rFonts w:ascii="Arial" w:hAnsi="Arial" w:cs="Arial"/>
        </w:rPr>
        <w:t xml:space="preserve">. </w:t>
      </w:r>
      <w:r w:rsidR="00586EF1" w:rsidRPr="007F121A">
        <w:rPr>
          <w:rFonts w:ascii="Arial" w:hAnsi="Arial" w:cs="Arial"/>
        </w:rPr>
        <w:t xml:space="preserve">Alongside the </w:t>
      </w:r>
      <w:r w:rsidR="00E5099A" w:rsidRPr="007F121A">
        <w:rPr>
          <w:rFonts w:ascii="Arial" w:hAnsi="Arial" w:cs="Arial"/>
        </w:rPr>
        <w:t>variables of interest, our</w:t>
      </w:r>
      <w:r w:rsidR="00586EF1" w:rsidRPr="007F121A">
        <w:rPr>
          <w:rFonts w:ascii="Arial" w:hAnsi="Arial" w:cs="Arial"/>
        </w:rPr>
        <w:t xml:space="preserve"> </w:t>
      </w:r>
      <w:r w:rsidR="007B44FC" w:rsidRPr="007F121A">
        <w:rPr>
          <w:rFonts w:ascii="Arial" w:hAnsi="Arial" w:cs="Arial"/>
        </w:rPr>
        <w:t xml:space="preserve">models control for </w:t>
      </w:r>
      <w:r w:rsidR="00E43C37" w:rsidRPr="007F121A">
        <w:rPr>
          <w:rFonts w:ascii="Arial" w:hAnsi="Arial" w:cs="Arial"/>
        </w:rPr>
        <w:t xml:space="preserve">the </w:t>
      </w:r>
      <w:r w:rsidR="001101F1" w:rsidRPr="007F121A">
        <w:rPr>
          <w:rFonts w:ascii="Arial" w:hAnsi="Arial" w:cs="Arial"/>
        </w:rPr>
        <w:t>e</w:t>
      </w:r>
      <w:r w:rsidR="00E43C37" w:rsidRPr="007F121A">
        <w:rPr>
          <w:rFonts w:ascii="Arial" w:hAnsi="Arial" w:cs="Arial"/>
        </w:rPr>
        <w:t>stablished</w:t>
      </w:r>
      <w:r w:rsidR="00967986" w:rsidRPr="007F121A">
        <w:rPr>
          <w:rFonts w:ascii="Arial" w:hAnsi="Arial" w:cs="Arial"/>
        </w:rPr>
        <w:t xml:space="preserve"> drivers of tenure transitions </w:t>
      </w:r>
      <w:r w:rsidR="00586EF1" w:rsidRPr="007F121A">
        <w:rPr>
          <w:rFonts w:ascii="Arial" w:hAnsi="Arial" w:cs="Arial"/>
        </w:rPr>
        <w:t xml:space="preserve">and </w:t>
      </w:r>
      <w:r w:rsidR="001101F1" w:rsidRPr="007F121A">
        <w:rPr>
          <w:rFonts w:ascii="Arial" w:hAnsi="Arial" w:cs="Arial"/>
        </w:rPr>
        <w:t>the wave</w:t>
      </w:r>
      <w:r w:rsidR="00E5099A" w:rsidRPr="007F121A">
        <w:rPr>
          <w:rFonts w:ascii="Arial" w:hAnsi="Arial" w:cs="Arial"/>
        </w:rPr>
        <w:t xml:space="preserve"> dummies</w:t>
      </w:r>
      <w:r w:rsidR="00EA732F" w:rsidRPr="007F121A">
        <w:rPr>
          <w:rFonts w:ascii="Arial" w:hAnsi="Arial" w:cs="Arial"/>
        </w:rPr>
        <w:t xml:space="preserve"> – not reported for brevity.</w:t>
      </w:r>
      <w:r w:rsidR="00E008F9" w:rsidRPr="007F121A">
        <w:rPr>
          <w:rFonts w:ascii="Arial" w:hAnsi="Arial" w:cs="Arial"/>
        </w:rPr>
        <w:t xml:space="preserve"> For first steps, the independent variables of interest are tested in the models of home ownership transition</w:t>
      </w:r>
      <w:r w:rsidR="001006FA" w:rsidRPr="007F121A">
        <w:rPr>
          <w:rFonts w:ascii="Arial" w:hAnsi="Arial" w:cs="Arial"/>
        </w:rPr>
        <w:t xml:space="preserve">. Afterwards, the </w:t>
      </w:r>
      <w:r w:rsidR="001552CF" w:rsidRPr="007F121A">
        <w:rPr>
          <w:rFonts w:ascii="Arial" w:hAnsi="Arial" w:cs="Arial"/>
        </w:rPr>
        <w:lastRenderedPageBreak/>
        <w:t xml:space="preserve">possible </w:t>
      </w:r>
      <w:r w:rsidR="001006FA" w:rsidRPr="007F121A">
        <w:rPr>
          <w:rFonts w:ascii="Arial" w:hAnsi="Arial" w:cs="Arial"/>
        </w:rPr>
        <w:t xml:space="preserve">interactions between social capital and </w:t>
      </w:r>
      <w:r w:rsidR="001552CF" w:rsidRPr="007F121A">
        <w:rPr>
          <w:rFonts w:ascii="Arial" w:hAnsi="Arial" w:cs="Arial"/>
        </w:rPr>
        <w:t xml:space="preserve">levels of perceived job security are explored in the models. </w:t>
      </w:r>
    </w:p>
    <w:p w14:paraId="5D749C72" w14:textId="42D468AD" w:rsidR="00F205EC" w:rsidRDefault="00E40DCE" w:rsidP="00F205EC">
      <w:pPr>
        <w:spacing w:line="360" w:lineRule="auto"/>
        <w:jc w:val="both"/>
        <w:rPr>
          <w:rFonts w:ascii="Arial" w:hAnsi="Arial" w:cs="Arial"/>
        </w:rPr>
      </w:pPr>
      <w:r>
        <w:rPr>
          <w:rFonts w:ascii="Arial" w:hAnsi="Arial" w:cs="Arial"/>
          <w:sz w:val="28"/>
        </w:rPr>
        <w:t>P</w:t>
      </w:r>
      <w:r w:rsidRPr="00E40DCE">
        <w:rPr>
          <w:rFonts w:ascii="Arial" w:hAnsi="Arial" w:cs="Arial"/>
          <w:sz w:val="28"/>
        </w:rPr>
        <w:t xml:space="preserve"> </w:t>
      </w:r>
      <w:r w:rsidR="00F205EC" w:rsidRPr="00E40DCE">
        <w:rPr>
          <w:rFonts w:ascii="Arial" w:hAnsi="Arial" w:cs="Arial"/>
          <w:sz w:val="28"/>
        </w:rPr>
        <w:t>(</w:t>
      </w:r>
      <w:r w:rsidR="00F205EC" w:rsidRPr="00E40DCE">
        <w:rPr>
          <w:rFonts w:ascii="Arial" w:hAnsi="Arial" w:cs="Arial"/>
          <w:sz w:val="32"/>
          <w:szCs w:val="26"/>
        </w:rPr>
        <w:t>y</w:t>
      </w:r>
      <w:r w:rsidR="00F205EC" w:rsidRPr="00E40DCE">
        <w:rPr>
          <w:rFonts w:ascii="Arial" w:hAnsi="Arial" w:cs="Arial"/>
          <w:i/>
          <w:sz w:val="28"/>
          <w:vertAlign w:val="subscript"/>
        </w:rPr>
        <w:t>it</w:t>
      </w:r>
      <w:r w:rsidR="00F205EC" w:rsidRPr="00E40DCE">
        <w:rPr>
          <w:rFonts w:ascii="Arial" w:hAnsi="Arial" w:cs="Arial"/>
          <w:sz w:val="28"/>
        </w:rPr>
        <w:t xml:space="preserve"> = 1 | </w:t>
      </w:r>
      <w:r w:rsidRPr="00E40DCE">
        <w:rPr>
          <w:rFonts w:ascii="Arial" w:hAnsi="Arial" w:cs="Arial"/>
          <w:sz w:val="32"/>
          <w:szCs w:val="26"/>
        </w:rPr>
        <w:t>X</w:t>
      </w:r>
      <w:r w:rsidR="00F205EC" w:rsidRPr="00E40DCE">
        <w:rPr>
          <w:rFonts w:ascii="Arial" w:hAnsi="Arial" w:cs="Arial"/>
          <w:i/>
          <w:sz w:val="28"/>
          <w:vertAlign w:val="subscript"/>
        </w:rPr>
        <w:t>it</w:t>
      </w:r>
      <w:r w:rsidR="00F205EC" w:rsidRPr="00E40DCE">
        <w:rPr>
          <w:rFonts w:ascii="Arial" w:hAnsi="Arial" w:cs="Arial"/>
          <w:sz w:val="28"/>
        </w:rPr>
        <w:t xml:space="preserve">) = </w:t>
      </w:r>
      <w:r w:rsidR="001740B8" w:rsidRPr="001740B8">
        <w:rPr>
          <w:rFonts w:ascii="Arial" w:hAnsi="Arial" w:cs="Arial"/>
          <w:i/>
          <w:iCs/>
          <w:sz w:val="28"/>
        </w:rPr>
        <w:t>f</w:t>
      </w:r>
      <w:r w:rsidR="00F205EC" w:rsidRPr="00E40DCE">
        <w:rPr>
          <w:rFonts w:ascii="Arial" w:hAnsi="Arial" w:cs="Arial"/>
          <w:sz w:val="28"/>
        </w:rPr>
        <w:t>(</w:t>
      </w:r>
      <w:r w:rsidR="00F205EC" w:rsidRPr="00DD4CB2">
        <w:rPr>
          <w:rFonts w:ascii="Arial" w:hAnsi="Arial" w:cs="Arial"/>
          <w:sz w:val="36"/>
          <w:szCs w:val="30"/>
        </w:rPr>
        <w:t>α</w:t>
      </w:r>
      <w:r w:rsidR="00F205EC" w:rsidRPr="00E40DCE">
        <w:rPr>
          <w:rFonts w:ascii="Arial" w:hAnsi="Arial" w:cs="Arial"/>
          <w:i/>
          <w:sz w:val="28"/>
          <w:vertAlign w:val="subscript"/>
        </w:rPr>
        <w:t>i</w:t>
      </w:r>
      <w:r w:rsidR="00F205EC" w:rsidRPr="00E40DCE">
        <w:rPr>
          <w:rFonts w:ascii="Arial" w:hAnsi="Arial" w:cs="Arial"/>
          <w:sz w:val="28"/>
        </w:rPr>
        <w:t xml:space="preserve"> + </w:t>
      </w:r>
      <w:r w:rsidRPr="00E40DCE">
        <w:rPr>
          <w:rFonts w:ascii="Arial" w:hAnsi="Arial" w:cs="Arial"/>
          <w:sz w:val="32"/>
          <w:szCs w:val="26"/>
        </w:rPr>
        <w:t>X</w:t>
      </w:r>
      <w:r w:rsidR="00F205EC" w:rsidRPr="00E40DCE">
        <w:rPr>
          <w:rFonts w:ascii="Arial" w:hAnsi="Arial" w:cs="Arial"/>
          <w:i/>
          <w:sz w:val="28"/>
          <w:vertAlign w:val="subscript"/>
        </w:rPr>
        <w:t>it</w:t>
      </w:r>
      <w:r w:rsidR="00F205EC" w:rsidRPr="00E40DCE">
        <w:rPr>
          <w:rFonts w:ascii="Arial" w:hAnsi="Arial" w:cs="Arial"/>
          <w:sz w:val="36"/>
          <w:szCs w:val="30"/>
        </w:rPr>
        <w:t>β</w:t>
      </w:r>
      <w:r w:rsidRPr="00E40DCE">
        <w:rPr>
          <w:rFonts w:ascii="Arial" w:hAnsi="Arial" w:cs="Arial"/>
          <w:sz w:val="28"/>
        </w:rPr>
        <w:t xml:space="preserve"> + Z</w:t>
      </w:r>
      <w:r w:rsidRPr="00E40DCE">
        <w:rPr>
          <w:rFonts w:ascii="Arial" w:hAnsi="Arial" w:cs="Arial"/>
          <w:i/>
          <w:sz w:val="28"/>
          <w:vertAlign w:val="subscript"/>
        </w:rPr>
        <w:t>it</w:t>
      </w:r>
      <w:r w:rsidRPr="007F465B">
        <w:rPr>
          <w:rFonts w:ascii="Arial" w:hAnsi="Arial" w:cs="Arial"/>
          <w:sz w:val="28"/>
        </w:rPr>
        <w:t>δ</w:t>
      </w:r>
      <w:r w:rsidR="00F205EC" w:rsidRPr="00E40DCE">
        <w:rPr>
          <w:rFonts w:ascii="Arial" w:hAnsi="Arial" w:cs="Arial"/>
          <w:sz w:val="28"/>
        </w:rPr>
        <w:t>)</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w:t>
      </w:r>
    </w:p>
    <w:p w14:paraId="6FFB0AD2" w14:textId="798C9301" w:rsidR="00E40DCE" w:rsidRPr="007F121A" w:rsidRDefault="00953B85" w:rsidP="00DD4CB2">
      <w:pPr>
        <w:spacing w:line="360" w:lineRule="auto"/>
        <w:jc w:val="both"/>
        <w:rPr>
          <w:rFonts w:ascii="Arial" w:hAnsi="Arial" w:cs="Arial"/>
        </w:rPr>
      </w:pPr>
      <w:r w:rsidRPr="007F121A">
        <w:rPr>
          <w:rFonts w:ascii="Arial" w:hAnsi="Arial" w:cs="Arial"/>
        </w:rPr>
        <w:t xml:space="preserve">Equation 1 displays the </w:t>
      </w:r>
      <w:r w:rsidR="00E40DCE">
        <w:rPr>
          <w:rFonts w:ascii="Arial" w:hAnsi="Arial" w:cs="Arial"/>
        </w:rPr>
        <w:t xml:space="preserve">fixed-effects logit where </w:t>
      </w:r>
      <w:r w:rsidR="00E40DCE">
        <w:rPr>
          <w:rFonts w:ascii="Arial" w:hAnsi="Arial" w:cs="Arial"/>
          <w:sz w:val="28"/>
        </w:rPr>
        <w:t>P</w:t>
      </w:r>
      <w:r w:rsidR="00E40DCE">
        <w:rPr>
          <w:rFonts w:ascii="Arial" w:hAnsi="Arial" w:cs="Arial"/>
        </w:rPr>
        <w:t xml:space="preserve"> is the probability</w:t>
      </w:r>
      <w:r w:rsidR="00DD2B21">
        <w:rPr>
          <w:rFonts w:ascii="Arial" w:hAnsi="Arial" w:cs="Arial"/>
        </w:rPr>
        <w:t xml:space="preserve"> of an individual (</w:t>
      </w:r>
      <w:r w:rsidR="00DD2B21" w:rsidRPr="00DD2B21">
        <w:rPr>
          <w:rFonts w:ascii="Arial" w:hAnsi="Arial" w:cs="Arial"/>
          <w:i/>
        </w:rPr>
        <w:t>i</w:t>
      </w:r>
      <w:r w:rsidR="00DD2B21">
        <w:rPr>
          <w:rFonts w:ascii="Arial" w:hAnsi="Arial" w:cs="Arial"/>
        </w:rPr>
        <w:t xml:space="preserve">) becoming a home owner </w:t>
      </w:r>
      <w:r w:rsidR="005D4212">
        <w:rPr>
          <w:rFonts w:ascii="Arial" w:hAnsi="Arial" w:cs="Arial"/>
        </w:rPr>
        <w:t>(</w:t>
      </w:r>
      <w:r w:rsidR="005D4212" w:rsidRPr="00E40DCE">
        <w:rPr>
          <w:rFonts w:ascii="Arial" w:hAnsi="Arial" w:cs="Arial"/>
          <w:sz w:val="32"/>
          <w:szCs w:val="26"/>
        </w:rPr>
        <w:t>y</w:t>
      </w:r>
      <w:r w:rsidR="005D4212">
        <w:rPr>
          <w:rFonts w:ascii="Arial" w:hAnsi="Arial" w:cs="Arial"/>
        </w:rPr>
        <w:t xml:space="preserve">) </w:t>
      </w:r>
      <w:r w:rsidR="00DD2B21">
        <w:rPr>
          <w:rFonts w:ascii="Arial" w:hAnsi="Arial" w:cs="Arial"/>
        </w:rPr>
        <w:t>in a particular year (</w:t>
      </w:r>
      <w:r w:rsidR="00DD2B21" w:rsidRPr="00DD2B21">
        <w:rPr>
          <w:rFonts w:ascii="Arial" w:hAnsi="Arial" w:cs="Arial"/>
          <w:i/>
        </w:rPr>
        <w:t>t</w:t>
      </w:r>
      <w:r w:rsidR="00DD2B21">
        <w:rPr>
          <w:rFonts w:ascii="Arial" w:hAnsi="Arial" w:cs="Arial"/>
        </w:rPr>
        <w:t xml:space="preserve">), conditional on the applicable variables of interest X. The </w:t>
      </w:r>
      <w:r w:rsidR="002A1416">
        <w:rPr>
          <w:rFonts w:ascii="Arial" w:hAnsi="Arial" w:cs="Arial"/>
        </w:rPr>
        <w:t>left-hand</w:t>
      </w:r>
      <w:r w:rsidR="00DD2B21">
        <w:rPr>
          <w:rFonts w:ascii="Arial" w:hAnsi="Arial" w:cs="Arial"/>
        </w:rPr>
        <w:t xml:space="preserve"> side equates to the function of each individual’s unobservable effects </w:t>
      </w:r>
      <w:r w:rsidR="00DD4CB2">
        <w:rPr>
          <w:rFonts w:ascii="Arial" w:hAnsi="Arial" w:cs="Arial"/>
        </w:rPr>
        <w:t xml:space="preserve">represented by </w:t>
      </w:r>
      <w:r w:rsidR="00DD4CB2" w:rsidRPr="00DD4CB2">
        <w:rPr>
          <w:rFonts w:ascii="Arial" w:hAnsi="Arial" w:cs="Arial"/>
          <w:sz w:val="36"/>
          <w:szCs w:val="30"/>
        </w:rPr>
        <w:t>α</w:t>
      </w:r>
      <w:r w:rsidR="00DD4CB2" w:rsidRPr="00E40DCE">
        <w:rPr>
          <w:rFonts w:ascii="Arial" w:hAnsi="Arial" w:cs="Arial"/>
          <w:i/>
          <w:sz w:val="28"/>
          <w:vertAlign w:val="subscript"/>
        </w:rPr>
        <w:t>i</w:t>
      </w:r>
      <w:r w:rsidR="00DD2B21">
        <w:rPr>
          <w:rFonts w:ascii="Arial" w:hAnsi="Arial" w:cs="Arial"/>
        </w:rPr>
        <w:t xml:space="preserve">; </w:t>
      </w:r>
      <w:r w:rsidR="00DD4CB2">
        <w:rPr>
          <w:rFonts w:ascii="Arial" w:hAnsi="Arial" w:cs="Arial"/>
        </w:rPr>
        <w:t xml:space="preserve">the variables of interest from table 1 represented by </w:t>
      </w:r>
      <w:r w:rsidR="00DD4CB2" w:rsidRPr="00E40DCE">
        <w:rPr>
          <w:rFonts w:ascii="Arial" w:hAnsi="Arial" w:cs="Arial"/>
          <w:sz w:val="32"/>
          <w:szCs w:val="26"/>
        </w:rPr>
        <w:t>X</w:t>
      </w:r>
      <w:r w:rsidR="00DD4CB2" w:rsidRPr="00E40DCE">
        <w:rPr>
          <w:rFonts w:ascii="Arial" w:hAnsi="Arial" w:cs="Arial"/>
          <w:i/>
          <w:sz w:val="28"/>
          <w:vertAlign w:val="subscript"/>
        </w:rPr>
        <w:t>it</w:t>
      </w:r>
      <w:r w:rsidR="00DD4CB2">
        <w:rPr>
          <w:rFonts w:ascii="Arial" w:hAnsi="Arial" w:cs="Arial"/>
        </w:rPr>
        <w:t xml:space="preserve">; and </w:t>
      </w:r>
      <w:r w:rsidR="00DD2B21">
        <w:rPr>
          <w:rFonts w:ascii="Arial" w:hAnsi="Arial" w:cs="Arial"/>
        </w:rPr>
        <w:t xml:space="preserve">the control </w:t>
      </w:r>
      <w:r w:rsidR="00DD4CB2">
        <w:rPr>
          <w:rFonts w:ascii="Arial" w:hAnsi="Arial" w:cs="Arial"/>
        </w:rPr>
        <w:t xml:space="preserve">(established) </w:t>
      </w:r>
      <w:r w:rsidR="00DD2B21">
        <w:rPr>
          <w:rFonts w:ascii="Arial" w:hAnsi="Arial" w:cs="Arial"/>
        </w:rPr>
        <w:t xml:space="preserve">variables </w:t>
      </w:r>
      <w:r w:rsidR="00DD4CB2">
        <w:rPr>
          <w:rFonts w:ascii="Arial" w:hAnsi="Arial" w:cs="Arial"/>
        </w:rPr>
        <w:t xml:space="preserve">represented by </w:t>
      </w:r>
      <w:r w:rsidR="00DD4CB2" w:rsidRPr="00E40DCE">
        <w:rPr>
          <w:rFonts w:ascii="Arial" w:hAnsi="Arial" w:cs="Arial"/>
          <w:sz w:val="28"/>
        </w:rPr>
        <w:t>Z</w:t>
      </w:r>
      <w:r w:rsidR="00DD4CB2" w:rsidRPr="00E40DCE">
        <w:rPr>
          <w:rFonts w:ascii="Arial" w:hAnsi="Arial" w:cs="Arial"/>
          <w:i/>
          <w:sz w:val="28"/>
          <w:vertAlign w:val="subscript"/>
        </w:rPr>
        <w:t>it</w:t>
      </w:r>
      <w:r w:rsidR="00DD4CB2">
        <w:rPr>
          <w:rFonts w:ascii="Arial" w:hAnsi="Arial" w:cs="Arial"/>
        </w:rPr>
        <w:t>.</w:t>
      </w:r>
      <w:r w:rsidR="007F465B">
        <w:rPr>
          <w:rFonts w:ascii="Arial" w:hAnsi="Arial" w:cs="Arial"/>
        </w:rPr>
        <w:t xml:space="preserve"> Lastly,</w:t>
      </w:r>
      <w:r w:rsidR="00DD4CB2">
        <w:rPr>
          <w:rFonts w:ascii="Arial" w:hAnsi="Arial" w:cs="Arial"/>
        </w:rPr>
        <w:t xml:space="preserve"> </w:t>
      </w:r>
      <w:r w:rsidR="00DD4CB2" w:rsidRPr="007F465B">
        <w:rPr>
          <w:rFonts w:ascii="Arial" w:hAnsi="Arial" w:cs="Arial"/>
          <w:sz w:val="36"/>
          <w:szCs w:val="30"/>
        </w:rPr>
        <w:t>β</w:t>
      </w:r>
      <w:r w:rsidR="00DD4CB2">
        <w:rPr>
          <w:rFonts w:ascii="Arial" w:hAnsi="Arial" w:cs="Arial"/>
          <w:sz w:val="36"/>
          <w:szCs w:val="30"/>
        </w:rPr>
        <w:t xml:space="preserve"> </w:t>
      </w:r>
      <w:r w:rsidR="00DD4CB2" w:rsidRPr="00DD4CB2">
        <w:rPr>
          <w:rFonts w:ascii="Arial" w:hAnsi="Arial" w:cs="Arial"/>
        </w:rPr>
        <w:t>and</w:t>
      </w:r>
      <w:r w:rsidR="00DD4CB2">
        <w:rPr>
          <w:rFonts w:ascii="Arial" w:hAnsi="Arial" w:cs="Arial"/>
          <w:sz w:val="36"/>
          <w:szCs w:val="30"/>
        </w:rPr>
        <w:t xml:space="preserve"> </w:t>
      </w:r>
      <w:r w:rsidR="00DD4CB2" w:rsidRPr="007F465B">
        <w:rPr>
          <w:rFonts w:ascii="Arial" w:hAnsi="Arial" w:cs="Arial"/>
          <w:sz w:val="28"/>
        </w:rPr>
        <w:t>δ</w:t>
      </w:r>
      <w:r w:rsidR="00DD4CB2">
        <w:rPr>
          <w:rFonts w:ascii="Arial" w:hAnsi="Arial" w:cs="Arial"/>
        </w:rPr>
        <w:t xml:space="preserve"> </w:t>
      </w:r>
      <w:r w:rsidR="007F465B">
        <w:rPr>
          <w:rFonts w:ascii="Arial" w:hAnsi="Arial" w:cs="Arial"/>
        </w:rPr>
        <w:t>represent</w:t>
      </w:r>
      <w:r w:rsidR="00DD4CB2">
        <w:rPr>
          <w:rFonts w:ascii="Arial" w:hAnsi="Arial" w:cs="Arial"/>
        </w:rPr>
        <w:t xml:space="preserve"> the coefficients. </w:t>
      </w:r>
    </w:p>
    <w:p w14:paraId="00000014" w14:textId="0EF2CCDC" w:rsidR="00FE0B4C" w:rsidRPr="007F121A" w:rsidRDefault="00791830" w:rsidP="00D77F14">
      <w:pPr>
        <w:pStyle w:val="Heading1"/>
        <w:rPr>
          <w:rFonts w:eastAsia="Arial"/>
        </w:rPr>
      </w:pPr>
      <w:r w:rsidRPr="007F121A">
        <w:rPr>
          <w:rFonts w:eastAsia="Arial"/>
        </w:rPr>
        <w:t>4. Discussion of results</w:t>
      </w:r>
    </w:p>
    <w:p w14:paraId="059AD936" w14:textId="1FBD9863" w:rsidR="007E12FB" w:rsidRDefault="00151065" w:rsidP="007F121A">
      <w:pPr>
        <w:spacing w:after="240" w:line="360" w:lineRule="auto"/>
        <w:jc w:val="both"/>
        <w:rPr>
          <w:rFonts w:ascii="Arial" w:hAnsi="Arial" w:cs="Arial"/>
        </w:rPr>
      </w:pPr>
      <w:r>
        <w:rPr>
          <w:rFonts w:ascii="Arial" w:hAnsi="Arial" w:cs="Arial"/>
        </w:rPr>
        <w:t>T</w:t>
      </w:r>
      <w:r w:rsidR="00160610" w:rsidRPr="007F121A">
        <w:rPr>
          <w:rFonts w:ascii="Arial" w:hAnsi="Arial" w:cs="Arial"/>
        </w:rPr>
        <w:t xml:space="preserve">he results </w:t>
      </w:r>
      <w:r w:rsidR="001101F1" w:rsidRPr="007F121A">
        <w:rPr>
          <w:rFonts w:ascii="Arial" w:hAnsi="Arial" w:cs="Arial"/>
        </w:rPr>
        <w:t xml:space="preserve">are </w:t>
      </w:r>
      <w:r>
        <w:rPr>
          <w:rFonts w:ascii="Arial" w:hAnsi="Arial" w:cs="Arial"/>
        </w:rPr>
        <w:t>displayed as</w:t>
      </w:r>
      <w:r w:rsidR="00C92CE4">
        <w:rPr>
          <w:rFonts w:ascii="Arial" w:hAnsi="Arial" w:cs="Arial"/>
        </w:rPr>
        <w:t xml:space="preserve"> odds ratio</w:t>
      </w:r>
      <w:r>
        <w:rPr>
          <w:rFonts w:ascii="Arial" w:hAnsi="Arial" w:cs="Arial"/>
        </w:rPr>
        <w:t>, z-values</w:t>
      </w:r>
      <w:r w:rsidR="00C92CE4">
        <w:rPr>
          <w:rFonts w:ascii="Arial" w:hAnsi="Arial" w:cs="Arial"/>
        </w:rPr>
        <w:t xml:space="preserve"> and average marginal effects</w:t>
      </w:r>
      <w:r w:rsidR="00C92CE4">
        <w:rPr>
          <w:rStyle w:val="FootnoteReference"/>
          <w:rFonts w:ascii="Arial" w:hAnsi="Arial" w:cs="Arial"/>
        </w:rPr>
        <w:footnoteReference w:id="9"/>
      </w:r>
      <w:r w:rsidR="00E15E0C" w:rsidRPr="007F121A">
        <w:rPr>
          <w:rFonts w:ascii="Arial" w:hAnsi="Arial" w:cs="Arial"/>
        </w:rPr>
        <w:t xml:space="preserve"> of home ownership transition</w:t>
      </w:r>
      <w:r>
        <w:rPr>
          <w:rFonts w:ascii="Arial" w:hAnsi="Arial" w:cs="Arial"/>
        </w:rPr>
        <w:t>.</w:t>
      </w:r>
      <w:r w:rsidR="00E15E0C" w:rsidRPr="007F121A">
        <w:rPr>
          <w:rFonts w:ascii="Arial" w:hAnsi="Arial" w:cs="Arial"/>
        </w:rPr>
        <w:t xml:space="preserve"> </w:t>
      </w:r>
      <w:r w:rsidR="00840648" w:rsidRPr="007F121A">
        <w:rPr>
          <w:rFonts w:ascii="Arial" w:hAnsi="Arial" w:cs="Arial"/>
        </w:rPr>
        <w:t>Both</w:t>
      </w:r>
      <w:r w:rsidR="007C6394" w:rsidRPr="007F121A">
        <w:rPr>
          <w:rFonts w:ascii="Arial" w:hAnsi="Arial" w:cs="Arial"/>
        </w:rPr>
        <w:t xml:space="preserve"> models </w:t>
      </w:r>
      <w:r w:rsidR="00840648" w:rsidRPr="007F121A">
        <w:rPr>
          <w:rFonts w:ascii="Arial" w:hAnsi="Arial" w:cs="Arial"/>
        </w:rPr>
        <w:t xml:space="preserve">(1 and 2) </w:t>
      </w:r>
      <w:r w:rsidR="007C6394" w:rsidRPr="007F121A">
        <w:rPr>
          <w:rFonts w:ascii="Arial" w:hAnsi="Arial" w:cs="Arial"/>
        </w:rPr>
        <w:t>are statistically significant</w:t>
      </w:r>
      <w:r w:rsidR="002D5DE7" w:rsidRPr="007F121A">
        <w:rPr>
          <w:rFonts w:ascii="Arial" w:hAnsi="Arial" w:cs="Arial"/>
        </w:rPr>
        <w:t xml:space="preserve"> and they</w:t>
      </w:r>
      <w:r w:rsidR="007D0269" w:rsidRPr="007F121A">
        <w:rPr>
          <w:rFonts w:ascii="Arial" w:hAnsi="Arial" w:cs="Arial"/>
        </w:rPr>
        <w:t xml:space="preserve"> are displayed across three tables. </w:t>
      </w:r>
      <w:r w:rsidR="001119F1" w:rsidRPr="007F121A">
        <w:rPr>
          <w:rFonts w:ascii="Arial" w:hAnsi="Arial" w:cs="Arial"/>
        </w:rPr>
        <w:t>Appendix 2 displays the</w:t>
      </w:r>
      <w:r w:rsidR="00953B85" w:rsidRPr="007F121A">
        <w:rPr>
          <w:rFonts w:ascii="Arial" w:hAnsi="Arial" w:cs="Arial"/>
        </w:rPr>
        <w:t xml:space="preserve"> results from the established </w:t>
      </w:r>
      <w:r w:rsidR="00584284" w:rsidRPr="007F121A">
        <w:rPr>
          <w:rFonts w:ascii="Arial" w:hAnsi="Arial" w:cs="Arial"/>
        </w:rPr>
        <w:t>drivers of tenure transitions in our models. Table 2</w:t>
      </w:r>
      <w:r w:rsidR="00B90EBE" w:rsidRPr="007F121A">
        <w:rPr>
          <w:rFonts w:ascii="Arial" w:hAnsi="Arial" w:cs="Arial"/>
        </w:rPr>
        <w:t xml:space="preserve"> displays the results from the variables of interest without the interaction </w:t>
      </w:r>
      <w:r w:rsidR="006F7570" w:rsidRPr="007F121A">
        <w:rPr>
          <w:rFonts w:ascii="Arial" w:hAnsi="Arial" w:cs="Arial"/>
        </w:rPr>
        <w:t xml:space="preserve">between social capital and levels of </w:t>
      </w:r>
      <w:r w:rsidR="00B06151" w:rsidRPr="007F121A">
        <w:rPr>
          <w:rFonts w:ascii="Arial" w:hAnsi="Arial" w:cs="Arial"/>
        </w:rPr>
        <w:t>perceived job security</w:t>
      </w:r>
      <w:r w:rsidR="00B90EBE" w:rsidRPr="007F121A">
        <w:rPr>
          <w:rFonts w:ascii="Arial" w:hAnsi="Arial" w:cs="Arial"/>
        </w:rPr>
        <w:t>. Lastly, table 3 displays the results from the interaction terms.</w:t>
      </w:r>
      <w:r w:rsidR="0061626E">
        <w:rPr>
          <w:rFonts w:ascii="Arial" w:hAnsi="Arial" w:cs="Arial"/>
        </w:rPr>
        <w:t xml:space="preserve"> From the established drivers of </w:t>
      </w:r>
      <w:r w:rsidR="00051804">
        <w:rPr>
          <w:rFonts w:ascii="Arial" w:hAnsi="Arial" w:cs="Arial"/>
        </w:rPr>
        <w:t xml:space="preserve">tenure transition, economic factors are first considered before other factors. Here, we control for respondents’ wage rate, lower quartile Local Authority District (LAD) house prices and </w:t>
      </w:r>
      <w:r w:rsidR="0026238E">
        <w:rPr>
          <w:rFonts w:ascii="Arial" w:hAnsi="Arial" w:cs="Arial"/>
        </w:rPr>
        <w:t>net</w:t>
      </w:r>
      <w:r w:rsidR="00051804">
        <w:rPr>
          <w:rFonts w:ascii="Arial" w:hAnsi="Arial" w:cs="Arial"/>
        </w:rPr>
        <w:t xml:space="preserve"> rent. </w:t>
      </w:r>
      <w:r w:rsidR="00BA47E2">
        <w:rPr>
          <w:rFonts w:ascii="Arial" w:hAnsi="Arial" w:cs="Arial"/>
        </w:rPr>
        <w:t>Unsurprisingly, t</w:t>
      </w:r>
      <w:r w:rsidR="00051804">
        <w:rPr>
          <w:rFonts w:ascii="Arial" w:hAnsi="Arial" w:cs="Arial"/>
        </w:rPr>
        <w:t>he wage rate shows a positive correlation with home ownership transition</w:t>
      </w:r>
      <w:r w:rsidR="00BA47E2">
        <w:rPr>
          <w:rFonts w:ascii="Arial" w:hAnsi="Arial" w:cs="Arial"/>
        </w:rPr>
        <w:t>. It is significant with about 1 odd with a unit increase in wage rate for both private renters and parental housing stayers to make the same type of transition. The house prices are converted to four quintiles</w:t>
      </w:r>
      <w:r w:rsidR="003D406A">
        <w:rPr>
          <w:rFonts w:ascii="Arial" w:hAnsi="Arial" w:cs="Arial"/>
        </w:rPr>
        <w:t xml:space="preserve"> (representing house price levels)</w:t>
      </w:r>
      <w:r w:rsidR="00BA47E2">
        <w:rPr>
          <w:rFonts w:ascii="Arial" w:hAnsi="Arial" w:cs="Arial"/>
        </w:rPr>
        <w:t xml:space="preserve">, with the lowest quintile as the reference point. We expect that young individuals would normally negotiate in the lower end of the property market. </w:t>
      </w:r>
      <w:r w:rsidR="0026238E">
        <w:rPr>
          <w:rFonts w:ascii="Arial" w:hAnsi="Arial" w:cs="Arial"/>
        </w:rPr>
        <w:t xml:space="preserve">The higher quintiles are negatively correlated with home ownership transition but mostly insignificant. </w:t>
      </w:r>
      <w:r w:rsidR="003D406A">
        <w:rPr>
          <w:rFonts w:ascii="Arial" w:hAnsi="Arial" w:cs="Arial"/>
        </w:rPr>
        <w:t>A</w:t>
      </w:r>
      <w:r w:rsidR="0026238E">
        <w:rPr>
          <w:rFonts w:ascii="Arial" w:hAnsi="Arial" w:cs="Arial"/>
        </w:rPr>
        <w:t xml:space="preserve"> unit increase in the net rent per thousand</w:t>
      </w:r>
      <w:r w:rsidR="003D406A">
        <w:rPr>
          <w:rFonts w:ascii="Arial" w:hAnsi="Arial" w:cs="Arial"/>
        </w:rPr>
        <w:t xml:space="preserve"> for private renters increases their chances of </w:t>
      </w:r>
      <w:r w:rsidR="0026238E">
        <w:rPr>
          <w:rFonts w:ascii="Arial" w:hAnsi="Arial" w:cs="Arial"/>
        </w:rPr>
        <w:t>HO transition by about 1.5 odds. Th</w:t>
      </w:r>
      <w:r w:rsidR="007E12FB">
        <w:rPr>
          <w:rFonts w:ascii="Arial" w:hAnsi="Arial" w:cs="Arial"/>
        </w:rPr>
        <w:t>is suggests that the</w:t>
      </w:r>
      <w:r w:rsidR="0026238E">
        <w:rPr>
          <w:rFonts w:ascii="Arial" w:hAnsi="Arial" w:cs="Arial"/>
        </w:rPr>
        <w:t xml:space="preserve"> effect of net rent on home ownership could be either positive or negative, </w:t>
      </w:r>
      <w:r w:rsidR="007E12FB">
        <w:rPr>
          <w:rFonts w:ascii="Arial" w:hAnsi="Arial" w:cs="Arial"/>
        </w:rPr>
        <w:t>depending on the group concerned. For young private renters, they</w:t>
      </w:r>
      <w:r w:rsidR="0026238E">
        <w:rPr>
          <w:rFonts w:ascii="Arial" w:hAnsi="Arial" w:cs="Arial"/>
        </w:rPr>
        <w:t xml:space="preserve"> are likely to cons</w:t>
      </w:r>
      <w:r w:rsidR="003D406A">
        <w:rPr>
          <w:rFonts w:ascii="Arial" w:hAnsi="Arial" w:cs="Arial"/>
        </w:rPr>
        <w:t xml:space="preserve">ider </w:t>
      </w:r>
      <w:r w:rsidR="003D406A">
        <w:rPr>
          <w:rFonts w:ascii="Arial" w:hAnsi="Arial" w:cs="Arial"/>
        </w:rPr>
        <w:lastRenderedPageBreak/>
        <w:t xml:space="preserve">home ownership as rents increase or they may become stuck in the sector. </w:t>
      </w:r>
      <w:r w:rsidR="007E12FB">
        <w:rPr>
          <w:rFonts w:ascii="Arial" w:hAnsi="Arial" w:cs="Arial"/>
        </w:rPr>
        <w:t xml:space="preserve">PH stayers, on the other hand, are likely to hold off longer or get assistance. </w:t>
      </w:r>
    </w:p>
    <w:p w14:paraId="675C2219" w14:textId="77777777" w:rsidR="00B611F0" w:rsidRDefault="00B611F0" w:rsidP="007F121A">
      <w:pPr>
        <w:spacing w:after="240" w:line="360" w:lineRule="auto"/>
        <w:jc w:val="both"/>
        <w:rPr>
          <w:rFonts w:ascii="Arial" w:hAnsi="Arial" w:cs="Arial"/>
        </w:rPr>
        <w:sectPr w:rsidR="00B611F0">
          <w:footerReference w:type="default" r:id="rId9"/>
          <w:pgSz w:w="12240" w:h="15840"/>
          <w:pgMar w:top="1440" w:right="1440" w:bottom="1440" w:left="1440" w:header="720" w:footer="720" w:gutter="0"/>
          <w:pgNumType w:start="1"/>
          <w:cols w:space="720"/>
        </w:sectPr>
      </w:pPr>
    </w:p>
    <w:tbl>
      <w:tblPr>
        <w:tblW w:w="12055" w:type="dxa"/>
        <w:tblBorders>
          <w:bottom w:val="single" w:sz="4" w:space="0" w:color="auto"/>
        </w:tblBorders>
        <w:tblLook w:val="04A0" w:firstRow="1" w:lastRow="0" w:firstColumn="1" w:lastColumn="0" w:noHBand="0" w:noVBand="1"/>
      </w:tblPr>
      <w:tblGrid>
        <w:gridCol w:w="4142"/>
        <w:gridCol w:w="148"/>
        <w:gridCol w:w="1331"/>
        <w:gridCol w:w="1182"/>
        <w:gridCol w:w="1034"/>
        <w:gridCol w:w="810"/>
        <w:gridCol w:w="1134"/>
        <w:gridCol w:w="1136"/>
        <w:gridCol w:w="1138"/>
      </w:tblGrid>
      <w:tr w:rsidR="000B53D6" w:rsidRPr="009F0838" w14:paraId="1D9823FE" w14:textId="77777777" w:rsidTr="00F0149E">
        <w:trPr>
          <w:trHeight w:val="287"/>
        </w:trPr>
        <w:tc>
          <w:tcPr>
            <w:tcW w:w="4290" w:type="dxa"/>
            <w:gridSpan w:val="2"/>
            <w:shd w:val="clear" w:color="auto" w:fill="auto"/>
            <w:noWrap/>
            <w:vAlign w:val="bottom"/>
            <w:hideMark/>
          </w:tcPr>
          <w:p w14:paraId="78D31467" w14:textId="77777777" w:rsidR="00017AFD" w:rsidRPr="00017AFD" w:rsidRDefault="00017AFD" w:rsidP="00017AFD">
            <w:pPr>
              <w:spacing w:after="0" w:line="240" w:lineRule="auto"/>
              <w:rPr>
                <w:rFonts w:ascii="Arial" w:eastAsia="Times New Roman" w:hAnsi="Arial" w:cs="Arial"/>
                <w:b/>
                <w:sz w:val="24"/>
                <w:szCs w:val="24"/>
                <w:lang w:val="en-GB"/>
              </w:rPr>
            </w:pPr>
          </w:p>
        </w:tc>
        <w:tc>
          <w:tcPr>
            <w:tcW w:w="1331" w:type="dxa"/>
            <w:shd w:val="clear" w:color="auto" w:fill="auto"/>
            <w:noWrap/>
            <w:vAlign w:val="bottom"/>
            <w:hideMark/>
          </w:tcPr>
          <w:p w14:paraId="54C2B93D" w14:textId="77777777" w:rsidR="00017AFD" w:rsidRPr="00017AFD" w:rsidRDefault="00017AFD" w:rsidP="00017AFD">
            <w:pPr>
              <w:spacing w:after="0" w:line="240" w:lineRule="auto"/>
              <w:rPr>
                <w:rFonts w:ascii="Arial" w:eastAsia="Times New Roman" w:hAnsi="Arial" w:cs="Arial"/>
                <w:b/>
                <w:sz w:val="20"/>
                <w:szCs w:val="20"/>
                <w:lang w:val="en-GB"/>
              </w:rPr>
            </w:pPr>
          </w:p>
        </w:tc>
        <w:tc>
          <w:tcPr>
            <w:tcW w:w="1182" w:type="dxa"/>
            <w:shd w:val="clear" w:color="auto" w:fill="auto"/>
            <w:noWrap/>
            <w:vAlign w:val="bottom"/>
            <w:hideMark/>
          </w:tcPr>
          <w:p w14:paraId="4D4942E2" w14:textId="77777777" w:rsidR="00017AFD" w:rsidRPr="00017AFD" w:rsidRDefault="00017AFD" w:rsidP="00017AFD">
            <w:pPr>
              <w:spacing w:after="0" w:line="240" w:lineRule="auto"/>
              <w:rPr>
                <w:rFonts w:ascii="Arial" w:eastAsia="Times New Roman" w:hAnsi="Arial" w:cs="Arial"/>
                <w:b/>
                <w:color w:val="000000"/>
                <w:lang w:val="en-GB"/>
              </w:rPr>
            </w:pPr>
            <w:r w:rsidRPr="00017AFD">
              <w:rPr>
                <w:rFonts w:ascii="Arial" w:eastAsia="Times New Roman" w:hAnsi="Arial" w:cs="Arial"/>
                <w:b/>
                <w:color w:val="000000"/>
                <w:lang w:val="en-GB"/>
              </w:rPr>
              <w:t>Model 1</w:t>
            </w:r>
          </w:p>
        </w:tc>
        <w:tc>
          <w:tcPr>
            <w:tcW w:w="1034" w:type="dxa"/>
            <w:shd w:val="clear" w:color="auto" w:fill="auto"/>
            <w:noWrap/>
            <w:vAlign w:val="bottom"/>
            <w:hideMark/>
          </w:tcPr>
          <w:p w14:paraId="0E97BD42" w14:textId="77777777" w:rsidR="00017AFD" w:rsidRPr="00017AFD" w:rsidRDefault="00017AFD" w:rsidP="00017AFD">
            <w:pPr>
              <w:spacing w:after="0" w:line="240" w:lineRule="auto"/>
              <w:rPr>
                <w:rFonts w:ascii="Arial" w:eastAsia="Times New Roman" w:hAnsi="Arial" w:cs="Arial"/>
                <w:b/>
                <w:color w:val="000000"/>
                <w:lang w:val="en-GB"/>
              </w:rPr>
            </w:pPr>
          </w:p>
        </w:tc>
        <w:tc>
          <w:tcPr>
            <w:tcW w:w="810" w:type="dxa"/>
            <w:shd w:val="clear" w:color="auto" w:fill="auto"/>
            <w:noWrap/>
            <w:vAlign w:val="bottom"/>
            <w:hideMark/>
          </w:tcPr>
          <w:p w14:paraId="6E4448B1" w14:textId="77777777" w:rsidR="00017AFD" w:rsidRPr="00017AFD" w:rsidRDefault="00017AFD" w:rsidP="00017AFD">
            <w:pPr>
              <w:spacing w:after="0" w:line="240" w:lineRule="auto"/>
              <w:rPr>
                <w:rFonts w:ascii="Arial" w:eastAsia="Times New Roman" w:hAnsi="Arial" w:cs="Arial"/>
                <w:b/>
                <w:sz w:val="20"/>
                <w:szCs w:val="20"/>
                <w:lang w:val="en-GB"/>
              </w:rPr>
            </w:pPr>
          </w:p>
        </w:tc>
        <w:tc>
          <w:tcPr>
            <w:tcW w:w="1134" w:type="dxa"/>
            <w:shd w:val="clear" w:color="auto" w:fill="auto"/>
            <w:noWrap/>
            <w:vAlign w:val="bottom"/>
            <w:hideMark/>
          </w:tcPr>
          <w:p w14:paraId="4CA5A596" w14:textId="77777777" w:rsidR="00017AFD" w:rsidRPr="00017AFD" w:rsidRDefault="00017AFD" w:rsidP="00017AFD">
            <w:pPr>
              <w:spacing w:after="0" w:line="240" w:lineRule="auto"/>
              <w:rPr>
                <w:rFonts w:ascii="Arial" w:eastAsia="Times New Roman" w:hAnsi="Arial" w:cs="Arial"/>
                <w:b/>
                <w:sz w:val="20"/>
                <w:szCs w:val="20"/>
                <w:lang w:val="en-GB"/>
              </w:rPr>
            </w:pPr>
          </w:p>
        </w:tc>
        <w:tc>
          <w:tcPr>
            <w:tcW w:w="1136" w:type="dxa"/>
            <w:shd w:val="clear" w:color="auto" w:fill="auto"/>
            <w:noWrap/>
            <w:vAlign w:val="bottom"/>
            <w:hideMark/>
          </w:tcPr>
          <w:p w14:paraId="09CE4BEE" w14:textId="77777777" w:rsidR="00017AFD" w:rsidRPr="00017AFD" w:rsidRDefault="00017AFD" w:rsidP="00017AFD">
            <w:pPr>
              <w:spacing w:after="0" w:line="240" w:lineRule="auto"/>
              <w:rPr>
                <w:rFonts w:ascii="Arial" w:eastAsia="Times New Roman" w:hAnsi="Arial" w:cs="Arial"/>
                <w:b/>
                <w:color w:val="000000"/>
                <w:lang w:val="en-GB"/>
              </w:rPr>
            </w:pPr>
            <w:r w:rsidRPr="00017AFD">
              <w:rPr>
                <w:rFonts w:ascii="Arial" w:eastAsia="Times New Roman" w:hAnsi="Arial" w:cs="Arial"/>
                <w:b/>
                <w:color w:val="000000"/>
                <w:lang w:val="en-GB"/>
              </w:rPr>
              <w:t>Model 2</w:t>
            </w:r>
          </w:p>
        </w:tc>
        <w:tc>
          <w:tcPr>
            <w:tcW w:w="1138" w:type="dxa"/>
            <w:shd w:val="clear" w:color="auto" w:fill="auto"/>
            <w:noWrap/>
            <w:vAlign w:val="bottom"/>
            <w:hideMark/>
          </w:tcPr>
          <w:p w14:paraId="4A43942B" w14:textId="77777777" w:rsidR="00017AFD" w:rsidRPr="00017AFD" w:rsidRDefault="00017AFD" w:rsidP="00017AFD">
            <w:pPr>
              <w:spacing w:after="0" w:line="240" w:lineRule="auto"/>
              <w:rPr>
                <w:rFonts w:ascii="Arial" w:eastAsia="Times New Roman" w:hAnsi="Arial" w:cs="Arial"/>
                <w:b/>
                <w:color w:val="000000"/>
                <w:lang w:val="en-GB"/>
              </w:rPr>
            </w:pPr>
          </w:p>
        </w:tc>
      </w:tr>
      <w:tr w:rsidR="00B3068F" w:rsidRPr="00017AFD" w14:paraId="499ACB02" w14:textId="77777777" w:rsidTr="00F0149E">
        <w:trPr>
          <w:trHeight w:val="287"/>
        </w:trPr>
        <w:tc>
          <w:tcPr>
            <w:tcW w:w="4290" w:type="dxa"/>
            <w:gridSpan w:val="2"/>
            <w:shd w:val="clear" w:color="auto" w:fill="auto"/>
            <w:noWrap/>
            <w:vAlign w:val="bottom"/>
            <w:hideMark/>
          </w:tcPr>
          <w:p w14:paraId="70A9901A" w14:textId="77777777" w:rsidR="00017AFD" w:rsidRPr="00017AFD" w:rsidRDefault="00017AFD" w:rsidP="00017AFD">
            <w:pPr>
              <w:spacing w:after="0" w:line="240" w:lineRule="auto"/>
              <w:rPr>
                <w:rFonts w:ascii="Arial" w:eastAsia="Times New Roman" w:hAnsi="Arial" w:cs="Arial"/>
                <w:sz w:val="20"/>
                <w:szCs w:val="20"/>
                <w:lang w:val="en-GB"/>
              </w:rPr>
            </w:pPr>
          </w:p>
        </w:tc>
        <w:tc>
          <w:tcPr>
            <w:tcW w:w="4357" w:type="dxa"/>
            <w:gridSpan w:val="4"/>
            <w:shd w:val="clear" w:color="auto" w:fill="auto"/>
            <w:noWrap/>
            <w:vAlign w:val="bottom"/>
            <w:hideMark/>
          </w:tcPr>
          <w:p w14:paraId="01487C84" w14:textId="77777777" w:rsidR="009F0838" w:rsidRDefault="00017AFD" w:rsidP="009F0838">
            <w:pPr>
              <w:spacing w:after="0" w:line="240" w:lineRule="auto"/>
              <w:jc w:val="center"/>
              <w:rPr>
                <w:rFonts w:ascii="Arial" w:eastAsia="Times New Roman" w:hAnsi="Arial" w:cs="Arial"/>
                <w:color w:val="000000"/>
                <w:lang w:val="en-GB"/>
              </w:rPr>
            </w:pPr>
            <w:r w:rsidRPr="00017AFD">
              <w:rPr>
                <w:rFonts w:ascii="Arial" w:eastAsia="Times New Roman" w:hAnsi="Arial" w:cs="Arial"/>
                <w:color w:val="000000"/>
                <w:lang w:val="en-GB"/>
              </w:rPr>
              <w:t>PR to OWN transition</w:t>
            </w:r>
          </w:p>
          <w:p w14:paraId="340A2491" w14:textId="15769540" w:rsidR="00017AFD" w:rsidRPr="00017AFD" w:rsidRDefault="00017AFD" w:rsidP="009F0838">
            <w:pPr>
              <w:spacing w:after="0" w:line="240" w:lineRule="auto"/>
              <w:jc w:val="center"/>
              <w:rPr>
                <w:rFonts w:ascii="Arial" w:eastAsia="Times New Roman" w:hAnsi="Arial" w:cs="Arial"/>
                <w:color w:val="000000"/>
                <w:lang w:val="en-GB"/>
              </w:rPr>
            </w:pPr>
            <w:r w:rsidRPr="00017AFD">
              <w:rPr>
                <w:rFonts w:ascii="Arial" w:eastAsia="Times New Roman" w:hAnsi="Arial" w:cs="Arial"/>
                <w:color w:val="000000"/>
                <w:lang w:val="en-GB"/>
              </w:rPr>
              <w:t>(without interactions)</w:t>
            </w:r>
          </w:p>
        </w:tc>
        <w:tc>
          <w:tcPr>
            <w:tcW w:w="3408" w:type="dxa"/>
            <w:gridSpan w:val="3"/>
            <w:tcBorders>
              <w:bottom w:val="nil"/>
            </w:tcBorders>
            <w:shd w:val="clear" w:color="auto" w:fill="auto"/>
            <w:noWrap/>
            <w:vAlign w:val="bottom"/>
            <w:hideMark/>
          </w:tcPr>
          <w:p w14:paraId="676DFE17" w14:textId="77777777" w:rsidR="009F0838" w:rsidRDefault="00017AFD" w:rsidP="009F0838">
            <w:pPr>
              <w:spacing w:after="0" w:line="240" w:lineRule="auto"/>
              <w:jc w:val="center"/>
              <w:rPr>
                <w:rFonts w:ascii="Arial" w:eastAsia="Times New Roman" w:hAnsi="Arial" w:cs="Arial"/>
                <w:color w:val="000000"/>
                <w:lang w:val="en-GB"/>
              </w:rPr>
            </w:pPr>
            <w:r w:rsidRPr="00017AFD">
              <w:rPr>
                <w:rFonts w:ascii="Arial" w:eastAsia="Times New Roman" w:hAnsi="Arial" w:cs="Arial"/>
                <w:color w:val="000000"/>
                <w:lang w:val="en-GB"/>
              </w:rPr>
              <w:t>PH to OWN transition</w:t>
            </w:r>
          </w:p>
          <w:p w14:paraId="0429908B" w14:textId="5FCA1AAB" w:rsidR="00017AFD" w:rsidRPr="00017AFD" w:rsidRDefault="00017AFD" w:rsidP="009F0838">
            <w:pPr>
              <w:spacing w:after="0" w:line="240" w:lineRule="auto"/>
              <w:jc w:val="center"/>
              <w:rPr>
                <w:rFonts w:ascii="Arial" w:eastAsia="Times New Roman" w:hAnsi="Arial" w:cs="Arial"/>
                <w:color w:val="000000"/>
                <w:lang w:val="en-GB"/>
              </w:rPr>
            </w:pPr>
            <w:r w:rsidRPr="00017AFD">
              <w:rPr>
                <w:rFonts w:ascii="Arial" w:eastAsia="Times New Roman" w:hAnsi="Arial" w:cs="Arial"/>
                <w:color w:val="000000"/>
                <w:lang w:val="en-GB"/>
              </w:rPr>
              <w:t>(without interactions)</w:t>
            </w:r>
          </w:p>
        </w:tc>
      </w:tr>
      <w:tr w:rsidR="009F0838" w:rsidRPr="00017AFD" w14:paraId="2B113C5E" w14:textId="77777777" w:rsidTr="00F0149E">
        <w:trPr>
          <w:trHeight w:val="287"/>
        </w:trPr>
        <w:tc>
          <w:tcPr>
            <w:tcW w:w="4142" w:type="dxa"/>
            <w:tcBorders>
              <w:bottom w:val="nil"/>
            </w:tcBorders>
            <w:shd w:val="clear" w:color="auto" w:fill="auto"/>
            <w:noWrap/>
            <w:vAlign w:val="bottom"/>
            <w:hideMark/>
          </w:tcPr>
          <w:p w14:paraId="526AF380" w14:textId="77777777" w:rsidR="00017AFD" w:rsidRPr="00017AFD" w:rsidRDefault="00017AFD" w:rsidP="00017AFD">
            <w:pPr>
              <w:spacing w:after="0" w:line="240" w:lineRule="auto"/>
              <w:rPr>
                <w:rFonts w:ascii="Arial" w:eastAsia="Times New Roman" w:hAnsi="Arial" w:cs="Arial"/>
                <w:b/>
                <w:color w:val="000000"/>
                <w:lang w:val="en-GB"/>
              </w:rPr>
            </w:pPr>
            <w:r w:rsidRPr="00017AFD">
              <w:rPr>
                <w:rFonts w:ascii="Arial" w:eastAsia="Times New Roman" w:hAnsi="Arial" w:cs="Arial"/>
                <w:b/>
                <w:color w:val="000000"/>
                <w:lang w:val="en-GB"/>
              </w:rPr>
              <w:t>Variables of interest</w:t>
            </w:r>
          </w:p>
        </w:tc>
        <w:tc>
          <w:tcPr>
            <w:tcW w:w="1479" w:type="dxa"/>
            <w:gridSpan w:val="2"/>
            <w:tcBorders>
              <w:bottom w:val="single" w:sz="4" w:space="0" w:color="auto"/>
            </w:tcBorders>
            <w:shd w:val="clear" w:color="auto" w:fill="auto"/>
            <w:noWrap/>
            <w:vAlign w:val="bottom"/>
            <w:hideMark/>
          </w:tcPr>
          <w:p w14:paraId="6C0C654A" w14:textId="77777777" w:rsidR="00017AFD" w:rsidRPr="00017AFD" w:rsidRDefault="00017AFD" w:rsidP="00017AFD">
            <w:pPr>
              <w:spacing w:after="0" w:line="240" w:lineRule="auto"/>
              <w:rPr>
                <w:rFonts w:ascii="Arial" w:eastAsia="Times New Roman" w:hAnsi="Arial" w:cs="Arial"/>
                <w:b/>
                <w:color w:val="000000"/>
                <w:lang w:val="en-GB"/>
              </w:rPr>
            </w:pPr>
            <w:r w:rsidRPr="00017AFD">
              <w:rPr>
                <w:rFonts w:ascii="Arial" w:eastAsia="Times New Roman" w:hAnsi="Arial" w:cs="Arial"/>
                <w:b/>
                <w:color w:val="000000"/>
                <w:lang w:val="en-GB"/>
              </w:rPr>
              <w:t>Odds ratio</w:t>
            </w:r>
          </w:p>
        </w:tc>
        <w:tc>
          <w:tcPr>
            <w:tcW w:w="1182" w:type="dxa"/>
            <w:tcBorders>
              <w:bottom w:val="single" w:sz="4" w:space="0" w:color="auto"/>
            </w:tcBorders>
            <w:shd w:val="clear" w:color="auto" w:fill="auto"/>
            <w:noWrap/>
            <w:vAlign w:val="bottom"/>
            <w:hideMark/>
          </w:tcPr>
          <w:p w14:paraId="3296C863" w14:textId="77777777" w:rsidR="00017AFD" w:rsidRPr="00017AFD" w:rsidRDefault="00017AFD" w:rsidP="00017AFD">
            <w:pPr>
              <w:spacing w:after="0" w:line="240" w:lineRule="auto"/>
              <w:rPr>
                <w:rFonts w:ascii="Arial" w:eastAsia="Times New Roman" w:hAnsi="Arial" w:cs="Arial"/>
                <w:b/>
                <w:color w:val="000000"/>
                <w:lang w:val="en-GB"/>
              </w:rPr>
            </w:pPr>
            <w:r w:rsidRPr="00017AFD">
              <w:rPr>
                <w:rFonts w:ascii="Arial" w:eastAsia="Times New Roman" w:hAnsi="Arial" w:cs="Arial"/>
                <w:b/>
                <w:color w:val="000000"/>
                <w:lang w:val="en-GB"/>
              </w:rPr>
              <w:t>z-values</w:t>
            </w:r>
          </w:p>
        </w:tc>
        <w:tc>
          <w:tcPr>
            <w:tcW w:w="1844" w:type="dxa"/>
            <w:gridSpan w:val="2"/>
            <w:tcBorders>
              <w:bottom w:val="single" w:sz="4" w:space="0" w:color="auto"/>
            </w:tcBorders>
            <w:shd w:val="clear" w:color="auto" w:fill="auto"/>
            <w:noWrap/>
            <w:vAlign w:val="bottom"/>
            <w:hideMark/>
          </w:tcPr>
          <w:p w14:paraId="5D924538" w14:textId="77777777" w:rsidR="00017AFD" w:rsidRPr="00017AFD" w:rsidRDefault="00017AFD" w:rsidP="00017AFD">
            <w:pPr>
              <w:spacing w:after="0" w:line="240" w:lineRule="auto"/>
              <w:rPr>
                <w:rFonts w:ascii="Arial" w:eastAsia="Times New Roman" w:hAnsi="Arial" w:cs="Arial"/>
                <w:b/>
                <w:color w:val="000000"/>
                <w:lang w:val="en-GB"/>
              </w:rPr>
            </w:pPr>
            <w:r w:rsidRPr="00017AFD">
              <w:rPr>
                <w:rFonts w:ascii="Arial" w:eastAsia="Times New Roman" w:hAnsi="Arial" w:cs="Arial"/>
                <w:b/>
                <w:color w:val="000000"/>
                <w:lang w:val="en-GB"/>
              </w:rPr>
              <w:t>Marginal effects</w:t>
            </w:r>
          </w:p>
        </w:tc>
        <w:tc>
          <w:tcPr>
            <w:tcW w:w="1134" w:type="dxa"/>
            <w:tcBorders>
              <w:bottom w:val="single" w:sz="4" w:space="0" w:color="auto"/>
            </w:tcBorders>
            <w:shd w:val="clear" w:color="auto" w:fill="auto"/>
            <w:noWrap/>
            <w:vAlign w:val="bottom"/>
            <w:hideMark/>
          </w:tcPr>
          <w:p w14:paraId="4F766B94" w14:textId="77777777" w:rsidR="00017AFD" w:rsidRPr="00017AFD" w:rsidRDefault="00017AFD" w:rsidP="00017AFD">
            <w:pPr>
              <w:spacing w:after="0" w:line="240" w:lineRule="auto"/>
              <w:rPr>
                <w:rFonts w:ascii="Arial" w:eastAsia="Times New Roman" w:hAnsi="Arial" w:cs="Arial"/>
                <w:b/>
                <w:color w:val="000000"/>
                <w:lang w:val="en-GB"/>
              </w:rPr>
            </w:pPr>
            <w:r w:rsidRPr="00017AFD">
              <w:rPr>
                <w:rFonts w:ascii="Arial" w:eastAsia="Times New Roman" w:hAnsi="Arial" w:cs="Arial"/>
                <w:b/>
                <w:color w:val="000000"/>
                <w:lang w:val="en-GB"/>
              </w:rPr>
              <w:t>Odds ratio</w:t>
            </w:r>
          </w:p>
        </w:tc>
        <w:tc>
          <w:tcPr>
            <w:tcW w:w="1136" w:type="dxa"/>
            <w:tcBorders>
              <w:bottom w:val="single" w:sz="4" w:space="0" w:color="auto"/>
            </w:tcBorders>
            <w:shd w:val="clear" w:color="auto" w:fill="auto"/>
            <w:noWrap/>
            <w:vAlign w:val="bottom"/>
            <w:hideMark/>
          </w:tcPr>
          <w:p w14:paraId="0D09FEBC" w14:textId="77777777" w:rsidR="00017AFD" w:rsidRPr="00017AFD" w:rsidRDefault="00017AFD" w:rsidP="00017AFD">
            <w:pPr>
              <w:spacing w:after="0" w:line="240" w:lineRule="auto"/>
              <w:rPr>
                <w:rFonts w:ascii="Arial" w:eastAsia="Times New Roman" w:hAnsi="Arial" w:cs="Arial"/>
                <w:b/>
                <w:color w:val="000000"/>
                <w:lang w:val="en-GB"/>
              </w:rPr>
            </w:pPr>
            <w:r w:rsidRPr="00017AFD">
              <w:rPr>
                <w:rFonts w:ascii="Arial" w:eastAsia="Times New Roman" w:hAnsi="Arial" w:cs="Arial"/>
                <w:b/>
                <w:color w:val="000000"/>
                <w:lang w:val="en-GB"/>
              </w:rPr>
              <w:t>z-values</w:t>
            </w:r>
          </w:p>
        </w:tc>
        <w:tc>
          <w:tcPr>
            <w:tcW w:w="1138" w:type="dxa"/>
            <w:tcBorders>
              <w:bottom w:val="single" w:sz="4" w:space="0" w:color="auto"/>
            </w:tcBorders>
            <w:shd w:val="clear" w:color="auto" w:fill="auto"/>
            <w:noWrap/>
            <w:vAlign w:val="bottom"/>
            <w:hideMark/>
          </w:tcPr>
          <w:p w14:paraId="537E3056" w14:textId="77777777" w:rsidR="00017AFD" w:rsidRPr="00017AFD" w:rsidRDefault="00017AFD" w:rsidP="00017AFD">
            <w:pPr>
              <w:spacing w:after="0" w:line="240" w:lineRule="auto"/>
              <w:rPr>
                <w:rFonts w:ascii="Arial" w:eastAsia="Times New Roman" w:hAnsi="Arial" w:cs="Arial"/>
                <w:b/>
                <w:color w:val="000000"/>
                <w:lang w:val="en-GB"/>
              </w:rPr>
            </w:pPr>
            <w:r w:rsidRPr="00017AFD">
              <w:rPr>
                <w:rFonts w:ascii="Arial" w:eastAsia="Times New Roman" w:hAnsi="Arial" w:cs="Arial"/>
                <w:b/>
                <w:color w:val="000000"/>
                <w:lang w:val="en-GB"/>
              </w:rPr>
              <w:t>Marginal effects</w:t>
            </w:r>
          </w:p>
        </w:tc>
      </w:tr>
      <w:tr w:rsidR="000B53D6" w:rsidRPr="00017AFD" w14:paraId="6813C0E9" w14:textId="77777777" w:rsidTr="00F0149E">
        <w:trPr>
          <w:trHeight w:val="287"/>
        </w:trPr>
        <w:tc>
          <w:tcPr>
            <w:tcW w:w="4142" w:type="dxa"/>
            <w:tcBorders>
              <w:top w:val="nil"/>
            </w:tcBorders>
            <w:shd w:val="clear" w:color="auto" w:fill="auto"/>
            <w:noWrap/>
            <w:vAlign w:val="bottom"/>
            <w:hideMark/>
          </w:tcPr>
          <w:p w14:paraId="4F45B5EB" w14:textId="77777777" w:rsidR="00017AFD" w:rsidRPr="00017AFD" w:rsidRDefault="00017AFD" w:rsidP="00017AFD">
            <w:pPr>
              <w:spacing w:after="0" w:line="240" w:lineRule="auto"/>
              <w:rPr>
                <w:rFonts w:ascii="Arial" w:eastAsia="Times New Roman" w:hAnsi="Arial" w:cs="Arial"/>
                <w:color w:val="000000"/>
                <w:lang w:val="en-GB"/>
              </w:rPr>
            </w:pPr>
          </w:p>
        </w:tc>
        <w:tc>
          <w:tcPr>
            <w:tcW w:w="1479" w:type="dxa"/>
            <w:gridSpan w:val="2"/>
            <w:tcBorders>
              <w:top w:val="single" w:sz="4" w:space="0" w:color="auto"/>
            </w:tcBorders>
            <w:shd w:val="clear" w:color="auto" w:fill="auto"/>
            <w:noWrap/>
            <w:vAlign w:val="bottom"/>
            <w:hideMark/>
          </w:tcPr>
          <w:p w14:paraId="4060D50F" w14:textId="77777777" w:rsidR="00017AFD" w:rsidRPr="00017AFD" w:rsidRDefault="00017AFD" w:rsidP="00017AFD">
            <w:pPr>
              <w:spacing w:after="0" w:line="240" w:lineRule="auto"/>
              <w:rPr>
                <w:rFonts w:ascii="Arial" w:eastAsia="Times New Roman" w:hAnsi="Arial" w:cs="Arial"/>
                <w:b/>
                <w:sz w:val="20"/>
                <w:szCs w:val="20"/>
                <w:lang w:val="en-GB"/>
              </w:rPr>
            </w:pPr>
          </w:p>
        </w:tc>
        <w:tc>
          <w:tcPr>
            <w:tcW w:w="1182" w:type="dxa"/>
            <w:tcBorders>
              <w:top w:val="single" w:sz="4" w:space="0" w:color="auto"/>
            </w:tcBorders>
            <w:shd w:val="clear" w:color="auto" w:fill="auto"/>
            <w:noWrap/>
            <w:vAlign w:val="bottom"/>
            <w:hideMark/>
          </w:tcPr>
          <w:p w14:paraId="5DDA6E60" w14:textId="77777777" w:rsidR="00017AFD" w:rsidRPr="00017AFD" w:rsidRDefault="00017AFD" w:rsidP="00017AFD">
            <w:pPr>
              <w:spacing w:after="0" w:line="240" w:lineRule="auto"/>
              <w:rPr>
                <w:rFonts w:ascii="Arial" w:eastAsia="Times New Roman" w:hAnsi="Arial" w:cs="Arial"/>
                <w:b/>
                <w:sz w:val="20"/>
                <w:szCs w:val="20"/>
                <w:lang w:val="en-GB"/>
              </w:rPr>
            </w:pPr>
          </w:p>
        </w:tc>
        <w:tc>
          <w:tcPr>
            <w:tcW w:w="1034" w:type="dxa"/>
            <w:tcBorders>
              <w:top w:val="single" w:sz="4" w:space="0" w:color="auto"/>
            </w:tcBorders>
            <w:shd w:val="clear" w:color="auto" w:fill="auto"/>
            <w:noWrap/>
            <w:vAlign w:val="bottom"/>
            <w:hideMark/>
          </w:tcPr>
          <w:p w14:paraId="1FC92F1F" w14:textId="77777777" w:rsidR="00017AFD" w:rsidRPr="00017AFD" w:rsidRDefault="00017AFD" w:rsidP="00017AFD">
            <w:pPr>
              <w:spacing w:after="0" w:line="240" w:lineRule="auto"/>
              <w:rPr>
                <w:rFonts w:ascii="Arial" w:eastAsia="Times New Roman" w:hAnsi="Arial" w:cs="Arial"/>
                <w:b/>
                <w:sz w:val="20"/>
                <w:szCs w:val="20"/>
                <w:lang w:val="en-GB"/>
              </w:rPr>
            </w:pPr>
          </w:p>
        </w:tc>
        <w:tc>
          <w:tcPr>
            <w:tcW w:w="810" w:type="dxa"/>
            <w:tcBorders>
              <w:top w:val="single" w:sz="4" w:space="0" w:color="auto"/>
            </w:tcBorders>
            <w:shd w:val="clear" w:color="auto" w:fill="auto"/>
            <w:noWrap/>
            <w:vAlign w:val="bottom"/>
            <w:hideMark/>
          </w:tcPr>
          <w:p w14:paraId="04216E5D" w14:textId="77777777" w:rsidR="00017AFD" w:rsidRPr="00017AFD" w:rsidRDefault="00017AFD" w:rsidP="00017AFD">
            <w:pPr>
              <w:spacing w:after="0" w:line="240" w:lineRule="auto"/>
              <w:rPr>
                <w:rFonts w:ascii="Arial" w:eastAsia="Times New Roman" w:hAnsi="Arial" w:cs="Arial"/>
                <w:b/>
                <w:sz w:val="20"/>
                <w:szCs w:val="20"/>
                <w:lang w:val="en-GB"/>
              </w:rPr>
            </w:pPr>
          </w:p>
        </w:tc>
        <w:tc>
          <w:tcPr>
            <w:tcW w:w="1134" w:type="dxa"/>
            <w:tcBorders>
              <w:top w:val="single" w:sz="4" w:space="0" w:color="auto"/>
            </w:tcBorders>
            <w:shd w:val="clear" w:color="auto" w:fill="auto"/>
            <w:noWrap/>
            <w:vAlign w:val="bottom"/>
            <w:hideMark/>
          </w:tcPr>
          <w:p w14:paraId="11939ECF" w14:textId="77777777" w:rsidR="00017AFD" w:rsidRPr="00017AFD" w:rsidRDefault="00017AFD" w:rsidP="00017AFD">
            <w:pPr>
              <w:spacing w:after="0" w:line="240" w:lineRule="auto"/>
              <w:rPr>
                <w:rFonts w:ascii="Arial" w:eastAsia="Times New Roman" w:hAnsi="Arial" w:cs="Arial"/>
                <w:b/>
                <w:sz w:val="20"/>
                <w:szCs w:val="20"/>
                <w:lang w:val="en-GB"/>
              </w:rPr>
            </w:pPr>
          </w:p>
        </w:tc>
        <w:tc>
          <w:tcPr>
            <w:tcW w:w="1136" w:type="dxa"/>
            <w:tcBorders>
              <w:top w:val="single" w:sz="4" w:space="0" w:color="auto"/>
            </w:tcBorders>
            <w:shd w:val="clear" w:color="auto" w:fill="auto"/>
            <w:noWrap/>
            <w:vAlign w:val="bottom"/>
            <w:hideMark/>
          </w:tcPr>
          <w:p w14:paraId="67402771" w14:textId="77777777" w:rsidR="00017AFD" w:rsidRPr="00017AFD" w:rsidRDefault="00017AFD" w:rsidP="00017AFD">
            <w:pPr>
              <w:spacing w:after="0" w:line="240" w:lineRule="auto"/>
              <w:rPr>
                <w:rFonts w:ascii="Arial" w:eastAsia="Times New Roman" w:hAnsi="Arial" w:cs="Arial"/>
                <w:b/>
                <w:sz w:val="20"/>
                <w:szCs w:val="20"/>
                <w:lang w:val="en-GB"/>
              </w:rPr>
            </w:pPr>
          </w:p>
        </w:tc>
        <w:tc>
          <w:tcPr>
            <w:tcW w:w="1138" w:type="dxa"/>
            <w:tcBorders>
              <w:top w:val="single" w:sz="4" w:space="0" w:color="auto"/>
            </w:tcBorders>
            <w:shd w:val="clear" w:color="auto" w:fill="auto"/>
            <w:noWrap/>
            <w:vAlign w:val="bottom"/>
            <w:hideMark/>
          </w:tcPr>
          <w:p w14:paraId="2335F564" w14:textId="77777777" w:rsidR="00017AFD" w:rsidRPr="00017AFD" w:rsidRDefault="00017AFD" w:rsidP="00017AFD">
            <w:pPr>
              <w:spacing w:after="0" w:line="240" w:lineRule="auto"/>
              <w:rPr>
                <w:rFonts w:ascii="Arial" w:eastAsia="Times New Roman" w:hAnsi="Arial" w:cs="Arial"/>
                <w:b/>
                <w:sz w:val="20"/>
                <w:szCs w:val="20"/>
                <w:lang w:val="en-GB"/>
              </w:rPr>
            </w:pPr>
          </w:p>
        </w:tc>
      </w:tr>
      <w:tr w:rsidR="000B53D6" w:rsidRPr="00017AFD" w14:paraId="5FA8B379" w14:textId="77777777" w:rsidTr="00F0149E">
        <w:trPr>
          <w:trHeight w:val="287"/>
        </w:trPr>
        <w:tc>
          <w:tcPr>
            <w:tcW w:w="4290" w:type="dxa"/>
            <w:gridSpan w:val="2"/>
            <w:shd w:val="clear" w:color="auto" w:fill="auto"/>
            <w:noWrap/>
            <w:vAlign w:val="bottom"/>
            <w:hideMark/>
          </w:tcPr>
          <w:p w14:paraId="58DCA4B4" w14:textId="1A207F7F" w:rsidR="00B3068F" w:rsidRPr="00017AFD" w:rsidRDefault="00B3068F" w:rsidP="00B3068F">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Liked neighbourhood</w:t>
            </w:r>
            <w:r w:rsidR="000B53D6" w:rsidRPr="00B611F0">
              <w:rPr>
                <w:rFonts w:ascii="Arial" w:eastAsia="Times New Roman" w:hAnsi="Arial" w:cs="Arial"/>
                <w:i/>
                <w:color w:val="000000"/>
                <w:vertAlign w:val="subscript"/>
                <w:lang w:val="en-GB"/>
              </w:rPr>
              <w:t xml:space="preserve"> t-1</w:t>
            </w:r>
          </w:p>
        </w:tc>
        <w:tc>
          <w:tcPr>
            <w:tcW w:w="1331" w:type="dxa"/>
            <w:shd w:val="clear" w:color="auto" w:fill="auto"/>
            <w:noWrap/>
            <w:vAlign w:val="bottom"/>
            <w:hideMark/>
          </w:tcPr>
          <w:p w14:paraId="23A7631C"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0.586**</w:t>
            </w:r>
          </w:p>
        </w:tc>
        <w:tc>
          <w:tcPr>
            <w:tcW w:w="1182" w:type="dxa"/>
            <w:shd w:val="clear" w:color="auto" w:fill="auto"/>
            <w:noWrap/>
            <w:vAlign w:val="bottom"/>
            <w:hideMark/>
          </w:tcPr>
          <w:p w14:paraId="6791FB37"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-2.04</w:t>
            </w:r>
          </w:p>
        </w:tc>
        <w:tc>
          <w:tcPr>
            <w:tcW w:w="1034" w:type="dxa"/>
            <w:shd w:val="clear" w:color="auto" w:fill="auto"/>
            <w:noWrap/>
            <w:vAlign w:val="bottom"/>
            <w:hideMark/>
          </w:tcPr>
          <w:p w14:paraId="665F6936"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-0.069</w:t>
            </w:r>
          </w:p>
        </w:tc>
        <w:tc>
          <w:tcPr>
            <w:tcW w:w="810" w:type="dxa"/>
            <w:shd w:val="clear" w:color="auto" w:fill="auto"/>
            <w:noWrap/>
            <w:vAlign w:val="bottom"/>
            <w:hideMark/>
          </w:tcPr>
          <w:p w14:paraId="75541C99" w14:textId="77777777" w:rsidR="00B3068F" w:rsidRPr="00017AFD" w:rsidRDefault="00B3068F" w:rsidP="00B3068F">
            <w:pPr>
              <w:spacing w:after="0" w:line="240" w:lineRule="auto"/>
              <w:jc w:val="right"/>
              <w:rPr>
                <w:rFonts w:ascii="Arial" w:eastAsia="Times New Roman" w:hAnsi="Arial" w:cs="Arial"/>
                <w:color w:val="000000"/>
                <w:lang w:val="en-GB"/>
              </w:rPr>
            </w:pPr>
          </w:p>
        </w:tc>
        <w:tc>
          <w:tcPr>
            <w:tcW w:w="1134" w:type="dxa"/>
            <w:shd w:val="clear" w:color="auto" w:fill="auto"/>
            <w:noWrap/>
            <w:vAlign w:val="bottom"/>
            <w:hideMark/>
          </w:tcPr>
          <w:p w14:paraId="36DA0D92"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0.696*</w:t>
            </w:r>
          </w:p>
        </w:tc>
        <w:tc>
          <w:tcPr>
            <w:tcW w:w="1136" w:type="dxa"/>
            <w:shd w:val="clear" w:color="auto" w:fill="auto"/>
            <w:noWrap/>
            <w:vAlign w:val="bottom"/>
            <w:hideMark/>
          </w:tcPr>
          <w:p w14:paraId="66477AC5"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-1.82</w:t>
            </w:r>
          </w:p>
        </w:tc>
        <w:tc>
          <w:tcPr>
            <w:tcW w:w="1138" w:type="dxa"/>
            <w:shd w:val="clear" w:color="auto" w:fill="auto"/>
            <w:noWrap/>
            <w:vAlign w:val="bottom"/>
            <w:hideMark/>
          </w:tcPr>
          <w:p w14:paraId="5F3DC483"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-0.066</w:t>
            </w:r>
          </w:p>
        </w:tc>
      </w:tr>
      <w:tr w:rsidR="000B53D6" w:rsidRPr="00017AFD" w14:paraId="402996A2" w14:textId="77777777" w:rsidTr="00F0149E">
        <w:trPr>
          <w:trHeight w:val="287"/>
        </w:trPr>
        <w:tc>
          <w:tcPr>
            <w:tcW w:w="4290" w:type="dxa"/>
            <w:gridSpan w:val="2"/>
            <w:shd w:val="clear" w:color="auto" w:fill="auto"/>
            <w:noWrap/>
            <w:vAlign w:val="bottom"/>
            <w:hideMark/>
          </w:tcPr>
          <w:p w14:paraId="65FA19A6" w14:textId="0093766B" w:rsidR="00B3068F" w:rsidRPr="00017AFD" w:rsidRDefault="00B3068F" w:rsidP="00B3068F">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Interact with neighbours (med)</w:t>
            </w:r>
            <w:r w:rsidR="000B53D6" w:rsidRPr="00B611F0">
              <w:rPr>
                <w:rFonts w:ascii="Arial" w:eastAsia="Times New Roman" w:hAnsi="Arial" w:cs="Arial"/>
                <w:i/>
                <w:color w:val="000000"/>
                <w:vertAlign w:val="subscript"/>
                <w:lang w:val="en-GB"/>
              </w:rPr>
              <w:t xml:space="preserve"> t-1</w:t>
            </w:r>
            <w:r w:rsidRPr="00D77F14">
              <w:rPr>
                <w:rFonts w:ascii="Arial" w:eastAsia="Times New Roman" w:hAnsi="Arial" w:cs="Arial"/>
                <w:color w:val="000000"/>
                <w:lang w:val="en-GB"/>
              </w:rPr>
              <w:t xml:space="preserve">, </w:t>
            </w:r>
            <w:r w:rsidRPr="009F0838">
              <w:rPr>
                <w:rFonts w:ascii="Arial" w:eastAsia="Times New Roman" w:hAnsi="Arial" w:cs="Arial"/>
                <w:i/>
                <w:color w:val="000000"/>
                <w:lang w:val="en-GB"/>
              </w:rPr>
              <w:t>ref=low</w:t>
            </w:r>
          </w:p>
        </w:tc>
        <w:tc>
          <w:tcPr>
            <w:tcW w:w="1331" w:type="dxa"/>
            <w:shd w:val="clear" w:color="auto" w:fill="auto"/>
            <w:noWrap/>
            <w:vAlign w:val="bottom"/>
            <w:hideMark/>
          </w:tcPr>
          <w:p w14:paraId="46B6D656"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0.523***</w:t>
            </w:r>
          </w:p>
        </w:tc>
        <w:tc>
          <w:tcPr>
            <w:tcW w:w="1182" w:type="dxa"/>
            <w:shd w:val="clear" w:color="auto" w:fill="auto"/>
            <w:noWrap/>
            <w:vAlign w:val="bottom"/>
            <w:hideMark/>
          </w:tcPr>
          <w:p w14:paraId="6F4983B2"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-2.89</w:t>
            </w:r>
          </w:p>
        </w:tc>
        <w:tc>
          <w:tcPr>
            <w:tcW w:w="1034" w:type="dxa"/>
            <w:shd w:val="clear" w:color="auto" w:fill="auto"/>
            <w:noWrap/>
            <w:vAlign w:val="bottom"/>
            <w:hideMark/>
          </w:tcPr>
          <w:p w14:paraId="724E376D"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-0.085</w:t>
            </w:r>
          </w:p>
        </w:tc>
        <w:tc>
          <w:tcPr>
            <w:tcW w:w="810" w:type="dxa"/>
            <w:shd w:val="clear" w:color="auto" w:fill="auto"/>
            <w:noWrap/>
            <w:vAlign w:val="bottom"/>
            <w:hideMark/>
          </w:tcPr>
          <w:p w14:paraId="3DB142DD" w14:textId="77777777" w:rsidR="00B3068F" w:rsidRPr="00017AFD" w:rsidRDefault="00B3068F" w:rsidP="00B3068F">
            <w:pPr>
              <w:spacing w:after="0" w:line="240" w:lineRule="auto"/>
              <w:jc w:val="right"/>
              <w:rPr>
                <w:rFonts w:ascii="Arial" w:eastAsia="Times New Roman" w:hAnsi="Arial" w:cs="Arial"/>
                <w:color w:val="000000"/>
                <w:lang w:val="en-GB"/>
              </w:rPr>
            </w:pPr>
          </w:p>
        </w:tc>
        <w:tc>
          <w:tcPr>
            <w:tcW w:w="1134" w:type="dxa"/>
            <w:shd w:val="clear" w:color="auto" w:fill="auto"/>
            <w:noWrap/>
            <w:vAlign w:val="bottom"/>
            <w:hideMark/>
          </w:tcPr>
          <w:p w14:paraId="545EF246"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0.887</w:t>
            </w:r>
          </w:p>
        </w:tc>
        <w:tc>
          <w:tcPr>
            <w:tcW w:w="1136" w:type="dxa"/>
            <w:shd w:val="clear" w:color="auto" w:fill="auto"/>
            <w:noWrap/>
            <w:vAlign w:val="bottom"/>
            <w:hideMark/>
          </w:tcPr>
          <w:p w14:paraId="59814709"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-0.67</w:t>
            </w:r>
          </w:p>
        </w:tc>
        <w:tc>
          <w:tcPr>
            <w:tcW w:w="1138" w:type="dxa"/>
            <w:shd w:val="clear" w:color="auto" w:fill="auto"/>
            <w:noWrap/>
            <w:vAlign w:val="bottom"/>
            <w:hideMark/>
          </w:tcPr>
          <w:p w14:paraId="4F8F1BC8"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-0.022</w:t>
            </w:r>
          </w:p>
        </w:tc>
      </w:tr>
      <w:tr w:rsidR="000B53D6" w:rsidRPr="00017AFD" w14:paraId="09F209AA" w14:textId="77777777" w:rsidTr="00F0149E">
        <w:trPr>
          <w:trHeight w:val="287"/>
        </w:trPr>
        <w:tc>
          <w:tcPr>
            <w:tcW w:w="4290" w:type="dxa"/>
            <w:gridSpan w:val="2"/>
            <w:shd w:val="clear" w:color="auto" w:fill="auto"/>
            <w:noWrap/>
            <w:vAlign w:val="bottom"/>
            <w:hideMark/>
          </w:tcPr>
          <w:p w14:paraId="16848990" w14:textId="22BD7A0F" w:rsidR="00B3068F" w:rsidRPr="00017AFD" w:rsidRDefault="00B3068F" w:rsidP="00B3068F">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Interact with neighbours (high)</w:t>
            </w:r>
            <w:r w:rsidR="000B53D6" w:rsidRPr="00B611F0">
              <w:rPr>
                <w:rFonts w:ascii="Arial" w:eastAsia="Times New Roman" w:hAnsi="Arial" w:cs="Arial"/>
                <w:i/>
                <w:color w:val="000000"/>
                <w:vertAlign w:val="subscript"/>
                <w:lang w:val="en-GB"/>
              </w:rPr>
              <w:t xml:space="preserve"> t-1</w:t>
            </w:r>
          </w:p>
        </w:tc>
        <w:tc>
          <w:tcPr>
            <w:tcW w:w="1331" w:type="dxa"/>
            <w:shd w:val="clear" w:color="auto" w:fill="auto"/>
            <w:noWrap/>
            <w:vAlign w:val="bottom"/>
            <w:hideMark/>
          </w:tcPr>
          <w:p w14:paraId="759E2271"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0.527***</w:t>
            </w:r>
          </w:p>
        </w:tc>
        <w:tc>
          <w:tcPr>
            <w:tcW w:w="1182" w:type="dxa"/>
            <w:shd w:val="clear" w:color="auto" w:fill="auto"/>
            <w:noWrap/>
            <w:vAlign w:val="bottom"/>
            <w:hideMark/>
          </w:tcPr>
          <w:p w14:paraId="4E9C2DAE"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-3.24</w:t>
            </w:r>
          </w:p>
        </w:tc>
        <w:tc>
          <w:tcPr>
            <w:tcW w:w="1034" w:type="dxa"/>
            <w:shd w:val="clear" w:color="auto" w:fill="auto"/>
            <w:noWrap/>
            <w:vAlign w:val="bottom"/>
            <w:hideMark/>
          </w:tcPr>
          <w:p w14:paraId="589143F3"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-0.084</w:t>
            </w:r>
          </w:p>
        </w:tc>
        <w:tc>
          <w:tcPr>
            <w:tcW w:w="810" w:type="dxa"/>
            <w:shd w:val="clear" w:color="auto" w:fill="auto"/>
            <w:noWrap/>
            <w:vAlign w:val="bottom"/>
            <w:hideMark/>
          </w:tcPr>
          <w:p w14:paraId="57E8B604" w14:textId="77777777" w:rsidR="00B3068F" w:rsidRPr="00017AFD" w:rsidRDefault="00B3068F" w:rsidP="00B3068F">
            <w:pPr>
              <w:spacing w:after="0" w:line="240" w:lineRule="auto"/>
              <w:jc w:val="right"/>
              <w:rPr>
                <w:rFonts w:ascii="Arial" w:eastAsia="Times New Roman" w:hAnsi="Arial" w:cs="Arial"/>
                <w:color w:val="000000"/>
                <w:lang w:val="en-GB"/>
              </w:rPr>
            </w:pPr>
          </w:p>
        </w:tc>
        <w:tc>
          <w:tcPr>
            <w:tcW w:w="1134" w:type="dxa"/>
            <w:shd w:val="clear" w:color="auto" w:fill="auto"/>
            <w:noWrap/>
            <w:vAlign w:val="bottom"/>
            <w:hideMark/>
          </w:tcPr>
          <w:p w14:paraId="159B9125"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0.749*</w:t>
            </w:r>
          </w:p>
        </w:tc>
        <w:tc>
          <w:tcPr>
            <w:tcW w:w="1136" w:type="dxa"/>
            <w:shd w:val="clear" w:color="auto" w:fill="auto"/>
            <w:noWrap/>
            <w:vAlign w:val="bottom"/>
            <w:hideMark/>
          </w:tcPr>
          <w:p w14:paraId="0C1BFC2E"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-1.68</w:t>
            </w:r>
          </w:p>
        </w:tc>
        <w:tc>
          <w:tcPr>
            <w:tcW w:w="1138" w:type="dxa"/>
            <w:shd w:val="clear" w:color="auto" w:fill="auto"/>
            <w:noWrap/>
            <w:vAlign w:val="bottom"/>
            <w:hideMark/>
          </w:tcPr>
          <w:p w14:paraId="28A62BFB"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-0.051</w:t>
            </w:r>
          </w:p>
        </w:tc>
      </w:tr>
      <w:tr w:rsidR="000B53D6" w:rsidRPr="00017AFD" w14:paraId="03BF89E8" w14:textId="77777777" w:rsidTr="00F0149E">
        <w:trPr>
          <w:trHeight w:val="287"/>
        </w:trPr>
        <w:tc>
          <w:tcPr>
            <w:tcW w:w="4290" w:type="dxa"/>
            <w:gridSpan w:val="2"/>
            <w:shd w:val="clear" w:color="auto" w:fill="auto"/>
            <w:noWrap/>
            <w:vAlign w:val="bottom"/>
            <w:hideMark/>
          </w:tcPr>
          <w:p w14:paraId="25696B31" w14:textId="32F5F109" w:rsidR="00B3068F" w:rsidRPr="00017AFD" w:rsidRDefault="00B3068F" w:rsidP="00B3068F">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Active in any local organisation</w:t>
            </w:r>
            <w:r w:rsidR="001A1B67" w:rsidRPr="00B611F0">
              <w:rPr>
                <w:rFonts w:ascii="Arial" w:eastAsia="Times New Roman" w:hAnsi="Arial" w:cs="Arial"/>
                <w:i/>
                <w:color w:val="000000"/>
                <w:vertAlign w:val="subscript"/>
                <w:lang w:val="en-GB"/>
              </w:rPr>
              <w:t xml:space="preserve"> t-1</w:t>
            </w:r>
          </w:p>
        </w:tc>
        <w:tc>
          <w:tcPr>
            <w:tcW w:w="1331" w:type="dxa"/>
            <w:shd w:val="clear" w:color="auto" w:fill="auto"/>
            <w:noWrap/>
            <w:vAlign w:val="bottom"/>
            <w:hideMark/>
          </w:tcPr>
          <w:p w14:paraId="584205A0"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1.509**</w:t>
            </w:r>
          </w:p>
        </w:tc>
        <w:tc>
          <w:tcPr>
            <w:tcW w:w="1182" w:type="dxa"/>
            <w:shd w:val="clear" w:color="auto" w:fill="auto"/>
            <w:noWrap/>
            <w:vAlign w:val="bottom"/>
            <w:hideMark/>
          </w:tcPr>
          <w:p w14:paraId="77DEA842"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2.12</w:t>
            </w:r>
          </w:p>
        </w:tc>
        <w:tc>
          <w:tcPr>
            <w:tcW w:w="1034" w:type="dxa"/>
            <w:shd w:val="clear" w:color="auto" w:fill="auto"/>
            <w:noWrap/>
            <w:vAlign w:val="bottom"/>
            <w:hideMark/>
          </w:tcPr>
          <w:p w14:paraId="33E9E3B7"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0.057</w:t>
            </w:r>
          </w:p>
        </w:tc>
        <w:tc>
          <w:tcPr>
            <w:tcW w:w="810" w:type="dxa"/>
            <w:shd w:val="clear" w:color="auto" w:fill="auto"/>
            <w:noWrap/>
            <w:vAlign w:val="bottom"/>
            <w:hideMark/>
          </w:tcPr>
          <w:p w14:paraId="2ED1A126" w14:textId="77777777" w:rsidR="00B3068F" w:rsidRPr="00017AFD" w:rsidRDefault="00B3068F" w:rsidP="00B3068F">
            <w:pPr>
              <w:spacing w:after="0" w:line="240" w:lineRule="auto"/>
              <w:jc w:val="right"/>
              <w:rPr>
                <w:rFonts w:ascii="Arial" w:eastAsia="Times New Roman" w:hAnsi="Arial" w:cs="Arial"/>
                <w:color w:val="000000"/>
                <w:lang w:val="en-GB"/>
              </w:rPr>
            </w:pPr>
          </w:p>
        </w:tc>
        <w:tc>
          <w:tcPr>
            <w:tcW w:w="1134" w:type="dxa"/>
            <w:shd w:val="clear" w:color="auto" w:fill="auto"/>
            <w:noWrap/>
            <w:vAlign w:val="bottom"/>
            <w:hideMark/>
          </w:tcPr>
          <w:p w14:paraId="3B1FF517"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0.88</w:t>
            </w:r>
          </w:p>
        </w:tc>
        <w:tc>
          <w:tcPr>
            <w:tcW w:w="1136" w:type="dxa"/>
            <w:shd w:val="clear" w:color="auto" w:fill="auto"/>
            <w:noWrap/>
            <w:vAlign w:val="bottom"/>
            <w:hideMark/>
          </w:tcPr>
          <w:p w14:paraId="540A355E"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-0.91</w:t>
            </w:r>
          </w:p>
        </w:tc>
        <w:tc>
          <w:tcPr>
            <w:tcW w:w="1138" w:type="dxa"/>
            <w:shd w:val="clear" w:color="auto" w:fill="auto"/>
            <w:noWrap/>
            <w:vAlign w:val="bottom"/>
            <w:hideMark/>
          </w:tcPr>
          <w:p w14:paraId="26AE31F7"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-0.022</w:t>
            </w:r>
          </w:p>
        </w:tc>
      </w:tr>
      <w:tr w:rsidR="000B53D6" w:rsidRPr="00017AFD" w14:paraId="0809E60F" w14:textId="77777777" w:rsidTr="00F0149E">
        <w:trPr>
          <w:trHeight w:val="287"/>
        </w:trPr>
        <w:tc>
          <w:tcPr>
            <w:tcW w:w="4290" w:type="dxa"/>
            <w:gridSpan w:val="2"/>
            <w:shd w:val="clear" w:color="auto" w:fill="auto"/>
            <w:noWrap/>
            <w:vAlign w:val="bottom"/>
            <w:hideMark/>
          </w:tcPr>
          <w:p w14:paraId="661A2D18" w14:textId="732A4E8D" w:rsidR="00B3068F" w:rsidRPr="00017AFD" w:rsidRDefault="00B3068F" w:rsidP="00B3068F">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Contact with parent (med)*</w:t>
            </w:r>
            <w:r w:rsidR="001A1B67" w:rsidRPr="00B611F0">
              <w:rPr>
                <w:rFonts w:ascii="Arial" w:eastAsia="Times New Roman" w:hAnsi="Arial" w:cs="Arial"/>
                <w:i/>
                <w:color w:val="000000"/>
                <w:vertAlign w:val="subscript"/>
                <w:lang w:val="en-GB"/>
              </w:rPr>
              <w:t xml:space="preserve"> t-1</w:t>
            </w:r>
            <w:r w:rsidRPr="00D77F14">
              <w:rPr>
                <w:rFonts w:ascii="Arial" w:eastAsia="Times New Roman" w:hAnsi="Arial" w:cs="Arial"/>
                <w:color w:val="000000"/>
                <w:lang w:val="en-GB"/>
              </w:rPr>
              <w:t xml:space="preserve">, </w:t>
            </w:r>
            <w:r w:rsidRPr="009F0838">
              <w:rPr>
                <w:rFonts w:ascii="Arial" w:eastAsia="Times New Roman" w:hAnsi="Arial" w:cs="Arial"/>
                <w:i/>
                <w:color w:val="000000"/>
                <w:lang w:val="en-GB"/>
              </w:rPr>
              <w:t>ref=low</w:t>
            </w:r>
          </w:p>
        </w:tc>
        <w:tc>
          <w:tcPr>
            <w:tcW w:w="1331" w:type="dxa"/>
            <w:shd w:val="clear" w:color="auto" w:fill="auto"/>
            <w:noWrap/>
            <w:vAlign w:val="bottom"/>
            <w:hideMark/>
          </w:tcPr>
          <w:p w14:paraId="1540EB2E"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1.311</w:t>
            </w:r>
          </w:p>
        </w:tc>
        <w:tc>
          <w:tcPr>
            <w:tcW w:w="1182" w:type="dxa"/>
            <w:shd w:val="clear" w:color="auto" w:fill="auto"/>
            <w:noWrap/>
            <w:vAlign w:val="bottom"/>
            <w:hideMark/>
          </w:tcPr>
          <w:p w14:paraId="768B080B"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1.41</w:t>
            </w:r>
          </w:p>
        </w:tc>
        <w:tc>
          <w:tcPr>
            <w:tcW w:w="1034" w:type="dxa"/>
            <w:shd w:val="clear" w:color="auto" w:fill="auto"/>
            <w:noWrap/>
            <w:vAlign w:val="bottom"/>
            <w:hideMark/>
          </w:tcPr>
          <w:p w14:paraId="4EC08103"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0.040</w:t>
            </w:r>
          </w:p>
        </w:tc>
        <w:tc>
          <w:tcPr>
            <w:tcW w:w="810" w:type="dxa"/>
            <w:shd w:val="clear" w:color="auto" w:fill="auto"/>
            <w:noWrap/>
            <w:vAlign w:val="bottom"/>
            <w:hideMark/>
          </w:tcPr>
          <w:p w14:paraId="4A222309" w14:textId="77777777" w:rsidR="00B3068F" w:rsidRPr="00017AFD" w:rsidRDefault="00B3068F" w:rsidP="00B3068F">
            <w:pPr>
              <w:spacing w:after="0" w:line="240" w:lineRule="auto"/>
              <w:jc w:val="right"/>
              <w:rPr>
                <w:rFonts w:ascii="Arial" w:eastAsia="Times New Roman" w:hAnsi="Arial" w:cs="Arial"/>
                <w:color w:val="000000"/>
                <w:lang w:val="en-GB"/>
              </w:rPr>
            </w:pPr>
          </w:p>
        </w:tc>
        <w:tc>
          <w:tcPr>
            <w:tcW w:w="1134" w:type="dxa"/>
            <w:shd w:val="clear" w:color="auto" w:fill="auto"/>
            <w:noWrap/>
            <w:vAlign w:val="bottom"/>
            <w:hideMark/>
          </w:tcPr>
          <w:p w14:paraId="1AA6ED09" w14:textId="77777777" w:rsidR="00B3068F" w:rsidRPr="00017AFD" w:rsidRDefault="00B3068F" w:rsidP="00B3068F">
            <w:pPr>
              <w:spacing w:after="0" w:line="240" w:lineRule="auto"/>
              <w:rPr>
                <w:rFonts w:ascii="Arial" w:eastAsia="Times New Roman" w:hAnsi="Arial" w:cs="Arial"/>
                <w:i/>
                <w:color w:val="000000"/>
                <w:lang w:val="en-GB"/>
              </w:rPr>
            </w:pPr>
            <w:r w:rsidRPr="00017AFD">
              <w:rPr>
                <w:rFonts w:ascii="Arial" w:eastAsia="Times New Roman" w:hAnsi="Arial" w:cs="Arial"/>
                <w:i/>
                <w:color w:val="000000"/>
                <w:lang w:val="en-GB"/>
              </w:rPr>
              <w:t>n.a.</w:t>
            </w:r>
          </w:p>
        </w:tc>
        <w:tc>
          <w:tcPr>
            <w:tcW w:w="1136" w:type="dxa"/>
            <w:shd w:val="clear" w:color="auto" w:fill="auto"/>
            <w:noWrap/>
            <w:vAlign w:val="bottom"/>
            <w:hideMark/>
          </w:tcPr>
          <w:p w14:paraId="10E020CE" w14:textId="77777777" w:rsidR="00B3068F" w:rsidRPr="00017AFD" w:rsidRDefault="00B3068F" w:rsidP="00B3068F">
            <w:pPr>
              <w:spacing w:after="0" w:line="240" w:lineRule="auto"/>
              <w:jc w:val="right"/>
              <w:rPr>
                <w:rFonts w:ascii="Arial" w:eastAsia="Times New Roman" w:hAnsi="Arial" w:cs="Arial"/>
                <w:i/>
                <w:color w:val="000000"/>
                <w:lang w:val="en-GB"/>
              </w:rPr>
            </w:pPr>
            <w:r w:rsidRPr="00017AFD">
              <w:rPr>
                <w:rFonts w:ascii="Arial" w:eastAsia="Times New Roman" w:hAnsi="Arial" w:cs="Arial"/>
                <w:i/>
                <w:color w:val="000000"/>
                <w:lang w:val="en-GB"/>
              </w:rPr>
              <w:t>n.a.</w:t>
            </w:r>
          </w:p>
        </w:tc>
        <w:tc>
          <w:tcPr>
            <w:tcW w:w="1138" w:type="dxa"/>
            <w:shd w:val="clear" w:color="auto" w:fill="auto"/>
            <w:noWrap/>
            <w:vAlign w:val="bottom"/>
            <w:hideMark/>
          </w:tcPr>
          <w:p w14:paraId="01572A99" w14:textId="77777777" w:rsidR="00B3068F" w:rsidRPr="00017AFD" w:rsidRDefault="00B3068F" w:rsidP="00B3068F">
            <w:pPr>
              <w:spacing w:after="0" w:line="240" w:lineRule="auto"/>
              <w:jc w:val="right"/>
              <w:rPr>
                <w:rFonts w:ascii="Arial" w:eastAsia="Times New Roman" w:hAnsi="Arial" w:cs="Arial"/>
                <w:i/>
                <w:color w:val="000000"/>
                <w:lang w:val="en-GB"/>
              </w:rPr>
            </w:pPr>
            <w:r w:rsidRPr="00017AFD">
              <w:rPr>
                <w:rFonts w:ascii="Arial" w:eastAsia="Times New Roman" w:hAnsi="Arial" w:cs="Arial"/>
                <w:i/>
                <w:color w:val="000000"/>
                <w:lang w:val="en-GB"/>
              </w:rPr>
              <w:t>n.a.</w:t>
            </w:r>
          </w:p>
        </w:tc>
      </w:tr>
      <w:tr w:rsidR="000B53D6" w:rsidRPr="00017AFD" w14:paraId="72855DF1" w14:textId="77777777" w:rsidTr="00F0149E">
        <w:trPr>
          <w:trHeight w:val="287"/>
        </w:trPr>
        <w:tc>
          <w:tcPr>
            <w:tcW w:w="4290" w:type="dxa"/>
            <w:gridSpan w:val="2"/>
            <w:shd w:val="clear" w:color="auto" w:fill="auto"/>
            <w:noWrap/>
            <w:vAlign w:val="bottom"/>
            <w:hideMark/>
          </w:tcPr>
          <w:p w14:paraId="7ECB82F2" w14:textId="3A3D7405" w:rsidR="00B3068F" w:rsidRPr="00017AFD" w:rsidRDefault="00B3068F" w:rsidP="00B3068F">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Contact with parent (high)*</w:t>
            </w:r>
            <w:r w:rsidR="001A1B67" w:rsidRPr="00B611F0">
              <w:rPr>
                <w:rFonts w:ascii="Arial" w:eastAsia="Times New Roman" w:hAnsi="Arial" w:cs="Arial"/>
                <w:i/>
                <w:color w:val="000000"/>
                <w:vertAlign w:val="subscript"/>
                <w:lang w:val="en-GB"/>
              </w:rPr>
              <w:t xml:space="preserve"> t-1</w:t>
            </w:r>
          </w:p>
        </w:tc>
        <w:tc>
          <w:tcPr>
            <w:tcW w:w="1331" w:type="dxa"/>
            <w:shd w:val="clear" w:color="auto" w:fill="auto"/>
            <w:noWrap/>
            <w:vAlign w:val="bottom"/>
            <w:hideMark/>
          </w:tcPr>
          <w:p w14:paraId="606B7DC7"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2.328***</w:t>
            </w:r>
          </w:p>
        </w:tc>
        <w:tc>
          <w:tcPr>
            <w:tcW w:w="1182" w:type="dxa"/>
            <w:shd w:val="clear" w:color="auto" w:fill="auto"/>
            <w:noWrap/>
            <w:vAlign w:val="bottom"/>
            <w:hideMark/>
          </w:tcPr>
          <w:p w14:paraId="16C52744"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3.76</w:t>
            </w:r>
          </w:p>
        </w:tc>
        <w:tc>
          <w:tcPr>
            <w:tcW w:w="1034" w:type="dxa"/>
            <w:shd w:val="clear" w:color="auto" w:fill="auto"/>
            <w:noWrap/>
            <w:vAlign w:val="bottom"/>
            <w:hideMark/>
          </w:tcPr>
          <w:p w14:paraId="24802BBB"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0.115</w:t>
            </w:r>
          </w:p>
        </w:tc>
        <w:tc>
          <w:tcPr>
            <w:tcW w:w="810" w:type="dxa"/>
            <w:shd w:val="clear" w:color="auto" w:fill="auto"/>
            <w:noWrap/>
            <w:vAlign w:val="bottom"/>
            <w:hideMark/>
          </w:tcPr>
          <w:p w14:paraId="641A581C" w14:textId="77777777" w:rsidR="00B3068F" w:rsidRPr="00017AFD" w:rsidRDefault="00B3068F" w:rsidP="00B3068F">
            <w:pPr>
              <w:spacing w:after="0" w:line="240" w:lineRule="auto"/>
              <w:jc w:val="right"/>
              <w:rPr>
                <w:rFonts w:ascii="Arial" w:eastAsia="Times New Roman" w:hAnsi="Arial" w:cs="Arial"/>
                <w:color w:val="000000"/>
                <w:lang w:val="en-GB"/>
              </w:rPr>
            </w:pPr>
          </w:p>
        </w:tc>
        <w:tc>
          <w:tcPr>
            <w:tcW w:w="1134" w:type="dxa"/>
            <w:shd w:val="clear" w:color="auto" w:fill="auto"/>
            <w:noWrap/>
            <w:vAlign w:val="bottom"/>
            <w:hideMark/>
          </w:tcPr>
          <w:p w14:paraId="61B30655" w14:textId="77777777" w:rsidR="00B3068F" w:rsidRPr="00017AFD" w:rsidRDefault="00B3068F" w:rsidP="00B3068F">
            <w:pPr>
              <w:spacing w:after="0" w:line="240" w:lineRule="auto"/>
              <w:rPr>
                <w:rFonts w:ascii="Arial" w:eastAsia="Times New Roman" w:hAnsi="Arial" w:cs="Arial"/>
                <w:i/>
                <w:color w:val="000000"/>
                <w:lang w:val="en-GB"/>
              </w:rPr>
            </w:pPr>
            <w:r w:rsidRPr="00017AFD">
              <w:rPr>
                <w:rFonts w:ascii="Arial" w:eastAsia="Times New Roman" w:hAnsi="Arial" w:cs="Arial"/>
                <w:i/>
                <w:color w:val="000000"/>
                <w:lang w:val="en-GB"/>
              </w:rPr>
              <w:t>n.a.</w:t>
            </w:r>
          </w:p>
        </w:tc>
        <w:tc>
          <w:tcPr>
            <w:tcW w:w="1136" w:type="dxa"/>
            <w:shd w:val="clear" w:color="auto" w:fill="auto"/>
            <w:noWrap/>
            <w:vAlign w:val="bottom"/>
            <w:hideMark/>
          </w:tcPr>
          <w:p w14:paraId="2C06D4C1" w14:textId="77777777" w:rsidR="00B3068F" w:rsidRPr="00017AFD" w:rsidRDefault="00B3068F" w:rsidP="00B3068F">
            <w:pPr>
              <w:spacing w:after="0" w:line="240" w:lineRule="auto"/>
              <w:jc w:val="right"/>
              <w:rPr>
                <w:rFonts w:ascii="Arial" w:eastAsia="Times New Roman" w:hAnsi="Arial" w:cs="Arial"/>
                <w:i/>
                <w:color w:val="000000"/>
                <w:lang w:val="en-GB"/>
              </w:rPr>
            </w:pPr>
            <w:r w:rsidRPr="00017AFD">
              <w:rPr>
                <w:rFonts w:ascii="Arial" w:eastAsia="Times New Roman" w:hAnsi="Arial" w:cs="Arial"/>
                <w:i/>
                <w:color w:val="000000"/>
                <w:lang w:val="en-GB"/>
              </w:rPr>
              <w:t>n.a.</w:t>
            </w:r>
          </w:p>
        </w:tc>
        <w:tc>
          <w:tcPr>
            <w:tcW w:w="1138" w:type="dxa"/>
            <w:shd w:val="clear" w:color="auto" w:fill="auto"/>
            <w:noWrap/>
            <w:vAlign w:val="bottom"/>
            <w:hideMark/>
          </w:tcPr>
          <w:p w14:paraId="1D1CBCD8" w14:textId="77777777" w:rsidR="00B3068F" w:rsidRPr="00017AFD" w:rsidRDefault="00B3068F" w:rsidP="00B3068F">
            <w:pPr>
              <w:spacing w:after="0" w:line="240" w:lineRule="auto"/>
              <w:jc w:val="right"/>
              <w:rPr>
                <w:rFonts w:ascii="Arial" w:eastAsia="Times New Roman" w:hAnsi="Arial" w:cs="Arial"/>
                <w:i/>
                <w:color w:val="000000"/>
                <w:lang w:val="en-GB"/>
              </w:rPr>
            </w:pPr>
            <w:r w:rsidRPr="00017AFD">
              <w:rPr>
                <w:rFonts w:ascii="Arial" w:eastAsia="Times New Roman" w:hAnsi="Arial" w:cs="Arial"/>
                <w:i/>
                <w:color w:val="000000"/>
                <w:lang w:val="en-GB"/>
              </w:rPr>
              <w:t>n.a.</w:t>
            </w:r>
          </w:p>
        </w:tc>
      </w:tr>
      <w:tr w:rsidR="000B53D6" w:rsidRPr="00017AFD" w14:paraId="295B5BF0" w14:textId="77777777" w:rsidTr="00F0149E">
        <w:trPr>
          <w:trHeight w:val="287"/>
        </w:trPr>
        <w:tc>
          <w:tcPr>
            <w:tcW w:w="4290" w:type="dxa"/>
            <w:gridSpan w:val="2"/>
            <w:shd w:val="clear" w:color="auto" w:fill="auto"/>
            <w:noWrap/>
            <w:vAlign w:val="bottom"/>
            <w:hideMark/>
          </w:tcPr>
          <w:p w14:paraId="0171DE97" w14:textId="10433502" w:rsidR="00B3068F" w:rsidRPr="00017AFD" w:rsidRDefault="00B3068F" w:rsidP="00B3068F">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Perceived job security (med)</w:t>
            </w:r>
            <w:r w:rsidR="001A1B67" w:rsidRPr="00B611F0">
              <w:rPr>
                <w:rFonts w:ascii="Arial" w:eastAsia="Times New Roman" w:hAnsi="Arial" w:cs="Arial"/>
                <w:i/>
                <w:color w:val="000000"/>
                <w:vertAlign w:val="subscript"/>
                <w:lang w:val="en-GB"/>
              </w:rPr>
              <w:t xml:space="preserve"> t-1</w:t>
            </w:r>
            <w:r w:rsidRPr="00D77F14">
              <w:rPr>
                <w:rFonts w:ascii="Arial" w:eastAsia="Times New Roman" w:hAnsi="Arial" w:cs="Arial"/>
                <w:color w:val="000000"/>
                <w:lang w:val="en-GB"/>
              </w:rPr>
              <w:t xml:space="preserve">, </w:t>
            </w:r>
            <w:r w:rsidRPr="009F0838">
              <w:rPr>
                <w:rFonts w:ascii="Arial" w:eastAsia="Times New Roman" w:hAnsi="Arial" w:cs="Arial"/>
                <w:i/>
                <w:color w:val="000000"/>
                <w:lang w:val="en-GB"/>
              </w:rPr>
              <w:t>ref=low</w:t>
            </w:r>
          </w:p>
        </w:tc>
        <w:tc>
          <w:tcPr>
            <w:tcW w:w="1331" w:type="dxa"/>
            <w:shd w:val="clear" w:color="auto" w:fill="auto"/>
            <w:noWrap/>
            <w:vAlign w:val="bottom"/>
            <w:hideMark/>
          </w:tcPr>
          <w:p w14:paraId="0874FA09"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1.823*</w:t>
            </w:r>
          </w:p>
        </w:tc>
        <w:tc>
          <w:tcPr>
            <w:tcW w:w="1182" w:type="dxa"/>
            <w:shd w:val="clear" w:color="auto" w:fill="auto"/>
            <w:noWrap/>
            <w:vAlign w:val="bottom"/>
            <w:hideMark/>
          </w:tcPr>
          <w:p w14:paraId="0AA8E113"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1.88</w:t>
            </w:r>
          </w:p>
        </w:tc>
        <w:tc>
          <w:tcPr>
            <w:tcW w:w="1034" w:type="dxa"/>
            <w:shd w:val="clear" w:color="auto" w:fill="auto"/>
            <w:noWrap/>
            <w:vAlign w:val="bottom"/>
            <w:hideMark/>
          </w:tcPr>
          <w:p w14:paraId="0BCF3E8E"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0.088</w:t>
            </w:r>
          </w:p>
        </w:tc>
        <w:tc>
          <w:tcPr>
            <w:tcW w:w="810" w:type="dxa"/>
            <w:shd w:val="clear" w:color="auto" w:fill="auto"/>
            <w:noWrap/>
            <w:vAlign w:val="bottom"/>
            <w:hideMark/>
          </w:tcPr>
          <w:p w14:paraId="289F8299" w14:textId="77777777" w:rsidR="00B3068F" w:rsidRPr="00017AFD" w:rsidRDefault="00B3068F" w:rsidP="00B3068F">
            <w:pPr>
              <w:spacing w:after="0" w:line="240" w:lineRule="auto"/>
              <w:jc w:val="right"/>
              <w:rPr>
                <w:rFonts w:ascii="Arial" w:eastAsia="Times New Roman" w:hAnsi="Arial" w:cs="Arial"/>
                <w:color w:val="000000"/>
                <w:lang w:val="en-GB"/>
              </w:rPr>
            </w:pPr>
          </w:p>
        </w:tc>
        <w:tc>
          <w:tcPr>
            <w:tcW w:w="1134" w:type="dxa"/>
            <w:shd w:val="clear" w:color="auto" w:fill="auto"/>
            <w:noWrap/>
            <w:vAlign w:val="bottom"/>
            <w:hideMark/>
          </w:tcPr>
          <w:p w14:paraId="0A6201D6"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0.645</w:t>
            </w:r>
          </w:p>
        </w:tc>
        <w:tc>
          <w:tcPr>
            <w:tcW w:w="1136" w:type="dxa"/>
            <w:shd w:val="clear" w:color="auto" w:fill="auto"/>
            <w:noWrap/>
            <w:vAlign w:val="bottom"/>
            <w:hideMark/>
          </w:tcPr>
          <w:p w14:paraId="6CED2D31"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-1.63</w:t>
            </w:r>
          </w:p>
        </w:tc>
        <w:tc>
          <w:tcPr>
            <w:tcW w:w="1138" w:type="dxa"/>
            <w:shd w:val="clear" w:color="auto" w:fill="auto"/>
            <w:noWrap/>
            <w:vAlign w:val="bottom"/>
            <w:hideMark/>
          </w:tcPr>
          <w:p w14:paraId="61EBAD11"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-0.077</w:t>
            </w:r>
          </w:p>
        </w:tc>
      </w:tr>
      <w:tr w:rsidR="000B53D6" w:rsidRPr="00017AFD" w14:paraId="7AACC922" w14:textId="77777777" w:rsidTr="00F0149E">
        <w:trPr>
          <w:trHeight w:val="287"/>
        </w:trPr>
        <w:tc>
          <w:tcPr>
            <w:tcW w:w="4290" w:type="dxa"/>
            <w:gridSpan w:val="2"/>
            <w:shd w:val="clear" w:color="auto" w:fill="auto"/>
            <w:noWrap/>
            <w:vAlign w:val="bottom"/>
            <w:hideMark/>
          </w:tcPr>
          <w:p w14:paraId="30E2DC35" w14:textId="670C6307" w:rsidR="00B3068F" w:rsidRPr="00017AFD" w:rsidRDefault="00B3068F" w:rsidP="00B3068F">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Perceived job security (high)</w:t>
            </w:r>
            <w:r w:rsidR="001A1B67" w:rsidRPr="00B611F0">
              <w:rPr>
                <w:rFonts w:ascii="Arial" w:eastAsia="Times New Roman" w:hAnsi="Arial" w:cs="Arial"/>
                <w:i/>
                <w:color w:val="000000"/>
                <w:vertAlign w:val="subscript"/>
                <w:lang w:val="en-GB"/>
              </w:rPr>
              <w:t xml:space="preserve"> t-1</w:t>
            </w:r>
          </w:p>
        </w:tc>
        <w:tc>
          <w:tcPr>
            <w:tcW w:w="1331" w:type="dxa"/>
            <w:shd w:val="clear" w:color="auto" w:fill="auto"/>
            <w:noWrap/>
            <w:vAlign w:val="bottom"/>
            <w:hideMark/>
          </w:tcPr>
          <w:p w14:paraId="0A26A4D0"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1.659**</w:t>
            </w:r>
          </w:p>
        </w:tc>
        <w:tc>
          <w:tcPr>
            <w:tcW w:w="1182" w:type="dxa"/>
            <w:shd w:val="clear" w:color="auto" w:fill="auto"/>
            <w:noWrap/>
            <w:vAlign w:val="bottom"/>
            <w:hideMark/>
          </w:tcPr>
          <w:p w14:paraId="078D84F3"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2.56</w:t>
            </w:r>
          </w:p>
        </w:tc>
        <w:tc>
          <w:tcPr>
            <w:tcW w:w="1034" w:type="dxa"/>
            <w:shd w:val="clear" w:color="auto" w:fill="auto"/>
            <w:noWrap/>
            <w:vAlign w:val="bottom"/>
            <w:hideMark/>
          </w:tcPr>
          <w:p w14:paraId="5B321965"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0.075</w:t>
            </w:r>
          </w:p>
        </w:tc>
        <w:tc>
          <w:tcPr>
            <w:tcW w:w="810" w:type="dxa"/>
            <w:shd w:val="clear" w:color="auto" w:fill="auto"/>
            <w:noWrap/>
            <w:vAlign w:val="bottom"/>
            <w:hideMark/>
          </w:tcPr>
          <w:p w14:paraId="2C051D98" w14:textId="77777777" w:rsidR="00B3068F" w:rsidRPr="00017AFD" w:rsidRDefault="00B3068F" w:rsidP="00B3068F">
            <w:pPr>
              <w:spacing w:after="0" w:line="240" w:lineRule="auto"/>
              <w:jc w:val="right"/>
              <w:rPr>
                <w:rFonts w:ascii="Arial" w:eastAsia="Times New Roman" w:hAnsi="Arial" w:cs="Arial"/>
                <w:color w:val="000000"/>
                <w:lang w:val="en-GB"/>
              </w:rPr>
            </w:pPr>
          </w:p>
        </w:tc>
        <w:tc>
          <w:tcPr>
            <w:tcW w:w="1134" w:type="dxa"/>
            <w:shd w:val="clear" w:color="auto" w:fill="auto"/>
            <w:noWrap/>
            <w:vAlign w:val="bottom"/>
            <w:hideMark/>
          </w:tcPr>
          <w:p w14:paraId="5B4D2B41" w14:textId="77777777" w:rsidR="00B3068F" w:rsidRPr="00017AFD" w:rsidRDefault="00B3068F" w:rsidP="00B3068F">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0.719</w:t>
            </w:r>
          </w:p>
        </w:tc>
        <w:tc>
          <w:tcPr>
            <w:tcW w:w="1136" w:type="dxa"/>
            <w:shd w:val="clear" w:color="auto" w:fill="auto"/>
            <w:noWrap/>
            <w:vAlign w:val="bottom"/>
            <w:hideMark/>
          </w:tcPr>
          <w:p w14:paraId="3A81510D"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-2.37</w:t>
            </w:r>
          </w:p>
        </w:tc>
        <w:tc>
          <w:tcPr>
            <w:tcW w:w="1138" w:type="dxa"/>
            <w:shd w:val="clear" w:color="auto" w:fill="auto"/>
            <w:noWrap/>
            <w:vAlign w:val="bottom"/>
            <w:hideMark/>
          </w:tcPr>
          <w:p w14:paraId="0E0F43E8" w14:textId="77777777" w:rsidR="00B3068F" w:rsidRPr="00017AFD" w:rsidRDefault="00B3068F" w:rsidP="00B3068F">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-0.058</w:t>
            </w:r>
          </w:p>
        </w:tc>
      </w:tr>
      <w:tr w:rsidR="000B53D6" w:rsidRPr="00017AFD" w14:paraId="1DD62E61" w14:textId="77777777" w:rsidTr="00F0149E">
        <w:trPr>
          <w:trHeight w:val="287"/>
        </w:trPr>
        <w:tc>
          <w:tcPr>
            <w:tcW w:w="4290" w:type="dxa"/>
            <w:gridSpan w:val="2"/>
            <w:shd w:val="clear" w:color="auto" w:fill="auto"/>
            <w:noWrap/>
            <w:vAlign w:val="bottom"/>
            <w:hideMark/>
          </w:tcPr>
          <w:p w14:paraId="51AD23D9" w14:textId="77777777" w:rsidR="00017AFD" w:rsidRPr="00017AFD" w:rsidRDefault="00017AFD" w:rsidP="00017AFD">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New job</w:t>
            </w:r>
          </w:p>
        </w:tc>
        <w:tc>
          <w:tcPr>
            <w:tcW w:w="1331" w:type="dxa"/>
            <w:shd w:val="clear" w:color="auto" w:fill="auto"/>
            <w:noWrap/>
            <w:vAlign w:val="bottom"/>
            <w:hideMark/>
          </w:tcPr>
          <w:p w14:paraId="7A451777" w14:textId="77777777" w:rsidR="00017AFD" w:rsidRPr="00017AFD" w:rsidRDefault="00017AFD" w:rsidP="00017AFD">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1.226</w:t>
            </w:r>
          </w:p>
        </w:tc>
        <w:tc>
          <w:tcPr>
            <w:tcW w:w="1182" w:type="dxa"/>
            <w:shd w:val="clear" w:color="auto" w:fill="auto"/>
            <w:noWrap/>
            <w:vAlign w:val="bottom"/>
            <w:hideMark/>
          </w:tcPr>
          <w:p w14:paraId="47A2360D"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0.89</w:t>
            </w:r>
          </w:p>
        </w:tc>
        <w:tc>
          <w:tcPr>
            <w:tcW w:w="1034" w:type="dxa"/>
            <w:shd w:val="clear" w:color="auto" w:fill="auto"/>
            <w:noWrap/>
            <w:vAlign w:val="bottom"/>
            <w:hideMark/>
          </w:tcPr>
          <w:p w14:paraId="35007A73"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0.028</w:t>
            </w:r>
          </w:p>
        </w:tc>
        <w:tc>
          <w:tcPr>
            <w:tcW w:w="810" w:type="dxa"/>
            <w:shd w:val="clear" w:color="auto" w:fill="auto"/>
            <w:noWrap/>
            <w:vAlign w:val="bottom"/>
            <w:hideMark/>
          </w:tcPr>
          <w:p w14:paraId="6E664C91"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134" w:type="dxa"/>
            <w:shd w:val="clear" w:color="auto" w:fill="auto"/>
            <w:noWrap/>
            <w:vAlign w:val="bottom"/>
            <w:hideMark/>
          </w:tcPr>
          <w:p w14:paraId="659438C1" w14:textId="77777777" w:rsidR="00017AFD" w:rsidRPr="00017AFD" w:rsidRDefault="00017AFD" w:rsidP="00017AFD">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2.014***</w:t>
            </w:r>
          </w:p>
        </w:tc>
        <w:tc>
          <w:tcPr>
            <w:tcW w:w="1136" w:type="dxa"/>
            <w:shd w:val="clear" w:color="auto" w:fill="auto"/>
            <w:noWrap/>
            <w:vAlign w:val="bottom"/>
            <w:hideMark/>
          </w:tcPr>
          <w:p w14:paraId="02523B7A"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4.32</w:t>
            </w:r>
          </w:p>
        </w:tc>
        <w:tc>
          <w:tcPr>
            <w:tcW w:w="1138" w:type="dxa"/>
            <w:shd w:val="clear" w:color="auto" w:fill="auto"/>
            <w:noWrap/>
            <w:vAlign w:val="bottom"/>
            <w:hideMark/>
          </w:tcPr>
          <w:p w14:paraId="27C0785C"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0.133</w:t>
            </w:r>
          </w:p>
        </w:tc>
      </w:tr>
      <w:tr w:rsidR="000B53D6" w:rsidRPr="00017AFD" w14:paraId="30968982" w14:textId="77777777" w:rsidTr="00F0149E">
        <w:trPr>
          <w:trHeight w:val="287"/>
        </w:trPr>
        <w:tc>
          <w:tcPr>
            <w:tcW w:w="4290" w:type="dxa"/>
            <w:gridSpan w:val="2"/>
            <w:tcBorders>
              <w:bottom w:val="single" w:sz="4" w:space="0" w:color="auto"/>
            </w:tcBorders>
            <w:shd w:val="clear" w:color="auto" w:fill="auto"/>
            <w:noWrap/>
            <w:vAlign w:val="bottom"/>
            <w:hideMark/>
          </w:tcPr>
          <w:p w14:paraId="3CBDF842"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331" w:type="dxa"/>
            <w:tcBorders>
              <w:bottom w:val="single" w:sz="4" w:space="0" w:color="auto"/>
            </w:tcBorders>
            <w:shd w:val="clear" w:color="auto" w:fill="auto"/>
            <w:noWrap/>
            <w:vAlign w:val="bottom"/>
            <w:hideMark/>
          </w:tcPr>
          <w:p w14:paraId="5EE9DE95" w14:textId="77777777" w:rsidR="00017AFD" w:rsidRPr="00017AFD" w:rsidRDefault="00017AFD" w:rsidP="00017AFD">
            <w:pPr>
              <w:spacing w:after="0" w:line="240" w:lineRule="auto"/>
              <w:rPr>
                <w:rFonts w:ascii="Arial" w:eastAsia="Times New Roman" w:hAnsi="Arial" w:cs="Arial"/>
                <w:sz w:val="20"/>
                <w:szCs w:val="20"/>
                <w:lang w:val="en-GB"/>
              </w:rPr>
            </w:pPr>
          </w:p>
        </w:tc>
        <w:tc>
          <w:tcPr>
            <w:tcW w:w="1182" w:type="dxa"/>
            <w:tcBorders>
              <w:bottom w:val="single" w:sz="4" w:space="0" w:color="auto"/>
            </w:tcBorders>
            <w:shd w:val="clear" w:color="auto" w:fill="auto"/>
            <w:noWrap/>
            <w:vAlign w:val="bottom"/>
            <w:hideMark/>
          </w:tcPr>
          <w:p w14:paraId="4D0CD577" w14:textId="77777777" w:rsidR="00017AFD" w:rsidRPr="00017AFD" w:rsidRDefault="00017AFD" w:rsidP="00017AFD">
            <w:pPr>
              <w:spacing w:after="0" w:line="240" w:lineRule="auto"/>
              <w:rPr>
                <w:rFonts w:ascii="Arial" w:eastAsia="Times New Roman" w:hAnsi="Arial" w:cs="Arial"/>
                <w:sz w:val="20"/>
                <w:szCs w:val="20"/>
                <w:lang w:val="en-GB"/>
              </w:rPr>
            </w:pPr>
          </w:p>
        </w:tc>
        <w:tc>
          <w:tcPr>
            <w:tcW w:w="1034" w:type="dxa"/>
            <w:tcBorders>
              <w:bottom w:val="single" w:sz="4" w:space="0" w:color="auto"/>
            </w:tcBorders>
            <w:shd w:val="clear" w:color="auto" w:fill="auto"/>
            <w:noWrap/>
            <w:vAlign w:val="bottom"/>
            <w:hideMark/>
          </w:tcPr>
          <w:p w14:paraId="0066202F" w14:textId="77777777" w:rsidR="00017AFD" w:rsidRPr="00017AFD" w:rsidRDefault="00017AFD" w:rsidP="00017AFD">
            <w:pPr>
              <w:spacing w:after="0" w:line="240" w:lineRule="auto"/>
              <w:rPr>
                <w:rFonts w:ascii="Arial" w:eastAsia="Times New Roman" w:hAnsi="Arial" w:cs="Arial"/>
                <w:sz w:val="20"/>
                <w:szCs w:val="20"/>
                <w:lang w:val="en-GB"/>
              </w:rPr>
            </w:pPr>
          </w:p>
        </w:tc>
        <w:tc>
          <w:tcPr>
            <w:tcW w:w="810" w:type="dxa"/>
            <w:tcBorders>
              <w:bottom w:val="single" w:sz="4" w:space="0" w:color="auto"/>
            </w:tcBorders>
            <w:shd w:val="clear" w:color="auto" w:fill="auto"/>
            <w:noWrap/>
            <w:vAlign w:val="bottom"/>
            <w:hideMark/>
          </w:tcPr>
          <w:p w14:paraId="68ED5867"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4" w:type="dxa"/>
            <w:tcBorders>
              <w:bottom w:val="single" w:sz="4" w:space="0" w:color="auto"/>
            </w:tcBorders>
            <w:shd w:val="clear" w:color="auto" w:fill="auto"/>
            <w:noWrap/>
            <w:vAlign w:val="bottom"/>
            <w:hideMark/>
          </w:tcPr>
          <w:p w14:paraId="7465637F"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6" w:type="dxa"/>
            <w:tcBorders>
              <w:bottom w:val="single" w:sz="4" w:space="0" w:color="auto"/>
            </w:tcBorders>
            <w:shd w:val="clear" w:color="auto" w:fill="auto"/>
            <w:noWrap/>
            <w:vAlign w:val="bottom"/>
            <w:hideMark/>
          </w:tcPr>
          <w:p w14:paraId="70A705EE"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8" w:type="dxa"/>
            <w:tcBorders>
              <w:bottom w:val="single" w:sz="4" w:space="0" w:color="auto"/>
            </w:tcBorders>
            <w:shd w:val="clear" w:color="auto" w:fill="auto"/>
            <w:noWrap/>
            <w:vAlign w:val="bottom"/>
            <w:hideMark/>
          </w:tcPr>
          <w:p w14:paraId="529B72F9" w14:textId="77777777" w:rsidR="00017AFD" w:rsidRPr="00017AFD" w:rsidRDefault="00017AFD" w:rsidP="00017AFD">
            <w:pPr>
              <w:spacing w:after="0" w:line="240" w:lineRule="auto"/>
              <w:rPr>
                <w:rFonts w:ascii="Arial" w:eastAsia="Times New Roman" w:hAnsi="Arial" w:cs="Arial"/>
                <w:sz w:val="20"/>
                <w:szCs w:val="20"/>
                <w:lang w:val="en-GB"/>
              </w:rPr>
            </w:pPr>
          </w:p>
        </w:tc>
      </w:tr>
      <w:tr w:rsidR="00F0149E" w:rsidRPr="00017AFD" w14:paraId="2EEB79BC" w14:textId="77777777" w:rsidTr="00F0149E">
        <w:trPr>
          <w:trHeight w:val="287"/>
        </w:trPr>
        <w:tc>
          <w:tcPr>
            <w:tcW w:w="4290" w:type="dxa"/>
            <w:gridSpan w:val="2"/>
            <w:tcBorders>
              <w:top w:val="single" w:sz="4" w:space="0" w:color="auto"/>
              <w:bottom w:val="nil"/>
            </w:tcBorders>
            <w:shd w:val="clear" w:color="auto" w:fill="auto"/>
            <w:noWrap/>
            <w:vAlign w:val="bottom"/>
            <w:hideMark/>
          </w:tcPr>
          <w:p w14:paraId="1A260BE8" w14:textId="77777777" w:rsidR="00F0149E" w:rsidRPr="00017AFD" w:rsidRDefault="00F0149E" w:rsidP="00017AFD">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Log likelihood</w:t>
            </w:r>
          </w:p>
        </w:tc>
        <w:tc>
          <w:tcPr>
            <w:tcW w:w="1331" w:type="dxa"/>
            <w:tcBorders>
              <w:top w:val="single" w:sz="4" w:space="0" w:color="auto"/>
              <w:bottom w:val="nil"/>
            </w:tcBorders>
            <w:shd w:val="clear" w:color="auto" w:fill="auto"/>
            <w:noWrap/>
            <w:vAlign w:val="bottom"/>
            <w:hideMark/>
          </w:tcPr>
          <w:p w14:paraId="40A3884A" w14:textId="77777777" w:rsidR="00F0149E" w:rsidRPr="00017AFD" w:rsidRDefault="00F0149E"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-532.667</w:t>
            </w:r>
          </w:p>
        </w:tc>
        <w:tc>
          <w:tcPr>
            <w:tcW w:w="1182" w:type="dxa"/>
            <w:tcBorders>
              <w:top w:val="single" w:sz="4" w:space="0" w:color="auto"/>
              <w:bottom w:val="nil"/>
            </w:tcBorders>
            <w:shd w:val="clear" w:color="auto" w:fill="auto"/>
            <w:noWrap/>
            <w:vAlign w:val="bottom"/>
            <w:hideMark/>
          </w:tcPr>
          <w:p w14:paraId="5CB063E2" w14:textId="77777777" w:rsidR="00F0149E" w:rsidRPr="00017AFD" w:rsidRDefault="00F0149E" w:rsidP="00017AFD">
            <w:pPr>
              <w:spacing w:after="0" w:line="240" w:lineRule="auto"/>
              <w:jc w:val="right"/>
              <w:rPr>
                <w:rFonts w:ascii="Arial" w:eastAsia="Times New Roman" w:hAnsi="Arial" w:cs="Arial"/>
                <w:color w:val="000000"/>
                <w:lang w:val="en-GB"/>
              </w:rPr>
            </w:pPr>
          </w:p>
        </w:tc>
        <w:tc>
          <w:tcPr>
            <w:tcW w:w="1034" w:type="dxa"/>
            <w:tcBorders>
              <w:top w:val="single" w:sz="4" w:space="0" w:color="auto"/>
              <w:bottom w:val="nil"/>
            </w:tcBorders>
            <w:shd w:val="clear" w:color="auto" w:fill="auto"/>
            <w:noWrap/>
            <w:vAlign w:val="bottom"/>
            <w:hideMark/>
          </w:tcPr>
          <w:p w14:paraId="75F4CF9B" w14:textId="77777777" w:rsidR="00F0149E" w:rsidRPr="00017AFD" w:rsidRDefault="00F0149E" w:rsidP="00017AFD">
            <w:pPr>
              <w:spacing w:after="0" w:line="240" w:lineRule="auto"/>
              <w:rPr>
                <w:rFonts w:ascii="Arial" w:eastAsia="Times New Roman" w:hAnsi="Arial" w:cs="Arial"/>
                <w:sz w:val="20"/>
                <w:szCs w:val="20"/>
                <w:lang w:val="en-GB"/>
              </w:rPr>
            </w:pPr>
          </w:p>
        </w:tc>
        <w:tc>
          <w:tcPr>
            <w:tcW w:w="810" w:type="dxa"/>
            <w:tcBorders>
              <w:top w:val="single" w:sz="4" w:space="0" w:color="auto"/>
              <w:bottom w:val="nil"/>
            </w:tcBorders>
            <w:shd w:val="clear" w:color="auto" w:fill="auto"/>
            <w:noWrap/>
            <w:vAlign w:val="bottom"/>
            <w:hideMark/>
          </w:tcPr>
          <w:p w14:paraId="4BCD6CD6" w14:textId="77777777" w:rsidR="00F0149E" w:rsidRPr="00017AFD" w:rsidRDefault="00F0149E" w:rsidP="00017AFD">
            <w:pPr>
              <w:spacing w:after="0" w:line="240" w:lineRule="auto"/>
              <w:rPr>
                <w:rFonts w:ascii="Arial" w:eastAsia="Times New Roman" w:hAnsi="Arial" w:cs="Arial"/>
                <w:sz w:val="20"/>
                <w:szCs w:val="20"/>
                <w:lang w:val="en-GB"/>
              </w:rPr>
            </w:pPr>
          </w:p>
        </w:tc>
        <w:tc>
          <w:tcPr>
            <w:tcW w:w="3408" w:type="dxa"/>
            <w:gridSpan w:val="3"/>
            <w:tcBorders>
              <w:top w:val="single" w:sz="4" w:space="0" w:color="auto"/>
              <w:bottom w:val="nil"/>
            </w:tcBorders>
            <w:shd w:val="clear" w:color="auto" w:fill="auto"/>
            <w:noWrap/>
            <w:vAlign w:val="bottom"/>
            <w:hideMark/>
          </w:tcPr>
          <w:p w14:paraId="7495B91D" w14:textId="18AAACCA" w:rsidR="00F0149E" w:rsidRPr="00017AFD" w:rsidRDefault="00F0149E" w:rsidP="00017AFD">
            <w:pPr>
              <w:spacing w:after="0" w:line="240" w:lineRule="auto"/>
              <w:rPr>
                <w:rFonts w:ascii="Arial" w:eastAsia="Times New Roman" w:hAnsi="Arial" w:cs="Arial"/>
                <w:sz w:val="20"/>
                <w:szCs w:val="20"/>
                <w:lang w:val="en-GB"/>
              </w:rPr>
            </w:pPr>
            <w:r w:rsidRPr="00017AFD">
              <w:rPr>
                <w:rFonts w:ascii="Arial" w:eastAsia="Times New Roman" w:hAnsi="Arial" w:cs="Arial"/>
                <w:color w:val="000000"/>
                <w:lang w:val="en-GB"/>
              </w:rPr>
              <w:t>-917.9589</w:t>
            </w:r>
          </w:p>
        </w:tc>
      </w:tr>
      <w:tr w:rsidR="000B53D6" w:rsidRPr="00017AFD" w14:paraId="69633473" w14:textId="77777777" w:rsidTr="00F0149E">
        <w:trPr>
          <w:trHeight w:val="287"/>
        </w:trPr>
        <w:tc>
          <w:tcPr>
            <w:tcW w:w="4290" w:type="dxa"/>
            <w:gridSpan w:val="2"/>
            <w:tcBorders>
              <w:bottom w:val="nil"/>
            </w:tcBorders>
            <w:shd w:val="clear" w:color="auto" w:fill="auto"/>
            <w:noWrap/>
            <w:vAlign w:val="bottom"/>
            <w:hideMark/>
          </w:tcPr>
          <w:p w14:paraId="1AA9DFDD" w14:textId="77777777" w:rsidR="00017AFD" w:rsidRPr="00017AFD" w:rsidRDefault="00017AFD" w:rsidP="00017AFD">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LR chi</w:t>
            </w:r>
            <w:r w:rsidRPr="00017AFD">
              <w:rPr>
                <w:rFonts w:ascii="Arial" w:eastAsia="Times New Roman" w:hAnsi="Arial" w:cs="Arial"/>
                <w:color w:val="000000"/>
                <w:vertAlign w:val="superscript"/>
                <w:lang w:val="en-GB"/>
              </w:rPr>
              <w:t>2</w:t>
            </w:r>
            <w:r w:rsidRPr="00017AFD">
              <w:rPr>
                <w:rFonts w:ascii="Arial" w:eastAsia="Times New Roman" w:hAnsi="Arial" w:cs="Arial"/>
                <w:color w:val="000000"/>
                <w:lang w:val="en-GB"/>
              </w:rPr>
              <w:t>(32)</w:t>
            </w:r>
          </w:p>
        </w:tc>
        <w:tc>
          <w:tcPr>
            <w:tcW w:w="1331" w:type="dxa"/>
            <w:tcBorders>
              <w:bottom w:val="nil"/>
            </w:tcBorders>
            <w:shd w:val="clear" w:color="auto" w:fill="auto"/>
            <w:noWrap/>
            <w:vAlign w:val="bottom"/>
            <w:hideMark/>
          </w:tcPr>
          <w:p w14:paraId="01FDEE77"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559.13</w:t>
            </w:r>
          </w:p>
        </w:tc>
        <w:tc>
          <w:tcPr>
            <w:tcW w:w="1182" w:type="dxa"/>
            <w:tcBorders>
              <w:bottom w:val="nil"/>
            </w:tcBorders>
            <w:shd w:val="clear" w:color="auto" w:fill="auto"/>
            <w:noWrap/>
            <w:vAlign w:val="bottom"/>
            <w:hideMark/>
          </w:tcPr>
          <w:p w14:paraId="05B20228"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034" w:type="dxa"/>
            <w:tcBorders>
              <w:bottom w:val="nil"/>
            </w:tcBorders>
            <w:shd w:val="clear" w:color="auto" w:fill="auto"/>
            <w:noWrap/>
            <w:vAlign w:val="bottom"/>
            <w:hideMark/>
          </w:tcPr>
          <w:p w14:paraId="1909717B" w14:textId="77777777" w:rsidR="00017AFD" w:rsidRPr="00017AFD" w:rsidRDefault="00017AFD" w:rsidP="00017AFD">
            <w:pPr>
              <w:spacing w:after="0" w:line="240" w:lineRule="auto"/>
              <w:rPr>
                <w:rFonts w:ascii="Arial" w:eastAsia="Times New Roman" w:hAnsi="Arial" w:cs="Arial"/>
                <w:sz w:val="20"/>
                <w:szCs w:val="20"/>
                <w:lang w:val="en-GB"/>
              </w:rPr>
            </w:pPr>
          </w:p>
        </w:tc>
        <w:tc>
          <w:tcPr>
            <w:tcW w:w="810" w:type="dxa"/>
            <w:tcBorders>
              <w:bottom w:val="nil"/>
            </w:tcBorders>
            <w:shd w:val="clear" w:color="auto" w:fill="auto"/>
            <w:noWrap/>
            <w:vAlign w:val="bottom"/>
            <w:hideMark/>
          </w:tcPr>
          <w:p w14:paraId="1A5347F4"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4" w:type="dxa"/>
            <w:tcBorders>
              <w:bottom w:val="nil"/>
            </w:tcBorders>
            <w:shd w:val="clear" w:color="auto" w:fill="auto"/>
            <w:noWrap/>
            <w:vAlign w:val="bottom"/>
            <w:hideMark/>
          </w:tcPr>
          <w:p w14:paraId="07FC22CA"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319.89</w:t>
            </w:r>
          </w:p>
        </w:tc>
        <w:tc>
          <w:tcPr>
            <w:tcW w:w="1136" w:type="dxa"/>
            <w:tcBorders>
              <w:bottom w:val="nil"/>
            </w:tcBorders>
            <w:shd w:val="clear" w:color="auto" w:fill="auto"/>
            <w:noWrap/>
            <w:vAlign w:val="bottom"/>
            <w:hideMark/>
          </w:tcPr>
          <w:p w14:paraId="6ECF519F"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138" w:type="dxa"/>
            <w:tcBorders>
              <w:bottom w:val="nil"/>
            </w:tcBorders>
            <w:shd w:val="clear" w:color="auto" w:fill="auto"/>
            <w:noWrap/>
            <w:vAlign w:val="bottom"/>
            <w:hideMark/>
          </w:tcPr>
          <w:p w14:paraId="227B25BB" w14:textId="77777777" w:rsidR="00017AFD" w:rsidRPr="00017AFD" w:rsidRDefault="00017AFD" w:rsidP="00017AFD">
            <w:pPr>
              <w:spacing w:after="0" w:line="240" w:lineRule="auto"/>
              <w:rPr>
                <w:rFonts w:ascii="Arial" w:eastAsia="Times New Roman" w:hAnsi="Arial" w:cs="Arial"/>
                <w:sz w:val="20"/>
                <w:szCs w:val="20"/>
                <w:lang w:val="en-GB"/>
              </w:rPr>
            </w:pPr>
          </w:p>
        </w:tc>
      </w:tr>
      <w:tr w:rsidR="000B53D6" w:rsidRPr="00017AFD" w14:paraId="52A94105" w14:textId="77777777" w:rsidTr="00F0149E">
        <w:trPr>
          <w:trHeight w:val="287"/>
        </w:trPr>
        <w:tc>
          <w:tcPr>
            <w:tcW w:w="4290" w:type="dxa"/>
            <w:gridSpan w:val="2"/>
            <w:tcBorders>
              <w:bottom w:val="nil"/>
            </w:tcBorders>
            <w:shd w:val="clear" w:color="auto" w:fill="auto"/>
            <w:noWrap/>
            <w:vAlign w:val="bottom"/>
            <w:hideMark/>
          </w:tcPr>
          <w:p w14:paraId="1DDFFE7D" w14:textId="77777777" w:rsidR="00017AFD" w:rsidRPr="00017AFD" w:rsidRDefault="00017AFD" w:rsidP="00017AFD">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Prob &gt; chi</w:t>
            </w:r>
            <w:r w:rsidRPr="00017AFD">
              <w:rPr>
                <w:rFonts w:ascii="Arial" w:eastAsia="Times New Roman" w:hAnsi="Arial" w:cs="Arial"/>
                <w:color w:val="000000"/>
                <w:vertAlign w:val="superscript"/>
                <w:lang w:val="en-GB"/>
              </w:rPr>
              <w:t>2</w:t>
            </w:r>
          </w:p>
        </w:tc>
        <w:tc>
          <w:tcPr>
            <w:tcW w:w="1331" w:type="dxa"/>
            <w:tcBorders>
              <w:bottom w:val="nil"/>
            </w:tcBorders>
            <w:shd w:val="clear" w:color="auto" w:fill="auto"/>
            <w:noWrap/>
            <w:vAlign w:val="bottom"/>
            <w:hideMark/>
          </w:tcPr>
          <w:p w14:paraId="3532CBAA"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0.000</w:t>
            </w:r>
          </w:p>
        </w:tc>
        <w:tc>
          <w:tcPr>
            <w:tcW w:w="1182" w:type="dxa"/>
            <w:tcBorders>
              <w:bottom w:val="nil"/>
            </w:tcBorders>
            <w:shd w:val="clear" w:color="auto" w:fill="auto"/>
            <w:noWrap/>
            <w:vAlign w:val="bottom"/>
            <w:hideMark/>
          </w:tcPr>
          <w:p w14:paraId="78BC12D2"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034" w:type="dxa"/>
            <w:tcBorders>
              <w:bottom w:val="nil"/>
            </w:tcBorders>
            <w:shd w:val="clear" w:color="auto" w:fill="auto"/>
            <w:noWrap/>
            <w:vAlign w:val="bottom"/>
            <w:hideMark/>
          </w:tcPr>
          <w:p w14:paraId="622AE8DD" w14:textId="77777777" w:rsidR="00017AFD" w:rsidRPr="00017AFD" w:rsidRDefault="00017AFD" w:rsidP="00017AFD">
            <w:pPr>
              <w:spacing w:after="0" w:line="240" w:lineRule="auto"/>
              <w:rPr>
                <w:rFonts w:ascii="Arial" w:eastAsia="Times New Roman" w:hAnsi="Arial" w:cs="Arial"/>
                <w:sz w:val="20"/>
                <w:szCs w:val="20"/>
                <w:lang w:val="en-GB"/>
              </w:rPr>
            </w:pPr>
          </w:p>
        </w:tc>
        <w:tc>
          <w:tcPr>
            <w:tcW w:w="810" w:type="dxa"/>
            <w:tcBorders>
              <w:bottom w:val="nil"/>
            </w:tcBorders>
            <w:shd w:val="clear" w:color="auto" w:fill="auto"/>
            <w:noWrap/>
            <w:vAlign w:val="bottom"/>
            <w:hideMark/>
          </w:tcPr>
          <w:p w14:paraId="233459C0"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4" w:type="dxa"/>
            <w:tcBorders>
              <w:bottom w:val="nil"/>
            </w:tcBorders>
            <w:shd w:val="clear" w:color="auto" w:fill="auto"/>
            <w:noWrap/>
            <w:vAlign w:val="bottom"/>
            <w:hideMark/>
          </w:tcPr>
          <w:p w14:paraId="2A63F112"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0.000</w:t>
            </w:r>
          </w:p>
        </w:tc>
        <w:tc>
          <w:tcPr>
            <w:tcW w:w="1136" w:type="dxa"/>
            <w:tcBorders>
              <w:bottom w:val="nil"/>
            </w:tcBorders>
            <w:shd w:val="clear" w:color="auto" w:fill="auto"/>
            <w:noWrap/>
            <w:vAlign w:val="bottom"/>
            <w:hideMark/>
          </w:tcPr>
          <w:p w14:paraId="5723FC9B"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138" w:type="dxa"/>
            <w:tcBorders>
              <w:bottom w:val="nil"/>
            </w:tcBorders>
            <w:shd w:val="clear" w:color="auto" w:fill="auto"/>
            <w:noWrap/>
            <w:vAlign w:val="bottom"/>
            <w:hideMark/>
          </w:tcPr>
          <w:p w14:paraId="1A9EA193" w14:textId="77777777" w:rsidR="00017AFD" w:rsidRPr="00017AFD" w:rsidRDefault="00017AFD" w:rsidP="00017AFD">
            <w:pPr>
              <w:spacing w:after="0" w:line="240" w:lineRule="auto"/>
              <w:rPr>
                <w:rFonts w:ascii="Arial" w:eastAsia="Times New Roman" w:hAnsi="Arial" w:cs="Arial"/>
                <w:sz w:val="20"/>
                <w:szCs w:val="20"/>
                <w:lang w:val="en-GB"/>
              </w:rPr>
            </w:pPr>
          </w:p>
        </w:tc>
      </w:tr>
      <w:tr w:rsidR="000B53D6" w:rsidRPr="00017AFD" w14:paraId="0316A78B" w14:textId="77777777" w:rsidTr="00F0149E">
        <w:trPr>
          <w:trHeight w:val="287"/>
        </w:trPr>
        <w:tc>
          <w:tcPr>
            <w:tcW w:w="4290" w:type="dxa"/>
            <w:gridSpan w:val="2"/>
            <w:tcBorders>
              <w:top w:val="nil"/>
            </w:tcBorders>
            <w:shd w:val="clear" w:color="auto" w:fill="auto"/>
            <w:noWrap/>
            <w:vAlign w:val="bottom"/>
            <w:hideMark/>
          </w:tcPr>
          <w:p w14:paraId="423034A2" w14:textId="0E481F80" w:rsidR="00017AFD" w:rsidRPr="00017AFD" w:rsidRDefault="00017AFD" w:rsidP="001970D6">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Observations used</w:t>
            </w:r>
            <w:r w:rsidR="001970D6">
              <w:rPr>
                <w:rFonts w:ascii="Arial" w:eastAsia="Times New Roman" w:hAnsi="Arial" w:cs="Arial"/>
                <w:color w:val="000000"/>
                <w:lang w:val="en-GB"/>
              </w:rPr>
              <w:t xml:space="preserve"> or switched to HO</w:t>
            </w:r>
            <w:r w:rsidR="009F0838">
              <w:rPr>
                <w:rStyle w:val="FootnoteReference"/>
                <w:rFonts w:ascii="Arial" w:eastAsia="Times New Roman" w:hAnsi="Arial" w:cs="Arial"/>
                <w:color w:val="000000"/>
                <w:lang w:val="en-GB"/>
              </w:rPr>
              <w:footnoteReference w:id="10"/>
            </w:r>
          </w:p>
        </w:tc>
        <w:tc>
          <w:tcPr>
            <w:tcW w:w="1331" w:type="dxa"/>
            <w:tcBorders>
              <w:top w:val="nil"/>
            </w:tcBorders>
            <w:shd w:val="clear" w:color="auto" w:fill="auto"/>
            <w:noWrap/>
            <w:vAlign w:val="bottom"/>
            <w:hideMark/>
          </w:tcPr>
          <w:p w14:paraId="4E600032"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3,074</w:t>
            </w:r>
          </w:p>
        </w:tc>
        <w:tc>
          <w:tcPr>
            <w:tcW w:w="1182" w:type="dxa"/>
            <w:tcBorders>
              <w:top w:val="nil"/>
            </w:tcBorders>
            <w:shd w:val="clear" w:color="auto" w:fill="auto"/>
            <w:noWrap/>
            <w:vAlign w:val="bottom"/>
            <w:hideMark/>
          </w:tcPr>
          <w:p w14:paraId="53F453BB"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034" w:type="dxa"/>
            <w:tcBorders>
              <w:top w:val="nil"/>
            </w:tcBorders>
            <w:shd w:val="clear" w:color="auto" w:fill="auto"/>
            <w:noWrap/>
            <w:vAlign w:val="bottom"/>
            <w:hideMark/>
          </w:tcPr>
          <w:p w14:paraId="5F3D1768" w14:textId="77777777" w:rsidR="00017AFD" w:rsidRPr="00017AFD" w:rsidRDefault="00017AFD" w:rsidP="00017AFD">
            <w:pPr>
              <w:spacing w:after="0" w:line="240" w:lineRule="auto"/>
              <w:rPr>
                <w:rFonts w:ascii="Arial" w:eastAsia="Times New Roman" w:hAnsi="Arial" w:cs="Arial"/>
                <w:sz w:val="20"/>
                <w:szCs w:val="20"/>
                <w:lang w:val="en-GB"/>
              </w:rPr>
            </w:pPr>
          </w:p>
        </w:tc>
        <w:tc>
          <w:tcPr>
            <w:tcW w:w="810" w:type="dxa"/>
            <w:tcBorders>
              <w:top w:val="nil"/>
            </w:tcBorders>
            <w:shd w:val="clear" w:color="auto" w:fill="auto"/>
            <w:noWrap/>
            <w:vAlign w:val="bottom"/>
            <w:hideMark/>
          </w:tcPr>
          <w:p w14:paraId="45B7CEE4"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4" w:type="dxa"/>
            <w:tcBorders>
              <w:top w:val="nil"/>
            </w:tcBorders>
            <w:shd w:val="clear" w:color="auto" w:fill="auto"/>
            <w:noWrap/>
            <w:vAlign w:val="bottom"/>
            <w:hideMark/>
          </w:tcPr>
          <w:p w14:paraId="3788E010"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4,052</w:t>
            </w:r>
          </w:p>
        </w:tc>
        <w:tc>
          <w:tcPr>
            <w:tcW w:w="1136" w:type="dxa"/>
            <w:tcBorders>
              <w:top w:val="nil"/>
            </w:tcBorders>
            <w:shd w:val="clear" w:color="auto" w:fill="auto"/>
            <w:noWrap/>
            <w:vAlign w:val="bottom"/>
            <w:hideMark/>
          </w:tcPr>
          <w:p w14:paraId="19089A7C"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138" w:type="dxa"/>
            <w:tcBorders>
              <w:top w:val="nil"/>
            </w:tcBorders>
            <w:shd w:val="clear" w:color="auto" w:fill="auto"/>
            <w:noWrap/>
            <w:vAlign w:val="bottom"/>
            <w:hideMark/>
          </w:tcPr>
          <w:p w14:paraId="7A1B4443" w14:textId="77777777" w:rsidR="00017AFD" w:rsidRPr="00017AFD" w:rsidRDefault="00017AFD" w:rsidP="00017AFD">
            <w:pPr>
              <w:spacing w:after="0" w:line="240" w:lineRule="auto"/>
              <w:rPr>
                <w:rFonts w:ascii="Arial" w:eastAsia="Times New Roman" w:hAnsi="Arial" w:cs="Arial"/>
                <w:sz w:val="20"/>
                <w:szCs w:val="20"/>
                <w:lang w:val="en-GB"/>
              </w:rPr>
            </w:pPr>
          </w:p>
        </w:tc>
      </w:tr>
      <w:tr w:rsidR="000B53D6" w:rsidRPr="00017AFD" w14:paraId="5C79C06B" w14:textId="77777777" w:rsidTr="00F0149E">
        <w:trPr>
          <w:trHeight w:val="287"/>
        </w:trPr>
        <w:tc>
          <w:tcPr>
            <w:tcW w:w="4290" w:type="dxa"/>
            <w:gridSpan w:val="2"/>
            <w:shd w:val="clear" w:color="auto" w:fill="auto"/>
            <w:noWrap/>
            <w:vAlign w:val="bottom"/>
            <w:hideMark/>
          </w:tcPr>
          <w:p w14:paraId="172633E0" w14:textId="77777777" w:rsidR="00017AFD" w:rsidRPr="00017AFD" w:rsidRDefault="00017AFD" w:rsidP="00017AFD">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Number of individuals</w:t>
            </w:r>
          </w:p>
        </w:tc>
        <w:tc>
          <w:tcPr>
            <w:tcW w:w="1331" w:type="dxa"/>
            <w:shd w:val="clear" w:color="auto" w:fill="auto"/>
            <w:noWrap/>
            <w:vAlign w:val="bottom"/>
            <w:hideMark/>
          </w:tcPr>
          <w:p w14:paraId="2FA0CA95"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410</w:t>
            </w:r>
          </w:p>
        </w:tc>
        <w:tc>
          <w:tcPr>
            <w:tcW w:w="1182" w:type="dxa"/>
            <w:shd w:val="clear" w:color="auto" w:fill="auto"/>
            <w:noWrap/>
            <w:vAlign w:val="bottom"/>
            <w:hideMark/>
          </w:tcPr>
          <w:p w14:paraId="46887512"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034" w:type="dxa"/>
            <w:shd w:val="clear" w:color="auto" w:fill="auto"/>
            <w:noWrap/>
            <w:vAlign w:val="bottom"/>
            <w:hideMark/>
          </w:tcPr>
          <w:p w14:paraId="7BFFFD31" w14:textId="77777777" w:rsidR="00017AFD" w:rsidRPr="00017AFD" w:rsidRDefault="00017AFD" w:rsidP="00017AFD">
            <w:pPr>
              <w:spacing w:after="0" w:line="240" w:lineRule="auto"/>
              <w:rPr>
                <w:rFonts w:ascii="Arial" w:eastAsia="Times New Roman" w:hAnsi="Arial" w:cs="Arial"/>
                <w:sz w:val="20"/>
                <w:szCs w:val="20"/>
                <w:lang w:val="en-GB"/>
              </w:rPr>
            </w:pPr>
          </w:p>
        </w:tc>
        <w:tc>
          <w:tcPr>
            <w:tcW w:w="810" w:type="dxa"/>
            <w:shd w:val="clear" w:color="auto" w:fill="auto"/>
            <w:noWrap/>
            <w:vAlign w:val="bottom"/>
            <w:hideMark/>
          </w:tcPr>
          <w:p w14:paraId="26A12FD9"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10B552CE" w14:textId="77777777" w:rsidR="00017AFD" w:rsidRPr="00017AFD" w:rsidRDefault="00017AFD" w:rsidP="00017AFD">
            <w:pPr>
              <w:spacing w:after="0" w:line="240" w:lineRule="auto"/>
              <w:jc w:val="right"/>
              <w:rPr>
                <w:rFonts w:ascii="Arial" w:eastAsia="Times New Roman" w:hAnsi="Arial" w:cs="Arial"/>
                <w:color w:val="000000"/>
                <w:lang w:val="en-GB"/>
              </w:rPr>
            </w:pPr>
            <w:r w:rsidRPr="00017AFD">
              <w:rPr>
                <w:rFonts w:ascii="Arial" w:eastAsia="Times New Roman" w:hAnsi="Arial" w:cs="Arial"/>
                <w:color w:val="000000"/>
                <w:lang w:val="en-GB"/>
              </w:rPr>
              <w:t>536</w:t>
            </w:r>
          </w:p>
        </w:tc>
        <w:tc>
          <w:tcPr>
            <w:tcW w:w="1136" w:type="dxa"/>
            <w:shd w:val="clear" w:color="auto" w:fill="auto"/>
            <w:noWrap/>
            <w:vAlign w:val="bottom"/>
            <w:hideMark/>
          </w:tcPr>
          <w:p w14:paraId="17365A71" w14:textId="77777777" w:rsidR="00017AFD" w:rsidRPr="00017AFD" w:rsidRDefault="00017AFD" w:rsidP="00017AFD">
            <w:pPr>
              <w:spacing w:after="0" w:line="240" w:lineRule="auto"/>
              <w:jc w:val="right"/>
              <w:rPr>
                <w:rFonts w:ascii="Arial" w:eastAsia="Times New Roman" w:hAnsi="Arial" w:cs="Arial"/>
                <w:color w:val="000000"/>
                <w:lang w:val="en-GB"/>
              </w:rPr>
            </w:pPr>
          </w:p>
        </w:tc>
        <w:tc>
          <w:tcPr>
            <w:tcW w:w="1138" w:type="dxa"/>
            <w:shd w:val="clear" w:color="auto" w:fill="auto"/>
            <w:noWrap/>
            <w:vAlign w:val="bottom"/>
            <w:hideMark/>
          </w:tcPr>
          <w:p w14:paraId="1B385DF8" w14:textId="77777777" w:rsidR="00017AFD" w:rsidRPr="00017AFD" w:rsidRDefault="00017AFD" w:rsidP="00017AFD">
            <w:pPr>
              <w:spacing w:after="0" w:line="240" w:lineRule="auto"/>
              <w:rPr>
                <w:rFonts w:ascii="Arial" w:eastAsia="Times New Roman" w:hAnsi="Arial" w:cs="Arial"/>
                <w:sz w:val="20"/>
                <w:szCs w:val="20"/>
                <w:lang w:val="en-GB"/>
              </w:rPr>
            </w:pPr>
          </w:p>
        </w:tc>
      </w:tr>
      <w:tr w:rsidR="000B53D6" w:rsidRPr="00017AFD" w14:paraId="43CE2CE3" w14:textId="77777777" w:rsidTr="00F0149E">
        <w:trPr>
          <w:trHeight w:val="287"/>
        </w:trPr>
        <w:tc>
          <w:tcPr>
            <w:tcW w:w="4290" w:type="dxa"/>
            <w:gridSpan w:val="2"/>
            <w:shd w:val="clear" w:color="auto" w:fill="auto"/>
            <w:noWrap/>
            <w:vAlign w:val="bottom"/>
            <w:hideMark/>
          </w:tcPr>
          <w:p w14:paraId="45D7B418" w14:textId="77777777" w:rsidR="00017AFD" w:rsidRPr="00017AFD" w:rsidRDefault="00017AFD" w:rsidP="00017AFD">
            <w:pPr>
              <w:spacing w:after="0" w:line="240" w:lineRule="auto"/>
              <w:rPr>
                <w:rFonts w:ascii="Arial" w:eastAsia="Times New Roman" w:hAnsi="Arial" w:cs="Arial"/>
                <w:color w:val="000000"/>
                <w:lang w:val="en-GB"/>
              </w:rPr>
            </w:pPr>
            <w:r w:rsidRPr="00017AFD">
              <w:rPr>
                <w:rFonts w:ascii="Arial" w:eastAsia="Times New Roman" w:hAnsi="Arial" w:cs="Arial"/>
                <w:color w:val="000000"/>
                <w:lang w:val="en-GB"/>
              </w:rPr>
              <w:t>*** p&lt;0.01, ** p&lt;0.05, * p&lt;0.1</w:t>
            </w:r>
          </w:p>
        </w:tc>
        <w:tc>
          <w:tcPr>
            <w:tcW w:w="1331" w:type="dxa"/>
            <w:shd w:val="clear" w:color="auto" w:fill="auto"/>
            <w:noWrap/>
            <w:vAlign w:val="bottom"/>
            <w:hideMark/>
          </w:tcPr>
          <w:p w14:paraId="7F24D3C8" w14:textId="77777777" w:rsidR="00017AFD" w:rsidRPr="00017AFD" w:rsidRDefault="00017AFD" w:rsidP="00017AFD">
            <w:pPr>
              <w:spacing w:after="0" w:line="240" w:lineRule="auto"/>
              <w:rPr>
                <w:rFonts w:ascii="Arial" w:eastAsia="Times New Roman" w:hAnsi="Arial" w:cs="Arial"/>
                <w:color w:val="000000"/>
                <w:lang w:val="en-GB"/>
              </w:rPr>
            </w:pPr>
          </w:p>
        </w:tc>
        <w:tc>
          <w:tcPr>
            <w:tcW w:w="1182" w:type="dxa"/>
            <w:shd w:val="clear" w:color="auto" w:fill="auto"/>
            <w:noWrap/>
            <w:vAlign w:val="bottom"/>
            <w:hideMark/>
          </w:tcPr>
          <w:p w14:paraId="42DDA268" w14:textId="77777777" w:rsidR="00017AFD" w:rsidRPr="00017AFD" w:rsidRDefault="00017AFD" w:rsidP="00017AFD">
            <w:pPr>
              <w:spacing w:after="0" w:line="240" w:lineRule="auto"/>
              <w:rPr>
                <w:rFonts w:ascii="Arial" w:eastAsia="Times New Roman" w:hAnsi="Arial" w:cs="Arial"/>
                <w:sz w:val="20"/>
                <w:szCs w:val="20"/>
                <w:lang w:val="en-GB"/>
              </w:rPr>
            </w:pPr>
          </w:p>
        </w:tc>
        <w:tc>
          <w:tcPr>
            <w:tcW w:w="1034" w:type="dxa"/>
            <w:shd w:val="clear" w:color="auto" w:fill="auto"/>
            <w:noWrap/>
            <w:vAlign w:val="bottom"/>
            <w:hideMark/>
          </w:tcPr>
          <w:p w14:paraId="4BAC4845" w14:textId="77777777" w:rsidR="00017AFD" w:rsidRPr="00017AFD" w:rsidRDefault="00017AFD" w:rsidP="00017AFD">
            <w:pPr>
              <w:spacing w:after="0" w:line="240" w:lineRule="auto"/>
              <w:rPr>
                <w:rFonts w:ascii="Arial" w:eastAsia="Times New Roman" w:hAnsi="Arial" w:cs="Arial"/>
                <w:sz w:val="20"/>
                <w:szCs w:val="20"/>
                <w:lang w:val="en-GB"/>
              </w:rPr>
            </w:pPr>
          </w:p>
        </w:tc>
        <w:tc>
          <w:tcPr>
            <w:tcW w:w="810" w:type="dxa"/>
            <w:shd w:val="clear" w:color="auto" w:fill="auto"/>
            <w:noWrap/>
            <w:vAlign w:val="bottom"/>
            <w:hideMark/>
          </w:tcPr>
          <w:p w14:paraId="2B5D6CC3"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3A224BAF"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6" w:type="dxa"/>
            <w:shd w:val="clear" w:color="auto" w:fill="auto"/>
            <w:noWrap/>
            <w:vAlign w:val="bottom"/>
            <w:hideMark/>
          </w:tcPr>
          <w:p w14:paraId="50BE400E" w14:textId="77777777" w:rsidR="00017AFD" w:rsidRPr="00017AFD" w:rsidRDefault="00017AFD" w:rsidP="00017AFD">
            <w:pPr>
              <w:spacing w:after="0" w:line="240" w:lineRule="auto"/>
              <w:rPr>
                <w:rFonts w:ascii="Arial" w:eastAsia="Times New Roman" w:hAnsi="Arial" w:cs="Arial"/>
                <w:sz w:val="20"/>
                <w:szCs w:val="20"/>
                <w:lang w:val="en-GB"/>
              </w:rPr>
            </w:pPr>
          </w:p>
        </w:tc>
        <w:tc>
          <w:tcPr>
            <w:tcW w:w="1138" w:type="dxa"/>
            <w:shd w:val="clear" w:color="auto" w:fill="auto"/>
            <w:noWrap/>
            <w:vAlign w:val="bottom"/>
            <w:hideMark/>
          </w:tcPr>
          <w:p w14:paraId="2DAC3DDE" w14:textId="77777777" w:rsidR="00017AFD" w:rsidRPr="00017AFD" w:rsidRDefault="00017AFD" w:rsidP="00017AFD">
            <w:pPr>
              <w:spacing w:after="0" w:line="240" w:lineRule="auto"/>
              <w:rPr>
                <w:rFonts w:ascii="Arial" w:eastAsia="Times New Roman" w:hAnsi="Arial" w:cs="Arial"/>
                <w:sz w:val="20"/>
                <w:szCs w:val="20"/>
                <w:lang w:val="en-GB"/>
              </w:rPr>
            </w:pPr>
          </w:p>
        </w:tc>
      </w:tr>
    </w:tbl>
    <w:p w14:paraId="02B2A3AA" w14:textId="54D4B4DD" w:rsidR="000B53D6" w:rsidRDefault="000B53D6" w:rsidP="000B53D6">
      <w:pPr>
        <w:spacing w:after="240" w:line="360" w:lineRule="auto"/>
        <w:jc w:val="both"/>
        <w:rPr>
          <w:rFonts w:ascii="Arial" w:hAnsi="Arial" w:cs="Arial"/>
        </w:rPr>
      </w:pPr>
      <w:r>
        <w:rPr>
          <w:rFonts w:ascii="Arial" w:hAnsi="Arial" w:cs="Arial"/>
        </w:rPr>
        <w:t xml:space="preserve">Notes: PR=Private Renting; PH=Parental Housing; HO=Home Ownership; </w:t>
      </w:r>
      <w:r w:rsidRPr="00B611F0">
        <w:rPr>
          <w:rFonts w:ascii="Arial" w:eastAsia="Times New Roman" w:hAnsi="Arial" w:cs="Arial"/>
          <w:i/>
          <w:color w:val="000000"/>
          <w:vertAlign w:val="subscript"/>
          <w:lang w:val="en-GB"/>
        </w:rPr>
        <w:t>t-1</w:t>
      </w:r>
      <w:r>
        <w:rPr>
          <w:rFonts w:ascii="Arial" w:hAnsi="Arial" w:cs="Arial"/>
        </w:rPr>
        <w:t xml:space="preserve"> = lagged by a year</w:t>
      </w:r>
      <w:r w:rsidR="00F0149E">
        <w:rPr>
          <w:rFonts w:ascii="Arial" w:hAnsi="Arial" w:cs="Arial"/>
        </w:rPr>
        <w:t>; *= omitted in model 2 as</w:t>
      </w:r>
      <w:r w:rsidR="001A1B67">
        <w:rPr>
          <w:rFonts w:ascii="Arial" w:hAnsi="Arial" w:cs="Arial"/>
        </w:rPr>
        <w:t xml:space="preserve"> </w:t>
      </w:r>
      <w:r w:rsidR="00F0149E">
        <w:rPr>
          <w:rFonts w:ascii="Arial" w:hAnsi="Arial" w:cs="Arial"/>
        </w:rPr>
        <w:t xml:space="preserve">PH stayers are expected to mostly have close contact to parents. </w:t>
      </w:r>
    </w:p>
    <w:p w14:paraId="43CE9FD0" w14:textId="60A02B7F" w:rsidR="00B611F0" w:rsidRDefault="000B53D6" w:rsidP="000B53D6">
      <w:pPr>
        <w:spacing w:after="240" w:line="360" w:lineRule="auto"/>
        <w:jc w:val="both"/>
        <w:rPr>
          <w:rFonts w:ascii="Arial" w:hAnsi="Arial" w:cs="Arial"/>
        </w:rPr>
        <w:sectPr w:rsidR="00B611F0" w:rsidSect="003D6300">
          <w:pgSz w:w="15840" w:h="12240" w:orient="landscape"/>
          <w:pgMar w:top="1440" w:right="1440" w:bottom="1440" w:left="1440" w:header="720" w:footer="720" w:gutter="0"/>
          <w:pgNumType w:start="9"/>
          <w:cols w:space="720"/>
          <w:docGrid w:linePitch="299"/>
        </w:sectPr>
      </w:pPr>
      <w:r>
        <w:rPr>
          <w:rFonts w:ascii="Arial" w:hAnsi="Arial" w:cs="Arial"/>
        </w:rPr>
        <w:t xml:space="preserve">Table 2: Results from </w:t>
      </w:r>
      <w:r w:rsidRPr="007F121A">
        <w:rPr>
          <w:rFonts w:ascii="Arial" w:hAnsi="Arial" w:cs="Arial"/>
        </w:rPr>
        <w:t>variables of interest without the interaction between social capital and levels of perceived job security</w:t>
      </w:r>
    </w:p>
    <w:p w14:paraId="06933072" w14:textId="47468AE6" w:rsidR="002D4C33" w:rsidRDefault="007E12FB" w:rsidP="007F121A">
      <w:pPr>
        <w:spacing w:after="240" w:line="360" w:lineRule="auto"/>
        <w:jc w:val="both"/>
        <w:rPr>
          <w:rFonts w:ascii="Arial" w:hAnsi="Arial" w:cs="Arial"/>
        </w:rPr>
      </w:pPr>
      <w:r>
        <w:rPr>
          <w:rFonts w:ascii="Arial" w:hAnsi="Arial" w:cs="Arial"/>
        </w:rPr>
        <w:lastRenderedPageBreak/>
        <w:t>Demographic factors are equally important in tenure transition studies. In our models, we control for the age groups, sex</w:t>
      </w:r>
      <w:r w:rsidR="00EB5FE2">
        <w:rPr>
          <w:rStyle w:val="FootnoteReference"/>
          <w:rFonts w:ascii="Arial" w:hAnsi="Arial" w:cs="Arial"/>
        </w:rPr>
        <w:footnoteReference w:id="11"/>
      </w:r>
      <w:r>
        <w:rPr>
          <w:rFonts w:ascii="Arial" w:hAnsi="Arial" w:cs="Arial"/>
        </w:rPr>
        <w:t>, race</w:t>
      </w:r>
      <w:r w:rsidR="00EB5FE2">
        <w:rPr>
          <w:rStyle w:val="FootnoteReference"/>
          <w:rFonts w:ascii="Arial" w:hAnsi="Arial" w:cs="Arial"/>
        </w:rPr>
        <w:footnoteReference w:id="12"/>
      </w:r>
      <w:r>
        <w:rPr>
          <w:rFonts w:ascii="Arial" w:hAnsi="Arial" w:cs="Arial"/>
        </w:rPr>
        <w:t xml:space="preserve"> and household composition. Age 16-24 is made the reference point</w:t>
      </w:r>
      <w:r w:rsidR="0026238E">
        <w:rPr>
          <w:rFonts w:ascii="Arial" w:hAnsi="Arial" w:cs="Arial"/>
        </w:rPr>
        <w:t xml:space="preserve"> </w:t>
      </w:r>
      <w:r>
        <w:rPr>
          <w:rFonts w:ascii="Arial" w:hAnsi="Arial" w:cs="Arial"/>
        </w:rPr>
        <w:t xml:space="preserve">in our models. As the age group increase, the chances of private renters becoming home owners increase by about </w:t>
      </w:r>
      <w:r w:rsidR="004D6B48">
        <w:rPr>
          <w:rFonts w:ascii="Arial" w:hAnsi="Arial" w:cs="Arial"/>
        </w:rPr>
        <w:t xml:space="preserve">2.5 and 2.9 odds for individuals aged 25-29 and 30-34 respectively. </w:t>
      </w:r>
      <w:r w:rsidR="00F65892">
        <w:rPr>
          <w:rFonts w:ascii="Arial" w:hAnsi="Arial" w:cs="Arial"/>
        </w:rPr>
        <w:t>Age group appears to be insignificant for PH</w:t>
      </w:r>
      <w:r w:rsidR="004D6B48">
        <w:rPr>
          <w:rFonts w:ascii="Arial" w:hAnsi="Arial" w:cs="Arial"/>
        </w:rPr>
        <w:t xml:space="preserve"> stayers</w:t>
      </w:r>
      <w:r w:rsidR="00F65892">
        <w:rPr>
          <w:rFonts w:ascii="Arial" w:hAnsi="Arial" w:cs="Arial"/>
        </w:rPr>
        <w:t xml:space="preserve"> looking to switch directly to HO</w:t>
      </w:r>
      <w:r w:rsidR="004D6B48">
        <w:rPr>
          <w:rFonts w:ascii="Arial" w:hAnsi="Arial" w:cs="Arial"/>
        </w:rPr>
        <w:t>.</w:t>
      </w:r>
      <w:r w:rsidR="00F65892">
        <w:rPr>
          <w:rFonts w:ascii="Arial" w:hAnsi="Arial" w:cs="Arial"/>
        </w:rPr>
        <w:t xml:space="preserve"> Furthermore, i</w:t>
      </w:r>
      <w:r w:rsidR="004D6B48">
        <w:rPr>
          <w:rFonts w:ascii="Arial" w:hAnsi="Arial" w:cs="Arial"/>
        </w:rPr>
        <w:t xml:space="preserve">ndependent individuals </w:t>
      </w:r>
      <w:r w:rsidR="00F65892">
        <w:rPr>
          <w:rFonts w:ascii="Arial" w:hAnsi="Arial" w:cs="Arial"/>
        </w:rPr>
        <w:t xml:space="preserve">may be better exposed to the labour </w:t>
      </w:r>
      <w:r w:rsidR="00637146">
        <w:rPr>
          <w:rFonts w:ascii="Arial" w:hAnsi="Arial" w:cs="Arial"/>
        </w:rPr>
        <w:t>market and</w:t>
      </w:r>
      <w:r w:rsidR="00F65892">
        <w:rPr>
          <w:rFonts w:ascii="Arial" w:hAnsi="Arial" w:cs="Arial"/>
        </w:rPr>
        <w:t xml:space="preserve"> displaying more readiness for HO transition than non-independent individuals as they grow older. For household composition, we include the number of children in the household and the presence of partner. More child in the household means more financial commitments, whereas additional adult in the household will boost the financial resource required for home ownership transition. This is further reflected in the results obtained. </w:t>
      </w:r>
    </w:p>
    <w:p w14:paraId="6A924700" w14:textId="5CF03A51" w:rsidR="001D52B9" w:rsidRDefault="00B97E1D" w:rsidP="007F121A">
      <w:pPr>
        <w:spacing w:after="240" w:line="360" w:lineRule="auto"/>
        <w:jc w:val="both"/>
        <w:rPr>
          <w:rFonts w:ascii="Arial" w:hAnsi="Arial" w:cs="Arial"/>
        </w:rPr>
      </w:pPr>
      <w:r>
        <w:rPr>
          <w:rFonts w:ascii="Arial" w:hAnsi="Arial" w:cs="Arial"/>
        </w:rPr>
        <w:t>Social capital and levels of perceived job security are the main focus of our investigation of home ownership transitions for young adults between year 2000 and 2014/15. The first set of variables of interest relate to indications of integration in the area where they live, which has the tendency of prolonging their stay in their current area and tenure</w:t>
      </w:r>
      <w:r w:rsidR="00C83FFE">
        <w:rPr>
          <w:rFonts w:ascii="Arial" w:hAnsi="Arial" w:cs="Arial"/>
        </w:rPr>
        <w:t xml:space="preserve"> (table 2)</w:t>
      </w:r>
      <w:r>
        <w:rPr>
          <w:rFonts w:ascii="Arial" w:hAnsi="Arial" w:cs="Arial"/>
        </w:rPr>
        <w:t>. Private renters who indicated that they liked their neighbourhood are less likely to switch to HO by about 7 percent (at 95 percent confidence interval). Furthermore, private renter</w:t>
      </w:r>
      <w:r w:rsidR="00CB6F3F">
        <w:rPr>
          <w:rFonts w:ascii="Arial" w:hAnsi="Arial" w:cs="Arial"/>
        </w:rPr>
        <w:t>s who</w:t>
      </w:r>
      <w:r>
        <w:rPr>
          <w:rFonts w:ascii="Arial" w:hAnsi="Arial" w:cs="Arial"/>
        </w:rPr>
        <w:t xml:space="preserve"> interact with their neighbours more often are less likely (by 0.5 odds) to </w:t>
      </w:r>
      <w:r w:rsidR="00CB6F3F">
        <w:rPr>
          <w:rFonts w:ascii="Arial" w:hAnsi="Arial" w:cs="Arial"/>
        </w:rPr>
        <w:t xml:space="preserve">switch to </w:t>
      </w:r>
      <w:r>
        <w:rPr>
          <w:rFonts w:ascii="Arial" w:hAnsi="Arial" w:cs="Arial"/>
        </w:rPr>
        <w:t xml:space="preserve">HO. It is interesting to </w:t>
      </w:r>
      <w:r w:rsidR="00CB6F3F">
        <w:rPr>
          <w:rFonts w:ascii="Arial" w:hAnsi="Arial" w:cs="Arial"/>
        </w:rPr>
        <w:t>discover</w:t>
      </w:r>
      <w:r>
        <w:rPr>
          <w:rFonts w:ascii="Arial" w:hAnsi="Arial" w:cs="Arial"/>
        </w:rPr>
        <w:t xml:space="preserve"> that</w:t>
      </w:r>
      <w:r w:rsidR="00CB6F3F">
        <w:rPr>
          <w:rFonts w:ascii="Arial" w:hAnsi="Arial" w:cs="Arial"/>
        </w:rPr>
        <w:t xml:space="preserve"> the</w:t>
      </w:r>
      <w:r>
        <w:rPr>
          <w:rFonts w:ascii="Arial" w:hAnsi="Arial" w:cs="Arial"/>
        </w:rPr>
        <w:t xml:space="preserve"> neighbourhood integration measures</w:t>
      </w:r>
      <w:r w:rsidR="007E769F">
        <w:rPr>
          <w:rFonts w:ascii="Arial" w:hAnsi="Arial" w:cs="Arial"/>
        </w:rPr>
        <w:t>, and other social capital drivers,</w:t>
      </w:r>
      <w:r>
        <w:rPr>
          <w:rFonts w:ascii="Arial" w:hAnsi="Arial" w:cs="Arial"/>
        </w:rPr>
        <w:t xml:space="preserve"> are </w:t>
      </w:r>
      <w:r w:rsidR="007E769F">
        <w:rPr>
          <w:rFonts w:ascii="Arial" w:hAnsi="Arial" w:cs="Arial"/>
        </w:rPr>
        <w:t>less</w:t>
      </w:r>
      <w:r>
        <w:rPr>
          <w:rFonts w:ascii="Arial" w:hAnsi="Arial" w:cs="Arial"/>
        </w:rPr>
        <w:t xml:space="preserve"> significant for PH stayers looking to switch to HO, suggesting that they are equally likely to make the transition as others</w:t>
      </w:r>
      <w:r w:rsidR="007E769F">
        <w:rPr>
          <w:rFonts w:ascii="Arial" w:hAnsi="Arial" w:cs="Arial"/>
        </w:rPr>
        <w:t xml:space="preserve">. </w:t>
      </w:r>
      <w:r w:rsidR="007E769F" w:rsidRPr="001D52B9">
        <w:rPr>
          <w:rFonts w:ascii="Arial" w:hAnsi="Arial" w:cs="Arial"/>
        </w:rPr>
        <w:t>The social capital drivers may be more influential to private renters, in comparison to PH stayers, d</w:t>
      </w:r>
      <w:r w:rsidR="00EC01AA">
        <w:rPr>
          <w:rFonts w:ascii="Arial" w:hAnsi="Arial" w:cs="Arial"/>
        </w:rPr>
        <w:t>ue to their independent</w:t>
      </w:r>
      <w:r w:rsidR="00C8674C">
        <w:rPr>
          <w:rFonts w:ascii="Arial" w:hAnsi="Arial" w:cs="Arial"/>
        </w:rPr>
        <w:t xml:space="preserve"> and more settled</w:t>
      </w:r>
      <w:r w:rsidR="001D52B9" w:rsidRPr="001D52B9">
        <w:rPr>
          <w:rFonts w:ascii="Arial" w:hAnsi="Arial" w:cs="Arial"/>
        </w:rPr>
        <w:t xml:space="preserve"> </w:t>
      </w:r>
      <w:r w:rsidR="007E769F" w:rsidRPr="001D52B9">
        <w:rPr>
          <w:rFonts w:ascii="Arial" w:hAnsi="Arial" w:cs="Arial"/>
        </w:rPr>
        <w:t>status.</w:t>
      </w:r>
      <w:r w:rsidR="001D52B9">
        <w:rPr>
          <w:rFonts w:ascii="Arial" w:hAnsi="Arial" w:cs="Arial"/>
        </w:rPr>
        <w:t xml:space="preserve"> </w:t>
      </w:r>
    </w:p>
    <w:p w14:paraId="13A9D723" w14:textId="05DED525" w:rsidR="00160610" w:rsidRDefault="001D52B9" w:rsidP="007F121A">
      <w:pPr>
        <w:spacing w:after="240" w:line="360" w:lineRule="auto"/>
        <w:jc w:val="both"/>
        <w:rPr>
          <w:rFonts w:ascii="Arial" w:hAnsi="Arial" w:cs="Arial"/>
        </w:rPr>
      </w:pPr>
      <w:r>
        <w:rPr>
          <w:rFonts w:ascii="Arial" w:hAnsi="Arial" w:cs="Arial"/>
        </w:rPr>
        <w:t xml:space="preserve">The second set of variables is the proxies indicating </w:t>
      </w:r>
      <w:r w:rsidRPr="007F121A">
        <w:rPr>
          <w:rFonts w:ascii="Arial" w:hAnsi="Arial" w:cs="Arial"/>
        </w:rPr>
        <w:t xml:space="preserve">bonds formed with family, or </w:t>
      </w:r>
      <w:r>
        <w:rPr>
          <w:rFonts w:ascii="Arial" w:hAnsi="Arial" w:cs="Arial"/>
        </w:rPr>
        <w:t>links formed with</w:t>
      </w:r>
      <w:r w:rsidRPr="007F121A">
        <w:rPr>
          <w:rFonts w:ascii="Arial" w:hAnsi="Arial" w:cs="Arial"/>
        </w:rPr>
        <w:t xml:space="preserve"> individuals within </w:t>
      </w:r>
      <w:r>
        <w:rPr>
          <w:rFonts w:ascii="Arial" w:hAnsi="Arial" w:cs="Arial"/>
        </w:rPr>
        <w:t xml:space="preserve">socio-economic groups or </w:t>
      </w:r>
      <w:r w:rsidRPr="007F121A">
        <w:rPr>
          <w:rFonts w:ascii="Arial" w:hAnsi="Arial" w:cs="Arial"/>
        </w:rPr>
        <w:t>local organisations they identify with</w:t>
      </w:r>
      <w:r>
        <w:rPr>
          <w:rFonts w:ascii="Arial" w:hAnsi="Arial" w:cs="Arial"/>
        </w:rPr>
        <w:t xml:space="preserve">. These tend to open up </w:t>
      </w:r>
      <w:r w:rsidR="00C83FFE">
        <w:rPr>
          <w:rFonts w:ascii="Arial" w:hAnsi="Arial" w:cs="Arial"/>
        </w:rPr>
        <w:t xml:space="preserve">trusts, </w:t>
      </w:r>
      <w:r>
        <w:rPr>
          <w:rFonts w:ascii="Arial" w:hAnsi="Arial" w:cs="Arial"/>
        </w:rPr>
        <w:t xml:space="preserve">patterns, norms, standards, beliefs, expectations or assistance within the social connections. </w:t>
      </w:r>
      <w:r w:rsidR="00C83FFE">
        <w:rPr>
          <w:rFonts w:ascii="Arial" w:hAnsi="Arial" w:cs="Arial"/>
        </w:rPr>
        <w:t>Private renters who are active in one or more local organisation</w:t>
      </w:r>
      <w:r>
        <w:rPr>
          <w:rFonts w:ascii="Arial" w:hAnsi="Arial" w:cs="Arial"/>
        </w:rPr>
        <w:t xml:space="preserve"> </w:t>
      </w:r>
      <w:r w:rsidR="00C83FFE">
        <w:rPr>
          <w:rFonts w:ascii="Arial" w:hAnsi="Arial" w:cs="Arial"/>
        </w:rPr>
        <w:t xml:space="preserve">possess the tendency of switching to HO by about 5.7 percent marginally (at 95 percent confidence interval). As PR is </w:t>
      </w:r>
      <w:r w:rsidR="00E1157A">
        <w:rPr>
          <w:rFonts w:ascii="Arial" w:hAnsi="Arial" w:cs="Arial"/>
        </w:rPr>
        <w:t xml:space="preserve">often </w:t>
      </w:r>
      <w:r w:rsidR="00C83FFE">
        <w:rPr>
          <w:rFonts w:ascii="Arial" w:hAnsi="Arial" w:cs="Arial"/>
        </w:rPr>
        <w:t>considered a step towards HO for many households (</w:t>
      </w:r>
      <w:r w:rsidR="00E1157A">
        <w:rPr>
          <w:rFonts w:ascii="Arial" w:hAnsi="Arial" w:cs="Arial"/>
        </w:rPr>
        <w:t>Kemp, 2002)</w:t>
      </w:r>
      <w:r w:rsidR="00C83FFE">
        <w:rPr>
          <w:rFonts w:ascii="Arial" w:hAnsi="Arial" w:cs="Arial"/>
        </w:rPr>
        <w:t xml:space="preserve">, having the extra social influence may further help in such important decision-making. This is also similar to </w:t>
      </w:r>
      <w:r w:rsidR="00E1157A">
        <w:rPr>
          <w:rFonts w:ascii="Arial" w:hAnsi="Arial" w:cs="Arial"/>
        </w:rPr>
        <w:lastRenderedPageBreak/>
        <w:t>the frequency of contact with parents</w:t>
      </w:r>
      <w:r w:rsidR="00E1157A">
        <w:rPr>
          <w:rStyle w:val="FootnoteReference"/>
          <w:rFonts w:ascii="Arial" w:hAnsi="Arial" w:cs="Arial"/>
        </w:rPr>
        <w:footnoteReference w:id="13"/>
      </w:r>
      <w:r w:rsidR="00E1157A">
        <w:rPr>
          <w:rFonts w:ascii="Arial" w:hAnsi="Arial" w:cs="Arial"/>
        </w:rPr>
        <w:t xml:space="preserve">. Having the least contact with parent(s) is made the reference point. Individuals who have the closest relationship with their parent(s) have higher chances of HO transition by about 11.5 percent. </w:t>
      </w:r>
      <w:r w:rsidR="00B10C11">
        <w:rPr>
          <w:rFonts w:ascii="Arial" w:hAnsi="Arial" w:cs="Arial"/>
        </w:rPr>
        <w:t xml:space="preserve">By keeping up with parents, the chances of receiving assistance for home ownership transition are higher. </w:t>
      </w:r>
    </w:p>
    <w:p w14:paraId="50A39A72" w14:textId="5EF3FC29" w:rsidR="007C052E" w:rsidRDefault="00780600" w:rsidP="007F121A">
      <w:pPr>
        <w:spacing w:after="240" w:line="360" w:lineRule="auto"/>
        <w:jc w:val="both"/>
        <w:rPr>
          <w:rFonts w:ascii="Arial" w:hAnsi="Arial" w:cs="Arial"/>
        </w:rPr>
      </w:pPr>
      <w:r>
        <w:rPr>
          <w:rFonts w:ascii="Arial" w:hAnsi="Arial" w:cs="Arial"/>
        </w:rPr>
        <w:t>O</w:t>
      </w:r>
      <w:r w:rsidR="00572BB9">
        <w:rPr>
          <w:rFonts w:ascii="Arial" w:hAnsi="Arial" w:cs="Arial"/>
        </w:rPr>
        <w:t>ur proxies</w:t>
      </w:r>
      <w:r w:rsidR="003D1C55">
        <w:rPr>
          <w:rFonts w:ascii="Arial" w:hAnsi="Arial" w:cs="Arial"/>
        </w:rPr>
        <w:t xml:space="preserve"> representing levels of </w:t>
      </w:r>
      <w:r w:rsidR="00572BB9">
        <w:rPr>
          <w:rFonts w:ascii="Arial" w:hAnsi="Arial" w:cs="Arial"/>
        </w:rPr>
        <w:t xml:space="preserve">perception of job security and the acquisition of a new job </w:t>
      </w:r>
      <w:r w:rsidR="00D12C1C">
        <w:rPr>
          <w:rFonts w:ascii="Arial" w:hAnsi="Arial" w:cs="Arial"/>
        </w:rPr>
        <w:t xml:space="preserve">reveal </w:t>
      </w:r>
      <w:r w:rsidR="00CF5719">
        <w:rPr>
          <w:rFonts w:ascii="Arial" w:hAnsi="Arial" w:cs="Arial"/>
        </w:rPr>
        <w:t xml:space="preserve">traces of concern </w:t>
      </w:r>
      <w:r w:rsidR="00324391">
        <w:rPr>
          <w:rFonts w:ascii="Arial" w:hAnsi="Arial" w:cs="Arial"/>
        </w:rPr>
        <w:t xml:space="preserve">individuals have </w:t>
      </w:r>
      <w:r w:rsidR="00FE1810">
        <w:rPr>
          <w:rFonts w:ascii="Arial" w:hAnsi="Arial" w:cs="Arial"/>
        </w:rPr>
        <w:t>over</w:t>
      </w:r>
      <w:r w:rsidR="00D00723">
        <w:rPr>
          <w:rFonts w:ascii="Arial" w:hAnsi="Arial" w:cs="Arial"/>
        </w:rPr>
        <w:t xml:space="preserve"> present </w:t>
      </w:r>
      <w:r w:rsidR="007F310F">
        <w:rPr>
          <w:rFonts w:ascii="Arial" w:hAnsi="Arial" w:cs="Arial"/>
        </w:rPr>
        <w:t xml:space="preserve">employment </w:t>
      </w:r>
      <w:r w:rsidR="00C64D13">
        <w:rPr>
          <w:rFonts w:ascii="Arial" w:hAnsi="Arial" w:cs="Arial"/>
        </w:rPr>
        <w:t>and economic conditions</w:t>
      </w:r>
      <w:r w:rsidR="00B01201">
        <w:rPr>
          <w:rFonts w:ascii="Arial" w:hAnsi="Arial" w:cs="Arial"/>
        </w:rPr>
        <w:t>,</w:t>
      </w:r>
      <w:r w:rsidR="007F310F">
        <w:rPr>
          <w:rFonts w:ascii="Arial" w:hAnsi="Arial" w:cs="Arial"/>
        </w:rPr>
        <w:t xml:space="preserve"> which consequently </w:t>
      </w:r>
      <w:r w:rsidR="006A429B">
        <w:rPr>
          <w:rFonts w:ascii="Arial" w:hAnsi="Arial" w:cs="Arial"/>
        </w:rPr>
        <w:t xml:space="preserve">drive </w:t>
      </w:r>
      <w:r w:rsidR="00210285">
        <w:rPr>
          <w:rFonts w:ascii="Arial" w:hAnsi="Arial" w:cs="Arial"/>
        </w:rPr>
        <w:t>important</w:t>
      </w:r>
      <w:r w:rsidR="006A429B">
        <w:rPr>
          <w:rFonts w:ascii="Arial" w:hAnsi="Arial" w:cs="Arial"/>
        </w:rPr>
        <w:t xml:space="preserve"> </w:t>
      </w:r>
      <w:r w:rsidR="00210285">
        <w:rPr>
          <w:rFonts w:ascii="Arial" w:hAnsi="Arial" w:cs="Arial"/>
        </w:rPr>
        <w:t>decision-making</w:t>
      </w:r>
      <w:r w:rsidR="002F29AA">
        <w:rPr>
          <w:rFonts w:ascii="Arial" w:hAnsi="Arial" w:cs="Arial"/>
        </w:rPr>
        <w:t xml:space="preserve"> and social outcomes</w:t>
      </w:r>
      <w:r w:rsidR="00210285">
        <w:rPr>
          <w:rFonts w:ascii="Arial" w:hAnsi="Arial" w:cs="Arial"/>
        </w:rPr>
        <w:t>.</w:t>
      </w:r>
      <w:r w:rsidR="002F29AA">
        <w:rPr>
          <w:rFonts w:ascii="Arial" w:hAnsi="Arial" w:cs="Arial"/>
        </w:rPr>
        <w:t xml:space="preserve"> </w:t>
      </w:r>
      <w:r w:rsidR="00C51707">
        <w:rPr>
          <w:rFonts w:ascii="Arial" w:hAnsi="Arial" w:cs="Arial"/>
        </w:rPr>
        <w:t xml:space="preserve">Low perception of job security is the reference point in our models. Private renters </w:t>
      </w:r>
      <w:r w:rsidR="00785958">
        <w:rPr>
          <w:rFonts w:ascii="Arial" w:hAnsi="Arial" w:cs="Arial"/>
        </w:rPr>
        <w:t>with</w:t>
      </w:r>
      <w:r w:rsidR="00642D44">
        <w:rPr>
          <w:rFonts w:ascii="Arial" w:hAnsi="Arial" w:cs="Arial"/>
        </w:rPr>
        <w:t xml:space="preserve"> </w:t>
      </w:r>
      <w:r w:rsidR="00E96545">
        <w:rPr>
          <w:rFonts w:ascii="Arial" w:hAnsi="Arial" w:cs="Arial"/>
        </w:rPr>
        <w:t xml:space="preserve">high perception of job security </w:t>
      </w:r>
      <w:r w:rsidR="00785958">
        <w:rPr>
          <w:rFonts w:ascii="Arial" w:hAnsi="Arial" w:cs="Arial"/>
        </w:rPr>
        <w:t xml:space="preserve">are </w:t>
      </w:r>
      <w:r w:rsidR="00772826">
        <w:rPr>
          <w:rFonts w:ascii="Arial" w:hAnsi="Arial" w:cs="Arial"/>
        </w:rPr>
        <w:t>more likely to switch to HO</w:t>
      </w:r>
      <w:r w:rsidR="000F17F8">
        <w:rPr>
          <w:rFonts w:ascii="Arial" w:hAnsi="Arial" w:cs="Arial"/>
        </w:rPr>
        <w:t xml:space="preserve"> </w:t>
      </w:r>
      <w:r w:rsidR="002B5A58">
        <w:rPr>
          <w:rFonts w:ascii="Arial" w:hAnsi="Arial" w:cs="Arial"/>
        </w:rPr>
        <w:t xml:space="preserve">by </w:t>
      </w:r>
      <w:r w:rsidR="00AD4D68">
        <w:rPr>
          <w:rFonts w:ascii="Arial" w:hAnsi="Arial" w:cs="Arial"/>
        </w:rPr>
        <w:t xml:space="preserve">7.5 percent </w:t>
      </w:r>
      <w:r w:rsidR="002E3990">
        <w:rPr>
          <w:rFonts w:ascii="Arial" w:hAnsi="Arial" w:cs="Arial"/>
        </w:rPr>
        <w:t xml:space="preserve">marginally </w:t>
      </w:r>
      <w:r w:rsidR="00533AF9">
        <w:rPr>
          <w:rFonts w:ascii="Arial" w:hAnsi="Arial" w:cs="Arial"/>
        </w:rPr>
        <w:t>(</w:t>
      </w:r>
      <w:r w:rsidR="00676D53">
        <w:rPr>
          <w:rFonts w:ascii="Arial" w:hAnsi="Arial" w:cs="Arial"/>
        </w:rPr>
        <w:t xml:space="preserve">and </w:t>
      </w:r>
      <w:r w:rsidR="00533AF9">
        <w:rPr>
          <w:rFonts w:ascii="Arial" w:hAnsi="Arial" w:cs="Arial"/>
        </w:rPr>
        <w:t>at 95 percent confidence interval)</w:t>
      </w:r>
      <w:r w:rsidR="00622777">
        <w:rPr>
          <w:rFonts w:ascii="Arial" w:hAnsi="Arial" w:cs="Arial"/>
        </w:rPr>
        <w:t xml:space="preserve">. </w:t>
      </w:r>
      <w:r w:rsidR="0066551C">
        <w:rPr>
          <w:rFonts w:ascii="Arial" w:hAnsi="Arial" w:cs="Arial"/>
        </w:rPr>
        <w:t>However, t</w:t>
      </w:r>
      <w:r w:rsidR="00622777">
        <w:rPr>
          <w:rFonts w:ascii="Arial" w:hAnsi="Arial" w:cs="Arial"/>
        </w:rPr>
        <w:t xml:space="preserve">his is not the case with </w:t>
      </w:r>
      <w:r w:rsidR="000F7655">
        <w:rPr>
          <w:rFonts w:ascii="Arial" w:hAnsi="Arial" w:cs="Arial"/>
        </w:rPr>
        <w:t>PH stayers</w:t>
      </w:r>
      <w:r w:rsidR="00D211FF">
        <w:rPr>
          <w:rFonts w:ascii="Arial" w:hAnsi="Arial" w:cs="Arial"/>
        </w:rPr>
        <w:t xml:space="preserve">, </w:t>
      </w:r>
      <w:r w:rsidR="00DE7D52">
        <w:rPr>
          <w:rFonts w:ascii="Arial" w:hAnsi="Arial" w:cs="Arial"/>
        </w:rPr>
        <w:t>as they</w:t>
      </w:r>
      <w:r w:rsidR="00D211FF">
        <w:rPr>
          <w:rFonts w:ascii="Arial" w:hAnsi="Arial" w:cs="Arial"/>
        </w:rPr>
        <w:t xml:space="preserve"> </w:t>
      </w:r>
      <w:r w:rsidR="00FF348B">
        <w:rPr>
          <w:rFonts w:ascii="Arial" w:hAnsi="Arial" w:cs="Arial"/>
        </w:rPr>
        <w:t xml:space="preserve">are driven by </w:t>
      </w:r>
      <w:r w:rsidR="00A43797">
        <w:rPr>
          <w:rFonts w:ascii="Arial" w:hAnsi="Arial" w:cs="Arial"/>
        </w:rPr>
        <w:t>job a</w:t>
      </w:r>
      <w:r w:rsidR="00122253">
        <w:rPr>
          <w:rFonts w:ascii="Arial" w:hAnsi="Arial" w:cs="Arial"/>
        </w:rPr>
        <w:t>cquisition</w:t>
      </w:r>
      <w:r w:rsidR="00955AD1">
        <w:rPr>
          <w:rFonts w:ascii="Arial" w:hAnsi="Arial" w:cs="Arial"/>
        </w:rPr>
        <w:t xml:space="preserve">, rather than the levels of </w:t>
      </w:r>
      <w:r w:rsidR="00F0062B">
        <w:rPr>
          <w:rFonts w:ascii="Arial" w:hAnsi="Arial" w:cs="Arial"/>
        </w:rPr>
        <w:t>perception of job security,</w:t>
      </w:r>
      <w:r w:rsidR="00122253">
        <w:rPr>
          <w:rFonts w:ascii="Arial" w:hAnsi="Arial" w:cs="Arial"/>
        </w:rPr>
        <w:t xml:space="preserve"> in </w:t>
      </w:r>
      <w:r w:rsidR="0054783C">
        <w:rPr>
          <w:rFonts w:ascii="Arial" w:hAnsi="Arial" w:cs="Arial"/>
        </w:rPr>
        <w:t xml:space="preserve">determining the possibility of </w:t>
      </w:r>
      <w:r w:rsidR="00945571">
        <w:rPr>
          <w:rFonts w:ascii="Arial" w:hAnsi="Arial" w:cs="Arial"/>
        </w:rPr>
        <w:t xml:space="preserve">a </w:t>
      </w:r>
      <w:r w:rsidR="00A71EDE">
        <w:rPr>
          <w:rFonts w:ascii="Arial" w:hAnsi="Arial" w:cs="Arial"/>
        </w:rPr>
        <w:t xml:space="preserve">direct </w:t>
      </w:r>
      <w:r w:rsidR="0054783C">
        <w:rPr>
          <w:rFonts w:ascii="Arial" w:hAnsi="Arial" w:cs="Arial"/>
        </w:rPr>
        <w:t>HO switch</w:t>
      </w:r>
      <w:r w:rsidR="00A71EDE">
        <w:rPr>
          <w:rFonts w:ascii="Arial" w:hAnsi="Arial" w:cs="Arial"/>
        </w:rPr>
        <w:t>.</w:t>
      </w:r>
      <w:r w:rsidR="00524D82">
        <w:rPr>
          <w:rFonts w:ascii="Arial" w:hAnsi="Arial" w:cs="Arial"/>
        </w:rPr>
        <w:t xml:space="preserve"> </w:t>
      </w:r>
      <w:r w:rsidR="00BF0A3D">
        <w:rPr>
          <w:rFonts w:ascii="Arial" w:hAnsi="Arial" w:cs="Arial"/>
        </w:rPr>
        <w:t>The result provide</w:t>
      </w:r>
      <w:r w:rsidR="00206F93">
        <w:rPr>
          <w:rFonts w:ascii="Arial" w:hAnsi="Arial" w:cs="Arial"/>
        </w:rPr>
        <w:t xml:space="preserve"> </w:t>
      </w:r>
      <w:r w:rsidR="00BF0A3D">
        <w:rPr>
          <w:rFonts w:ascii="Arial" w:hAnsi="Arial" w:cs="Arial"/>
        </w:rPr>
        <w:t>e</w:t>
      </w:r>
      <w:r w:rsidR="00206F93">
        <w:rPr>
          <w:rFonts w:ascii="Arial" w:hAnsi="Arial" w:cs="Arial"/>
        </w:rPr>
        <w:t>viden</w:t>
      </w:r>
      <w:r w:rsidR="00BF0A3D">
        <w:rPr>
          <w:rFonts w:ascii="Arial" w:hAnsi="Arial" w:cs="Arial"/>
        </w:rPr>
        <w:t>ce</w:t>
      </w:r>
      <w:r w:rsidR="00206F93">
        <w:rPr>
          <w:rFonts w:ascii="Arial" w:hAnsi="Arial" w:cs="Arial"/>
        </w:rPr>
        <w:t xml:space="preserve"> that </w:t>
      </w:r>
      <w:r w:rsidR="00C56F1C">
        <w:rPr>
          <w:rFonts w:ascii="Arial" w:hAnsi="Arial" w:cs="Arial"/>
        </w:rPr>
        <w:t xml:space="preserve">the perception of </w:t>
      </w:r>
      <w:r w:rsidR="00384D44">
        <w:rPr>
          <w:rFonts w:ascii="Arial" w:hAnsi="Arial" w:cs="Arial"/>
        </w:rPr>
        <w:t xml:space="preserve">job </w:t>
      </w:r>
      <w:r w:rsidR="003710EE">
        <w:rPr>
          <w:rFonts w:ascii="Arial" w:hAnsi="Arial" w:cs="Arial"/>
        </w:rPr>
        <w:t>in</w:t>
      </w:r>
      <w:r w:rsidR="00384D44">
        <w:rPr>
          <w:rFonts w:ascii="Arial" w:hAnsi="Arial" w:cs="Arial"/>
        </w:rPr>
        <w:t>security</w:t>
      </w:r>
      <w:r w:rsidR="003453B5">
        <w:rPr>
          <w:rFonts w:ascii="Arial" w:hAnsi="Arial" w:cs="Arial"/>
        </w:rPr>
        <w:t xml:space="preserve"> </w:t>
      </w:r>
      <w:r w:rsidR="005A42F7">
        <w:rPr>
          <w:rFonts w:ascii="Arial" w:hAnsi="Arial" w:cs="Arial"/>
        </w:rPr>
        <w:t>drive</w:t>
      </w:r>
      <w:r w:rsidR="00F448BD">
        <w:rPr>
          <w:rFonts w:ascii="Arial" w:hAnsi="Arial" w:cs="Arial"/>
        </w:rPr>
        <w:t>s</w:t>
      </w:r>
      <w:r w:rsidR="005A42F7">
        <w:rPr>
          <w:rFonts w:ascii="Arial" w:hAnsi="Arial" w:cs="Arial"/>
        </w:rPr>
        <w:t xml:space="preserve"> </w:t>
      </w:r>
      <w:r w:rsidR="00D175C8">
        <w:rPr>
          <w:rFonts w:ascii="Arial" w:hAnsi="Arial" w:cs="Arial"/>
        </w:rPr>
        <w:t xml:space="preserve">young adults in different ways depending on their </w:t>
      </w:r>
      <w:r w:rsidR="00A62AAD">
        <w:rPr>
          <w:rFonts w:ascii="Arial" w:hAnsi="Arial" w:cs="Arial"/>
        </w:rPr>
        <w:t>original tenure</w:t>
      </w:r>
      <w:r w:rsidR="002B6FC5">
        <w:rPr>
          <w:rFonts w:ascii="Arial" w:hAnsi="Arial" w:cs="Arial"/>
        </w:rPr>
        <w:t xml:space="preserve">. For private renters, </w:t>
      </w:r>
      <w:r w:rsidR="00F76E6C">
        <w:rPr>
          <w:rFonts w:ascii="Arial" w:hAnsi="Arial" w:cs="Arial"/>
        </w:rPr>
        <w:t xml:space="preserve">low perception of job security </w:t>
      </w:r>
      <w:r w:rsidR="0051366A">
        <w:rPr>
          <w:rFonts w:ascii="Arial" w:hAnsi="Arial" w:cs="Arial"/>
        </w:rPr>
        <w:t xml:space="preserve">appears to </w:t>
      </w:r>
      <w:r w:rsidR="00A812BB">
        <w:rPr>
          <w:rFonts w:ascii="Arial" w:hAnsi="Arial" w:cs="Arial"/>
        </w:rPr>
        <w:t xml:space="preserve">delay their HO transition, as they </w:t>
      </w:r>
      <w:r w:rsidR="00D668E8">
        <w:rPr>
          <w:rFonts w:ascii="Arial" w:hAnsi="Arial" w:cs="Arial"/>
        </w:rPr>
        <w:t>will be</w:t>
      </w:r>
      <w:r w:rsidR="00837D3B">
        <w:rPr>
          <w:rFonts w:ascii="Arial" w:hAnsi="Arial" w:cs="Arial"/>
        </w:rPr>
        <w:t xml:space="preserve"> worried about th</w:t>
      </w:r>
      <w:r w:rsidR="008304E5">
        <w:rPr>
          <w:rFonts w:ascii="Arial" w:hAnsi="Arial" w:cs="Arial"/>
        </w:rPr>
        <w:t>e</w:t>
      </w:r>
      <w:r w:rsidR="00D668E8">
        <w:rPr>
          <w:rFonts w:ascii="Arial" w:hAnsi="Arial" w:cs="Arial"/>
        </w:rPr>
        <w:t xml:space="preserve"> sustainability of </w:t>
      </w:r>
      <w:r w:rsidR="00923E0B">
        <w:rPr>
          <w:rFonts w:ascii="Arial" w:hAnsi="Arial" w:cs="Arial"/>
        </w:rPr>
        <w:t>such move</w:t>
      </w:r>
      <w:r w:rsidR="005E1DC0">
        <w:rPr>
          <w:rFonts w:ascii="Arial" w:hAnsi="Arial" w:cs="Arial"/>
        </w:rPr>
        <w:t xml:space="preserve">. </w:t>
      </w:r>
      <w:r w:rsidR="00E34941">
        <w:rPr>
          <w:rFonts w:ascii="Arial" w:hAnsi="Arial" w:cs="Arial"/>
        </w:rPr>
        <w:t xml:space="preserve">On the other hand, PH stayers </w:t>
      </w:r>
      <w:r w:rsidR="00377F83">
        <w:rPr>
          <w:rFonts w:ascii="Arial" w:hAnsi="Arial" w:cs="Arial"/>
        </w:rPr>
        <w:t xml:space="preserve">appear more concerned about acquiring a new job </w:t>
      </w:r>
      <w:r w:rsidR="00FC4E58">
        <w:rPr>
          <w:rFonts w:ascii="Arial" w:hAnsi="Arial" w:cs="Arial"/>
        </w:rPr>
        <w:t xml:space="preserve">in order </w:t>
      </w:r>
      <w:r w:rsidR="00377F83">
        <w:rPr>
          <w:rFonts w:ascii="Arial" w:hAnsi="Arial" w:cs="Arial"/>
        </w:rPr>
        <w:t xml:space="preserve">to boost their perception of job </w:t>
      </w:r>
      <w:r w:rsidR="00FC4E58">
        <w:rPr>
          <w:rFonts w:ascii="Arial" w:hAnsi="Arial" w:cs="Arial"/>
        </w:rPr>
        <w:t>security or</w:t>
      </w:r>
      <w:r w:rsidR="00377F83">
        <w:rPr>
          <w:rFonts w:ascii="Arial" w:hAnsi="Arial" w:cs="Arial"/>
        </w:rPr>
        <w:t xml:space="preserve"> continue to delay </w:t>
      </w:r>
      <w:r w:rsidR="00E3045A">
        <w:rPr>
          <w:rFonts w:ascii="Arial" w:hAnsi="Arial" w:cs="Arial"/>
        </w:rPr>
        <w:t xml:space="preserve">direct </w:t>
      </w:r>
      <w:r w:rsidR="00377F83">
        <w:rPr>
          <w:rFonts w:ascii="Arial" w:hAnsi="Arial" w:cs="Arial"/>
        </w:rPr>
        <w:t xml:space="preserve">HO </w:t>
      </w:r>
      <w:r w:rsidR="00E3045A">
        <w:rPr>
          <w:rFonts w:ascii="Arial" w:hAnsi="Arial" w:cs="Arial"/>
        </w:rPr>
        <w:t>switch</w:t>
      </w:r>
      <w:r w:rsidR="00A12366">
        <w:rPr>
          <w:rFonts w:ascii="Arial" w:hAnsi="Arial" w:cs="Arial"/>
        </w:rPr>
        <w:t>.</w:t>
      </w:r>
      <w:r w:rsidR="0010348A">
        <w:rPr>
          <w:rFonts w:ascii="Arial" w:hAnsi="Arial" w:cs="Arial"/>
        </w:rPr>
        <w:t xml:space="preserve"> </w:t>
      </w:r>
      <w:r w:rsidR="00D20698">
        <w:rPr>
          <w:rFonts w:ascii="Arial" w:hAnsi="Arial" w:cs="Arial"/>
        </w:rPr>
        <w:t xml:space="preserve">Whether this is </w:t>
      </w:r>
      <w:r w:rsidR="00EF445C">
        <w:rPr>
          <w:rFonts w:ascii="Arial" w:hAnsi="Arial" w:cs="Arial"/>
        </w:rPr>
        <w:t>further</w:t>
      </w:r>
      <w:r w:rsidR="00D20698">
        <w:rPr>
          <w:rFonts w:ascii="Arial" w:hAnsi="Arial" w:cs="Arial"/>
        </w:rPr>
        <w:t xml:space="preserve"> connected to </w:t>
      </w:r>
      <w:r w:rsidR="00657799">
        <w:rPr>
          <w:rFonts w:ascii="Arial" w:hAnsi="Arial" w:cs="Arial"/>
        </w:rPr>
        <w:t xml:space="preserve">the </w:t>
      </w:r>
      <w:r w:rsidR="004033A6">
        <w:rPr>
          <w:rFonts w:ascii="Arial" w:hAnsi="Arial" w:cs="Arial"/>
        </w:rPr>
        <w:t>relationships formed within social</w:t>
      </w:r>
      <w:r w:rsidR="00EC1112">
        <w:rPr>
          <w:rFonts w:ascii="Arial" w:hAnsi="Arial" w:cs="Arial"/>
        </w:rPr>
        <w:t xml:space="preserve"> </w:t>
      </w:r>
      <w:r w:rsidR="00CF3B55">
        <w:rPr>
          <w:rFonts w:ascii="Arial" w:hAnsi="Arial" w:cs="Arial"/>
        </w:rPr>
        <w:t>groups remains a question to resolve.</w:t>
      </w:r>
    </w:p>
    <w:p w14:paraId="069D7286" w14:textId="77777777" w:rsidR="00F57C44" w:rsidRDefault="00780600" w:rsidP="007F121A">
      <w:pPr>
        <w:spacing w:after="240" w:line="360" w:lineRule="auto"/>
        <w:jc w:val="both"/>
        <w:rPr>
          <w:rFonts w:ascii="Arial" w:hAnsi="Arial" w:cs="Arial"/>
        </w:rPr>
        <w:sectPr w:rsidR="00F57C44" w:rsidSect="003D6300">
          <w:pgSz w:w="12240" w:h="15840"/>
          <w:pgMar w:top="1440" w:right="1440" w:bottom="1440" w:left="1440" w:header="720" w:footer="720" w:gutter="0"/>
          <w:pgNumType w:start="10"/>
          <w:cols w:space="720"/>
        </w:sectPr>
      </w:pPr>
      <w:r>
        <w:rPr>
          <w:rFonts w:ascii="Arial" w:hAnsi="Arial" w:cs="Arial"/>
        </w:rPr>
        <w:t xml:space="preserve">Lastly, we </w:t>
      </w:r>
      <w:r w:rsidR="007F59D8">
        <w:rPr>
          <w:rFonts w:ascii="Arial" w:hAnsi="Arial" w:cs="Arial"/>
        </w:rPr>
        <w:t xml:space="preserve">explore the relationships between </w:t>
      </w:r>
      <w:r w:rsidR="00F50FD6">
        <w:rPr>
          <w:rFonts w:ascii="Arial" w:hAnsi="Arial" w:cs="Arial"/>
        </w:rPr>
        <w:t>the levels of perception of job security and main social capital drivers</w:t>
      </w:r>
      <w:r w:rsidR="008B45BF">
        <w:rPr>
          <w:rFonts w:ascii="Arial" w:hAnsi="Arial" w:cs="Arial"/>
        </w:rPr>
        <w:t xml:space="preserve"> (table 3)</w:t>
      </w:r>
      <w:r w:rsidR="00F50FD6">
        <w:rPr>
          <w:rFonts w:ascii="Arial" w:hAnsi="Arial" w:cs="Arial"/>
        </w:rPr>
        <w:t xml:space="preserve">. </w:t>
      </w:r>
      <w:r w:rsidR="00834E3A">
        <w:rPr>
          <w:rFonts w:ascii="Arial" w:hAnsi="Arial" w:cs="Arial"/>
        </w:rPr>
        <w:t>The e</w:t>
      </w:r>
      <w:r w:rsidR="004E5A87">
        <w:rPr>
          <w:rFonts w:ascii="Arial" w:hAnsi="Arial" w:cs="Arial"/>
        </w:rPr>
        <w:t xml:space="preserve">xplanation </w:t>
      </w:r>
      <w:r w:rsidR="00F0030F">
        <w:rPr>
          <w:rFonts w:ascii="Arial" w:hAnsi="Arial" w:cs="Arial"/>
        </w:rPr>
        <w:t xml:space="preserve">surrounding this </w:t>
      </w:r>
      <w:r w:rsidR="00151B15">
        <w:rPr>
          <w:rFonts w:ascii="Arial" w:hAnsi="Arial" w:cs="Arial"/>
        </w:rPr>
        <w:t xml:space="preserve">puts forward the possibility </w:t>
      </w:r>
      <w:r w:rsidR="00655BE1">
        <w:rPr>
          <w:rFonts w:ascii="Arial" w:hAnsi="Arial" w:cs="Arial"/>
        </w:rPr>
        <w:t xml:space="preserve">of being influenced by a combination of subjective </w:t>
      </w:r>
      <w:r w:rsidR="002116B5">
        <w:rPr>
          <w:rFonts w:ascii="Arial" w:hAnsi="Arial" w:cs="Arial"/>
        </w:rPr>
        <w:t xml:space="preserve">nature of </w:t>
      </w:r>
      <w:r w:rsidR="006C762D">
        <w:rPr>
          <w:rFonts w:ascii="Arial" w:hAnsi="Arial" w:cs="Arial"/>
        </w:rPr>
        <w:t>job security</w:t>
      </w:r>
      <w:r w:rsidR="00D55C21">
        <w:rPr>
          <w:rFonts w:ascii="Arial" w:hAnsi="Arial" w:cs="Arial"/>
        </w:rPr>
        <w:t xml:space="preserve"> </w:t>
      </w:r>
      <w:r w:rsidR="004430CA">
        <w:rPr>
          <w:rFonts w:ascii="Arial" w:hAnsi="Arial" w:cs="Arial"/>
        </w:rPr>
        <w:t xml:space="preserve">and </w:t>
      </w:r>
      <w:r w:rsidR="004430CA" w:rsidRPr="007F121A">
        <w:rPr>
          <w:rFonts w:ascii="Arial" w:hAnsi="Arial" w:cs="Arial"/>
        </w:rPr>
        <w:t xml:space="preserve">discussions and advice obtained </w:t>
      </w:r>
      <w:r w:rsidR="006C762D">
        <w:rPr>
          <w:rFonts w:ascii="Arial" w:hAnsi="Arial" w:cs="Arial"/>
        </w:rPr>
        <w:t>through</w:t>
      </w:r>
      <w:r w:rsidR="004430CA" w:rsidRPr="007F121A">
        <w:rPr>
          <w:rFonts w:ascii="Arial" w:hAnsi="Arial" w:cs="Arial"/>
        </w:rPr>
        <w:t xml:space="preserve"> social capital linkages</w:t>
      </w:r>
      <w:r w:rsidR="007B71B7">
        <w:rPr>
          <w:rFonts w:ascii="Arial" w:hAnsi="Arial" w:cs="Arial"/>
        </w:rPr>
        <w:t xml:space="preserve">. From the results obtained, the possibilities of a </w:t>
      </w:r>
      <w:r w:rsidR="006E65C6">
        <w:rPr>
          <w:rFonts w:ascii="Arial" w:hAnsi="Arial" w:cs="Arial"/>
        </w:rPr>
        <w:t xml:space="preserve">suggested </w:t>
      </w:r>
      <w:r w:rsidR="007B71B7">
        <w:rPr>
          <w:rFonts w:ascii="Arial" w:hAnsi="Arial" w:cs="Arial"/>
        </w:rPr>
        <w:t xml:space="preserve">combination effect </w:t>
      </w:r>
      <w:r w:rsidR="00D5028C">
        <w:rPr>
          <w:rFonts w:ascii="Arial" w:hAnsi="Arial" w:cs="Arial"/>
        </w:rPr>
        <w:t xml:space="preserve">between social capital and perception of job </w:t>
      </w:r>
      <w:r w:rsidR="00651EF9">
        <w:rPr>
          <w:rFonts w:ascii="Arial" w:hAnsi="Arial" w:cs="Arial"/>
        </w:rPr>
        <w:t xml:space="preserve">insecurity </w:t>
      </w:r>
      <w:r w:rsidR="00026F2A">
        <w:rPr>
          <w:rFonts w:ascii="Arial" w:hAnsi="Arial" w:cs="Arial"/>
        </w:rPr>
        <w:t>are</w:t>
      </w:r>
      <w:r w:rsidR="007B71B7">
        <w:rPr>
          <w:rFonts w:ascii="Arial" w:hAnsi="Arial" w:cs="Arial"/>
        </w:rPr>
        <w:t xml:space="preserve"> minimal</w:t>
      </w:r>
      <w:r w:rsidR="00CE01A3">
        <w:rPr>
          <w:rFonts w:ascii="Arial" w:hAnsi="Arial" w:cs="Arial"/>
        </w:rPr>
        <w:t>, as they</w:t>
      </w:r>
      <w:r w:rsidR="002B7E06">
        <w:rPr>
          <w:rFonts w:ascii="Arial" w:hAnsi="Arial" w:cs="Arial"/>
        </w:rPr>
        <w:t xml:space="preserve"> are equally likely to switch to HO for most of the combinations </w:t>
      </w:r>
      <w:r w:rsidR="00895A97">
        <w:rPr>
          <w:rFonts w:ascii="Arial" w:hAnsi="Arial" w:cs="Arial"/>
        </w:rPr>
        <w:t>explored</w:t>
      </w:r>
      <w:r w:rsidR="0076705E">
        <w:rPr>
          <w:rFonts w:ascii="Arial" w:hAnsi="Arial" w:cs="Arial"/>
        </w:rPr>
        <w:t xml:space="preserve">. Only </w:t>
      </w:r>
      <w:r w:rsidR="009F4FC9">
        <w:rPr>
          <w:rFonts w:ascii="Arial" w:hAnsi="Arial" w:cs="Arial"/>
        </w:rPr>
        <w:t xml:space="preserve">PH stayers </w:t>
      </w:r>
      <w:r w:rsidR="00026F2A">
        <w:rPr>
          <w:rFonts w:ascii="Arial" w:hAnsi="Arial" w:cs="Arial"/>
        </w:rPr>
        <w:t xml:space="preserve">who </w:t>
      </w:r>
      <w:r w:rsidR="00353607">
        <w:rPr>
          <w:rFonts w:ascii="Arial" w:hAnsi="Arial" w:cs="Arial"/>
        </w:rPr>
        <w:t xml:space="preserve">liked where they lived and </w:t>
      </w:r>
      <w:r w:rsidR="009F4FC9">
        <w:rPr>
          <w:rFonts w:ascii="Arial" w:hAnsi="Arial" w:cs="Arial"/>
        </w:rPr>
        <w:t xml:space="preserve">with high perception of </w:t>
      </w:r>
      <w:r w:rsidR="00270C21">
        <w:rPr>
          <w:rFonts w:ascii="Arial" w:hAnsi="Arial" w:cs="Arial"/>
        </w:rPr>
        <w:t>job security</w:t>
      </w:r>
      <w:r w:rsidR="00353607">
        <w:rPr>
          <w:rFonts w:ascii="Arial" w:hAnsi="Arial" w:cs="Arial"/>
        </w:rPr>
        <w:t xml:space="preserve"> are more likely to switch directly to HO</w:t>
      </w:r>
      <w:r w:rsidR="009A5153">
        <w:rPr>
          <w:rFonts w:ascii="Arial" w:hAnsi="Arial" w:cs="Arial"/>
        </w:rPr>
        <w:t xml:space="preserve"> by about 2.3 odds (at 95 percent confidence interval). This is </w:t>
      </w:r>
      <w:r w:rsidR="001D5D3E">
        <w:rPr>
          <w:rFonts w:ascii="Arial" w:hAnsi="Arial" w:cs="Arial"/>
        </w:rPr>
        <w:t xml:space="preserve">the case, provided all other PH stayers liked their neighbourhoods but </w:t>
      </w:r>
      <w:r w:rsidR="00650F34">
        <w:rPr>
          <w:rFonts w:ascii="Arial" w:hAnsi="Arial" w:cs="Arial"/>
        </w:rPr>
        <w:t>perceive a low</w:t>
      </w:r>
      <w:r w:rsidR="00D5028C">
        <w:rPr>
          <w:rFonts w:ascii="Arial" w:hAnsi="Arial" w:cs="Arial"/>
        </w:rPr>
        <w:t xml:space="preserve"> job security. </w:t>
      </w:r>
      <w:r w:rsidR="0061630E">
        <w:rPr>
          <w:rFonts w:ascii="Arial" w:hAnsi="Arial" w:cs="Arial"/>
        </w:rPr>
        <w:t>It</w:t>
      </w:r>
      <w:r w:rsidR="00381C19">
        <w:rPr>
          <w:rFonts w:ascii="Arial" w:hAnsi="Arial" w:cs="Arial"/>
        </w:rPr>
        <w:t xml:space="preserve"> </w:t>
      </w:r>
      <w:r w:rsidR="0061630E">
        <w:rPr>
          <w:rFonts w:ascii="Arial" w:hAnsi="Arial" w:cs="Arial"/>
        </w:rPr>
        <w:t>af</w:t>
      </w:r>
      <w:r w:rsidR="009759CF">
        <w:rPr>
          <w:rFonts w:ascii="Arial" w:hAnsi="Arial" w:cs="Arial"/>
        </w:rPr>
        <w:t>firms the importance of individual’s perception of their job security</w:t>
      </w:r>
      <w:r w:rsidR="001B3F85">
        <w:rPr>
          <w:rFonts w:ascii="Arial" w:hAnsi="Arial" w:cs="Arial"/>
        </w:rPr>
        <w:t xml:space="preserve"> in </w:t>
      </w:r>
      <w:r w:rsidR="00EC1B58">
        <w:rPr>
          <w:rFonts w:ascii="Arial" w:hAnsi="Arial" w:cs="Arial"/>
        </w:rPr>
        <w:t>contributing to</w:t>
      </w:r>
      <w:r w:rsidR="001B3F85">
        <w:rPr>
          <w:rFonts w:ascii="Arial" w:hAnsi="Arial" w:cs="Arial"/>
        </w:rPr>
        <w:t xml:space="preserve"> HO transition. </w:t>
      </w:r>
      <w:r w:rsidR="00E762AB">
        <w:rPr>
          <w:rFonts w:ascii="Arial" w:hAnsi="Arial" w:cs="Arial"/>
        </w:rPr>
        <w:t>More specifically</w:t>
      </w:r>
      <w:r w:rsidR="00F60E78">
        <w:rPr>
          <w:rFonts w:ascii="Arial" w:hAnsi="Arial" w:cs="Arial"/>
        </w:rPr>
        <w:t>, it</w:t>
      </w:r>
      <w:r w:rsidR="001B3F85">
        <w:rPr>
          <w:rFonts w:ascii="Arial" w:hAnsi="Arial" w:cs="Arial"/>
        </w:rPr>
        <w:t xml:space="preserve"> </w:t>
      </w:r>
      <w:r w:rsidR="00496C4D">
        <w:rPr>
          <w:rFonts w:ascii="Arial" w:hAnsi="Arial" w:cs="Arial"/>
        </w:rPr>
        <w:t xml:space="preserve">reveals the </w:t>
      </w:r>
      <w:r w:rsidR="00186BF8">
        <w:rPr>
          <w:rFonts w:ascii="Arial" w:hAnsi="Arial" w:cs="Arial"/>
        </w:rPr>
        <w:t xml:space="preserve">extent to which </w:t>
      </w:r>
      <w:r w:rsidR="00A06188">
        <w:rPr>
          <w:rFonts w:ascii="Arial" w:hAnsi="Arial" w:cs="Arial"/>
        </w:rPr>
        <w:t xml:space="preserve">perception of job security, a </w:t>
      </w:r>
      <w:r w:rsidR="00E520A4">
        <w:rPr>
          <w:rFonts w:ascii="Arial" w:hAnsi="Arial" w:cs="Arial"/>
        </w:rPr>
        <w:t>reflection of actual</w:t>
      </w:r>
      <w:r w:rsidR="00496C4D">
        <w:rPr>
          <w:rFonts w:ascii="Arial" w:hAnsi="Arial" w:cs="Arial"/>
        </w:rPr>
        <w:t xml:space="preserve"> working conditions </w:t>
      </w:r>
      <w:r w:rsidR="00E520A4">
        <w:rPr>
          <w:rFonts w:ascii="Arial" w:hAnsi="Arial" w:cs="Arial"/>
        </w:rPr>
        <w:t xml:space="preserve">and the economy, may </w:t>
      </w:r>
      <w:r w:rsidR="00F57C44">
        <w:rPr>
          <w:rFonts w:ascii="Arial" w:hAnsi="Arial" w:cs="Arial"/>
        </w:rPr>
        <w:t>influence</w:t>
      </w:r>
      <w:r w:rsidR="00496C4D">
        <w:rPr>
          <w:rFonts w:ascii="Arial" w:hAnsi="Arial" w:cs="Arial"/>
        </w:rPr>
        <w:t xml:space="preserve"> ind</w:t>
      </w:r>
      <w:r w:rsidR="00186BF8">
        <w:rPr>
          <w:rFonts w:ascii="Arial" w:hAnsi="Arial" w:cs="Arial"/>
        </w:rPr>
        <w:t>ividual’s eventual outcomes</w:t>
      </w:r>
      <w:r w:rsidR="00791B63">
        <w:rPr>
          <w:rFonts w:ascii="Arial" w:hAnsi="Arial" w:cs="Arial"/>
        </w:rPr>
        <w:t xml:space="preserve"> such as </w:t>
      </w:r>
      <w:r w:rsidR="00E079CD">
        <w:rPr>
          <w:rFonts w:ascii="Arial" w:hAnsi="Arial" w:cs="Arial"/>
        </w:rPr>
        <w:t xml:space="preserve">housing tenure decisions. </w:t>
      </w:r>
    </w:p>
    <w:tbl>
      <w:tblPr>
        <w:tblW w:w="12333" w:type="dxa"/>
        <w:tblBorders>
          <w:bottom w:val="single" w:sz="4" w:space="0" w:color="auto"/>
        </w:tblBorders>
        <w:tblLook w:val="04A0" w:firstRow="1" w:lastRow="0" w:firstColumn="1" w:lastColumn="0" w:noHBand="0" w:noVBand="1"/>
      </w:tblPr>
      <w:tblGrid>
        <w:gridCol w:w="6663"/>
        <w:gridCol w:w="1417"/>
        <w:gridCol w:w="1134"/>
        <w:gridCol w:w="567"/>
        <w:gridCol w:w="1418"/>
        <w:gridCol w:w="1134"/>
      </w:tblGrid>
      <w:tr w:rsidR="00733561" w:rsidRPr="009104E1" w14:paraId="7364835A" w14:textId="77777777" w:rsidTr="00733561">
        <w:trPr>
          <w:trHeight w:val="270"/>
        </w:trPr>
        <w:tc>
          <w:tcPr>
            <w:tcW w:w="6663" w:type="dxa"/>
            <w:shd w:val="clear" w:color="auto" w:fill="auto"/>
            <w:noWrap/>
            <w:vAlign w:val="bottom"/>
            <w:hideMark/>
          </w:tcPr>
          <w:p w14:paraId="69BBC010" w14:textId="77777777" w:rsidR="009104E1" w:rsidRPr="009104E1" w:rsidRDefault="009104E1" w:rsidP="009104E1">
            <w:pPr>
              <w:spacing w:after="0" w:line="240" w:lineRule="auto"/>
              <w:rPr>
                <w:rFonts w:ascii="Arial" w:eastAsia="Times New Roman" w:hAnsi="Arial" w:cs="Arial"/>
                <w:sz w:val="24"/>
                <w:szCs w:val="24"/>
                <w:lang w:val="en-GB"/>
              </w:rPr>
            </w:pPr>
          </w:p>
        </w:tc>
        <w:tc>
          <w:tcPr>
            <w:tcW w:w="1417" w:type="dxa"/>
            <w:shd w:val="clear" w:color="auto" w:fill="auto"/>
            <w:noWrap/>
            <w:vAlign w:val="bottom"/>
            <w:hideMark/>
          </w:tcPr>
          <w:p w14:paraId="62C40977" w14:textId="77777777" w:rsidR="009104E1" w:rsidRPr="009104E1" w:rsidRDefault="009104E1" w:rsidP="009104E1">
            <w:pPr>
              <w:spacing w:after="0" w:line="240" w:lineRule="auto"/>
              <w:rPr>
                <w:rFonts w:ascii="Arial" w:eastAsia="Times New Roman" w:hAnsi="Arial" w:cs="Arial"/>
                <w:b/>
                <w:color w:val="000000"/>
                <w:lang w:val="en-GB"/>
              </w:rPr>
            </w:pPr>
            <w:r w:rsidRPr="009104E1">
              <w:rPr>
                <w:rFonts w:ascii="Arial" w:eastAsia="Times New Roman" w:hAnsi="Arial" w:cs="Arial"/>
                <w:b/>
                <w:color w:val="000000"/>
                <w:lang w:val="en-GB"/>
              </w:rPr>
              <w:t>Model 3</w:t>
            </w:r>
          </w:p>
        </w:tc>
        <w:tc>
          <w:tcPr>
            <w:tcW w:w="1134" w:type="dxa"/>
            <w:shd w:val="clear" w:color="auto" w:fill="auto"/>
            <w:noWrap/>
            <w:vAlign w:val="bottom"/>
            <w:hideMark/>
          </w:tcPr>
          <w:p w14:paraId="15AC0A67" w14:textId="77777777" w:rsidR="009104E1" w:rsidRPr="009104E1" w:rsidRDefault="009104E1" w:rsidP="009104E1">
            <w:pPr>
              <w:spacing w:after="0" w:line="240" w:lineRule="auto"/>
              <w:rPr>
                <w:rFonts w:ascii="Arial" w:eastAsia="Times New Roman" w:hAnsi="Arial" w:cs="Arial"/>
                <w:b/>
                <w:color w:val="000000"/>
                <w:lang w:val="en-GB"/>
              </w:rPr>
            </w:pPr>
          </w:p>
        </w:tc>
        <w:tc>
          <w:tcPr>
            <w:tcW w:w="567" w:type="dxa"/>
            <w:shd w:val="clear" w:color="auto" w:fill="auto"/>
            <w:noWrap/>
            <w:vAlign w:val="bottom"/>
            <w:hideMark/>
          </w:tcPr>
          <w:p w14:paraId="0417C1AD" w14:textId="77777777" w:rsidR="009104E1" w:rsidRPr="009104E1" w:rsidRDefault="009104E1" w:rsidP="009104E1">
            <w:pPr>
              <w:spacing w:after="0" w:line="240" w:lineRule="auto"/>
              <w:rPr>
                <w:rFonts w:ascii="Arial" w:eastAsia="Times New Roman" w:hAnsi="Arial" w:cs="Arial"/>
                <w:b/>
                <w:sz w:val="20"/>
                <w:szCs w:val="20"/>
                <w:lang w:val="en-GB"/>
              </w:rPr>
            </w:pPr>
          </w:p>
        </w:tc>
        <w:tc>
          <w:tcPr>
            <w:tcW w:w="1418" w:type="dxa"/>
            <w:shd w:val="clear" w:color="auto" w:fill="auto"/>
            <w:noWrap/>
            <w:vAlign w:val="bottom"/>
            <w:hideMark/>
          </w:tcPr>
          <w:p w14:paraId="1E6DBC6D" w14:textId="77777777" w:rsidR="009104E1" w:rsidRPr="009104E1" w:rsidRDefault="009104E1" w:rsidP="009104E1">
            <w:pPr>
              <w:spacing w:after="0" w:line="240" w:lineRule="auto"/>
              <w:rPr>
                <w:rFonts w:ascii="Arial" w:eastAsia="Times New Roman" w:hAnsi="Arial" w:cs="Arial"/>
                <w:b/>
                <w:color w:val="000000"/>
                <w:lang w:val="en-GB"/>
              </w:rPr>
            </w:pPr>
            <w:r w:rsidRPr="009104E1">
              <w:rPr>
                <w:rFonts w:ascii="Arial" w:eastAsia="Times New Roman" w:hAnsi="Arial" w:cs="Arial"/>
                <w:b/>
                <w:color w:val="000000"/>
                <w:lang w:val="en-GB"/>
              </w:rPr>
              <w:t>Model 4</w:t>
            </w:r>
          </w:p>
        </w:tc>
        <w:tc>
          <w:tcPr>
            <w:tcW w:w="1134" w:type="dxa"/>
            <w:shd w:val="clear" w:color="auto" w:fill="auto"/>
            <w:noWrap/>
            <w:vAlign w:val="bottom"/>
            <w:hideMark/>
          </w:tcPr>
          <w:p w14:paraId="72E26C60" w14:textId="77777777" w:rsidR="009104E1" w:rsidRPr="009104E1" w:rsidRDefault="009104E1" w:rsidP="009104E1">
            <w:pPr>
              <w:spacing w:after="0" w:line="240" w:lineRule="auto"/>
              <w:rPr>
                <w:rFonts w:ascii="Arial" w:eastAsia="Times New Roman" w:hAnsi="Arial" w:cs="Arial"/>
                <w:color w:val="000000"/>
                <w:lang w:val="en-GB"/>
              </w:rPr>
            </w:pPr>
          </w:p>
        </w:tc>
      </w:tr>
      <w:tr w:rsidR="00733561" w:rsidRPr="009104E1" w14:paraId="7B198D89" w14:textId="77777777" w:rsidTr="00733561">
        <w:trPr>
          <w:trHeight w:val="270"/>
        </w:trPr>
        <w:tc>
          <w:tcPr>
            <w:tcW w:w="6663" w:type="dxa"/>
            <w:shd w:val="clear" w:color="auto" w:fill="auto"/>
            <w:noWrap/>
            <w:vAlign w:val="bottom"/>
            <w:hideMark/>
          </w:tcPr>
          <w:p w14:paraId="721003DC" w14:textId="77777777" w:rsidR="009104E1" w:rsidRPr="009104E1" w:rsidRDefault="009104E1" w:rsidP="009104E1">
            <w:pPr>
              <w:spacing w:after="0" w:line="240" w:lineRule="auto"/>
              <w:rPr>
                <w:rFonts w:ascii="Arial" w:eastAsia="Times New Roman" w:hAnsi="Arial" w:cs="Arial"/>
                <w:sz w:val="20"/>
                <w:szCs w:val="20"/>
                <w:lang w:val="en-GB"/>
              </w:rPr>
            </w:pPr>
          </w:p>
        </w:tc>
        <w:tc>
          <w:tcPr>
            <w:tcW w:w="3118" w:type="dxa"/>
            <w:gridSpan w:val="3"/>
            <w:shd w:val="clear" w:color="auto" w:fill="auto"/>
            <w:noWrap/>
            <w:vAlign w:val="bottom"/>
            <w:hideMark/>
          </w:tcPr>
          <w:p w14:paraId="35C88882" w14:textId="77777777" w:rsid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PR to OWN transition</w:t>
            </w:r>
          </w:p>
          <w:p w14:paraId="6B710BFA" w14:textId="62536EA5"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(with interactions)</w:t>
            </w:r>
          </w:p>
        </w:tc>
        <w:tc>
          <w:tcPr>
            <w:tcW w:w="2552" w:type="dxa"/>
            <w:gridSpan w:val="2"/>
            <w:tcBorders>
              <w:bottom w:val="nil"/>
            </w:tcBorders>
            <w:shd w:val="clear" w:color="auto" w:fill="auto"/>
            <w:noWrap/>
            <w:vAlign w:val="bottom"/>
            <w:hideMark/>
          </w:tcPr>
          <w:p w14:paraId="2A285400" w14:textId="77777777" w:rsid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PH to OWN transition</w:t>
            </w:r>
          </w:p>
          <w:p w14:paraId="6AE555CD" w14:textId="56CA4E3D"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(with interactions)</w:t>
            </w:r>
          </w:p>
        </w:tc>
      </w:tr>
      <w:tr w:rsidR="00733561" w:rsidRPr="009104E1" w14:paraId="288B80DC" w14:textId="77777777" w:rsidTr="00733561">
        <w:trPr>
          <w:trHeight w:val="270"/>
        </w:trPr>
        <w:tc>
          <w:tcPr>
            <w:tcW w:w="6663" w:type="dxa"/>
            <w:shd w:val="clear" w:color="auto" w:fill="auto"/>
            <w:noWrap/>
            <w:vAlign w:val="bottom"/>
            <w:hideMark/>
          </w:tcPr>
          <w:p w14:paraId="1E57A88C" w14:textId="77777777" w:rsidR="009104E1" w:rsidRPr="009104E1" w:rsidRDefault="009104E1" w:rsidP="009104E1">
            <w:pPr>
              <w:spacing w:after="0" w:line="240" w:lineRule="auto"/>
              <w:rPr>
                <w:rFonts w:ascii="Arial" w:eastAsia="Times New Roman" w:hAnsi="Arial" w:cs="Arial"/>
                <w:b/>
                <w:color w:val="000000"/>
                <w:lang w:val="en-GB"/>
              </w:rPr>
            </w:pPr>
            <w:r w:rsidRPr="009104E1">
              <w:rPr>
                <w:rFonts w:ascii="Arial" w:eastAsia="Times New Roman" w:hAnsi="Arial" w:cs="Arial"/>
                <w:b/>
                <w:color w:val="000000"/>
                <w:lang w:val="en-GB"/>
              </w:rPr>
              <w:t>Variables of interest</w:t>
            </w:r>
          </w:p>
        </w:tc>
        <w:tc>
          <w:tcPr>
            <w:tcW w:w="1417" w:type="dxa"/>
            <w:tcBorders>
              <w:bottom w:val="single" w:sz="4" w:space="0" w:color="auto"/>
            </w:tcBorders>
            <w:shd w:val="clear" w:color="auto" w:fill="auto"/>
            <w:noWrap/>
            <w:vAlign w:val="bottom"/>
            <w:hideMark/>
          </w:tcPr>
          <w:p w14:paraId="23E9CC5E" w14:textId="77777777" w:rsidR="009104E1" w:rsidRPr="009104E1" w:rsidRDefault="009104E1" w:rsidP="009104E1">
            <w:pPr>
              <w:spacing w:after="0" w:line="240" w:lineRule="auto"/>
              <w:rPr>
                <w:rFonts w:ascii="Arial" w:eastAsia="Times New Roman" w:hAnsi="Arial" w:cs="Arial"/>
                <w:b/>
                <w:color w:val="000000"/>
                <w:lang w:val="en-GB"/>
              </w:rPr>
            </w:pPr>
            <w:r w:rsidRPr="009104E1">
              <w:rPr>
                <w:rFonts w:ascii="Arial" w:eastAsia="Times New Roman" w:hAnsi="Arial" w:cs="Arial"/>
                <w:b/>
                <w:color w:val="000000"/>
                <w:lang w:val="en-GB"/>
              </w:rPr>
              <w:t>Odds ratio</w:t>
            </w:r>
          </w:p>
        </w:tc>
        <w:tc>
          <w:tcPr>
            <w:tcW w:w="1134" w:type="dxa"/>
            <w:tcBorders>
              <w:bottom w:val="single" w:sz="4" w:space="0" w:color="auto"/>
            </w:tcBorders>
            <w:shd w:val="clear" w:color="auto" w:fill="auto"/>
            <w:noWrap/>
            <w:vAlign w:val="bottom"/>
            <w:hideMark/>
          </w:tcPr>
          <w:p w14:paraId="5B51ECE4" w14:textId="77777777" w:rsidR="009104E1" w:rsidRPr="009104E1" w:rsidRDefault="009104E1" w:rsidP="009104E1">
            <w:pPr>
              <w:spacing w:after="0" w:line="240" w:lineRule="auto"/>
              <w:rPr>
                <w:rFonts w:ascii="Arial" w:eastAsia="Times New Roman" w:hAnsi="Arial" w:cs="Arial"/>
                <w:b/>
                <w:color w:val="000000"/>
                <w:lang w:val="en-GB"/>
              </w:rPr>
            </w:pPr>
            <w:r w:rsidRPr="009104E1">
              <w:rPr>
                <w:rFonts w:ascii="Arial" w:eastAsia="Times New Roman" w:hAnsi="Arial" w:cs="Arial"/>
                <w:b/>
                <w:color w:val="000000"/>
                <w:lang w:val="en-GB"/>
              </w:rPr>
              <w:t>z-values</w:t>
            </w:r>
          </w:p>
        </w:tc>
        <w:tc>
          <w:tcPr>
            <w:tcW w:w="567" w:type="dxa"/>
            <w:tcBorders>
              <w:bottom w:val="nil"/>
            </w:tcBorders>
            <w:shd w:val="clear" w:color="auto" w:fill="auto"/>
            <w:noWrap/>
            <w:vAlign w:val="bottom"/>
            <w:hideMark/>
          </w:tcPr>
          <w:p w14:paraId="70F9D040" w14:textId="77777777" w:rsidR="009104E1" w:rsidRPr="009104E1" w:rsidRDefault="009104E1" w:rsidP="009104E1">
            <w:pPr>
              <w:spacing w:after="0" w:line="240" w:lineRule="auto"/>
              <w:rPr>
                <w:rFonts w:ascii="Arial" w:eastAsia="Times New Roman" w:hAnsi="Arial" w:cs="Arial"/>
                <w:b/>
                <w:color w:val="000000"/>
                <w:lang w:val="en-GB"/>
              </w:rPr>
            </w:pPr>
          </w:p>
        </w:tc>
        <w:tc>
          <w:tcPr>
            <w:tcW w:w="1418" w:type="dxa"/>
            <w:tcBorders>
              <w:bottom w:val="single" w:sz="4" w:space="0" w:color="auto"/>
            </w:tcBorders>
            <w:shd w:val="clear" w:color="auto" w:fill="auto"/>
            <w:noWrap/>
            <w:vAlign w:val="bottom"/>
            <w:hideMark/>
          </w:tcPr>
          <w:p w14:paraId="3AB716E5" w14:textId="77777777" w:rsidR="009104E1" w:rsidRPr="009104E1" w:rsidRDefault="009104E1" w:rsidP="009104E1">
            <w:pPr>
              <w:spacing w:after="0" w:line="240" w:lineRule="auto"/>
              <w:rPr>
                <w:rFonts w:ascii="Arial" w:eastAsia="Times New Roman" w:hAnsi="Arial" w:cs="Arial"/>
                <w:b/>
                <w:color w:val="000000"/>
                <w:lang w:val="en-GB"/>
              </w:rPr>
            </w:pPr>
            <w:r w:rsidRPr="009104E1">
              <w:rPr>
                <w:rFonts w:ascii="Arial" w:eastAsia="Times New Roman" w:hAnsi="Arial" w:cs="Arial"/>
                <w:b/>
                <w:color w:val="000000"/>
                <w:lang w:val="en-GB"/>
              </w:rPr>
              <w:t>Odds ratio</w:t>
            </w:r>
          </w:p>
        </w:tc>
        <w:tc>
          <w:tcPr>
            <w:tcW w:w="1134" w:type="dxa"/>
            <w:tcBorders>
              <w:bottom w:val="single" w:sz="4" w:space="0" w:color="auto"/>
            </w:tcBorders>
            <w:shd w:val="clear" w:color="auto" w:fill="auto"/>
            <w:noWrap/>
            <w:vAlign w:val="bottom"/>
            <w:hideMark/>
          </w:tcPr>
          <w:p w14:paraId="1CF61B8C" w14:textId="77777777" w:rsidR="009104E1" w:rsidRPr="009104E1" w:rsidRDefault="009104E1" w:rsidP="009104E1">
            <w:pPr>
              <w:spacing w:after="0" w:line="240" w:lineRule="auto"/>
              <w:rPr>
                <w:rFonts w:ascii="Arial" w:eastAsia="Times New Roman" w:hAnsi="Arial" w:cs="Arial"/>
                <w:b/>
                <w:color w:val="000000"/>
                <w:lang w:val="en-GB"/>
              </w:rPr>
            </w:pPr>
            <w:r w:rsidRPr="009104E1">
              <w:rPr>
                <w:rFonts w:ascii="Arial" w:eastAsia="Times New Roman" w:hAnsi="Arial" w:cs="Arial"/>
                <w:b/>
                <w:color w:val="000000"/>
                <w:lang w:val="en-GB"/>
              </w:rPr>
              <w:t>z-values</w:t>
            </w:r>
          </w:p>
        </w:tc>
      </w:tr>
      <w:tr w:rsidR="00733561" w:rsidRPr="009104E1" w14:paraId="71F29EB7" w14:textId="77777777" w:rsidTr="00733561">
        <w:trPr>
          <w:trHeight w:val="270"/>
        </w:trPr>
        <w:tc>
          <w:tcPr>
            <w:tcW w:w="6663" w:type="dxa"/>
            <w:tcBorders>
              <w:top w:val="nil"/>
            </w:tcBorders>
            <w:shd w:val="clear" w:color="auto" w:fill="auto"/>
            <w:noWrap/>
            <w:vAlign w:val="bottom"/>
            <w:hideMark/>
          </w:tcPr>
          <w:p w14:paraId="0ADB37D7" w14:textId="77777777" w:rsidR="009104E1" w:rsidRPr="009104E1" w:rsidRDefault="009104E1" w:rsidP="009104E1">
            <w:pPr>
              <w:spacing w:after="0" w:line="240" w:lineRule="auto"/>
              <w:rPr>
                <w:rFonts w:ascii="Arial" w:eastAsia="Times New Roman" w:hAnsi="Arial" w:cs="Arial"/>
                <w:color w:val="000000"/>
                <w:lang w:val="en-GB"/>
              </w:rPr>
            </w:pPr>
          </w:p>
        </w:tc>
        <w:tc>
          <w:tcPr>
            <w:tcW w:w="1417" w:type="dxa"/>
            <w:tcBorders>
              <w:top w:val="nil"/>
            </w:tcBorders>
            <w:shd w:val="clear" w:color="auto" w:fill="auto"/>
            <w:noWrap/>
            <w:vAlign w:val="bottom"/>
            <w:hideMark/>
          </w:tcPr>
          <w:p w14:paraId="16F9E443" w14:textId="77777777" w:rsidR="009104E1" w:rsidRPr="009104E1" w:rsidRDefault="009104E1" w:rsidP="009104E1">
            <w:pPr>
              <w:spacing w:after="0" w:line="240" w:lineRule="auto"/>
              <w:rPr>
                <w:rFonts w:ascii="Arial" w:eastAsia="Times New Roman" w:hAnsi="Arial" w:cs="Arial"/>
                <w:sz w:val="20"/>
                <w:szCs w:val="20"/>
                <w:lang w:val="en-GB"/>
              </w:rPr>
            </w:pPr>
          </w:p>
        </w:tc>
        <w:tc>
          <w:tcPr>
            <w:tcW w:w="1134" w:type="dxa"/>
            <w:tcBorders>
              <w:top w:val="nil"/>
            </w:tcBorders>
            <w:shd w:val="clear" w:color="auto" w:fill="auto"/>
            <w:noWrap/>
            <w:vAlign w:val="bottom"/>
            <w:hideMark/>
          </w:tcPr>
          <w:p w14:paraId="0BB697D0" w14:textId="77777777" w:rsidR="009104E1" w:rsidRPr="009104E1" w:rsidRDefault="009104E1" w:rsidP="009104E1">
            <w:pPr>
              <w:spacing w:after="0" w:line="240" w:lineRule="auto"/>
              <w:rPr>
                <w:rFonts w:ascii="Arial" w:eastAsia="Times New Roman" w:hAnsi="Arial" w:cs="Arial"/>
                <w:sz w:val="20"/>
                <w:szCs w:val="20"/>
                <w:lang w:val="en-GB"/>
              </w:rPr>
            </w:pPr>
          </w:p>
        </w:tc>
        <w:tc>
          <w:tcPr>
            <w:tcW w:w="567" w:type="dxa"/>
            <w:tcBorders>
              <w:top w:val="nil"/>
            </w:tcBorders>
            <w:shd w:val="clear" w:color="auto" w:fill="auto"/>
            <w:noWrap/>
            <w:vAlign w:val="bottom"/>
            <w:hideMark/>
          </w:tcPr>
          <w:p w14:paraId="76EAC640" w14:textId="77777777" w:rsidR="009104E1" w:rsidRPr="009104E1" w:rsidRDefault="009104E1" w:rsidP="009104E1">
            <w:pPr>
              <w:spacing w:after="0" w:line="240" w:lineRule="auto"/>
              <w:rPr>
                <w:rFonts w:ascii="Arial" w:eastAsia="Times New Roman" w:hAnsi="Arial" w:cs="Arial"/>
                <w:sz w:val="20"/>
                <w:szCs w:val="20"/>
                <w:lang w:val="en-GB"/>
              </w:rPr>
            </w:pPr>
          </w:p>
        </w:tc>
        <w:tc>
          <w:tcPr>
            <w:tcW w:w="1418" w:type="dxa"/>
            <w:tcBorders>
              <w:top w:val="single" w:sz="4" w:space="0" w:color="auto"/>
            </w:tcBorders>
            <w:shd w:val="clear" w:color="auto" w:fill="auto"/>
            <w:noWrap/>
            <w:vAlign w:val="bottom"/>
            <w:hideMark/>
          </w:tcPr>
          <w:p w14:paraId="27C46E3A" w14:textId="77777777" w:rsidR="009104E1" w:rsidRPr="009104E1" w:rsidRDefault="009104E1" w:rsidP="009104E1">
            <w:pPr>
              <w:spacing w:after="0" w:line="240" w:lineRule="auto"/>
              <w:rPr>
                <w:rFonts w:ascii="Arial" w:eastAsia="Times New Roman" w:hAnsi="Arial" w:cs="Arial"/>
                <w:sz w:val="20"/>
                <w:szCs w:val="20"/>
                <w:lang w:val="en-GB"/>
              </w:rPr>
            </w:pPr>
          </w:p>
        </w:tc>
        <w:tc>
          <w:tcPr>
            <w:tcW w:w="1134" w:type="dxa"/>
            <w:tcBorders>
              <w:top w:val="single" w:sz="4" w:space="0" w:color="auto"/>
            </w:tcBorders>
            <w:shd w:val="clear" w:color="auto" w:fill="auto"/>
            <w:noWrap/>
            <w:vAlign w:val="bottom"/>
            <w:hideMark/>
          </w:tcPr>
          <w:p w14:paraId="35C56CFB" w14:textId="77777777" w:rsidR="009104E1" w:rsidRPr="009104E1" w:rsidRDefault="009104E1" w:rsidP="009104E1">
            <w:pPr>
              <w:spacing w:after="0" w:line="240" w:lineRule="auto"/>
              <w:rPr>
                <w:rFonts w:ascii="Arial" w:eastAsia="Times New Roman" w:hAnsi="Arial" w:cs="Arial"/>
                <w:sz w:val="20"/>
                <w:szCs w:val="20"/>
                <w:lang w:val="en-GB"/>
              </w:rPr>
            </w:pPr>
          </w:p>
        </w:tc>
      </w:tr>
      <w:tr w:rsidR="00733561" w:rsidRPr="009104E1" w14:paraId="6A7E8C0C" w14:textId="77777777" w:rsidTr="00733561">
        <w:trPr>
          <w:trHeight w:val="270"/>
        </w:trPr>
        <w:tc>
          <w:tcPr>
            <w:tcW w:w="6663" w:type="dxa"/>
            <w:shd w:val="clear" w:color="auto" w:fill="auto"/>
            <w:noWrap/>
            <w:vAlign w:val="bottom"/>
            <w:hideMark/>
          </w:tcPr>
          <w:p w14:paraId="03BFC1E7" w14:textId="102ABFEF"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i/>
                <w:color w:val="000000"/>
                <w:lang w:val="en-GB"/>
              </w:rPr>
              <w:t>ref</w:t>
            </w:r>
            <w:r w:rsidRPr="009104E1">
              <w:rPr>
                <w:rFonts w:ascii="Arial" w:eastAsia="Times New Roman" w:hAnsi="Arial" w:cs="Arial"/>
                <w:color w:val="000000"/>
                <w:lang w:val="en-GB"/>
              </w:rPr>
              <w:t xml:space="preserve"> = </w:t>
            </w:r>
            <w:r w:rsidRPr="00D77F14">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(low) &amp; liked </w:t>
            </w:r>
            <w:r>
              <w:rPr>
                <w:rFonts w:ascii="Arial" w:eastAsia="Times New Roman" w:hAnsi="Arial" w:cs="Arial"/>
                <w:color w:val="000000"/>
                <w:lang w:val="en-GB"/>
              </w:rPr>
              <w:t>neighbourhood</w:t>
            </w:r>
          </w:p>
        </w:tc>
        <w:tc>
          <w:tcPr>
            <w:tcW w:w="1417" w:type="dxa"/>
            <w:shd w:val="clear" w:color="auto" w:fill="auto"/>
            <w:noWrap/>
            <w:vAlign w:val="bottom"/>
            <w:hideMark/>
          </w:tcPr>
          <w:p w14:paraId="6E7E724A" w14:textId="77777777" w:rsidR="009104E1" w:rsidRPr="009104E1" w:rsidRDefault="009104E1" w:rsidP="009104E1">
            <w:pPr>
              <w:spacing w:after="0" w:line="240" w:lineRule="auto"/>
              <w:rPr>
                <w:rFonts w:ascii="Arial" w:eastAsia="Times New Roman" w:hAnsi="Arial" w:cs="Arial"/>
                <w:color w:val="000000"/>
                <w:lang w:val="en-GB"/>
              </w:rPr>
            </w:pPr>
          </w:p>
        </w:tc>
        <w:tc>
          <w:tcPr>
            <w:tcW w:w="1134" w:type="dxa"/>
            <w:shd w:val="clear" w:color="auto" w:fill="auto"/>
            <w:noWrap/>
            <w:vAlign w:val="bottom"/>
            <w:hideMark/>
          </w:tcPr>
          <w:p w14:paraId="03F363A4" w14:textId="77777777" w:rsidR="009104E1" w:rsidRPr="009104E1" w:rsidRDefault="009104E1" w:rsidP="009104E1">
            <w:pPr>
              <w:spacing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2B424DA4" w14:textId="77777777" w:rsidR="009104E1" w:rsidRPr="009104E1" w:rsidRDefault="009104E1" w:rsidP="009104E1">
            <w:pPr>
              <w:spacing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29A955DC" w14:textId="77777777" w:rsidR="009104E1" w:rsidRPr="009104E1" w:rsidRDefault="009104E1" w:rsidP="009104E1">
            <w:pPr>
              <w:spacing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604FA51F" w14:textId="77777777" w:rsidR="009104E1" w:rsidRPr="009104E1" w:rsidRDefault="009104E1" w:rsidP="009104E1">
            <w:pPr>
              <w:spacing w:after="0" w:line="240" w:lineRule="auto"/>
              <w:rPr>
                <w:rFonts w:ascii="Arial" w:eastAsia="Times New Roman" w:hAnsi="Arial" w:cs="Arial"/>
                <w:sz w:val="20"/>
                <w:szCs w:val="20"/>
                <w:lang w:val="en-GB"/>
              </w:rPr>
            </w:pPr>
          </w:p>
        </w:tc>
      </w:tr>
      <w:tr w:rsidR="00733561" w:rsidRPr="009104E1" w14:paraId="2FBE59DC" w14:textId="77777777" w:rsidTr="00733561">
        <w:trPr>
          <w:trHeight w:val="270"/>
        </w:trPr>
        <w:tc>
          <w:tcPr>
            <w:tcW w:w="6663" w:type="dxa"/>
            <w:shd w:val="clear" w:color="auto" w:fill="auto"/>
            <w:noWrap/>
            <w:vAlign w:val="bottom"/>
            <w:hideMark/>
          </w:tcPr>
          <w:p w14:paraId="13CF96E2" w14:textId="727B7447" w:rsidR="009104E1" w:rsidRPr="009104E1" w:rsidRDefault="009104E1" w:rsidP="009104E1">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(med) &amp; liked </w:t>
            </w:r>
            <w:r>
              <w:rPr>
                <w:rFonts w:ascii="Arial" w:eastAsia="Times New Roman" w:hAnsi="Arial" w:cs="Arial"/>
                <w:color w:val="000000"/>
                <w:lang w:val="en-GB"/>
              </w:rPr>
              <w:t>neighbourhood</w:t>
            </w:r>
          </w:p>
        </w:tc>
        <w:tc>
          <w:tcPr>
            <w:tcW w:w="1417" w:type="dxa"/>
            <w:shd w:val="clear" w:color="auto" w:fill="auto"/>
            <w:noWrap/>
            <w:vAlign w:val="bottom"/>
            <w:hideMark/>
          </w:tcPr>
          <w:p w14:paraId="1DDC0C82"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0.672</w:t>
            </w:r>
          </w:p>
        </w:tc>
        <w:tc>
          <w:tcPr>
            <w:tcW w:w="1134" w:type="dxa"/>
            <w:shd w:val="clear" w:color="auto" w:fill="auto"/>
            <w:noWrap/>
            <w:vAlign w:val="bottom"/>
            <w:hideMark/>
          </w:tcPr>
          <w:p w14:paraId="1DD897BE"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-0.37</w:t>
            </w:r>
          </w:p>
        </w:tc>
        <w:tc>
          <w:tcPr>
            <w:tcW w:w="567" w:type="dxa"/>
            <w:shd w:val="clear" w:color="auto" w:fill="auto"/>
            <w:noWrap/>
            <w:vAlign w:val="bottom"/>
            <w:hideMark/>
          </w:tcPr>
          <w:p w14:paraId="19421690"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1768512E"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2.049</w:t>
            </w:r>
          </w:p>
        </w:tc>
        <w:tc>
          <w:tcPr>
            <w:tcW w:w="1134" w:type="dxa"/>
            <w:shd w:val="clear" w:color="auto" w:fill="auto"/>
            <w:noWrap/>
            <w:vAlign w:val="bottom"/>
            <w:hideMark/>
          </w:tcPr>
          <w:p w14:paraId="17FF1466" w14:textId="77777777"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0.74</w:t>
            </w:r>
          </w:p>
        </w:tc>
      </w:tr>
      <w:tr w:rsidR="00733561" w:rsidRPr="009104E1" w14:paraId="2127C093" w14:textId="77777777" w:rsidTr="00733561">
        <w:trPr>
          <w:trHeight w:val="270"/>
        </w:trPr>
        <w:tc>
          <w:tcPr>
            <w:tcW w:w="6663" w:type="dxa"/>
            <w:shd w:val="clear" w:color="auto" w:fill="auto"/>
            <w:noWrap/>
            <w:vAlign w:val="bottom"/>
            <w:hideMark/>
          </w:tcPr>
          <w:p w14:paraId="348A075E" w14:textId="070664FA" w:rsidR="009104E1" w:rsidRPr="009104E1" w:rsidRDefault="009104E1" w:rsidP="009104E1">
            <w:pPr>
              <w:spacing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(high) &amp; liked </w:t>
            </w:r>
            <w:r>
              <w:rPr>
                <w:rFonts w:ascii="Arial" w:eastAsia="Times New Roman" w:hAnsi="Arial" w:cs="Arial"/>
                <w:color w:val="000000"/>
                <w:lang w:val="en-GB"/>
              </w:rPr>
              <w:t>neighbourhood</w:t>
            </w:r>
          </w:p>
        </w:tc>
        <w:tc>
          <w:tcPr>
            <w:tcW w:w="1417" w:type="dxa"/>
            <w:shd w:val="clear" w:color="auto" w:fill="auto"/>
            <w:noWrap/>
            <w:vAlign w:val="bottom"/>
            <w:hideMark/>
          </w:tcPr>
          <w:p w14:paraId="2E496EB3" w14:textId="77777777" w:rsidR="009104E1" w:rsidRPr="009104E1" w:rsidRDefault="009104E1" w:rsidP="009104E1">
            <w:pPr>
              <w:spacing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1.561</w:t>
            </w:r>
          </w:p>
        </w:tc>
        <w:tc>
          <w:tcPr>
            <w:tcW w:w="1134" w:type="dxa"/>
            <w:shd w:val="clear" w:color="auto" w:fill="auto"/>
            <w:noWrap/>
            <w:vAlign w:val="bottom"/>
            <w:hideMark/>
          </w:tcPr>
          <w:p w14:paraId="5228A2CA" w14:textId="77777777" w:rsidR="009104E1" w:rsidRPr="009104E1" w:rsidRDefault="009104E1" w:rsidP="009104E1">
            <w:pPr>
              <w:spacing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0.74</w:t>
            </w:r>
          </w:p>
        </w:tc>
        <w:tc>
          <w:tcPr>
            <w:tcW w:w="567" w:type="dxa"/>
            <w:shd w:val="clear" w:color="auto" w:fill="auto"/>
            <w:noWrap/>
            <w:vAlign w:val="bottom"/>
            <w:hideMark/>
          </w:tcPr>
          <w:p w14:paraId="7BFA1072" w14:textId="77777777" w:rsidR="009104E1" w:rsidRPr="009104E1" w:rsidRDefault="009104E1" w:rsidP="009104E1">
            <w:pPr>
              <w:spacing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4355E94A" w14:textId="77777777" w:rsidR="009104E1" w:rsidRPr="009104E1" w:rsidRDefault="009104E1" w:rsidP="00872CA6">
            <w:pPr>
              <w:spacing w:line="240" w:lineRule="auto"/>
              <w:rPr>
                <w:rFonts w:ascii="Arial" w:eastAsia="Times New Roman" w:hAnsi="Arial" w:cs="Arial"/>
                <w:color w:val="000000"/>
                <w:lang w:val="en-GB"/>
              </w:rPr>
            </w:pPr>
            <w:r w:rsidRPr="009104E1">
              <w:rPr>
                <w:rFonts w:ascii="Arial" w:eastAsia="Times New Roman" w:hAnsi="Arial" w:cs="Arial"/>
                <w:color w:val="000000"/>
                <w:lang w:val="en-GB"/>
              </w:rPr>
              <w:t>2.308**</w:t>
            </w:r>
          </w:p>
        </w:tc>
        <w:tc>
          <w:tcPr>
            <w:tcW w:w="1134" w:type="dxa"/>
            <w:shd w:val="clear" w:color="auto" w:fill="auto"/>
            <w:noWrap/>
            <w:vAlign w:val="bottom"/>
            <w:hideMark/>
          </w:tcPr>
          <w:p w14:paraId="51E389BC" w14:textId="77777777" w:rsidR="009104E1" w:rsidRPr="009104E1" w:rsidRDefault="009104E1" w:rsidP="00733561">
            <w:pPr>
              <w:spacing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2.05</w:t>
            </w:r>
          </w:p>
        </w:tc>
      </w:tr>
      <w:tr w:rsidR="00733561" w:rsidRPr="009104E1" w14:paraId="2EC1661F" w14:textId="77777777" w:rsidTr="00733561">
        <w:trPr>
          <w:trHeight w:val="270"/>
        </w:trPr>
        <w:tc>
          <w:tcPr>
            <w:tcW w:w="6663" w:type="dxa"/>
            <w:shd w:val="clear" w:color="auto" w:fill="auto"/>
            <w:noWrap/>
            <w:vAlign w:val="bottom"/>
            <w:hideMark/>
          </w:tcPr>
          <w:p w14:paraId="0D1381A0" w14:textId="78462DBA"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i/>
                <w:color w:val="000000"/>
                <w:lang w:val="en-GB"/>
              </w:rPr>
              <w:t>ref</w:t>
            </w:r>
            <w:r w:rsidRPr="009104E1">
              <w:rPr>
                <w:rFonts w:ascii="Arial" w:eastAsia="Times New Roman" w:hAnsi="Arial" w:cs="Arial"/>
                <w:color w:val="000000"/>
                <w:lang w:val="en-GB"/>
              </w:rPr>
              <w:t xml:space="preserve"> = </w:t>
            </w: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(med) &amp; Interact with </w:t>
            </w:r>
            <w:r>
              <w:rPr>
                <w:rFonts w:ascii="Arial" w:eastAsia="Times New Roman" w:hAnsi="Arial" w:cs="Arial"/>
                <w:color w:val="000000"/>
                <w:lang w:val="en-GB"/>
              </w:rPr>
              <w:t>neighbours</w:t>
            </w:r>
            <w:r w:rsidRPr="009104E1">
              <w:rPr>
                <w:rFonts w:ascii="Arial" w:eastAsia="Times New Roman" w:hAnsi="Arial" w:cs="Arial"/>
                <w:color w:val="000000"/>
                <w:lang w:val="en-GB"/>
              </w:rPr>
              <w:t xml:space="preserve"> (low)</w:t>
            </w:r>
          </w:p>
        </w:tc>
        <w:tc>
          <w:tcPr>
            <w:tcW w:w="1417" w:type="dxa"/>
            <w:shd w:val="clear" w:color="auto" w:fill="auto"/>
            <w:noWrap/>
            <w:vAlign w:val="bottom"/>
            <w:hideMark/>
          </w:tcPr>
          <w:p w14:paraId="40608FC5" w14:textId="77777777" w:rsidR="009104E1" w:rsidRPr="009104E1" w:rsidRDefault="009104E1" w:rsidP="009104E1">
            <w:pPr>
              <w:spacing w:after="0" w:line="240" w:lineRule="auto"/>
              <w:rPr>
                <w:rFonts w:ascii="Arial" w:eastAsia="Times New Roman" w:hAnsi="Arial" w:cs="Arial"/>
                <w:color w:val="000000"/>
                <w:lang w:val="en-GB"/>
              </w:rPr>
            </w:pPr>
          </w:p>
        </w:tc>
        <w:tc>
          <w:tcPr>
            <w:tcW w:w="1134" w:type="dxa"/>
            <w:shd w:val="clear" w:color="auto" w:fill="auto"/>
            <w:noWrap/>
            <w:vAlign w:val="bottom"/>
            <w:hideMark/>
          </w:tcPr>
          <w:p w14:paraId="53785EB1" w14:textId="77777777" w:rsidR="009104E1" w:rsidRPr="009104E1" w:rsidRDefault="009104E1" w:rsidP="009104E1">
            <w:pPr>
              <w:spacing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4BD59C3E" w14:textId="77777777" w:rsidR="009104E1" w:rsidRPr="009104E1" w:rsidRDefault="009104E1" w:rsidP="009104E1">
            <w:pPr>
              <w:spacing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5CD7DE99" w14:textId="77777777" w:rsidR="009104E1" w:rsidRPr="009104E1" w:rsidRDefault="009104E1" w:rsidP="00872CA6">
            <w:pPr>
              <w:spacing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608378E2" w14:textId="77777777" w:rsidR="009104E1" w:rsidRPr="009104E1" w:rsidRDefault="009104E1" w:rsidP="00733561">
            <w:pPr>
              <w:spacing w:after="0" w:line="240" w:lineRule="auto"/>
              <w:jc w:val="right"/>
              <w:rPr>
                <w:rFonts w:ascii="Arial" w:eastAsia="Times New Roman" w:hAnsi="Arial" w:cs="Arial"/>
                <w:sz w:val="20"/>
                <w:szCs w:val="20"/>
                <w:lang w:val="en-GB"/>
              </w:rPr>
            </w:pPr>
          </w:p>
        </w:tc>
      </w:tr>
      <w:tr w:rsidR="00733561" w:rsidRPr="009104E1" w14:paraId="33170C6A" w14:textId="77777777" w:rsidTr="00733561">
        <w:trPr>
          <w:trHeight w:val="270"/>
        </w:trPr>
        <w:tc>
          <w:tcPr>
            <w:tcW w:w="6663" w:type="dxa"/>
            <w:shd w:val="clear" w:color="auto" w:fill="auto"/>
            <w:noWrap/>
            <w:vAlign w:val="bottom"/>
            <w:hideMark/>
          </w:tcPr>
          <w:p w14:paraId="4C777BF1" w14:textId="58E07329" w:rsidR="009104E1" w:rsidRPr="009104E1" w:rsidRDefault="009104E1" w:rsidP="009104E1">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(med) &amp; Interact with </w:t>
            </w:r>
            <w:r>
              <w:rPr>
                <w:rFonts w:ascii="Arial" w:eastAsia="Times New Roman" w:hAnsi="Arial" w:cs="Arial"/>
                <w:color w:val="000000"/>
                <w:lang w:val="en-GB"/>
              </w:rPr>
              <w:t>neighbours</w:t>
            </w:r>
            <w:r w:rsidRPr="009104E1">
              <w:rPr>
                <w:rFonts w:ascii="Arial" w:eastAsia="Times New Roman" w:hAnsi="Arial" w:cs="Arial"/>
                <w:color w:val="000000"/>
                <w:lang w:val="en-GB"/>
              </w:rPr>
              <w:t xml:space="preserve"> (med)</w:t>
            </w:r>
          </w:p>
        </w:tc>
        <w:tc>
          <w:tcPr>
            <w:tcW w:w="1417" w:type="dxa"/>
            <w:shd w:val="clear" w:color="auto" w:fill="auto"/>
            <w:noWrap/>
            <w:vAlign w:val="bottom"/>
            <w:hideMark/>
          </w:tcPr>
          <w:p w14:paraId="1EDAADBC"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0.849</w:t>
            </w:r>
          </w:p>
        </w:tc>
        <w:tc>
          <w:tcPr>
            <w:tcW w:w="1134" w:type="dxa"/>
            <w:shd w:val="clear" w:color="auto" w:fill="auto"/>
            <w:noWrap/>
            <w:vAlign w:val="bottom"/>
            <w:hideMark/>
          </w:tcPr>
          <w:p w14:paraId="4647CF53"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-0.15</w:t>
            </w:r>
          </w:p>
        </w:tc>
        <w:tc>
          <w:tcPr>
            <w:tcW w:w="567" w:type="dxa"/>
            <w:shd w:val="clear" w:color="auto" w:fill="auto"/>
            <w:noWrap/>
            <w:vAlign w:val="bottom"/>
            <w:hideMark/>
          </w:tcPr>
          <w:p w14:paraId="4BE98EAD"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5A134F6C"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3.136</w:t>
            </w:r>
          </w:p>
        </w:tc>
        <w:tc>
          <w:tcPr>
            <w:tcW w:w="1134" w:type="dxa"/>
            <w:shd w:val="clear" w:color="auto" w:fill="auto"/>
            <w:noWrap/>
            <w:vAlign w:val="bottom"/>
            <w:hideMark/>
          </w:tcPr>
          <w:p w14:paraId="31DAD480" w14:textId="77777777"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1.31</w:t>
            </w:r>
          </w:p>
        </w:tc>
      </w:tr>
      <w:tr w:rsidR="00733561" w:rsidRPr="009104E1" w14:paraId="0D32C1EF" w14:textId="77777777" w:rsidTr="00733561">
        <w:trPr>
          <w:trHeight w:val="270"/>
        </w:trPr>
        <w:tc>
          <w:tcPr>
            <w:tcW w:w="6663" w:type="dxa"/>
            <w:shd w:val="clear" w:color="auto" w:fill="auto"/>
            <w:noWrap/>
            <w:vAlign w:val="bottom"/>
            <w:hideMark/>
          </w:tcPr>
          <w:p w14:paraId="16441727" w14:textId="10B30321" w:rsidR="009104E1" w:rsidRPr="009104E1" w:rsidRDefault="009104E1" w:rsidP="00872CA6">
            <w:pPr>
              <w:spacing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(med) &amp; Interact with </w:t>
            </w:r>
            <w:r>
              <w:rPr>
                <w:rFonts w:ascii="Arial" w:eastAsia="Times New Roman" w:hAnsi="Arial" w:cs="Arial"/>
                <w:color w:val="000000"/>
                <w:lang w:val="en-GB"/>
              </w:rPr>
              <w:t>neighbours</w:t>
            </w:r>
            <w:r w:rsidRPr="009104E1">
              <w:rPr>
                <w:rFonts w:ascii="Arial" w:eastAsia="Times New Roman" w:hAnsi="Arial" w:cs="Arial"/>
                <w:color w:val="000000"/>
                <w:lang w:val="en-GB"/>
              </w:rPr>
              <w:t xml:space="preserve"> (high)</w:t>
            </w:r>
          </w:p>
        </w:tc>
        <w:tc>
          <w:tcPr>
            <w:tcW w:w="1417" w:type="dxa"/>
            <w:shd w:val="clear" w:color="auto" w:fill="auto"/>
            <w:noWrap/>
            <w:vAlign w:val="bottom"/>
            <w:hideMark/>
          </w:tcPr>
          <w:p w14:paraId="4D38E213" w14:textId="77777777" w:rsidR="009104E1" w:rsidRPr="009104E1" w:rsidRDefault="009104E1" w:rsidP="00872CA6">
            <w:pPr>
              <w:spacing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0.283</w:t>
            </w:r>
          </w:p>
        </w:tc>
        <w:tc>
          <w:tcPr>
            <w:tcW w:w="1134" w:type="dxa"/>
            <w:shd w:val="clear" w:color="auto" w:fill="auto"/>
            <w:noWrap/>
            <w:vAlign w:val="bottom"/>
            <w:hideMark/>
          </w:tcPr>
          <w:p w14:paraId="1A45C181" w14:textId="3119730E" w:rsidR="009104E1" w:rsidRPr="009104E1" w:rsidRDefault="009104E1" w:rsidP="00872CA6">
            <w:pPr>
              <w:spacing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-1.6</w:t>
            </w:r>
            <w:r w:rsidR="00872CA6">
              <w:rPr>
                <w:rFonts w:ascii="Arial" w:eastAsia="Times New Roman" w:hAnsi="Arial" w:cs="Arial"/>
                <w:color w:val="000000"/>
                <w:lang w:val="en-GB"/>
              </w:rPr>
              <w:t>0</w:t>
            </w:r>
          </w:p>
        </w:tc>
        <w:tc>
          <w:tcPr>
            <w:tcW w:w="567" w:type="dxa"/>
            <w:shd w:val="clear" w:color="auto" w:fill="auto"/>
            <w:noWrap/>
            <w:vAlign w:val="bottom"/>
            <w:hideMark/>
          </w:tcPr>
          <w:p w14:paraId="011D3A19" w14:textId="77777777" w:rsidR="009104E1" w:rsidRPr="009104E1" w:rsidRDefault="009104E1" w:rsidP="00872CA6">
            <w:pPr>
              <w:spacing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594A8874" w14:textId="77777777" w:rsidR="009104E1" w:rsidRPr="009104E1" w:rsidRDefault="009104E1" w:rsidP="00872CA6">
            <w:pPr>
              <w:spacing w:line="240" w:lineRule="auto"/>
              <w:rPr>
                <w:rFonts w:ascii="Arial" w:eastAsia="Times New Roman" w:hAnsi="Arial" w:cs="Arial"/>
                <w:color w:val="000000"/>
                <w:lang w:val="en-GB"/>
              </w:rPr>
            </w:pPr>
            <w:r w:rsidRPr="009104E1">
              <w:rPr>
                <w:rFonts w:ascii="Arial" w:eastAsia="Times New Roman" w:hAnsi="Arial" w:cs="Arial"/>
                <w:color w:val="000000"/>
                <w:lang w:val="en-GB"/>
              </w:rPr>
              <w:t>1.515</w:t>
            </w:r>
          </w:p>
        </w:tc>
        <w:tc>
          <w:tcPr>
            <w:tcW w:w="1134" w:type="dxa"/>
            <w:shd w:val="clear" w:color="auto" w:fill="auto"/>
            <w:noWrap/>
            <w:vAlign w:val="bottom"/>
            <w:hideMark/>
          </w:tcPr>
          <w:p w14:paraId="1B61ACE6" w14:textId="77777777" w:rsidR="009104E1" w:rsidRPr="009104E1" w:rsidRDefault="009104E1" w:rsidP="00733561">
            <w:pPr>
              <w:spacing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0.54</w:t>
            </w:r>
          </w:p>
        </w:tc>
      </w:tr>
      <w:tr w:rsidR="00733561" w:rsidRPr="009104E1" w14:paraId="1F9ED875" w14:textId="77777777" w:rsidTr="00733561">
        <w:trPr>
          <w:trHeight w:val="270"/>
        </w:trPr>
        <w:tc>
          <w:tcPr>
            <w:tcW w:w="6663" w:type="dxa"/>
            <w:shd w:val="clear" w:color="auto" w:fill="auto"/>
            <w:noWrap/>
            <w:vAlign w:val="bottom"/>
            <w:hideMark/>
          </w:tcPr>
          <w:p w14:paraId="6F46A126" w14:textId="15142D03"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i/>
                <w:color w:val="000000"/>
                <w:lang w:val="en-GB"/>
              </w:rPr>
              <w:t>ref</w:t>
            </w:r>
            <w:r w:rsidRPr="009104E1">
              <w:rPr>
                <w:rFonts w:ascii="Arial" w:eastAsia="Times New Roman" w:hAnsi="Arial" w:cs="Arial"/>
                <w:color w:val="000000"/>
                <w:lang w:val="en-GB"/>
              </w:rPr>
              <w:t xml:space="preserve"> = </w:t>
            </w: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(high) &amp; Interact with </w:t>
            </w:r>
            <w:r>
              <w:rPr>
                <w:rFonts w:ascii="Arial" w:eastAsia="Times New Roman" w:hAnsi="Arial" w:cs="Arial"/>
                <w:color w:val="000000"/>
                <w:lang w:val="en-GB"/>
              </w:rPr>
              <w:t>neighbours</w:t>
            </w:r>
            <w:r w:rsidRPr="009104E1">
              <w:rPr>
                <w:rFonts w:ascii="Arial" w:eastAsia="Times New Roman" w:hAnsi="Arial" w:cs="Arial"/>
                <w:color w:val="000000"/>
                <w:lang w:val="en-GB"/>
              </w:rPr>
              <w:t xml:space="preserve"> (low)</w:t>
            </w:r>
          </w:p>
        </w:tc>
        <w:tc>
          <w:tcPr>
            <w:tcW w:w="1417" w:type="dxa"/>
            <w:shd w:val="clear" w:color="auto" w:fill="auto"/>
            <w:noWrap/>
            <w:vAlign w:val="bottom"/>
            <w:hideMark/>
          </w:tcPr>
          <w:p w14:paraId="03A118E8" w14:textId="77777777" w:rsidR="009104E1" w:rsidRPr="009104E1" w:rsidRDefault="009104E1" w:rsidP="00872CA6">
            <w:pPr>
              <w:spacing w:after="0" w:line="240" w:lineRule="auto"/>
              <w:rPr>
                <w:rFonts w:ascii="Arial" w:eastAsia="Times New Roman" w:hAnsi="Arial" w:cs="Arial"/>
                <w:color w:val="000000"/>
                <w:lang w:val="en-GB"/>
              </w:rPr>
            </w:pPr>
          </w:p>
        </w:tc>
        <w:tc>
          <w:tcPr>
            <w:tcW w:w="1134" w:type="dxa"/>
            <w:shd w:val="clear" w:color="auto" w:fill="auto"/>
            <w:noWrap/>
            <w:vAlign w:val="bottom"/>
            <w:hideMark/>
          </w:tcPr>
          <w:p w14:paraId="5645378C" w14:textId="77777777" w:rsidR="009104E1" w:rsidRPr="009104E1" w:rsidRDefault="009104E1" w:rsidP="00872CA6">
            <w:pPr>
              <w:spacing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3870E9B3" w14:textId="77777777" w:rsidR="009104E1" w:rsidRPr="009104E1" w:rsidRDefault="009104E1" w:rsidP="00872CA6">
            <w:pPr>
              <w:spacing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5EC24AD2" w14:textId="77777777" w:rsidR="009104E1" w:rsidRPr="009104E1" w:rsidRDefault="009104E1" w:rsidP="00872CA6">
            <w:pPr>
              <w:spacing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5EBD4F7A" w14:textId="77777777" w:rsidR="009104E1" w:rsidRPr="009104E1" w:rsidRDefault="009104E1" w:rsidP="00733561">
            <w:pPr>
              <w:spacing w:after="0" w:line="240" w:lineRule="auto"/>
              <w:jc w:val="right"/>
              <w:rPr>
                <w:rFonts w:ascii="Arial" w:eastAsia="Times New Roman" w:hAnsi="Arial" w:cs="Arial"/>
                <w:sz w:val="20"/>
                <w:szCs w:val="20"/>
                <w:lang w:val="en-GB"/>
              </w:rPr>
            </w:pPr>
          </w:p>
        </w:tc>
      </w:tr>
      <w:tr w:rsidR="00733561" w:rsidRPr="009104E1" w14:paraId="01F10964" w14:textId="77777777" w:rsidTr="00733561">
        <w:trPr>
          <w:trHeight w:val="270"/>
        </w:trPr>
        <w:tc>
          <w:tcPr>
            <w:tcW w:w="6663" w:type="dxa"/>
            <w:shd w:val="clear" w:color="auto" w:fill="auto"/>
            <w:noWrap/>
            <w:vAlign w:val="bottom"/>
            <w:hideMark/>
          </w:tcPr>
          <w:p w14:paraId="2BE2D1E1" w14:textId="6A91AD55" w:rsidR="009104E1" w:rsidRPr="009104E1" w:rsidRDefault="009104E1" w:rsidP="00872CA6">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(high) &amp; Interact with </w:t>
            </w:r>
            <w:r>
              <w:rPr>
                <w:rFonts w:ascii="Arial" w:eastAsia="Times New Roman" w:hAnsi="Arial" w:cs="Arial"/>
                <w:color w:val="000000"/>
                <w:lang w:val="en-GB"/>
              </w:rPr>
              <w:t>neighbours</w:t>
            </w:r>
            <w:r w:rsidRPr="009104E1">
              <w:rPr>
                <w:rFonts w:ascii="Arial" w:eastAsia="Times New Roman" w:hAnsi="Arial" w:cs="Arial"/>
                <w:color w:val="000000"/>
                <w:lang w:val="en-GB"/>
              </w:rPr>
              <w:t xml:space="preserve"> (med)</w:t>
            </w:r>
          </w:p>
        </w:tc>
        <w:tc>
          <w:tcPr>
            <w:tcW w:w="1417" w:type="dxa"/>
            <w:shd w:val="clear" w:color="auto" w:fill="auto"/>
            <w:noWrap/>
            <w:vAlign w:val="bottom"/>
            <w:hideMark/>
          </w:tcPr>
          <w:p w14:paraId="379A6241" w14:textId="77777777" w:rsidR="009104E1" w:rsidRPr="009104E1" w:rsidRDefault="009104E1" w:rsidP="00872CA6">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1.367</w:t>
            </w:r>
          </w:p>
        </w:tc>
        <w:tc>
          <w:tcPr>
            <w:tcW w:w="1134" w:type="dxa"/>
            <w:shd w:val="clear" w:color="auto" w:fill="auto"/>
            <w:noWrap/>
            <w:vAlign w:val="bottom"/>
            <w:hideMark/>
          </w:tcPr>
          <w:p w14:paraId="38B83653" w14:textId="77777777" w:rsidR="009104E1" w:rsidRPr="009104E1" w:rsidRDefault="009104E1" w:rsidP="00872CA6">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0.49</w:t>
            </w:r>
          </w:p>
        </w:tc>
        <w:tc>
          <w:tcPr>
            <w:tcW w:w="567" w:type="dxa"/>
            <w:shd w:val="clear" w:color="auto" w:fill="auto"/>
            <w:noWrap/>
            <w:vAlign w:val="bottom"/>
            <w:hideMark/>
          </w:tcPr>
          <w:p w14:paraId="0E08D869" w14:textId="77777777" w:rsidR="009104E1" w:rsidRPr="009104E1" w:rsidRDefault="009104E1" w:rsidP="00872CA6">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0462E7D9"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1.061</w:t>
            </w:r>
          </w:p>
        </w:tc>
        <w:tc>
          <w:tcPr>
            <w:tcW w:w="1134" w:type="dxa"/>
            <w:shd w:val="clear" w:color="auto" w:fill="auto"/>
            <w:noWrap/>
            <w:vAlign w:val="bottom"/>
            <w:hideMark/>
          </w:tcPr>
          <w:p w14:paraId="6165300B" w14:textId="77777777"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0.15</w:t>
            </w:r>
          </w:p>
        </w:tc>
      </w:tr>
      <w:tr w:rsidR="00733561" w:rsidRPr="009104E1" w14:paraId="7C8040C2" w14:textId="77777777" w:rsidTr="00733561">
        <w:trPr>
          <w:trHeight w:val="270"/>
        </w:trPr>
        <w:tc>
          <w:tcPr>
            <w:tcW w:w="6663" w:type="dxa"/>
            <w:shd w:val="clear" w:color="auto" w:fill="auto"/>
            <w:noWrap/>
            <w:vAlign w:val="bottom"/>
            <w:hideMark/>
          </w:tcPr>
          <w:p w14:paraId="1701EA51" w14:textId="100D66C3" w:rsidR="009104E1" w:rsidRPr="009104E1" w:rsidRDefault="009104E1" w:rsidP="00872CA6">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(high) &amp; Interact with </w:t>
            </w:r>
            <w:r>
              <w:rPr>
                <w:rFonts w:ascii="Arial" w:eastAsia="Times New Roman" w:hAnsi="Arial" w:cs="Arial"/>
                <w:color w:val="000000"/>
                <w:lang w:val="en-GB"/>
              </w:rPr>
              <w:t>neighbours</w:t>
            </w:r>
            <w:r w:rsidRPr="009104E1">
              <w:rPr>
                <w:rFonts w:ascii="Arial" w:eastAsia="Times New Roman" w:hAnsi="Arial" w:cs="Arial"/>
                <w:color w:val="000000"/>
                <w:lang w:val="en-GB"/>
              </w:rPr>
              <w:t xml:space="preserve"> (high)</w:t>
            </w:r>
          </w:p>
        </w:tc>
        <w:tc>
          <w:tcPr>
            <w:tcW w:w="1417" w:type="dxa"/>
            <w:shd w:val="clear" w:color="auto" w:fill="auto"/>
            <w:noWrap/>
            <w:vAlign w:val="bottom"/>
            <w:hideMark/>
          </w:tcPr>
          <w:p w14:paraId="3F86E69E" w14:textId="77777777" w:rsidR="009104E1" w:rsidRPr="009104E1" w:rsidRDefault="009104E1" w:rsidP="00872CA6">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0.694</w:t>
            </w:r>
          </w:p>
        </w:tc>
        <w:tc>
          <w:tcPr>
            <w:tcW w:w="1134" w:type="dxa"/>
            <w:shd w:val="clear" w:color="auto" w:fill="auto"/>
            <w:noWrap/>
            <w:vAlign w:val="bottom"/>
            <w:hideMark/>
          </w:tcPr>
          <w:p w14:paraId="354A06ED" w14:textId="77777777" w:rsidR="009104E1" w:rsidRPr="009104E1" w:rsidRDefault="009104E1" w:rsidP="00872CA6">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-0.77</w:t>
            </w:r>
          </w:p>
        </w:tc>
        <w:tc>
          <w:tcPr>
            <w:tcW w:w="567" w:type="dxa"/>
            <w:shd w:val="clear" w:color="auto" w:fill="auto"/>
            <w:noWrap/>
            <w:vAlign w:val="bottom"/>
            <w:hideMark/>
          </w:tcPr>
          <w:p w14:paraId="73F88F88" w14:textId="77777777" w:rsidR="009104E1" w:rsidRPr="009104E1" w:rsidRDefault="009104E1" w:rsidP="00872CA6">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21A741A7"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0.466*</w:t>
            </w:r>
          </w:p>
        </w:tc>
        <w:tc>
          <w:tcPr>
            <w:tcW w:w="1134" w:type="dxa"/>
            <w:shd w:val="clear" w:color="auto" w:fill="auto"/>
            <w:noWrap/>
            <w:vAlign w:val="bottom"/>
            <w:hideMark/>
          </w:tcPr>
          <w:p w14:paraId="288E7737" w14:textId="4AFE4A78"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-2.4</w:t>
            </w:r>
            <w:r w:rsidR="00733561">
              <w:rPr>
                <w:rFonts w:ascii="Arial" w:eastAsia="Times New Roman" w:hAnsi="Arial" w:cs="Arial"/>
                <w:color w:val="000000"/>
                <w:lang w:val="en-GB"/>
              </w:rPr>
              <w:t>0</w:t>
            </w:r>
          </w:p>
        </w:tc>
      </w:tr>
      <w:tr w:rsidR="00733561" w:rsidRPr="009104E1" w14:paraId="53AA3F12" w14:textId="77777777" w:rsidTr="00733561">
        <w:trPr>
          <w:trHeight w:val="270"/>
        </w:trPr>
        <w:tc>
          <w:tcPr>
            <w:tcW w:w="6663" w:type="dxa"/>
            <w:shd w:val="clear" w:color="auto" w:fill="auto"/>
            <w:noWrap/>
            <w:vAlign w:val="bottom"/>
            <w:hideMark/>
          </w:tcPr>
          <w:p w14:paraId="5F415320" w14:textId="3DCDE3CC" w:rsidR="009104E1" w:rsidRPr="009104E1" w:rsidRDefault="009104E1" w:rsidP="00872CA6">
            <w:pPr>
              <w:spacing w:before="240" w:after="0" w:line="240" w:lineRule="auto"/>
              <w:rPr>
                <w:rFonts w:ascii="Arial" w:eastAsia="Times New Roman" w:hAnsi="Arial" w:cs="Arial"/>
                <w:color w:val="000000"/>
                <w:lang w:val="en-GB"/>
              </w:rPr>
            </w:pPr>
            <w:r w:rsidRPr="009104E1">
              <w:rPr>
                <w:rFonts w:ascii="Arial" w:eastAsia="Times New Roman" w:hAnsi="Arial" w:cs="Arial"/>
                <w:i/>
                <w:color w:val="000000"/>
                <w:lang w:val="en-GB"/>
              </w:rPr>
              <w:t>ref</w:t>
            </w:r>
            <w:r w:rsidRPr="009104E1">
              <w:rPr>
                <w:rFonts w:ascii="Arial" w:eastAsia="Times New Roman" w:hAnsi="Arial" w:cs="Arial"/>
                <w:color w:val="000000"/>
                <w:lang w:val="en-GB"/>
              </w:rPr>
              <w:t xml:space="preserve"> = </w:t>
            </w: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(low) &amp; Active in a local org.</w:t>
            </w:r>
          </w:p>
        </w:tc>
        <w:tc>
          <w:tcPr>
            <w:tcW w:w="1417" w:type="dxa"/>
            <w:shd w:val="clear" w:color="auto" w:fill="auto"/>
            <w:noWrap/>
            <w:vAlign w:val="bottom"/>
            <w:hideMark/>
          </w:tcPr>
          <w:p w14:paraId="681EEE2E" w14:textId="77777777" w:rsidR="009104E1" w:rsidRPr="009104E1" w:rsidRDefault="009104E1" w:rsidP="00872CA6">
            <w:pPr>
              <w:spacing w:before="240" w:after="0" w:line="240" w:lineRule="auto"/>
              <w:rPr>
                <w:rFonts w:ascii="Arial" w:eastAsia="Times New Roman" w:hAnsi="Arial" w:cs="Arial"/>
                <w:color w:val="000000"/>
                <w:lang w:val="en-GB"/>
              </w:rPr>
            </w:pPr>
          </w:p>
        </w:tc>
        <w:tc>
          <w:tcPr>
            <w:tcW w:w="1134" w:type="dxa"/>
            <w:shd w:val="clear" w:color="auto" w:fill="auto"/>
            <w:noWrap/>
            <w:vAlign w:val="bottom"/>
            <w:hideMark/>
          </w:tcPr>
          <w:p w14:paraId="05A448B6"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0A86141C"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54BE2D2B"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1ED7B0E7" w14:textId="77777777" w:rsidR="009104E1" w:rsidRPr="009104E1" w:rsidRDefault="009104E1" w:rsidP="00733561">
            <w:pPr>
              <w:spacing w:before="240" w:after="0" w:line="240" w:lineRule="auto"/>
              <w:jc w:val="right"/>
              <w:rPr>
                <w:rFonts w:ascii="Arial" w:eastAsia="Times New Roman" w:hAnsi="Arial" w:cs="Arial"/>
                <w:sz w:val="20"/>
                <w:szCs w:val="20"/>
                <w:lang w:val="en-GB"/>
              </w:rPr>
            </w:pPr>
          </w:p>
        </w:tc>
      </w:tr>
      <w:tr w:rsidR="00733561" w:rsidRPr="009104E1" w14:paraId="09B2A4F3" w14:textId="77777777" w:rsidTr="00733561">
        <w:trPr>
          <w:trHeight w:val="270"/>
        </w:trPr>
        <w:tc>
          <w:tcPr>
            <w:tcW w:w="6663" w:type="dxa"/>
            <w:shd w:val="clear" w:color="auto" w:fill="auto"/>
            <w:noWrap/>
            <w:vAlign w:val="bottom"/>
            <w:hideMark/>
          </w:tcPr>
          <w:p w14:paraId="4542755F" w14:textId="4DFDCE22" w:rsidR="009104E1" w:rsidRPr="009104E1" w:rsidRDefault="009104E1" w:rsidP="009104E1">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(med) &amp; Active in a local org.</w:t>
            </w:r>
          </w:p>
        </w:tc>
        <w:tc>
          <w:tcPr>
            <w:tcW w:w="1417" w:type="dxa"/>
            <w:shd w:val="clear" w:color="auto" w:fill="auto"/>
            <w:noWrap/>
            <w:vAlign w:val="bottom"/>
            <w:hideMark/>
          </w:tcPr>
          <w:p w14:paraId="219DA391"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2.711</w:t>
            </w:r>
          </w:p>
        </w:tc>
        <w:tc>
          <w:tcPr>
            <w:tcW w:w="1134" w:type="dxa"/>
            <w:shd w:val="clear" w:color="auto" w:fill="auto"/>
            <w:noWrap/>
            <w:vAlign w:val="bottom"/>
            <w:hideMark/>
          </w:tcPr>
          <w:p w14:paraId="3798B44A"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1.45</w:t>
            </w:r>
          </w:p>
        </w:tc>
        <w:tc>
          <w:tcPr>
            <w:tcW w:w="567" w:type="dxa"/>
            <w:shd w:val="clear" w:color="auto" w:fill="auto"/>
            <w:noWrap/>
            <w:vAlign w:val="bottom"/>
            <w:hideMark/>
          </w:tcPr>
          <w:p w14:paraId="784940B6"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2D449169"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0.941</w:t>
            </w:r>
          </w:p>
        </w:tc>
        <w:tc>
          <w:tcPr>
            <w:tcW w:w="1134" w:type="dxa"/>
            <w:shd w:val="clear" w:color="auto" w:fill="auto"/>
            <w:noWrap/>
            <w:vAlign w:val="bottom"/>
            <w:hideMark/>
          </w:tcPr>
          <w:p w14:paraId="3A8B3665" w14:textId="77777777"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-0.11</w:t>
            </w:r>
          </w:p>
        </w:tc>
      </w:tr>
      <w:tr w:rsidR="00733561" w:rsidRPr="009104E1" w14:paraId="10C9B6E0" w14:textId="77777777" w:rsidTr="00733561">
        <w:trPr>
          <w:trHeight w:val="270"/>
        </w:trPr>
        <w:tc>
          <w:tcPr>
            <w:tcW w:w="6663" w:type="dxa"/>
            <w:shd w:val="clear" w:color="auto" w:fill="auto"/>
            <w:noWrap/>
            <w:vAlign w:val="bottom"/>
            <w:hideMark/>
          </w:tcPr>
          <w:p w14:paraId="256EB31B" w14:textId="6A51EC6D" w:rsidR="009104E1" w:rsidRPr="009104E1" w:rsidRDefault="009104E1" w:rsidP="009104E1">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(high) &amp; Active in a local org.</w:t>
            </w:r>
          </w:p>
        </w:tc>
        <w:tc>
          <w:tcPr>
            <w:tcW w:w="1417" w:type="dxa"/>
            <w:shd w:val="clear" w:color="auto" w:fill="auto"/>
            <w:noWrap/>
            <w:vAlign w:val="bottom"/>
            <w:hideMark/>
          </w:tcPr>
          <w:p w14:paraId="22D9C876"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1.678</w:t>
            </w:r>
          </w:p>
        </w:tc>
        <w:tc>
          <w:tcPr>
            <w:tcW w:w="1134" w:type="dxa"/>
            <w:shd w:val="clear" w:color="auto" w:fill="auto"/>
            <w:noWrap/>
            <w:vAlign w:val="bottom"/>
            <w:hideMark/>
          </w:tcPr>
          <w:p w14:paraId="17EC0C72" w14:textId="46BD0E5C"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1.3</w:t>
            </w:r>
            <w:r w:rsidR="00872CA6">
              <w:rPr>
                <w:rFonts w:ascii="Arial" w:eastAsia="Times New Roman" w:hAnsi="Arial" w:cs="Arial"/>
                <w:color w:val="000000"/>
                <w:lang w:val="en-GB"/>
              </w:rPr>
              <w:t>0</w:t>
            </w:r>
          </w:p>
        </w:tc>
        <w:tc>
          <w:tcPr>
            <w:tcW w:w="567" w:type="dxa"/>
            <w:shd w:val="clear" w:color="auto" w:fill="auto"/>
            <w:noWrap/>
            <w:vAlign w:val="bottom"/>
            <w:hideMark/>
          </w:tcPr>
          <w:p w14:paraId="55A62005"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612738E8"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1.141</w:t>
            </w:r>
          </w:p>
        </w:tc>
        <w:tc>
          <w:tcPr>
            <w:tcW w:w="1134" w:type="dxa"/>
            <w:shd w:val="clear" w:color="auto" w:fill="auto"/>
            <w:noWrap/>
            <w:vAlign w:val="bottom"/>
            <w:hideMark/>
          </w:tcPr>
          <w:p w14:paraId="38BEF4FF" w14:textId="77777777"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0.53</w:t>
            </w:r>
          </w:p>
        </w:tc>
      </w:tr>
      <w:tr w:rsidR="00733561" w:rsidRPr="009104E1" w14:paraId="22233EF5" w14:textId="77777777" w:rsidTr="00733561">
        <w:trPr>
          <w:trHeight w:val="270"/>
        </w:trPr>
        <w:tc>
          <w:tcPr>
            <w:tcW w:w="6663" w:type="dxa"/>
            <w:shd w:val="clear" w:color="auto" w:fill="auto"/>
            <w:noWrap/>
            <w:vAlign w:val="bottom"/>
            <w:hideMark/>
          </w:tcPr>
          <w:p w14:paraId="257979DB" w14:textId="57D7A477" w:rsidR="009104E1" w:rsidRPr="009104E1" w:rsidRDefault="009104E1" w:rsidP="00872CA6">
            <w:pPr>
              <w:spacing w:before="240" w:after="0" w:line="240" w:lineRule="auto"/>
              <w:rPr>
                <w:rFonts w:ascii="Arial" w:eastAsia="Times New Roman" w:hAnsi="Arial" w:cs="Arial"/>
                <w:color w:val="000000"/>
                <w:lang w:val="en-GB"/>
              </w:rPr>
            </w:pPr>
            <w:r w:rsidRPr="009104E1">
              <w:rPr>
                <w:rFonts w:ascii="Arial" w:eastAsia="Times New Roman" w:hAnsi="Arial" w:cs="Arial"/>
                <w:i/>
                <w:color w:val="000000"/>
                <w:lang w:val="en-GB"/>
              </w:rPr>
              <w:t>ref</w:t>
            </w:r>
            <w:r w:rsidRPr="009104E1">
              <w:rPr>
                <w:rFonts w:ascii="Arial" w:eastAsia="Times New Roman" w:hAnsi="Arial" w:cs="Arial"/>
                <w:color w:val="000000"/>
                <w:lang w:val="en-GB"/>
              </w:rPr>
              <w:t xml:space="preserve"> = </w:t>
            </w: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(med) &amp; Contact with parent (low)</w:t>
            </w:r>
          </w:p>
        </w:tc>
        <w:tc>
          <w:tcPr>
            <w:tcW w:w="1417" w:type="dxa"/>
            <w:shd w:val="clear" w:color="auto" w:fill="auto"/>
            <w:noWrap/>
            <w:vAlign w:val="bottom"/>
            <w:hideMark/>
          </w:tcPr>
          <w:p w14:paraId="40448F2A" w14:textId="77777777" w:rsidR="009104E1" w:rsidRPr="009104E1" w:rsidRDefault="009104E1" w:rsidP="00872CA6">
            <w:pPr>
              <w:spacing w:before="240" w:after="0" w:line="240" w:lineRule="auto"/>
              <w:rPr>
                <w:rFonts w:ascii="Arial" w:eastAsia="Times New Roman" w:hAnsi="Arial" w:cs="Arial"/>
                <w:color w:val="000000"/>
                <w:lang w:val="en-GB"/>
              </w:rPr>
            </w:pPr>
          </w:p>
        </w:tc>
        <w:tc>
          <w:tcPr>
            <w:tcW w:w="1134" w:type="dxa"/>
            <w:shd w:val="clear" w:color="auto" w:fill="auto"/>
            <w:noWrap/>
            <w:vAlign w:val="bottom"/>
            <w:hideMark/>
          </w:tcPr>
          <w:p w14:paraId="21351879"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0CF8A81C"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3A55FEF5"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1022CD1B" w14:textId="77777777" w:rsidR="009104E1" w:rsidRPr="009104E1" w:rsidRDefault="009104E1" w:rsidP="00733561">
            <w:pPr>
              <w:spacing w:before="240" w:after="0" w:line="240" w:lineRule="auto"/>
              <w:jc w:val="right"/>
              <w:rPr>
                <w:rFonts w:ascii="Arial" w:eastAsia="Times New Roman" w:hAnsi="Arial" w:cs="Arial"/>
                <w:sz w:val="20"/>
                <w:szCs w:val="20"/>
                <w:lang w:val="en-GB"/>
              </w:rPr>
            </w:pPr>
          </w:p>
        </w:tc>
      </w:tr>
      <w:tr w:rsidR="00733561" w:rsidRPr="009104E1" w14:paraId="7328506B" w14:textId="77777777" w:rsidTr="00733561">
        <w:trPr>
          <w:trHeight w:val="270"/>
        </w:trPr>
        <w:tc>
          <w:tcPr>
            <w:tcW w:w="6663" w:type="dxa"/>
            <w:shd w:val="clear" w:color="auto" w:fill="auto"/>
            <w:noWrap/>
            <w:vAlign w:val="bottom"/>
            <w:hideMark/>
          </w:tcPr>
          <w:p w14:paraId="3D32EEAF" w14:textId="0BE077B9" w:rsidR="009104E1" w:rsidRPr="009104E1" w:rsidRDefault="009104E1" w:rsidP="009104E1">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(med) &amp; Contact with parent (med)</w:t>
            </w:r>
          </w:p>
        </w:tc>
        <w:tc>
          <w:tcPr>
            <w:tcW w:w="1417" w:type="dxa"/>
            <w:shd w:val="clear" w:color="auto" w:fill="auto"/>
            <w:noWrap/>
            <w:vAlign w:val="bottom"/>
            <w:hideMark/>
          </w:tcPr>
          <w:p w14:paraId="65FB7375"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0.336</w:t>
            </w:r>
          </w:p>
        </w:tc>
        <w:tc>
          <w:tcPr>
            <w:tcW w:w="1134" w:type="dxa"/>
            <w:shd w:val="clear" w:color="auto" w:fill="auto"/>
            <w:noWrap/>
            <w:vAlign w:val="bottom"/>
            <w:hideMark/>
          </w:tcPr>
          <w:p w14:paraId="7A893F12"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-1.35</w:t>
            </w:r>
          </w:p>
        </w:tc>
        <w:tc>
          <w:tcPr>
            <w:tcW w:w="567" w:type="dxa"/>
            <w:shd w:val="clear" w:color="auto" w:fill="auto"/>
            <w:noWrap/>
            <w:vAlign w:val="bottom"/>
            <w:hideMark/>
          </w:tcPr>
          <w:p w14:paraId="7E458122"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4B77EF42" w14:textId="77777777" w:rsidR="009104E1" w:rsidRPr="009104E1" w:rsidRDefault="009104E1" w:rsidP="009104E1">
            <w:pPr>
              <w:spacing w:after="0" w:line="240" w:lineRule="auto"/>
              <w:rPr>
                <w:rFonts w:ascii="Arial" w:eastAsia="Times New Roman" w:hAnsi="Arial" w:cs="Arial"/>
                <w:i/>
                <w:color w:val="000000"/>
                <w:lang w:val="en-GB"/>
              </w:rPr>
            </w:pPr>
            <w:r w:rsidRPr="009104E1">
              <w:rPr>
                <w:rFonts w:ascii="Arial" w:eastAsia="Times New Roman" w:hAnsi="Arial" w:cs="Arial"/>
                <w:i/>
                <w:color w:val="000000"/>
                <w:lang w:val="en-GB"/>
              </w:rPr>
              <w:t>n.a.</w:t>
            </w:r>
          </w:p>
        </w:tc>
        <w:tc>
          <w:tcPr>
            <w:tcW w:w="1134" w:type="dxa"/>
            <w:shd w:val="clear" w:color="auto" w:fill="auto"/>
            <w:noWrap/>
            <w:vAlign w:val="bottom"/>
            <w:hideMark/>
          </w:tcPr>
          <w:p w14:paraId="5322A532" w14:textId="77777777" w:rsidR="009104E1" w:rsidRPr="009104E1" w:rsidRDefault="009104E1" w:rsidP="00733561">
            <w:pPr>
              <w:spacing w:after="0" w:line="240" w:lineRule="auto"/>
              <w:jc w:val="right"/>
              <w:rPr>
                <w:rFonts w:ascii="Arial" w:eastAsia="Times New Roman" w:hAnsi="Arial" w:cs="Arial"/>
                <w:i/>
                <w:color w:val="000000"/>
                <w:lang w:val="en-GB"/>
              </w:rPr>
            </w:pPr>
            <w:r w:rsidRPr="009104E1">
              <w:rPr>
                <w:rFonts w:ascii="Arial" w:eastAsia="Times New Roman" w:hAnsi="Arial" w:cs="Arial"/>
                <w:i/>
                <w:color w:val="000000"/>
                <w:lang w:val="en-GB"/>
              </w:rPr>
              <w:t>n.a.</w:t>
            </w:r>
          </w:p>
        </w:tc>
      </w:tr>
      <w:tr w:rsidR="00733561" w:rsidRPr="009104E1" w14:paraId="3A5C7327" w14:textId="77777777" w:rsidTr="00733561">
        <w:trPr>
          <w:trHeight w:val="270"/>
        </w:trPr>
        <w:tc>
          <w:tcPr>
            <w:tcW w:w="6663" w:type="dxa"/>
            <w:shd w:val="clear" w:color="auto" w:fill="auto"/>
            <w:noWrap/>
            <w:vAlign w:val="bottom"/>
            <w:hideMark/>
          </w:tcPr>
          <w:p w14:paraId="6CA2103B" w14:textId="4D78106D" w:rsidR="009104E1" w:rsidRPr="009104E1" w:rsidRDefault="009104E1" w:rsidP="009104E1">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(med) &amp; Contact with parent (high)</w:t>
            </w:r>
          </w:p>
        </w:tc>
        <w:tc>
          <w:tcPr>
            <w:tcW w:w="1417" w:type="dxa"/>
            <w:shd w:val="clear" w:color="auto" w:fill="auto"/>
            <w:noWrap/>
            <w:vAlign w:val="bottom"/>
            <w:hideMark/>
          </w:tcPr>
          <w:p w14:paraId="20558EE9"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0.452</w:t>
            </w:r>
          </w:p>
        </w:tc>
        <w:tc>
          <w:tcPr>
            <w:tcW w:w="1134" w:type="dxa"/>
            <w:shd w:val="clear" w:color="auto" w:fill="auto"/>
            <w:noWrap/>
            <w:vAlign w:val="bottom"/>
            <w:hideMark/>
          </w:tcPr>
          <w:p w14:paraId="0D5854A4" w14:textId="47E8DF60"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w:t>
            </w:r>
            <w:r w:rsidR="00872CA6">
              <w:rPr>
                <w:rFonts w:ascii="Arial" w:eastAsia="Times New Roman" w:hAnsi="Arial" w:cs="Arial"/>
                <w:color w:val="000000"/>
                <w:lang w:val="en-GB"/>
              </w:rPr>
              <w:t>.00</w:t>
            </w:r>
          </w:p>
        </w:tc>
        <w:tc>
          <w:tcPr>
            <w:tcW w:w="567" w:type="dxa"/>
            <w:shd w:val="clear" w:color="auto" w:fill="auto"/>
            <w:noWrap/>
            <w:vAlign w:val="bottom"/>
            <w:hideMark/>
          </w:tcPr>
          <w:p w14:paraId="10B3E2CF"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6010E0C3" w14:textId="77777777" w:rsidR="009104E1" w:rsidRPr="009104E1" w:rsidRDefault="009104E1" w:rsidP="009104E1">
            <w:pPr>
              <w:spacing w:after="0" w:line="240" w:lineRule="auto"/>
              <w:rPr>
                <w:rFonts w:ascii="Arial" w:eastAsia="Times New Roman" w:hAnsi="Arial" w:cs="Arial"/>
                <w:i/>
                <w:color w:val="000000"/>
                <w:lang w:val="en-GB"/>
              </w:rPr>
            </w:pPr>
            <w:r w:rsidRPr="009104E1">
              <w:rPr>
                <w:rFonts w:ascii="Arial" w:eastAsia="Times New Roman" w:hAnsi="Arial" w:cs="Arial"/>
                <w:i/>
                <w:color w:val="000000"/>
                <w:lang w:val="en-GB"/>
              </w:rPr>
              <w:t>n.a.</w:t>
            </w:r>
          </w:p>
        </w:tc>
        <w:tc>
          <w:tcPr>
            <w:tcW w:w="1134" w:type="dxa"/>
            <w:shd w:val="clear" w:color="auto" w:fill="auto"/>
            <w:noWrap/>
            <w:vAlign w:val="bottom"/>
            <w:hideMark/>
          </w:tcPr>
          <w:p w14:paraId="028B7036" w14:textId="77777777" w:rsidR="009104E1" w:rsidRPr="009104E1" w:rsidRDefault="009104E1" w:rsidP="00733561">
            <w:pPr>
              <w:spacing w:after="0" w:line="240" w:lineRule="auto"/>
              <w:jc w:val="right"/>
              <w:rPr>
                <w:rFonts w:ascii="Arial" w:eastAsia="Times New Roman" w:hAnsi="Arial" w:cs="Arial"/>
                <w:i/>
                <w:color w:val="000000"/>
                <w:lang w:val="en-GB"/>
              </w:rPr>
            </w:pPr>
            <w:r w:rsidRPr="009104E1">
              <w:rPr>
                <w:rFonts w:ascii="Arial" w:eastAsia="Times New Roman" w:hAnsi="Arial" w:cs="Arial"/>
                <w:i/>
                <w:color w:val="000000"/>
                <w:lang w:val="en-GB"/>
              </w:rPr>
              <w:t>n.a.</w:t>
            </w:r>
          </w:p>
        </w:tc>
      </w:tr>
      <w:tr w:rsidR="00733561" w:rsidRPr="009104E1" w14:paraId="4FA750CD" w14:textId="77777777" w:rsidTr="00733561">
        <w:trPr>
          <w:trHeight w:val="270"/>
        </w:trPr>
        <w:tc>
          <w:tcPr>
            <w:tcW w:w="6663" w:type="dxa"/>
            <w:shd w:val="clear" w:color="auto" w:fill="auto"/>
            <w:noWrap/>
            <w:vAlign w:val="bottom"/>
            <w:hideMark/>
          </w:tcPr>
          <w:p w14:paraId="07BA671B" w14:textId="31A95325" w:rsidR="009104E1" w:rsidRPr="009104E1" w:rsidRDefault="009104E1" w:rsidP="00872CA6">
            <w:pPr>
              <w:spacing w:before="240" w:after="0" w:line="240" w:lineRule="auto"/>
              <w:rPr>
                <w:rFonts w:ascii="Arial" w:eastAsia="Times New Roman" w:hAnsi="Arial" w:cs="Arial"/>
                <w:color w:val="000000"/>
                <w:lang w:val="en-GB"/>
              </w:rPr>
            </w:pPr>
            <w:r w:rsidRPr="009104E1">
              <w:rPr>
                <w:rFonts w:ascii="Arial" w:eastAsia="Times New Roman" w:hAnsi="Arial" w:cs="Arial"/>
                <w:i/>
                <w:color w:val="000000"/>
                <w:lang w:val="en-GB"/>
              </w:rPr>
              <w:t>ref</w:t>
            </w:r>
            <w:r w:rsidRPr="009104E1">
              <w:rPr>
                <w:rFonts w:ascii="Arial" w:eastAsia="Times New Roman" w:hAnsi="Arial" w:cs="Arial"/>
                <w:color w:val="000000"/>
                <w:lang w:val="en-GB"/>
              </w:rPr>
              <w:t xml:space="preserve"> = </w:t>
            </w: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(high) &amp; Contact with parent (low)</w:t>
            </w:r>
          </w:p>
        </w:tc>
        <w:tc>
          <w:tcPr>
            <w:tcW w:w="1417" w:type="dxa"/>
            <w:shd w:val="clear" w:color="auto" w:fill="auto"/>
            <w:noWrap/>
            <w:vAlign w:val="bottom"/>
            <w:hideMark/>
          </w:tcPr>
          <w:p w14:paraId="15122950" w14:textId="77777777" w:rsidR="009104E1" w:rsidRPr="009104E1" w:rsidRDefault="009104E1" w:rsidP="00872CA6">
            <w:pPr>
              <w:spacing w:before="240" w:after="0" w:line="240" w:lineRule="auto"/>
              <w:rPr>
                <w:rFonts w:ascii="Arial" w:eastAsia="Times New Roman" w:hAnsi="Arial" w:cs="Arial"/>
                <w:color w:val="000000"/>
                <w:lang w:val="en-GB"/>
              </w:rPr>
            </w:pPr>
          </w:p>
        </w:tc>
        <w:tc>
          <w:tcPr>
            <w:tcW w:w="1134" w:type="dxa"/>
            <w:shd w:val="clear" w:color="auto" w:fill="auto"/>
            <w:noWrap/>
            <w:vAlign w:val="bottom"/>
            <w:hideMark/>
          </w:tcPr>
          <w:p w14:paraId="74C7A5DF"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2A33449D"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0BDC0465" w14:textId="77777777" w:rsidR="009104E1" w:rsidRPr="009104E1" w:rsidRDefault="009104E1" w:rsidP="00872CA6">
            <w:pPr>
              <w:spacing w:before="240" w:after="0" w:line="240" w:lineRule="auto"/>
              <w:rPr>
                <w:rFonts w:ascii="Arial" w:eastAsia="Times New Roman" w:hAnsi="Arial" w:cs="Arial"/>
                <w:i/>
                <w:sz w:val="20"/>
                <w:szCs w:val="20"/>
                <w:lang w:val="en-GB"/>
              </w:rPr>
            </w:pPr>
          </w:p>
        </w:tc>
        <w:tc>
          <w:tcPr>
            <w:tcW w:w="1134" w:type="dxa"/>
            <w:shd w:val="clear" w:color="auto" w:fill="auto"/>
            <w:noWrap/>
            <w:vAlign w:val="bottom"/>
            <w:hideMark/>
          </w:tcPr>
          <w:p w14:paraId="12A14380" w14:textId="77777777" w:rsidR="009104E1" w:rsidRPr="009104E1" w:rsidRDefault="009104E1" w:rsidP="00733561">
            <w:pPr>
              <w:spacing w:before="240" w:after="0" w:line="240" w:lineRule="auto"/>
              <w:jc w:val="right"/>
              <w:rPr>
                <w:rFonts w:ascii="Arial" w:eastAsia="Times New Roman" w:hAnsi="Arial" w:cs="Arial"/>
                <w:i/>
                <w:sz w:val="20"/>
                <w:szCs w:val="20"/>
                <w:lang w:val="en-GB"/>
              </w:rPr>
            </w:pPr>
          </w:p>
        </w:tc>
      </w:tr>
      <w:tr w:rsidR="00733561" w:rsidRPr="009104E1" w14:paraId="41B5CD76" w14:textId="77777777" w:rsidTr="00733561">
        <w:trPr>
          <w:trHeight w:val="270"/>
        </w:trPr>
        <w:tc>
          <w:tcPr>
            <w:tcW w:w="6663" w:type="dxa"/>
            <w:shd w:val="clear" w:color="auto" w:fill="auto"/>
            <w:noWrap/>
            <w:vAlign w:val="bottom"/>
            <w:hideMark/>
          </w:tcPr>
          <w:p w14:paraId="60D3B75D" w14:textId="162078CF" w:rsidR="009104E1" w:rsidRPr="009104E1" w:rsidRDefault="009104E1" w:rsidP="009104E1">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(high) &amp; Contact with parent (med)</w:t>
            </w:r>
          </w:p>
        </w:tc>
        <w:tc>
          <w:tcPr>
            <w:tcW w:w="1417" w:type="dxa"/>
            <w:shd w:val="clear" w:color="auto" w:fill="auto"/>
            <w:noWrap/>
            <w:vAlign w:val="bottom"/>
            <w:hideMark/>
          </w:tcPr>
          <w:p w14:paraId="352E6465"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0.564</w:t>
            </w:r>
          </w:p>
        </w:tc>
        <w:tc>
          <w:tcPr>
            <w:tcW w:w="1134" w:type="dxa"/>
            <w:shd w:val="clear" w:color="auto" w:fill="auto"/>
            <w:noWrap/>
            <w:vAlign w:val="bottom"/>
            <w:hideMark/>
          </w:tcPr>
          <w:p w14:paraId="4FCE48F6"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-1.32</w:t>
            </w:r>
          </w:p>
        </w:tc>
        <w:tc>
          <w:tcPr>
            <w:tcW w:w="567" w:type="dxa"/>
            <w:shd w:val="clear" w:color="auto" w:fill="auto"/>
            <w:noWrap/>
            <w:vAlign w:val="bottom"/>
            <w:hideMark/>
          </w:tcPr>
          <w:p w14:paraId="37D1F024"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0BF668B4" w14:textId="77777777" w:rsidR="009104E1" w:rsidRPr="009104E1" w:rsidRDefault="009104E1" w:rsidP="009104E1">
            <w:pPr>
              <w:spacing w:after="0" w:line="240" w:lineRule="auto"/>
              <w:rPr>
                <w:rFonts w:ascii="Arial" w:eastAsia="Times New Roman" w:hAnsi="Arial" w:cs="Arial"/>
                <w:i/>
                <w:color w:val="000000"/>
                <w:lang w:val="en-GB"/>
              </w:rPr>
            </w:pPr>
            <w:r w:rsidRPr="009104E1">
              <w:rPr>
                <w:rFonts w:ascii="Arial" w:eastAsia="Times New Roman" w:hAnsi="Arial" w:cs="Arial"/>
                <w:i/>
                <w:color w:val="000000"/>
                <w:lang w:val="en-GB"/>
              </w:rPr>
              <w:t>n.a.</w:t>
            </w:r>
          </w:p>
        </w:tc>
        <w:tc>
          <w:tcPr>
            <w:tcW w:w="1134" w:type="dxa"/>
            <w:shd w:val="clear" w:color="auto" w:fill="auto"/>
            <w:noWrap/>
            <w:vAlign w:val="bottom"/>
            <w:hideMark/>
          </w:tcPr>
          <w:p w14:paraId="071B69C8" w14:textId="77777777" w:rsidR="009104E1" w:rsidRPr="009104E1" w:rsidRDefault="009104E1" w:rsidP="00733561">
            <w:pPr>
              <w:spacing w:after="0" w:line="240" w:lineRule="auto"/>
              <w:jc w:val="right"/>
              <w:rPr>
                <w:rFonts w:ascii="Arial" w:eastAsia="Times New Roman" w:hAnsi="Arial" w:cs="Arial"/>
                <w:i/>
                <w:color w:val="000000"/>
                <w:lang w:val="en-GB"/>
              </w:rPr>
            </w:pPr>
            <w:r w:rsidRPr="009104E1">
              <w:rPr>
                <w:rFonts w:ascii="Arial" w:eastAsia="Times New Roman" w:hAnsi="Arial" w:cs="Arial"/>
                <w:i/>
                <w:color w:val="000000"/>
                <w:lang w:val="en-GB"/>
              </w:rPr>
              <w:t>n.a.</w:t>
            </w:r>
          </w:p>
        </w:tc>
      </w:tr>
      <w:tr w:rsidR="00733561" w:rsidRPr="009104E1" w14:paraId="5AF08DBE" w14:textId="77777777" w:rsidTr="00733561">
        <w:trPr>
          <w:trHeight w:val="270"/>
        </w:trPr>
        <w:tc>
          <w:tcPr>
            <w:tcW w:w="6663" w:type="dxa"/>
            <w:shd w:val="clear" w:color="auto" w:fill="auto"/>
            <w:noWrap/>
            <w:vAlign w:val="bottom"/>
            <w:hideMark/>
          </w:tcPr>
          <w:p w14:paraId="7697FD5B" w14:textId="599F554D" w:rsidR="009104E1" w:rsidRPr="009104E1" w:rsidRDefault="009104E1" w:rsidP="009104E1">
            <w:pPr>
              <w:spacing w:after="0" w:line="240" w:lineRule="auto"/>
              <w:rPr>
                <w:rFonts w:ascii="Arial" w:eastAsia="Times New Roman" w:hAnsi="Arial" w:cs="Arial"/>
                <w:color w:val="000000"/>
                <w:lang w:val="en-GB"/>
              </w:rPr>
            </w:pPr>
            <w:r>
              <w:rPr>
                <w:rFonts w:ascii="Arial" w:eastAsia="Times New Roman" w:hAnsi="Arial" w:cs="Arial"/>
                <w:color w:val="000000"/>
                <w:lang w:val="en-GB"/>
              </w:rPr>
              <w:t>Perceived job security</w:t>
            </w:r>
            <w:r w:rsidRPr="009104E1">
              <w:rPr>
                <w:rFonts w:ascii="Arial" w:eastAsia="Times New Roman" w:hAnsi="Arial" w:cs="Arial"/>
                <w:color w:val="000000"/>
                <w:lang w:val="en-GB"/>
              </w:rPr>
              <w:t xml:space="preserve"> (high) &amp; Contact with parent (high)</w:t>
            </w:r>
          </w:p>
        </w:tc>
        <w:tc>
          <w:tcPr>
            <w:tcW w:w="1417" w:type="dxa"/>
            <w:shd w:val="clear" w:color="auto" w:fill="auto"/>
            <w:noWrap/>
            <w:vAlign w:val="bottom"/>
            <w:hideMark/>
          </w:tcPr>
          <w:p w14:paraId="3FDF95ED"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0.701</w:t>
            </w:r>
          </w:p>
        </w:tc>
        <w:tc>
          <w:tcPr>
            <w:tcW w:w="1134" w:type="dxa"/>
            <w:shd w:val="clear" w:color="auto" w:fill="auto"/>
            <w:noWrap/>
            <w:vAlign w:val="bottom"/>
            <w:hideMark/>
          </w:tcPr>
          <w:p w14:paraId="7F878753"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-0.77</w:t>
            </w:r>
          </w:p>
        </w:tc>
        <w:tc>
          <w:tcPr>
            <w:tcW w:w="567" w:type="dxa"/>
            <w:shd w:val="clear" w:color="auto" w:fill="auto"/>
            <w:noWrap/>
            <w:vAlign w:val="bottom"/>
            <w:hideMark/>
          </w:tcPr>
          <w:p w14:paraId="0D5F8061"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23CCBB38" w14:textId="77777777" w:rsidR="009104E1" w:rsidRPr="009104E1" w:rsidRDefault="009104E1" w:rsidP="009104E1">
            <w:pPr>
              <w:spacing w:after="0" w:line="240" w:lineRule="auto"/>
              <w:rPr>
                <w:rFonts w:ascii="Arial" w:eastAsia="Times New Roman" w:hAnsi="Arial" w:cs="Arial"/>
                <w:i/>
                <w:color w:val="000000"/>
                <w:lang w:val="en-GB"/>
              </w:rPr>
            </w:pPr>
            <w:r w:rsidRPr="009104E1">
              <w:rPr>
                <w:rFonts w:ascii="Arial" w:eastAsia="Times New Roman" w:hAnsi="Arial" w:cs="Arial"/>
                <w:i/>
                <w:color w:val="000000"/>
                <w:lang w:val="en-GB"/>
              </w:rPr>
              <w:t>n.a.</w:t>
            </w:r>
          </w:p>
        </w:tc>
        <w:tc>
          <w:tcPr>
            <w:tcW w:w="1134" w:type="dxa"/>
            <w:shd w:val="clear" w:color="auto" w:fill="auto"/>
            <w:noWrap/>
            <w:vAlign w:val="bottom"/>
            <w:hideMark/>
          </w:tcPr>
          <w:p w14:paraId="00370CBE" w14:textId="77777777" w:rsidR="009104E1" w:rsidRPr="009104E1" w:rsidRDefault="009104E1" w:rsidP="00733561">
            <w:pPr>
              <w:spacing w:after="0" w:line="240" w:lineRule="auto"/>
              <w:jc w:val="right"/>
              <w:rPr>
                <w:rFonts w:ascii="Arial" w:eastAsia="Times New Roman" w:hAnsi="Arial" w:cs="Arial"/>
                <w:i/>
                <w:color w:val="000000"/>
                <w:lang w:val="en-GB"/>
              </w:rPr>
            </w:pPr>
            <w:r w:rsidRPr="009104E1">
              <w:rPr>
                <w:rFonts w:ascii="Arial" w:eastAsia="Times New Roman" w:hAnsi="Arial" w:cs="Arial"/>
                <w:i/>
                <w:color w:val="000000"/>
                <w:lang w:val="en-GB"/>
              </w:rPr>
              <w:t>n.a.</w:t>
            </w:r>
          </w:p>
        </w:tc>
      </w:tr>
      <w:tr w:rsidR="00733561" w:rsidRPr="009104E1" w14:paraId="0B0FA053" w14:textId="77777777" w:rsidTr="00733561">
        <w:trPr>
          <w:trHeight w:val="270"/>
        </w:trPr>
        <w:tc>
          <w:tcPr>
            <w:tcW w:w="6663" w:type="dxa"/>
            <w:shd w:val="clear" w:color="auto" w:fill="auto"/>
            <w:noWrap/>
            <w:vAlign w:val="bottom"/>
            <w:hideMark/>
          </w:tcPr>
          <w:p w14:paraId="597A9F1F" w14:textId="452129E5" w:rsidR="009104E1" w:rsidRPr="009104E1" w:rsidRDefault="009104E1" w:rsidP="00872CA6">
            <w:pPr>
              <w:spacing w:before="240" w:after="0" w:line="240" w:lineRule="auto"/>
              <w:rPr>
                <w:rFonts w:ascii="Arial" w:eastAsia="Times New Roman" w:hAnsi="Arial" w:cs="Arial"/>
                <w:color w:val="000000"/>
                <w:lang w:val="en-GB"/>
              </w:rPr>
            </w:pPr>
            <w:r w:rsidRPr="009104E1">
              <w:rPr>
                <w:rFonts w:ascii="Arial" w:eastAsia="Times New Roman" w:hAnsi="Arial" w:cs="Arial"/>
                <w:i/>
                <w:color w:val="000000"/>
                <w:lang w:val="en-GB"/>
              </w:rPr>
              <w:t>ref</w:t>
            </w:r>
            <w:r w:rsidRPr="009104E1">
              <w:rPr>
                <w:rFonts w:ascii="Arial" w:eastAsia="Times New Roman" w:hAnsi="Arial" w:cs="Arial"/>
                <w:color w:val="000000"/>
                <w:lang w:val="en-GB"/>
              </w:rPr>
              <w:t xml:space="preserve">= same position &amp; disliked </w:t>
            </w:r>
            <w:r>
              <w:rPr>
                <w:rFonts w:ascii="Arial" w:eastAsia="Times New Roman" w:hAnsi="Arial" w:cs="Arial"/>
                <w:color w:val="000000"/>
                <w:lang w:val="en-GB"/>
              </w:rPr>
              <w:t>neighbourhood</w:t>
            </w:r>
          </w:p>
        </w:tc>
        <w:tc>
          <w:tcPr>
            <w:tcW w:w="1417" w:type="dxa"/>
            <w:shd w:val="clear" w:color="auto" w:fill="auto"/>
            <w:noWrap/>
            <w:vAlign w:val="bottom"/>
            <w:hideMark/>
          </w:tcPr>
          <w:p w14:paraId="50373C1B" w14:textId="77777777" w:rsidR="009104E1" w:rsidRPr="009104E1" w:rsidRDefault="009104E1" w:rsidP="00872CA6">
            <w:pPr>
              <w:spacing w:before="240" w:after="0" w:line="240" w:lineRule="auto"/>
              <w:rPr>
                <w:rFonts w:ascii="Arial" w:eastAsia="Times New Roman" w:hAnsi="Arial" w:cs="Arial"/>
                <w:color w:val="000000"/>
                <w:lang w:val="en-GB"/>
              </w:rPr>
            </w:pPr>
          </w:p>
        </w:tc>
        <w:tc>
          <w:tcPr>
            <w:tcW w:w="1134" w:type="dxa"/>
            <w:shd w:val="clear" w:color="auto" w:fill="auto"/>
            <w:noWrap/>
            <w:vAlign w:val="bottom"/>
            <w:hideMark/>
          </w:tcPr>
          <w:p w14:paraId="7209BB76"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7A698E08"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3E7AC5F6"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07094E5B" w14:textId="77777777" w:rsidR="009104E1" w:rsidRPr="009104E1" w:rsidRDefault="009104E1" w:rsidP="00733561">
            <w:pPr>
              <w:spacing w:before="240" w:after="0" w:line="240" w:lineRule="auto"/>
              <w:jc w:val="right"/>
              <w:rPr>
                <w:rFonts w:ascii="Arial" w:eastAsia="Times New Roman" w:hAnsi="Arial" w:cs="Arial"/>
                <w:sz w:val="20"/>
                <w:szCs w:val="20"/>
                <w:lang w:val="en-GB"/>
              </w:rPr>
            </w:pPr>
          </w:p>
        </w:tc>
      </w:tr>
      <w:tr w:rsidR="00733561" w:rsidRPr="009104E1" w14:paraId="10410FDD" w14:textId="77777777" w:rsidTr="00733561">
        <w:trPr>
          <w:trHeight w:val="270"/>
        </w:trPr>
        <w:tc>
          <w:tcPr>
            <w:tcW w:w="6663" w:type="dxa"/>
            <w:shd w:val="clear" w:color="auto" w:fill="auto"/>
            <w:noWrap/>
            <w:vAlign w:val="bottom"/>
            <w:hideMark/>
          </w:tcPr>
          <w:p w14:paraId="71864A85" w14:textId="559BAC2C"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 xml:space="preserve">New job &amp; liked </w:t>
            </w:r>
            <w:r>
              <w:rPr>
                <w:rFonts w:ascii="Arial" w:eastAsia="Times New Roman" w:hAnsi="Arial" w:cs="Arial"/>
                <w:color w:val="000000"/>
                <w:lang w:val="en-GB"/>
              </w:rPr>
              <w:t>neighbourhood</w:t>
            </w:r>
          </w:p>
        </w:tc>
        <w:tc>
          <w:tcPr>
            <w:tcW w:w="1417" w:type="dxa"/>
            <w:shd w:val="clear" w:color="auto" w:fill="auto"/>
            <w:noWrap/>
            <w:vAlign w:val="bottom"/>
            <w:hideMark/>
          </w:tcPr>
          <w:p w14:paraId="47E5BD43"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0.581</w:t>
            </w:r>
          </w:p>
        </w:tc>
        <w:tc>
          <w:tcPr>
            <w:tcW w:w="1134" w:type="dxa"/>
            <w:shd w:val="clear" w:color="auto" w:fill="auto"/>
            <w:noWrap/>
            <w:vAlign w:val="bottom"/>
            <w:hideMark/>
          </w:tcPr>
          <w:p w14:paraId="539A9160"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-0.76</w:t>
            </w:r>
          </w:p>
        </w:tc>
        <w:tc>
          <w:tcPr>
            <w:tcW w:w="567" w:type="dxa"/>
            <w:shd w:val="clear" w:color="auto" w:fill="auto"/>
            <w:noWrap/>
            <w:vAlign w:val="bottom"/>
            <w:hideMark/>
          </w:tcPr>
          <w:p w14:paraId="6BC7E823"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6F2185DE"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0.482</w:t>
            </w:r>
          </w:p>
        </w:tc>
        <w:tc>
          <w:tcPr>
            <w:tcW w:w="1134" w:type="dxa"/>
            <w:shd w:val="clear" w:color="auto" w:fill="auto"/>
            <w:noWrap/>
            <w:vAlign w:val="bottom"/>
            <w:hideMark/>
          </w:tcPr>
          <w:p w14:paraId="741978ED" w14:textId="77777777"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-1.29</w:t>
            </w:r>
          </w:p>
        </w:tc>
      </w:tr>
      <w:tr w:rsidR="00733561" w:rsidRPr="009104E1" w14:paraId="116DE1A5" w14:textId="77777777" w:rsidTr="00733561">
        <w:trPr>
          <w:trHeight w:val="270"/>
        </w:trPr>
        <w:tc>
          <w:tcPr>
            <w:tcW w:w="6663" w:type="dxa"/>
            <w:shd w:val="clear" w:color="auto" w:fill="auto"/>
            <w:noWrap/>
            <w:vAlign w:val="bottom"/>
            <w:hideMark/>
          </w:tcPr>
          <w:p w14:paraId="2B0A5D30" w14:textId="4E032682" w:rsidR="009104E1" w:rsidRPr="009104E1" w:rsidRDefault="009104E1" w:rsidP="00872CA6">
            <w:pPr>
              <w:spacing w:before="240" w:after="0" w:line="240" w:lineRule="auto"/>
              <w:rPr>
                <w:rFonts w:ascii="Arial" w:eastAsia="Times New Roman" w:hAnsi="Arial" w:cs="Arial"/>
                <w:color w:val="000000"/>
                <w:lang w:val="en-GB"/>
              </w:rPr>
            </w:pPr>
            <w:r w:rsidRPr="009104E1">
              <w:rPr>
                <w:rFonts w:ascii="Arial" w:eastAsia="Times New Roman" w:hAnsi="Arial" w:cs="Arial"/>
                <w:i/>
                <w:color w:val="000000"/>
                <w:lang w:val="en-GB"/>
              </w:rPr>
              <w:t>ref</w:t>
            </w:r>
            <w:r w:rsidRPr="009104E1">
              <w:rPr>
                <w:rFonts w:ascii="Arial" w:eastAsia="Times New Roman" w:hAnsi="Arial" w:cs="Arial"/>
                <w:color w:val="000000"/>
                <w:lang w:val="en-GB"/>
              </w:rPr>
              <w:t xml:space="preserve">= New job &amp; Interact with </w:t>
            </w:r>
            <w:r>
              <w:rPr>
                <w:rFonts w:ascii="Arial" w:eastAsia="Times New Roman" w:hAnsi="Arial" w:cs="Arial"/>
                <w:color w:val="000000"/>
                <w:lang w:val="en-GB"/>
              </w:rPr>
              <w:t>neighbours</w:t>
            </w:r>
            <w:r w:rsidRPr="009104E1">
              <w:rPr>
                <w:rFonts w:ascii="Arial" w:eastAsia="Times New Roman" w:hAnsi="Arial" w:cs="Arial"/>
                <w:color w:val="000000"/>
                <w:lang w:val="en-GB"/>
              </w:rPr>
              <w:t xml:space="preserve"> (low)</w:t>
            </w:r>
          </w:p>
        </w:tc>
        <w:tc>
          <w:tcPr>
            <w:tcW w:w="1417" w:type="dxa"/>
            <w:shd w:val="clear" w:color="auto" w:fill="auto"/>
            <w:noWrap/>
            <w:vAlign w:val="bottom"/>
            <w:hideMark/>
          </w:tcPr>
          <w:p w14:paraId="47A5D45A" w14:textId="77777777" w:rsidR="009104E1" w:rsidRPr="009104E1" w:rsidRDefault="009104E1" w:rsidP="00872CA6">
            <w:pPr>
              <w:spacing w:before="240" w:after="0" w:line="240" w:lineRule="auto"/>
              <w:rPr>
                <w:rFonts w:ascii="Arial" w:eastAsia="Times New Roman" w:hAnsi="Arial" w:cs="Arial"/>
                <w:color w:val="000000"/>
                <w:lang w:val="en-GB"/>
              </w:rPr>
            </w:pPr>
          </w:p>
        </w:tc>
        <w:tc>
          <w:tcPr>
            <w:tcW w:w="1134" w:type="dxa"/>
            <w:shd w:val="clear" w:color="auto" w:fill="auto"/>
            <w:noWrap/>
            <w:vAlign w:val="bottom"/>
            <w:hideMark/>
          </w:tcPr>
          <w:p w14:paraId="3FD05956"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37000D83"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18132931"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32200508" w14:textId="77777777" w:rsidR="009104E1" w:rsidRPr="009104E1" w:rsidRDefault="009104E1" w:rsidP="00733561">
            <w:pPr>
              <w:spacing w:before="240" w:after="0" w:line="240" w:lineRule="auto"/>
              <w:jc w:val="right"/>
              <w:rPr>
                <w:rFonts w:ascii="Arial" w:eastAsia="Times New Roman" w:hAnsi="Arial" w:cs="Arial"/>
                <w:sz w:val="20"/>
                <w:szCs w:val="20"/>
                <w:lang w:val="en-GB"/>
              </w:rPr>
            </w:pPr>
          </w:p>
        </w:tc>
      </w:tr>
      <w:tr w:rsidR="00733561" w:rsidRPr="009104E1" w14:paraId="65106F13" w14:textId="77777777" w:rsidTr="00733561">
        <w:trPr>
          <w:trHeight w:val="270"/>
        </w:trPr>
        <w:tc>
          <w:tcPr>
            <w:tcW w:w="6663" w:type="dxa"/>
            <w:shd w:val="clear" w:color="auto" w:fill="auto"/>
            <w:noWrap/>
            <w:vAlign w:val="bottom"/>
            <w:hideMark/>
          </w:tcPr>
          <w:p w14:paraId="3F763355" w14:textId="2F801A06"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 xml:space="preserve">New job &amp; Interact with </w:t>
            </w:r>
            <w:r>
              <w:rPr>
                <w:rFonts w:ascii="Arial" w:eastAsia="Times New Roman" w:hAnsi="Arial" w:cs="Arial"/>
                <w:color w:val="000000"/>
                <w:lang w:val="en-GB"/>
              </w:rPr>
              <w:t>neighbours</w:t>
            </w:r>
            <w:r w:rsidRPr="009104E1">
              <w:rPr>
                <w:rFonts w:ascii="Arial" w:eastAsia="Times New Roman" w:hAnsi="Arial" w:cs="Arial"/>
                <w:color w:val="000000"/>
                <w:lang w:val="en-GB"/>
              </w:rPr>
              <w:t xml:space="preserve"> (med)</w:t>
            </w:r>
          </w:p>
        </w:tc>
        <w:tc>
          <w:tcPr>
            <w:tcW w:w="1417" w:type="dxa"/>
            <w:shd w:val="clear" w:color="auto" w:fill="auto"/>
            <w:noWrap/>
            <w:vAlign w:val="bottom"/>
            <w:hideMark/>
          </w:tcPr>
          <w:p w14:paraId="349C2D27"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0.389</w:t>
            </w:r>
          </w:p>
        </w:tc>
        <w:tc>
          <w:tcPr>
            <w:tcW w:w="1134" w:type="dxa"/>
            <w:shd w:val="clear" w:color="auto" w:fill="auto"/>
            <w:noWrap/>
            <w:vAlign w:val="bottom"/>
            <w:hideMark/>
          </w:tcPr>
          <w:p w14:paraId="667D12DF"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-1.15</w:t>
            </w:r>
          </w:p>
        </w:tc>
        <w:tc>
          <w:tcPr>
            <w:tcW w:w="567" w:type="dxa"/>
            <w:shd w:val="clear" w:color="auto" w:fill="auto"/>
            <w:noWrap/>
            <w:vAlign w:val="bottom"/>
            <w:hideMark/>
          </w:tcPr>
          <w:p w14:paraId="6749EFD1"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1A8219F7"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0.801</w:t>
            </w:r>
          </w:p>
        </w:tc>
        <w:tc>
          <w:tcPr>
            <w:tcW w:w="1134" w:type="dxa"/>
            <w:shd w:val="clear" w:color="auto" w:fill="auto"/>
            <w:noWrap/>
            <w:vAlign w:val="bottom"/>
            <w:hideMark/>
          </w:tcPr>
          <w:p w14:paraId="0C2AE7EF" w14:textId="77777777"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-0.38</w:t>
            </w:r>
          </w:p>
        </w:tc>
      </w:tr>
      <w:tr w:rsidR="00733561" w:rsidRPr="009104E1" w14:paraId="50F5EAD3" w14:textId="77777777" w:rsidTr="00733561">
        <w:trPr>
          <w:trHeight w:val="270"/>
        </w:trPr>
        <w:tc>
          <w:tcPr>
            <w:tcW w:w="6663" w:type="dxa"/>
            <w:shd w:val="clear" w:color="auto" w:fill="auto"/>
            <w:noWrap/>
            <w:vAlign w:val="bottom"/>
            <w:hideMark/>
          </w:tcPr>
          <w:p w14:paraId="42820F08" w14:textId="3A36AAD2"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 xml:space="preserve">New job &amp; Interact with </w:t>
            </w:r>
            <w:r>
              <w:rPr>
                <w:rFonts w:ascii="Arial" w:eastAsia="Times New Roman" w:hAnsi="Arial" w:cs="Arial"/>
                <w:color w:val="000000"/>
                <w:lang w:val="en-GB"/>
              </w:rPr>
              <w:t>neighbours</w:t>
            </w:r>
            <w:r w:rsidRPr="009104E1">
              <w:rPr>
                <w:rFonts w:ascii="Arial" w:eastAsia="Times New Roman" w:hAnsi="Arial" w:cs="Arial"/>
                <w:color w:val="000000"/>
                <w:lang w:val="en-GB"/>
              </w:rPr>
              <w:t xml:space="preserve"> (high)</w:t>
            </w:r>
          </w:p>
        </w:tc>
        <w:tc>
          <w:tcPr>
            <w:tcW w:w="1417" w:type="dxa"/>
            <w:shd w:val="clear" w:color="auto" w:fill="auto"/>
            <w:noWrap/>
            <w:vAlign w:val="bottom"/>
            <w:hideMark/>
          </w:tcPr>
          <w:p w14:paraId="12878BA9"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0.747</w:t>
            </w:r>
          </w:p>
        </w:tc>
        <w:tc>
          <w:tcPr>
            <w:tcW w:w="1134" w:type="dxa"/>
            <w:shd w:val="clear" w:color="auto" w:fill="auto"/>
            <w:noWrap/>
            <w:vAlign w:val="bottom"/>
            <w:hideMark/>
          </w:tcPr>
          <w:p w14:paraId="75059F7E"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-0.45</w:t>
            </w:r>
          </w:p>
        </w:tc>
        <w:tc>
          <w:tcPr>
            <w:tcW w:w="567" w:type="dxa"/>
            <w:shd w:val="clear" w:color="auto" w:fill="auto"/>
            <w:noWrap/>
            <w:vAlign w:val="bottom"/>
            <w:hideMark/>
          </w:tcPr>
          <w:p w14:paraId="73C4A174"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5972C292"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1.315</w:t>
            </w:r>
          </w:p>
        </w:tc>
        <w:tc>
          <w:tcPr>
            <w:tcW w:w="1134" w:type="dxa"/>
            <w:shd w:val="clear" w:color="auto" w:fill="auto"/>
            <w:noWrap/>
            <w:vAlign w:val="bottom"/>
            <w:hideMark/>
          </w:tcPr>
          <w:p w14:paraId="229F3661" w14:textId="77777777"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0.58</w:t>
            </w:r>
          </w:p>
        </w:tc>
      </w:tr>
      <w:tr w:rsidR="00733561" w:rsidRPr="009104E1" w14:paraId="1143D1E3" w14:textId="77777777" w:rsidTr="00733561">
        <w:trPr>
          <w:trHeight w:val="270"/>
        </w:trPr>
        <w:tc>
          <w:tcPr>
            <w:tcW w:w="6663" w:type="dxa"/>
            <w:shd w:val="clear" w:color="auto" w:fill="auto"/>
            <w:noWrap/>
            <w:vAlign w:val="bottom"/>
            <w:hideMark/>
          </w:tcPr>
          <w:p w14:paraId="053E745A" w14:textId="77777777" w:rsidR="009104E1" w:rsidRPr="009104E1" w:rsidRDefault="009104E1" w:rsidP="00872CA6">
            <w:pPr>
              <w:spacing w:before="240" w:after="0" w:line="240" w:lineRule="auto"/>
              <w:rPr>
                <w:rFonts w:ascii="Arial" w:eastAsia="Times New Roman" w:hAnsi="Arial" w:cs="Arial"/>
                <w:color w:val="000000"/>
                <w:lang w:val="en-GB"/>
              </w:rPr>
            </w:pPr>
            <w:r w:rsidRPr="009104E1">
              <w:rPr>
                <w:rFonts w:ascii="Arial" w:eastAsia="Times New Roman" w:hAnsi="Arial" w:cs="Arial"/>
                <w:i/>
                <w:color w:val="000000"/>
                <w:lang w:val="en-GB"/>
              </w:rPr>
              <w:lastRenderedPageBreak/>
              <w:t>ref</w:t>
            </w:r>
            <w:r w:rsidRPr="009104E1">
              <w:rPr>
                <w:rFonts w:ascii="Arial" w:eastAsia="Times New Roman" w:hAnsi="Arial" w:cs="Arial"/>
                <w:color w:val="000000"/>
                <w:lang w:val="en-GB"/>
              </w:rPr>
              <w:t>= same position &amp; no org.</w:t>
            </w:r>
          </w:p>
        </w:tc>
        <w:tc>
          <w:tcPr>
            <w:tcW w:w="1417" w:type="dxa"/>
            <w:shd w:val="clear" w:color="auto" w:fill="auto"/>
            <w:noWrap/>
            <w:vAlign w:val="bottom"/>
            <w:hideMark/>
          </w:tcPr>
          <w:p w14:paraId="4802500D" w14:textId="77777777" w:rsidR="009104E1" w:rsidRPr="009104E1" w:rsidRDefault="009104E1" w:rsidP="00872CA6">
            <w:pPr>
              <w:spacing w:before="240" w:after="0" w:line="240" w:lineRule="auto"/>
              <w:rPr>
                <w:rFonts w:ascii="Arial" w:eastAsia="Times New Roman" w:hAnsi="Arial" w:cs="Arial"/>
                <w:color w:val="000000"/>
                <w:lang w:val="en-GB"/>
              </w:rPr>
            </w:pPr>
          </w:p>
        </w:tc>
        <w:tc>
          <w:tcPr>
            <w:tcW w:w="1134" w:type="dxa"/>
            <w:shd w:val="clear" w:color="auto" w:fill="auto"/>
            <w:noWrap/>
            <w:vAlign w:val="bottom"/>
            <w:hideMark/>
          </w:tcPr>
          <w:p w14:paraId="1BC5D4C6"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0F805F70"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4ADA054F"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290A7554" w14:textId="77777777" w:rsidR="009104E1" w:rsidRPr="009104E1" w:rsidRDefault="009104E1" w:rsidP="00733561">
            <w:pPr>
              <w:spacing w:before="240" w:after="0" w:line="240" w:lineRule="auto"/>
              <w:jc w:val="right"/>
              <w:rPr>
                <w:rFonts w:ascii="Arial" w:eastAsia="Times New Roman" w:hAnsi="Arial" w:cs="Arial"/>
                <w:sz w:val="20"/>
                <w:szCs w:val="20"/>
                <w:lang w:val="en-GB"/>
              </w:rPr>
            </w:pPr>
          </w:p>
        </w:tc>
      </w:tr>
      <w:tr w:rsidR="00733561" w:rsidRPr="009104E1" w14:paraId="60B382BD" w14:textId="77777777" w:rsidTr="00733561">
        <w:trPr>
          <w:trHeight w:val="270"/>
        </w:trPr>
        <w:tc>
          <w:tcPr>
            <w:tcW w:w="6663" w:type="dxa"/>
            <w:shd w:val="clear" w:color="auto" w:fill="auto"/>
            <w:noWrap/>
            <w:vAlign w:val="bottom"/>
            <w:hideMark/>
          </w:tcPr>
          <w:p w14:paraId="71D7B80B" w14:textId="77777777"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New job &amp; Active in a local org.</w:t>
            </w:r>
          </w:p>
        </w:tc>
        <w:tc>
          <w:tcPr>
            <w:tcW w:w="1417" w:type="dxa"/>
            <w:shd w:val="clear" w:color="auto" w:fill="auto"/>
            <w:noWrap/>
            <w:vAlign w:val="bottom"/>
            <w:hideMark/>
          </w:tcPr>
          <w:p w14:paraId="7BBC823E"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1.001</w:t>
            </w:r>
          </w:p>
        </w:tc>
        <w:tc>
          <w:tcPr>
            <w:tcW w:w="1134" w:type="dxa"/>
            <w:shd w:val="clear" w:color="auto" w:fill="auto"/>
            <w:noWrap/>
            <w:vAlign w:val="bottom"/>
            <w:hideMark/>
          </w:tcPr>
          <w:p w14:paraId="09DD754B" w14:textId="5C731E0B"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w:t>
            </w:r>
            <w:r w:rsidR="00872CA6">
              <w:rPr>
                <w:rFonts w:ascii="Arial" w:eastAsia="Times New Roman" w:hAnsi="Arial" w:cs="Arial"/>
                <w:color w:val="000000"/>
                <w:lang w:val="en-GB"/>
              </w:rPr>
              <w:t>.00</w:t>
            </w:r>
          </w:p>
        </w:tc>
        <w:tc>
          <w:tcPr>
            <w:tcW w:w="567" w:type="dxa"/>
            <w:shd w:val="clear" w:color="auto" w:fill="auto"/>
            <w:noWrap/>
            <w:vAlign w:val="bottom"/>
            <w:hideMark/>
          </w:tcPr>
          <w:p w14:paraId="0FE97FF6"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0BDEBF4F" w14:textId="77777777" w:rsidR="009104E1" w:rsidRPr="009104E1" w:rsidRDefault="009104E1"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0.692</w:t>
            </w:r>
          </w:p>
        </w:tc>
        <w:tc>
          <w:tcPr>
            <w:tcW w:w="1134" w:type="dxa"/>
            <w:shd w:val="clear" w:color="auto" w:fill="auto"/>
            <w:noWrap/>
            <w:vAlign w:val="bottom"/>
            <w:hideMark/>
          </w:tcPr>
          <w:p w14:paraId="7B5E035A" w14:textId="77777777" w:rsidR="009104E1" w:rsidRPr="009104E1" w:rsidRDefault="009104E1" w:rsidP="0073356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-1.01</w:t>
            </w:r>
          </w:p>
        </w:tc>
      </w:tr>
      <w:tr w:rsidR="00733561" w:rsidRPr="009104E1" w14:paraId="4D75FA23" w14:textId="77777777" w:rsidTr="00733561">
        <w:trPr>
          <w:trHeight w:val="270"/>
        </w:trPr>
        <w:tc>
          <w:tcPr>
            <w:tcW w:w="6663" w:type="dxa"/>
            <w:shd w:val="clear" w:color="auto" w:fill="auto"/>
            <w:noWrap/>
            <w:vAlign w:val="bottom"/>
            <w:hideMark/>
          </w:tcPr>
          <w:p w14:paraId="61AB6DFE" w14:textId="77777777" w:rsidR="009104E1" w:rsidRPr="009104E1" w:rsidRDefault="009104E1" w:rsidP="00872CA6">
            <w:pPr>
              <w:spacing w:before="240" w:after="0" w:line="240" w:lineRule="auto"/>
              <w:rPr>
                <w:rFonts w:ascii="Arial" w:eastAsia="Times New Roman" w:hAnsi="Arial" w:cs="Arial"/>
                <w:color w:val="000000"/>
                <w:lang w:val="en-GB"/>
              </w:rPr>
            </w:pPr>
            <w:r w:rsidRPr="009104E1">
              <w:rPr>
                <w:rFonts w:ascii="Arial" w:eastAsia="Times New Roman" w:hAnsi="Arial" w:cs="Arial"/>
                <w:i/>
                <w:color w:val="000000"/>
                <w:lang w:val="en-GB"/>
              </w:rPr>
              <w:t>ref</w:t>
            </w:r>
            <w:r w:rsidRPr="009104E1">
              <w:rPr>
                <w:rFonts w:ascii="Arial" w:eastAsia="Times New Roman" w:hAnsi="Arial" w:cs="Arial"/>
                <w:color w:val="000000"/>
                <w:lang w:val="en-GB"/>
              </w:rPr>
              <w:t>= New job &amp; Contact with parent (low)</w:t>
            </w:r>
          </w:p>
        </w:tc>
        <w:tc>
          <w:tcPr>
            <w:tcW w:w="1417" w:type="dxa"/>
            <w:shd w:val="clear" w:color="auto" w:fill="auto"/>
            <w:noWrap/>
            <w:vAlign w:val="bottom"/>
            <w:hideMark/>
          </w:tcPr>
          <w:p w14:paraId="08A7813E" w14:textId="77777777" w:rsidR="009104E1" w:rsidRPr="009104E1" w:rsidRDefault="009104E1" w:rsidP="00872CA6">
            <w:pPr>
              <w:spacing w:before="240" w:after="0" w:line="240" w:lineRule="auto"/>
              <w:rPr>
                <w:rFonts w:ascii="Arial" w:eastAsia="Times New Roman" w:hAnsi="Arial" w:cs="Arial"/>
                <w:color w:val="000000"/>
                <w:lang w:val="en-GB"/>
              </w:rPr>
            </w:pPr>
          </w:p>
        </w:tc>
        <w:tc>
          <w:tcPr>
            <w:tcW w:w="1134" w:type="dxa"/>
            <w:shd w:val="clear" w:color="auto" w:fill="auto"/>
            <w:noWrap/>
            <w:vAlign w:val="bottom"/>
            <w:hideMark/>
          </w:tcPr>
          <w:p w14:paraId="1D15E471"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567" w:type="dxa"/>
            <w:shd w:val="clear" w:color="auto" w:fill="auto"/>
            <w:noWrap/>
            <w:vAlign w:val="bottom"/>
            <w:hideMark/>
          </w:tcPr>
          <w:p w14:paraId="6BE99060"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418" w:type="dxa"/>
            <w:shd w:val="clear" w:color="auto" w:fill="auto"/>
            <w:noWrap/>
            <w:vAlign w:val="bottom"/>
            <w:hideMark/>
          </w:tcPr>
          <w:p w14:paraId="7A549E18" w14:textId="77777777" w:rsidR="009104E1" w:rsidRPr="009104E1" w:rsidRDefault="009104E1" w:rsidP="00872CA6">
            <w:pPr>
              <w:spacing w:before="240" w:after="0" w:line="240" w:lineRule="auto"/>
              <w:rPr>
                <w:rFonts w:ascii="Arial" w:eastAsia="Times New Roman" w:hAnsi="Arial" w:cs="Arial"/>
                <w:sz w:val="20"/>
                <w:szCs w:val="20"/>
                <w:lang w:val="en-GB"/>
              </w:rPr>
            </w:pPr>
          </w:p>
        </w:tc>
        <w:tc>
          <w:tcPr>
            <w:tcW w:w="1134" w:type="dxa"/>
            <w:shd w:val="clear" w:color="auto" w:fill="auto"/>
            <w:noWrap/>
            <w:vAlign w:val="bottom"/>
            <w:hideMark/>
          </w:tcPr>
          <w:p w14:paraId="1B41FC3A" w14:textId="77777777" w:rsidR="009104E1" w:rsidRPr="009104E1" w:rsidRDefault="009104E1" w:rsidP="00872CA6">
            <w:pPr>
              <w:spacing w:before="240" w:after="0" w:line="240" w:lineRule="auto"/>
              <w:rPr>
                <w:rFonts w:ascii="Arial" w:eastAsia="Times New Roman" w:hAnsi="Arial" w:cs="Arial"/>
                <w:sz w:val="20"/>
                <w:szCs w:val="20"/>
                <w:lang w:val="en-GB"/>
              </w:rPr>
            </w:pPr>
          </w:p>
        </w:tc>
      </w:tr>
      <w:tr w:rsidR="00733561" w:rsidRPr="009104E1" w14:paraId="41F4FD17" w14:textId="77777777" w:rsidTr="00733561">
        <w:trPr>
          <w:trHeight w:val="270"/>
        </w:trPr>
        <w:tc>
          <w:tcPr>
            <w:tcW w:w="6663" w:type="dxa"/>
            <w:shd w:val="clear" w:color="auto" w:fill="auto"/>
            <w:noWrap/>
            <w:vAlign w:val="bottom"/>
            <w:hideMark/>
          </w:tcPr>
          <w:p w14:paraId="4209EBFA" w14:textId="77777777"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New job &amp; Contact with parent (med)</w:t>
            </w:r>
          </w:p>
        </w:tc>
        <w:tc>
          <w:tcPr>
            <w:tcW w:w="1417" w:type="dxa"/>
            <w:shd w:val="clear" w:color="auto" w:fill="auto"/>
            <w:noWrap/>
            <w:vAlign w:val="bottom"/>
            <w:hideMark/>
          </w:tcPr>
          <w:p w14:paraId="11AEB8CE" w14:textId="26EAA9B0"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2.2</w:t>
            </w:r>
            <w:r w:rsidR="00872CA6">
              <w:rPr>
                <w:rFonts w:ascii="Arial" w:eastAsia="Times New Roman" w:hAnsi="Arial" w:cs="Arial"/>
                <w:color w:val="000000"/>
                <w:lang w:val="en-GB"/>
              </w:rPr>
              <w:t>00</w:t>
            </w:r>
          </w:p>
        </w:tc>
        <w:tc>
          <w:tcPr>
            <w:tcW w:w="1134" w:type="dxa"/>
            <w:shd w:val="clear" w:color="auto" w:fill="auto"/>
            <w:noWrap/>
            <w:vAlign w:val="bottom"/>
            <w:hideMark/>
          </w:tcPr>
          <w:p w14:paraId="76F46849"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1.49</w:t>
            </w:r>
          </w:p>
        </w:tc>
        <w:tc>
          <w:tcPr>
            <w:tcW w:w="567" w:type="dxa"/>
            <w:shd w:val="clear" w:color="auto" w:fill="auto"/>
            <w:noWrap/>
            <w:vAlign w:val="bottom"/>
            <w:hideMark/>
          </w:tcPr>
          <w:p w14:paraId="1951B43B"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6E7BEAB6" w14:textId="77777777" w:rsidR="009104E1" w:rsidRPr="009104E1" w:rsidRDefault="009104E1" w:rsidP="00872CA6">
            <w:pPr>
              <w:spacing w:after="0" w:line="240" w:lineRule="auto"/>
              <w:rPr>
                <w:rFonts w:ascii="Arial" w:eastAsia="Times New Roman" w:hAnsi="Arial" w:cs="Arial"/>
                <w:i/>
                <w:color w:val="000000"/>
                <w:lang w:val="en-GB"/>
              </w:rPr>
            </w:pPr>
            <w:r w:rsidRPr="009104E1">
              <w:rPr>
                <w:rFonts w:ascii="Arial" w:eastAsia="Times New Roman" w:hAnsi="Arial" w:cs="Arial"/>
                <w:i/>
                <w:color w:val="000000"/>
                <w:lang w:val="en-GB"/>
              </w:rPr>
              <w:t>n.a.</w:t>
            </w:r>
          </w:p>
        </w:tc>
        <w:tc>
          <w:tcPr>
            <w:tcW w:w="1134" w:type="dxa"/>
            <w:shd w:val="clear" w:color="auto" w:fill="auto"/>
            <w:noWrap/>
            <w:vAlign w:val="bottom"/>
            <w:hideMark/>
          </w:tcPr>
          <w:p w14:paraId="22E83990" w14:textId="77777777" w:rsidR="009104E1" w:rsidRPr="009104E1" w:rsidRDefault="009104E1" w:rsidP="00733561">
            <w:pPr>
              <w:spacing w:after="0" w:line="240" w:lineRule="auto"/>
              <w:jc w:val="right"/>
              <w:rPr>
                <w:rFonts w:ascii="Arial" w:eastAsia="Times New Roman" w:hAnsi="Arial" w:cs="Arial"/>
                <w:i/>
                <w:color w:val="000000"/>
                <w:lang w:val="en-GB"/>
              </w:rPr>
            </w:pPr>
            <w:r w:rsidRPr="009104E1">
              <w:rPr>
                <w:rFonts w:ascii="Arial" w:eastAsia="Times New Roman" w:hAnsi="Arial" w:cs="Arial"/>
                <w:i/>
                <w:color w:val="000000"/>
                <w:lang w:val="en-GB"/>
              </w:rPr>
              <w:t>n.a.</w:t>
            </w:r>
          </w:p>
        </w:tc>
      </w:tr>
      <w:tr w:rsidR="00733561" w:rsidRPr="009104E1" w14:paraId="4EEACB0A" w14:textId="77777777" w:rsidTr="00733561">
        <w:trPr>
          <w:trHeight w:val="270"/>
        </w:trPr>
        <w:tc>
          <w:tcPr>
            <w:tcW w:w="6663" w:type="dxa"/>
            <w:shd w:val="clear" w:color="auto" w:fill="auto"/>
            <w:noWrap/>
            <w:vAlign w:val="bottom"/>
            <w:hideMark/>
          </w:tcPr>
          <w:p w14:paraId="6E9E2289" w14:textId="77777777" w:rsidR="009104E1" w:rsidRPr="009104E1" w:rsidRDefault="009104E1" w:rsidP="009104E1">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New job &amp; Contact with parent (high)</w:t>
            </w:r>
          </w:p>
        </w:tc>
        <w:tc>
          <w:tcPr>
            <w:tcW w:w="1417" w:type="dxa"/>
            <w:shd w:val="clear" w:color="auto" w:fill="auto"/>
            <w:noWrap/>
            <w:vAlign w:val="bottom"/>
            <w:hideMark/>
          </w:tcPr>
          <w:p w14:paraId="439FD10A"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2.136</w:t>
            </w:r>
          </w:p>
        </w:tc>
        <w:tc>
          <w:tcPr>
            <w:tcW w:w="1134" w:type="dxa"/>
            <w:shd w:val="clear" w:color="auto" w:fill="auto"/>
            <w:noWrap/>
            <w:vAlign w:val="bottom"/>
            <w:hideMark/>
          </w:tcPr>
          <w:p w14:paraId="65233C6E" w14:textId="77777777" w:rsidR="009104E1" w:rsidRPr="009104E1" w:rsidRDefault="009104E1" w:rsidP="009104E1">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1.29</w:t>
            </w:r>
          </w:p>
        </w:tc>
        <w:tc>
          <w:tcPr>
            <w:tcW w:w="567" w:type="dxa"/>
            <w:shd w:val="clear" w:color="auto" w:fill="auto"/>
            <w:noWrap/>
            <w:vAlign w:val="bottom"/>
            <w:hideMark/>
          </w:tcPr>
          <w:p w14:paraId="13D232F6" w14:textId="77777777" w:rsidR="009104E1" w:rsidRPr="009104E1" w:rsidRDefault="009104E1" w:rsidP="009104E1">
            <w:pPr>
              <w:spacing w:after="0" w:line="240" w:lineRule="auto"/>
              <w:jc w:val="right"/>
              <w:rPr>
                <w:rFonts w:ascii="Arial" w:eastAsia="Times New Roman" w:hAnsi="Arial" w:cs="Arial"/>
                <w:color w:val="000000"/>
                <w:lang w:val="en-GB"/>
              </w:rPr>
            </w:pPr>
          </w:p>
        </w:tc>
        <w:tc>
          <w:tcPr>
            <w:tcW w:w="1418" w:type="dxa"/>
            <w:shd w:val="clear" w:color="auto" w:fill="auto"/>
            <w:noWrap/>
            <w:vAlign w:val="bottom"/>
            <w:hideMark/>
          </w:tcPr>
          <w:p w14:paraId="01F9C988" w14:textId="77777777" w:rsidR="009104E1" w:rsidRPr="009104E1" w:rsidRDefault="009104E1" w:rsidP="00872CA6">
            <w:pPr>
              <w:spacing w:after="0" w:line="240" w:lineRule="auto"/>
              <w:rPr>
                <w:rFonts w:ascii="Arial" w:eastAsia="Times New Roman" w:hAnsi="Arial" w:cs="Arial"/>
                <w:i/>
                <w:color w:val="000000"/>
                <w:lang w:val="en-GB"/>
              </w:rPr>
            </w:pPr>
            <w:r w:rsidRPr="009104E1">
              <w:rPr>
                <w:rFonts w:ascii="Arial" w:eastAsia="Times New Roman" w:hAnsi="Arial" w:cs="Arial"/>
                <w:i/>
                <w:color w:val="000000"/>
                <w:lang w:val="en-GB"/>
              </w:rPr>
              <w:t>n.a.</w:t>
            </w:r>
          </w:p>
        </w:tc>
        <w:tc>
          <w:tcPr>
            <w:tcW w:w="1134" w:type="dxa"/>
            <w:shd w:val="clear" w:color="auto" w:fill="auto"/>
            <w:noWrap/>
            <w:vAlign w:val="bottom"/>
            <w:hideMark/>
          </w:tcPr>
          <w:p w14:paraId="66B528CA" w14:textId="77777777" w:rsidR="009104E1" w:rsidRPr="009104E1" w:rsidRDefault="009104E1" w:rsidP="00733561">
            <w:pPr>
              <w:spacing w:after="0" w:line="240" w:lineRule="auto"/>
              <w:jc w:val="right"/>
              <w:rPr>
                <w:rFonts w:ascii="Arial" w:eastAsia="Times New Roman" w:hAnsi="Arial" w:cs="Arial"/>
                <w:i/>
                <w:color w:val="000000"/>
                <w:lang w:val="en-GB"/>
              </w:rPr>
            </w:pPr>
            <w:r w:rsidRPr="009104E1">
              <w:rPr>
                <w:rFonts w:ascii="Arial" w:eastAsia="Times New Roman" w:hAnsi="Arial" w:cs="Arial"/>
                <w:i/>
                <w:color w:val="000000"/>
                <w:lang w:val="en-GB"/>
              </w:rPr>
              <w:t>n.a.</w:t>
            </w:r>
          </w:p>
        </w:tc>
      </w:tr>
      <w:tr w:rsidR="00733561" w:rsidRPr="009104E1" w14:paraId="3B71CCBF" w14:textId="77777777" w:rsidTr="001D6F0E">
        <w:trPr>
          <w:trHeight w:val="270"/>
        </w:trPr>
        <w:tc>
          <w:tcPr>
            <w:tcW w:w="6663" w:type="dxa"/>
            <w:tcBorders>
              <w:bottom w:val="single" w:sz="4" w:space="0" w:color="auto"/>
            </w:tcBorders>
            <w:shd w:val="clear" w:color="auto" w:fill="auto"/>
            <w:noWrap/>
            <w:vAlign w:val="bottom"/>
            <w:hideMark/>
          </w:tcPr>
          <w:p w14:paraId="207C2091" w14:textId="77777777" w:rsidR="009104E1" w:rsidRPr="009104E1" w:rsidRDefault="009104E1" w:rsidP="009104E1">
            <w:pPr>
              <w:spacing w:after="0" w:line="240" w:lineRule="auto"/>
              <w:rPr>
                <w:rFonts w:ascii="Arial" w:eastAsia="Times New Roman" w:hAnsi="Arial" w:cs="Arial"/>
                <w:color w:val="000000"/>
                <w:lang w:val="en-GB"/>
              </w:rPr>
            </w:pPr>
          </w:p>
        </w:tc>
        <w:tc>
          <w:tcPr>
            <w:tcW w:w="1417" w:type="dxa"/>
            <w:tcBorders>
              <w:bottom w:val="single" w:sz="4" w:space="0" w:color="auto"/>
            </w:tcBorders>
            <w:shd w:val="clear" w:color="auto" w:fill="auto"/>
            <w:noWrap/>
            <w:vAlign w:val="bottom"/>
            <w:hideMark/>
          </w:tcPr>
          <w:p w14:paraId="54FA1DA9" w14:textId="77777777" w:rsidR="009104E1" w:rsidRPr="009104E1" w:rsidRDefault="009104E1" w:rsidP="009104E1">
            <w:pPr>
              <w:spacing w:after="0" w:line="240" w:lineRule="auto"/>
              <w:rPr>
                <w:rFonts w:ascii="Arial" w:eastAsia="Times New Roman" w:hAnsi="Arial" w:cs="Arial"/>
                <w:sz w:val="20"/>
                <w:szCs w:val="20"/>
                <w:lang w:val="en-GB"/>
              </w:rPr>
            </w:pPr>
          </w:p>
        </w:tc>
        <w:tc>
          <w:tcPr>
            <w:tcW w:w="1134" w:type="dxa"/>
            <w:tcBorders>
              <w:bottom w:val="single" w:sz="4" w:space="0" w:color="auto"/>
            </w:tcBorders>
            <w:shd w:val="clear" w:color="auto" w:fill="auto"/>
            <w:noWrap/>
            <w:vAlign w:val="bottom"/>
            <w:hideMark/>
          </w:tcPr>
          <w:p w14:paraId="1A50C512" w14:textId="77777777" w:rsidR="009104E1" w:rsidRPr="009104E1" w:rsidRDefault="009104E1" w:rsidP="009104E1">
            <w:pPr>
              <w:spacing w:after="0" w:line="240" w:lineRule="auto"/>
              <w:rPr>
                <w:rFonts w:ascii="Arial" w:eastAsia="Times New Roman" w:hAnsi="Arial" w:cs="Arial"/>
                <w:sz w:val="20"/>
                <w:szCs w:val="20"/>
                <w:lang w:val="en-GB"/>
              </w:rPr>
            </w:pPr>
          </w:p>
        </w:tc>
        <w:tc>
          <w:tcPr>
            <w:tcW w:w="567" w:type="dxa"/>
            <w:tcBorders>
              <w:bottom w:val="single" w:sz="4" w:space="0" w:color="auto"/>
            </w:tcBorders>
            <w:shd w:val="clear" w:color="auto" w:fill="auto"/>
            <w:noWrap/>
            <w:vAlign w:val="bottom"/>
            <w:hideMark/>
          </w:tcPr>
          <w:p w14:paraId="27A513DD" w14:textId="77777777" w:rsidR="009104E1" w:rsidRPr="009104E1" w:rsidRDefault="009104E1" w:rsidP="009104E1">
            <w:pPr>
              <w:spacing w:after="0" w:line="240" w:lineRule="auto"/>
              <w:rPr>
                <w:rFonts w:ascii="Arial" w:eastAsia="Times New Roman" w:hAnsi="Arial" w:cs="Arial"/>
                <w:sz w:val="20"/>
                <w:szCs w:val="20"/>
                <w:lang w:val="en-GB"/>
              </w:rPr>
            </w:pPr>
          </w:p>
        </w:tc>
        <w:tc>
          <w:tcPr>
            <w:tcW w:w="1418" w:type="dxa"/>
            <w:tcBorders>
              <w:bottom w:val="single" w:sz="4" w:space="0" w:color="auto"/>
            </w:tcBorders>
            <w:shd w:val="clear" w:color="auto" w:fill="auto"/>
            <w:noWrap/>
            <w:vAlign w:val="bottom"/>
            <w:hideMark/>
          </w:tcPr>
          <w:p w14:paraId="02F7D457" w14:textId="77777777" w:rsidR="009104E1" w:rsidRPr="009104E1" w:rsidRDefault="009104E1" w:rsidP="009104E1">
            <w:pPr>
              <w:spacing w:after="0" w:line="240" w:lineRule="auto"/>
              <w:rPr>
                <w:rFonts w:ascii="Arial" w:eastAsia="Times New Roman" w:hAnsi="Arial" w:cs="Arial"/>
                <w:i/>
                <w:sz w:val="20"/>
                <w:szCs w:val="20"/>
                <w:lang w:val="en-GB"/>
              </w:rPr>
            </w:pPr>
          </w:p>
        </w:tc>
        <w:tc>
          <w:tcPr>
            <w:tcW w:w="1134" w:type="dxa"/>
            <w:tcBorders>
              <w:bottom w:val="single" w:sz="4" w:space="0" w:color="auto"/>
            </w:tcBorders>
            <w:shd w:val="clear" w:color="auto" w:fill="auto"/>
            <w:noWrap/>
            <w:vAlign w:val="bottom"/>
            <w:hideMark/>
          </w:tcPr>
          <w:p w14:paraId="7899B2EB" w14:textId="77777777" w:rsidR="009104E1" w:rsidRPr="009104E1" w:rsidRDefault="009104E1" w:rsidP="00733561">
            <w:pPr>
              <w:spacing w:after="0" w:line="240" w:lineRule="auto"/>
              <w:jc w:val="right"/>
              <w:rPr>
                <w:rFonts w:ascii="Arial" w:eastAsia="Times New Roman" w:hAnsi="Arial" w:cs="Arial"/>
                <w:i/>
                <w:sz w:val="20"/>
                <w:szCs w:val="20"/>
                <w:lang w:val="en-GB"/>
              </w:rPr>
            </w:pPr>
          </w:p>
        </w:tc>
      </w:tr>
      <w:tr w:rsidR="00733561" w:rsidRPr="009104E1" w14:paraId="4A439222" w14:textId="77777777" w:rsidTr="00733561">
        <w:trPr>
          <w:trHeight w:val="270"/>
        </w:trPr>
        <w:tc>
          <w:tcPr>
            <w:tcW w:w="6663" w:type="dxa"/>
            <w:tcBorders>
              <w:top w:val="single" w:sz="4" w:space="0" w:color="auto"/>
              <w:bottom w:val="nil"/>
            </w:tcBorders>
            <w:shd w:val="clear" w:color="auto" w:fill="auto"/>
            <w:noWrap/>
            <w:vAlign w:val="bottom"/>
            <w:hideMark/>
          </w:tcPr>
          <w:p w14:paraId="17C89108" w14:textId="77777777" w:rsidR="00872CA6" w:rsidRPr="009104E1" w:rsidRDefault="00872CA6"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Log likelihood</w:t>
            </w:r>
          </w:p>
        </w:tc>
        <w:tc>
          <w:tcPr>
            <w:tcW w:w="1417" w:type="dxa"/>
            <w:tcBorders>
              <w:top w:val="single" w:sz="4" w:space="0" w:color="auto"/>
              <w:bottom w:val="nil"/>
            </w:tcBorders>
            <w:shd w:val="clear" w:color="auto" w:fill="auto"/>
            <w:noWrap/>
            <w:vAlign w:val="bottom"/>
          </w:tcPr>
          <w:p w14:paraId="0470AAFD" w14:textId="1D7A5021" w:rsidR="00872CA6" w:rsidRPr="009104E1" w:rsidRDefault="00872CA6" w:rsidP="00872CA6">
            <w:pPr>
              <w:spacing w:after="0" w:line="240" w:lineRule="auto"/>
              <w:jc w:val="right"/>
              <w:rPr>
                <w:rFonts w:ascii="Arial" w:eastAsia="Times New Roman" w:hAnsi="Arial" w:cs="Arial"/>
                <w:color w:val="000000"/>
                <w:lang w:val="en-GB"/>
              </w:rPr>
            </w:pPr>
          </w:p>
        </w:tc>
        <w:tc>
          <w:tcPr>
            <w:tcW w:w="1134" w:type="dxa"/>
            <w:tcBorders>
              <w:top w:val="single" w:sz="4" w:space="0" w:color="auto"/>
              <w:bottom w:val="nil"/>
            </w:tcBorders>
            <w:shd w:val="clear" w:color="auto" w:fill="auto"/>
            <w:noWrap/>
            <w:vAlign w:val="bottom"/>
          </w:tcPr>
          <w:p w14:paraId="715C5F88" w14:textId="30CCF7E8" w:rsidR="00872CA6" w:rsidRPr="009104E1" w:rsidRDefault="00872CA6" w:rsidP="00872CA6">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-532.667</w:t>
            </w:r>
          </w:p>
        </w:tc>
        <w:tc>
          <w:tcPr>
            <w:tcW w:w="567" w:type="dxa"/>
            <w:tcBorders>
              <w:top w:val="single" w:sz="4" w:space="0" w:color="auto"/>
              <w:bottom w:val="nil"/>
            </w:tcBorders>
            <w:shd w:val="clear" w:color="auto" w:fill="auto"/>
            <w:noWrap/>
            <w:vAlign w:val="bottom"/>
            <w:hideMark/>
          </w:tcPr>
          <w:p w14:paraId="7FC9EA60" w14:textId="77777777" w:rsidR="00872CA6" w:rsidRPr="009104E1" w:rsidRDefault="00872CA6" w:rsidP="00872CA6">
            <w:pPr>
              <w:spacing w:after="0" w:line="240" w:lineRule="auto"/>
              <w:rPr>
                <w:rFonts w:ascii="Arial" w:eastAsia="Times New Roman" w:hAnsi="Arial" w:cs="Arial"/>
                <w:sz w:val="20"/>
                <w:szCs w:val="20"/>
                <w:lang w:val="en-GB"/>
              </w:rPr>
            </w:pPr>
          </w:p>
        </w:tc>
        <w:tc>
          <w:tcPr>
            <w:tcW w:w="1418" w:type="dxa"/>
            <w:tcBorders>
              <w:top w:val="single" w:sz="4" w:space="0" w:color="auto"/>
              <w:bottom w:val="nil"/>
            </w:tcBorders>
            <w:shd w:val="clear" w:color="auto" w:fill="auto"/>
            <w:noWrap/>
            <w:vAlign w:val="bottom"/>
          </w:tcPr>
          <w:p w14:paraId="00315C64" w14:textId="0A1B01E4" w:rsidR="00872CA6" w:rsidRPr="009104E1" w:rsidRDefault="00872CA6" w:rsidP="00872CA6">
            <w:pPr>
              <w:spacing w:after="0" w:line="240" w:lineRule="auto"/>
              <w:rPr>
                <w:rFonts w:ascii="Arial" w:eastAsia="Times New Roman" w:hAnsi="Arial" w:cs="Arial"/>
                <w:color w:val="000000"/>
                <w:lang w:val="en-GB"/>
              </w:rPr>
            </w:pPr>
          </w:p>
        </w:tc>
        <w:tc>
          <w:tcPr>
            <w:tcW w:w="1134" w:type="dxa"/>
            <w:tcBorders>
              <w:top w:val="single" w:sz="4" w:space="0" w:color="auto"/>
              <w:bottom w:val="nil"/>
            </w:tcBorders>
            <w:shd w:val="clear" w:color="auto" w:fill="auto"/>
            <w:noWrap/>
            <w:vAlign w:val="bottom"/>
            <w:hideMark/>
          </w:tcPr>
          <w:p w14:paraId="00B21105" w14:textId="1658D751" w:rsidR="00872CA6" w:rsidRPr="009104E1" w:rsidRDefault="00872CA6" w:rsidP="0032240B">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-917.959</w:t>
            </w:r>
          </w:p>
        </w:tc>
      </w:tr>
      <w:tr w:rsidR="00733561" w:rsidRPr="009104E1" w14:paraId="57B49575" w14:textId="77777777" w:rsidTr="001D6F0E">
        <w:trPr>
          <w:trHeight w:val="270"/>
        </w:trPr>
        <w:tc>
          <w:tcPr>
            <w:tcW w:w="6663" w:type="dxa"/>
            <w:tcBorders>
              <w:top w:val="nil"/>
              <w:bottom w:val="nil"/>
            </w:tcBorders>
            <w:shd w:val="clear" w:color="auto" w:fill="auto"/>
            <w:noWrap/>
            <w:vAlign w:val="bottom"/>
            <w:hideMark/>
          </w:tcPr>
          <w:p w14:paraId="1D49F5BC" w14:textId="77777777" w:rsidR="00872CA6" w:rsidRPr="009104E1" w:rsidRDefault="00872CA6"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LR chi</w:t>
            </w:r>
            <w:r w:rsidRPr="009104E1">
              <w:rPr>
                <w:rFonts w:ascii="Arial" w:eastAsia="Times New Roman" w:hAnsi="Arial" w:cs="Arial"/>
                <w:color w:val="000000"/>
                <w:vertAlign w:val="superscript"/>
                <w:lang w:val="en-GB"/>
              </w:rPr>
              <w:t>2</w:t>
            </w:r>
            <w:r w:rsidRPr="009104E1">
              <w:rPr>
                <w:rFonts w:ascii="Arial" w:eastAsia="Times New Roman" w:hAnsi="Arial" w:cs="Arial"/>
                <w:color w:val="000000"/>
                <w:lang w:val="en-GB"/>
              </w:rPr>
              <w:t>(32)</w:t>
            </w:r>
          </w:p>
        </w:tc>
        <w:tc>
          <w:tcPr>
            <w:tcW w:w="1417" w:type="dxa"/>
            <w:tcBorders>
              <w:top w:val="nil"/>
              <w:bottom w:val="nil"/>
            </w:tcBorders>
            <w:shd w:val="clear" w:color="auto" w:fill="auto"/>
            <w:noWrap/>
            <w:vAlign w:val="bottom"/>
          </w:tcPr>
          <w:p w14:paraId="3965021E" w14:textId="7860C07A" w:rsidR="00872CA6" w:rsidRPr="009104E1" w:rsidRDefault="00872CA6" w:rsidP="00872CA6">
            <w:pPr>
              <w:spacing w:after="0" w:line="240" w:lineRule="auto"/>
              <w:jc w:val="right"/>
              <w:rPr>
                <w:rFonts w:ascii="Arial" w:eastAsia="Times New Roman" w:hAnsi="Arial" w:cs="Arial"/>
                <w:color w:val="000000"/>
                <w:lang w:val="en-GB"/>
              </w:rPr>
            </w:pPr>
          </w:p>
        </w:tc>
        <w:tc>
          <w:tcPr>
            <w:tcW w:w="1134" w:type="dxa"/>
            <w:tcBorders>
              <w:top w:val="nil"/>
              <w:bottom w:val="nil"/>
            </w:tcBorders>
            <w:shd w:val="clear" w:color="auto" w:fill="auto"/>
            <w:noWrap/>
            <w:vAlign w:val="bottom"/>
          </w:tcPr>
          <w:p w14:paraId="730F040C" w14:textId="424F3D19" w:rsidR="00872CA6" w:rsidRPr="009104E1" w:rsidRDefault="00872CA6" w:rsidP="00872CA6">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559.13</w:t>
            </w:r>
          </w:p>
        </w:tc>
        <w:tc>
          <w:tcPr>
            <w:tcW w:w="567" w:type="dxa"/>
            <w:tcBorders>
              <w:top w:val="nil"/>
              <w:bottom w:val="nil"/>
            </w:tcBorders>
            <w:shd w:val="clear" w:color="auto" w:fill="auto"/>
            <w:noWrap/>
            <w:vAlign w:val="bottom"/>
            <w:hideMark/>
          </w:tcPr>
          <w:p w14:paraId="221B47AF" w14:textId="77777777" w:rsidR="00872CA6" w:rsidRPr="009104E1" w:rsidRDefault="00872CA6" w:rsidP="00872CA6">
            <w:pPr>
              <w:spacing w:after="0" w:line="240" w:lineRule="auto"/>
              <w:rPr>
                <w:rFonts w:ascii="Arial" w:eastAsia="Times New Roman" w:hAnsi="Arial" w:cs="Arial"/>
                <w:sz w:val="20"/>
                <w:szCs w:val="20"/>
                <w:lang w:val="en-GB"/>
              </w:rPr>
            </w:pPr>
          </w:p>
        </w:tc>
        <w:tc>
          <w:tcPr>
            <w:tcW w:w="1418" w:type="dxa"/>
            <w:tcBorders>
              <w:top w:val="nil"/>
              <w:bottom w:val="nil"/>
            </w:tcBorders>
            <w:shd w:val="clear" w:color="auto" w:fill="auto"/>
            <w:noWrap/>
            <w:vAlign w:val="bottom"/>
          </w:tcPr>
          <w:p w14:paraId="0B99B9DA" w14:textId="4924342F" w:rsidR="00872CA6" w:rsidRPr="009104E1" w:rsidRDefault="00872CA6" w:rsidP="00872CA6">
            <w:pPr>
              <w:spacing w:after="0" w:line="240" w:lineRule="auto"/>
              <w:rPr>
                <w:rFonts w:ascii="Arial" w:eastAsia="Times New Roman" w:hAnsi="Arial" w:cs="Arial"/>
                <w:sz w:val="20"/>
                <w:szCs w:val="20"/>
                <w:lang w:val="en-GB"/>
              </w:rPr>
            </w:pPr>
          </w:p>
        </w:tc>
        <w:tc>
          <w:tcPr>
            <w:tcW w:w="1134" w:type="dxa"/>
            <w:tcBorders>
              <w:top w:val="nil"/>
              <w:bottom w:val="nil"/>
            </w:tcBorders>
            <w:shd w:val="clear" w:color="auto" w:fill="auto"/>
            <w:noWrap/>
            <w:vAlign w:val="bottom"/>
          </w:tcPr>
          <w:p w14:paraId="237B994B" w14:textId="69490049" w:rsidR="00872CA6" w:rsidRPr="009104E1" w:rsidRDefault="00872CA6" w:rsidP="0032240B">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319.89</w:t>
            </w:r>
          </w:p>
        </w:tc>
      </w:tr>
      <w:tr w:rsidR="00733561" w:rsidRPr="009104E1" w14:paraId="515F166F" w14:textId="77777777" w:rsidTr="001D6F0E">
        <w:trPr>
          <w:trHeight w:val="270"/>
        </w:trPr>
        <w:tc>
          <w:tcPr>
            <w:tcW w:w="6663" w:type="dxa"/>
            <w:tcBorders>
              <w:bottom w:val="nil"/>
            </w:tcBorders>
            <w:shd w:val="clear" w:color="auto" w:fill="auto"/>
            <w:noWrap/>
            <w:vAlign w:val="bottom"/>
            <w:hideMark/>
          </w:tcPr>
          <w:p w14:paraId="45D680B8" w14:textId="77777777" w:rsidR="00872CA6" w:rsidRPr="009104E1" w:rsidRDefault="00872CA6"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Prob &gt; chi</w:t>
            </w:r>
            <w:r w:rsidRPr="009104E1">
              <w:rPr>
                <w:rFonts w:ascii="Arial" w:eastAsia="Times New Roman" w:hAnsi="Arial" w:cs="Arial"/>
                <w:color w:val="000000"/>
                <w:vertAlign w:val="superscript"/>
                <w:lang w:val="en-GB"/>
              </w:rPr>
              <w:t>2</w:t>
            </w:r>
          </w:p>
        </w:tc>
        <w:tc>
          <w:tcPr>
            <w:tcW w:w="1417" w:type="dxa"/>
            <w:tcBorders>
              <w:bottom w:val="nil"/>
            </w:tcBorders>
            <w:shd w:val="clear" w:color="auto" w:fill="auto"/>
            <w:noWrap/>
            <w:vAlign w:val="bottom"/>
          </w:tcPr>
          <w:p w14:paraId="5114FD2B" w14:textId="32C4F4E4" w:rsidR="00872CA6" w:rsidRPr="009104E1" w:rsidRDefault="00872CA6" w:rsidP="00872CA6">
            <w:pPr>
              <w:spacing w:after="0" w:line="240" w:lineRule="auto"/>
              <w:jc w:val="right"/>
              <w:rPr>
                <w:rFonts w:ascii="Arial" w:eastAsia="Times New Roman" w:hAnsi="Arial" w:cs="Arial"/>
                <w:color w:val="000000"/>
                <w:lang w:val="en-GB"/>
              </w:rPr>
            </w:pPr>
          </w:p>
        </w:tc>
        <w:tc>
          <w:tcPr>
            <w:tcW w:w="1134" w:type="dxa"/>
            <w:tcBorders>
              <w:bottom w:val="nil"/>
            </w:tcBorders>
            <w:shd w:val="clear" w:color="auto" w:fill="auto"/>
            <w:noWrap/>
            <w:vAlign w:val="bottom"/>
          </w:tcPr>
          <w:p w14:paraId="2D412ACC" w14:textId="74E7BC4C" w:rsidR="00872CA6" w:rsidRPr="009104E1" w:rsidRDefault="00872CA6" w:rsidP="00872CA6">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w:t>
            </w:r>
            <w:r>
              <w:rPr>
                <w:rFonts w:ascii="Arial" w:eastAsia="Times New Roman" w:hAnsi="Arial" w:cs="Arial"/>
                <w:color w:val="000000"/>
                <w:lang w:val="en-GB"/>
              </w:rPr>
              <w:t>.000</w:t>
            </w:r>
          </w:p>
        </w:tc>
        <w:tc>
          <w:tcPr>
            <w:tcW w:w="567" w:type="dxa"/>
            <w:tcBorders>
              <w:bottom w:val="nil"/>
            </w:tcBorders>
            <w:shd w:val="clear" w:color="auto" w:fill="auto"/>
            <w:noWrap/>
            <w:vAlign w:val="bottom"/>
            <w:hideMark/>
          </w:tcPr>
          <w:p w14:paraId="38139539" w14:textId="77777777" w:rsidR="00872CA6" w:rsidRPr="009104E1" w:rsidRDefault="00872CA6" w:rsidP="00872CA6">
            <w:pPr>
              <w:spacing w:after="0" w:line="240" w:lineRule="auto"/>
              <w:rPr>
                <w:rFonts w:ascii="Arial" w:eastAsia="Times New Roman" w:hAnsi="Arial" w:cs="Arial"/>
                <w:sz w:val="20"/>
                <w:szCs w:val="20"/>
                <w:lang w:val="en-GB"/>
              </w:rPr>
            </w:pPr>
          </w:p>
        </w:tc>
        <w:tc>
          <w:tcPr>
            <w:tcW w:w="1418" w:type="dxa"/>
            <w:tcBorders>
              <w:bottom w:val="nil"/>
            </w:tcBorders>
            <w:shd w:val="clear" w:color="auto" w:fill="auto"/>
            <w:noWrap/>
            <w:vAlign w:val="bottom"/>
          </w:tcPr>
          <w:p w14:paraId="62507FA0" w14:textId="0CF2DD4C" w:rsidR="00872CA6" w:rsidRPr="009104E1" w:rsidRDefault="00872CA6" w:rsidP="00872CA6">
            <w:pPr>
              <w:spacing w:after="0" w:line="240" w:lineRule="auto"/>
              <w:rPr>
                <w:rFonts w:ascii="Arial" w:eastAsia="Times New Roman" w:hAnsi="Arial" w:cs="Arial"/>
                <w:sz w:val="20"/>
                <w:szCs w:val="20"/>
                <w:lang w:val="en-GB"/>
              </w:rPr>
            </w:pPr>
          </w:p>
        </w:tc>
        <w:tc>
          <w:tcPr>
            <w:tcW w:w="1134" w:type="dxa"/>
            <w:tcBorders>
              <w:bottom w:val="nil"/>
            </w:tcBorders>
            <w:shd w:val="clear" w:color="auto" w:fill="auto"/>
            <w:noWrap/>
            <w:vAlign w:val="bottom"/>
          </w:tcPr>
          <w:p w14:paraId="453D07BF" w14:textId="309CE3C3" w:rsidR="00872CA6" w:rsidRPr="009104E1" w:rsidRDefault="00872CA6" w:rsidP="0032240B">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0</w:t>
            </w:r>
            <w:r w:rsidRPr="0032240B">
              <w:rPr>
                <w:rFonts w:ascii="Arial" w:eastAsia="Times New Roman" w:hAnsi="Arial" w:cs="Arial"/>
                <w:color w:val="000000"/>
                <w:lang w:val="en-GB"/>
              </w:rPr>
              <w:t>.000</w:t>
            </w:r>
          </w:p>
        </w:tc>
      </w:tr>
      <w:tr w:rsidR="00733561" w:rsidRPr="009104E1" w14:paraId="5C776442" w14:textId="77777777" w:rsidTr="001D6F0E">
        <w:trPr>
          <w:trHeight w:val="270"/>
        </w:trPr>
        <w:tc>
          <w:tcPr>
            <w:tcW w:w="6663" w:type="dxa"/>
            <w:tcBorders>
              <w:bottom w:val="nil"/>
            </w:tcBorders>
            <w:shd w:val="clear" w:color="auto" w:fill="auto"/>
            <w:noWrap/>
            <w:vAlign w:val="bottom"/>
            <w:hideMark/>
          </w:tcPr>
          <w:p w14:paraId="47EC7751" w14:textId="61A3734E" w:rsidR="00872CA6" w:rsidRPr="009104E1" w:rsidRDefault="00872CA6"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Observations</w:t>
            </w:r>
            <w:r w:rsidR="00DE347A">
              <w:rPr>
                <w:rFonts w:ascii="Arial" w:eastAsia="Times New Roman" w:hAnsi="Arial" w:cs="Arial"/>
                <w:color w:val="000000"/>
                <w:lang w:val="en-GB"/>
              </w:rPr>
              <w:t xml:space="preserve"> used or switched to HO</w:t>
            </w:r>
          </w:p>
        </w:tc>
        <w:tc>
          <w:tcPr>
            <w:tcW w:w="1417" w:type="dxa"/>
            <w:tcBorders>
              <w:bottom w:val="nil"/>
            </w:tcBorders>
            <w:shd w:val="clear" w:color="auto" w:fill="auto"/>
            <w:noWrap/>
            <w:vAlign w:val="bottom"/>
          </w:tcPr>
          <w:p w14:paraId="55AA33D8" w14:textId="48F3B04F" w:rsidR="00872CA6" w:rsidRPr="009104E1" w:rsidRDefault="00872CA6" w:rsidP="00872CA6">
            <w:pPr>
              <w:spacing w:after="0" w:line="240" w:lineRule="auto"/>
              <w:jc w:val="right"/>
              <w:rPr>
                <w:rFonts w:ascii="Arial" w:eastAsia="Times New Roman" w:hAnsi="Arial" w:cs="Arial"/>
                <w:color w:val="000000"/>
                <w:lang w:val="en-GB"/>
              </w:rPr>
            </w:pPr>
          </w:p>
        </w:tc>
        <w:tc>
          <w:tcPr>
            <w:tcW w:w="1134" w:type="dxa"/>
            <w:tcBorders>
              <w:bottom w:val="nil"/>
            </w:tcBorders>
            <w:shd w:val="clear" w:color="auto" w:fill="auto"/>
            <w:noWrap/>
            <w:vAlign w:val="bottom"/>
          </w:tcPr>
          <w:p w14:paraId="7D93C200" w14:textId="792FB61A" w:rsidR="00872CA6" w:rsidRPr="009104E1" w:rsidRDefault="00872CA6" w:rsidP="00872CA6">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3,074</w:t>
            </w:r>
          </w:p>
        </w:tc>
        <w:tc>
          <w:tcPr>
            <w:tcW w:w="567" w:type="dxa"/>
            <w:tcBorders>
              <w:bottom w:val="nil"/>
            </w:tcBorders>
            <w:shd w:val="clear" w:color="auto" w:fill="auto"/>
            <w:noWrap/>
            <w:vAlign w:val="bottom"/>
            <w:hideMark/>
          </w:tcPr>
          <w:p w14:paraId="288686B8" w14:textId="77777777" w:rsidR="00872CA6" w:rsidRPr="009104E1" w:rsidRDefault="00872CA6" w:rsidP="00872CA6">
            <w:pPr>
              <w:spacing w:after="0" w:line="240" w:lineRule="auto"/>
              <w:rPr>
                <w:rFonts w:ascii="Arial" w:eastAsia="Times New Roman" w:hAnsi="Arial" w:cs="Arial"/>
                <w:sz w:val="20"/>
                <w:szCs w:val="20"/>
                <w:lang w:val="en-GB"/>
              </w:rPr>
            </w:pPr>
          </w:p>
        </w:tc>
        <w:tc>
          <w:tcPr>
            <w:tcW w:w="1418" w:type="dxa"/>
            <w:tcBorders>
              <w:bottom w:val="nil"/>
            </w:tcBorders>
            <w:shd w:val="clear" w:color="auto" w:fill="auto"/>
            <w:noWrap/>
            <w:vAlign w:val="bottom"/>
          </w:tcPr>
          <w:p w14:paraId="4BEAF91D" w14:textId="5C206780" w:rsidR="00872CA6" w:rsidRPr="009104E1" w:rsidRDefault="00872CA6" w:rsidP="00872CA6">
            <w:pPr>
              <w:spacing w:after="0" w:line="240" w:lineRule="auto"/>
              <w:rPr>
                <w:rFonts w:ascii="Arial" w:eastAsia="Times New Roman" w:hAnsi="Arial" w:cs="Arial"/>
                <w:sz w:val="20"/>
                <w:szCs w:val="20"/>
                <w:lang w:val="en-GB"/>
              </w:rPr>
            </w:pPr>
          </w:p>
        </w:tc>
        <w:tc>
          <w:tcPr>
            <w:tcW w:w="1134" w:type="dxa"/>
            <w:tcBorders>
              <w:bottom w:val="nil"/>
            </w:tcBorders>
            <w:shd w:val="clear" w:color="auto" w:fill="auto"/>
            <w:noWrap/>
            <w:vAlign w:val="bottom"/>
          </w:tcPr>
          <w:p w14:paraId="1063B730" w14:textId="0DDA7141" w:rsidR="00872CA6" w:rsidRPr="009104E1" w:rsidRDefault="00872CA6" w:rsidP="0032240B">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4,052</w:t>
            </w:r>
          </w:p>
        </w:tc>
      </w:tr>
      <w:tr w:rsidR="00733561" w:rsidRPr="009104E1" w14:paraId="3D824683" w14:textId="77777777" w:rsidTr="001D6F0E">
        <w:trPr>
          <w:trHeight w:val="270"/>
        </w:trPr>
        <w:tc>
          <w:tcPr>
            <w:tcW w:w="6663" w:type="dxa"/>
            <w:tcBorders>
              <w:bottom w:val="nil"/>
            </w:tcBorders>
            <w:shd w:val="clear" w:color="auto" w:fill="auto"/>
            <w:noWrap/>
            <w:vAlign w:val="bottom"/>
            <w:hideMark/>
          </w:tcPr>
          <w:p w14:paraId="6B4E1E2D" w14:textId="77777777" w:rsidR="00872CA6" w:rsidRPr="009104E1" w:rsidRDefault="00872CA6"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Number of pid</w:t>
            </w:r>
          </w:p>
        </w:tc>
        <w:tc>
          <w:tcPr>
            <w:tcW w:w="1417" w:type="dxa"/>
            <w:tcBorders>
              <w:bottom w:val="nil"/>
            </w:tcBorders>
            <w:shd w:val="clear" w:color="auto" w:fill="auto"/>
            <w:noWrap/>
            <w:vAlign w:val="bottom"/>
          </w:tcPr>
          <w:p w14:paraId="2EE89B43" w14:textId="47BFAC9A" w:rsidR="00872CA6" w:rsidRPr="009104E1" w:rsidRDefault="00872CA6" w:rsidP="00872CA6">
            <w:pPr>
              <w:spacing w:after="0" w:line="240" w:lineRule="auto"/>
              <w:jc w:val="right"/>
              <w:rPr>
                <w:rFonts w:ascii="Arial" w:eastAsia="Times New Roman" w:hAnsi="Arial" w:cs="Arial"/>
                <w:color w:val="000000"/>
                <w:lang w:val="en-GB"/>
              </w:rPr>
            </w:pPr>
          </w:p>
        </w:tc>
        <w:tc>
          <w:tcPr>
            <w:tcW w:w="1134" w:type="dxa"/>
            <w:tcBorders>
              <w:bottom w:val="nil"/>
            </w:tcBorders>
            <w:shd w:val="clear" w:color="auto" w:fill="auto"/>
            <w:noWrap/>
            <w:vAlign w:val="bottom"/>
          </w:tcPr>
          <w:p w14:paraId="2C991702" w14:textId="366A0572" w:rsidR="00872CA6" w:rsidRPr="009104E1" w:rsidRDefault="00872CA6" w:rsidP="00872CA6">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410</w:t>
            </w:r>
          </w:p>
        </w:tc>
        <w:tc>
          <w:tcPr>
            <w:tcW w:w="567" w:type="dxa"/>
            <w:tcBorders>
              <w:bottom w:val="nil"/>
            </w:tcBorders>
            <w:shd w:val="clear" w:color="auto" w:fill="auto"/>
            <w:noWrap/>
            <w:vAlign w:val="bottom"/>
            <w:hideMark/>
          </w:tcPr>
          <w:p w14:paraId="08146E03" w14:textId="77777777" w:rsidR="00872CA6" w:rsidRPr="009104E1" w:rsidRDefault="00872CA6" w:rsidP="00872CA6">
            <w:pPr>
              <w:spacing w:after="0" w:line="240" w:lineRule="auto"/>
              <w:rPr>
                <w:rFonts w:ascii="Arial" w:eastAsia="Times New Roman" w:hAnsi="Arial" w:cs="Arial"/>
                <w:sz w:val="20"/>
                <w:szCs w:val="20"/>
                <w:lang w:val="en-GB"/>
              </w:rPr>
            </w:pPr>
          </w:p>
        </w:tc>
        <w:tc>
          <w:tcPr>
            <w:tcW w:w="1418" w:type="dxa"/>
            <w:tcBorders>
              <w:bottom w:val="nil"/>
            </w:tcBorders>
            <w:shd w:val="clear" w:color="auto" w:fill="auto"/>
            <w:noWrap/>
            <w:vAlign w:val="bottom"/>
          </w:tcPr>
          <w:p w14:paraId="12CD2B1B" w14:textId="622F90DC" w:rsidR="00872CA6" w:rsidRPr="009104E1" w:rsidRDefault="00872CA6" w:rsidP="00872CA6">
            <w:pPr>
              <w:spacing w:after="0" w:line="240" w:lineRule="auto"/>
              <w:rPr>
                <w:rFonts w:ascii="Arial" w:eastAsia="Times New Roman" w:hAnsi="Arial" w:cs="Arial"/>
                <w:sz w:val="20"/>
                <w:szCs w:val="20"/>
                <w:lang w:val="en-GB"/>
              </w:rPr>
            </w:pPr>
          </w:p>
        </w:tc>
        <w:tc>
          <w:tcPr>
            <w:tcW w:w="1134" w:type="dxa"/>
            <w:tcBorders>
              <w:bottom w:val="nil"/>
            </w:tcBorders>
            <w:shd w:val="clear" w:color="auto" w:fill="auto"/>
            <w:noWrap/>
            <w:vAlign w:val="bottom"/>
          </w:tcPr>
          <w:p w14:paraId="63FB5F42" w14:textId="1037940C" w:rsidR="00872CA6" w:rsidRPr="009104E1" w:rsidRDefault="00872CA6" w:rsidP="0032240B">
            <w:pPr>
              <w:spacing w:after="0" w:line="240" w:lineRule="auto"/>
              <w:jc w:val="right"/>
              <w:rPr>
                <w:rFonts w:ascii="Arial" w:eastAsia="Times New Roman" w:hAnsi="Arial" w:cs="Arial"/>
                <w:color w:val="000000"/>
                <w:lang w:val="en-GB"/>
              </w:rPr>
            </w:pPr>
            <w:r w:rsidRPr="009104E1">
              <w:rPr>
                <w:rFonts w:ascii="Arial" w:eastAsia="Times New Roman" w:hAnsi="Arial" w:cs="Arial"/>
                <w:color w:val="000000"/>
                <w:lang w:val="en-GB"/>
              </w:rPr>
              <w:t>536</w:t>
            </w:r>
          </w:p>
        </w:tc>
      </w:tr>
      <w:tr w:rsidR="00733561" w:rsidRPr="009104E1" w14:paraId="300DBD99" w14:textId="77777777" w:rsidTr="001D6F0E">
        <w:trPr>
          <w:trHeight w:val="270"/>
        </w:trPr>
        <w:tc>
          <w:tcPr>
            <w:tcW w:w="6663" w:type="dxa"/>
            <w:tcBorders>
              <w:bottom w:val="single" w:sz="4" w:space="0" w:color="auto"/>
            </w:tcBorders>
            <w:shd w:val="clear" w:color="auto" w:fill="auto"/>
            <w:noWrap/>
            <w:vAlign w:val="bottom"/>
            <w:hideMark/>
          </w:tcPr>
          <w:p w14:paraId="49D7D9C5" w14:textId="77777777" w:rsidR="00872CA6" w:rsidRPr="009104E1" w:rsidRDefault="00872CA6" w:rsidP="00872CA6">
            <w:pPr>
              <w:spacing w:after="0" w:line="240" w:lineRule="auto"/>
              <w:rPr>
                <w:rFonts w:ascii="Arial" w:eastAsia="Times New Roman" w:hAnsi="Arial" w:cs="Arial"/>
                <w:color w:val="000000"/>
                <w:lang w:val="en-GB"/>
              </w:rPr>
            </w:pPr>
            <w:r w:rsidRPr="009104E1">
              <w:rPr>
                <w:rFonts w:ascii="Arial" w:eastAsia="Times New Roman" w:hAnsi="Arial" w:cs="Arial"/>
                <w:color w:val="000000"/>
                <w:lang w:val="en-GB"/>
              </w:rPr>
              <w:t>*** p&lt;0.01, ** p&lt;0.05, * p&lt;0.1</w:t>
            </w:r>
          </w:p>
        </w:tc>
        <w:tc>
          <w:tcPr>
            <w:tcW w:w="1417" w:type="dxa"/>
            <w:tcBorders>
              <w:bottom w:val="single" w:sz="4" w:space="0" w:color="auto"/>
            </w:tcBorders>
            <w:shd w:val="clear" w:color="auto" w:fill="auto"/>
            <w:noWrap/>
            <w:vAlign w:val="bottom"/>
            <w:hideMark/>
          </w:tcPr>
          <w:p w14:paraId="78CA2DA9" w14:textId="77777777" w:rsidR="00872CA6" w:rsidRPr="009104E1" w:rsidRDefault="00872CA6" w:rsidP="00872CA6">
            <w:pPr>
              <w:spacing w:after="0" w:line="240" w:lineRule="auto"/>
              <w:rPr>
                <w:rFonts w:ascii="Arial" w:eastAsia="Times New Roman" w:hAnsi="Arial" w:cs="Arial"/>
                <w:color w:val="000000"/>
                <w:lang w:val="en-GB"/>
              </w:rPr>
            </w:pPr>
          </w:p>
        </w:tc>
        <w:tc>
          <w:tcPr>
            <w:tcW w:w="1134" w:type="dxa"/>
            <w:tcBorders>
              <w:bottom w:val="single" w:sz="4" w:space="0" w:color="auto"/>
            </w:tcBorders>
            <w:shd w:val="clear" w:color="auto" w:fill="auto"/>
            <w:noWrap/>
            <w:vAlign w:val="bottom"/>
            <w:hideMark/>
          </w:tcPr>
          <w:p w14:paraId="7F469717" w14:textId="77777777" w:rsidR="00872CA6" w:rsidRPr="009104E1" w:rsidRDefault="00872CA6" w:rsidP="00872CA6">
            <w:pPr>
              <w:spacing w:after="0" w:line="240" w:lineRule="auto"/>
              <w:rPr>
                <w:rFonts w:ascii="Arial" w:eastAsia="Times New Roman" w:hAnsi="Arial" w:cs="Arial"/>
                <w:sz w:val="20"/>
                <w:szCs w:val="20"/>
                <w:lang w:val="en-GB"/>
              </w:rPr>
            </w:pPr>
          </w:p>
        </w:tc>
        <w:tc>
          <w:tcPr>
            <w:tcW w:w="567" w:type="dxa"/>
            <w:tcBorders>
              <w:bottom w:val="single" w:sz="4" w:space="0" w:color="auto"/>
            </w:tcBorders>
            <w:shd w:val="clear" w:color="auto" w:fill="auto"/>
            <w:noWrap/>
            <w:vAlign w:val="bottom"/>
            <w:hideMark/>
          </w:tcPr>
          <w:p w14:paraId="521F405F" w14:textId="77777777" w:rsidR="00872CA6" w:rsidRPr="009104E1" w:rsidRDefault="00872CA6" w:rsidP="00872CA6">
            <w:pPr>
              <w:spacing w:after="0" w:line="240" w:lineRule="auto"/>
              <w:rPr>
                <w:rFonts w:ascii="Arial" w:eastAsia="Times New Roman" w:hAnsi="Arial" w:cs="Arial"/>
                <w:sz w:val="20"/>
                <w:szCs w:val="20"/>
                <w:lang w:val="en-GB"/>
              </w:rPr>
            </w:pPr>
          </w:p>
        </w:tc>
        <w:tc>
          <w:tcPr>
            <w:tcW w:w="1418" w:type="dxa"/>
            <w:tcBorders>
              <w:bottom w:val="single" w:sz="4" w:space="0" w:color="auto"/>
            </w:tcBorders>
            <w:shd w:val="clear" w:color="auto" w:fill="auto"/>
            <w:noWrap/>
            <w:vAlign w:val="bottom"/>
            <w:hideMark/>
          </w:tcPr>
          <w:p w14:paraId="13F54F76" w14:textId="77777777" w:rsidR="00872CA6" w:rsidRPr="009104E1" w:rsidRDefault="00872CA6" w:rsidP="00872CA6">
            <w:pPr>
              <w:spacing w:after="0" w:line="240" w:lineRule="auto"/>
              <w:rPr>
                <w:rFonts w:ascii="Arial" w:eastAsia="Times New Roman" w:hAnsi="Arial" w:cs="Arial"/>
                <w:sz w:val="20"/>
                <w:szCs w:val="20"/>
                <w:lang w:val="en-GB"/>
              </w:rPr>
            </w:pPr>
          </w:p>
        </w:tc>
        <w:tc>
          <w:tcPr>
            <w:tcW w:w="1134" w:type="dxa"/>
            <w:tcBorders>
              <w:bottom w:val="single" w:sz="4" w:space="0" w:color="auto"/>
            </w:tcBorders>
            <w:shd w:val="clear" w:color="auto" w:fill="auto"/>
            <w:noWrap/>
            <w:vAlign w:val="bottom"/>
            <w:hideMark/>
          </w:tcPr>
          <w:p w14:paraId="44F61844" w14:textId="77777777" w:rsidR="00872CA6" w:rsidRPr="009104E1" w:rsidRDefault="00872CA6" w:rsidP="00872CA6">
            <w:pPr>
              <w:spacing w:after="0" w:line="240" w:lineRule="auto"/>
              <w:rPr>
                <w:rFonts w:ascii="Arial" w:eastAsia="Times New Roman" w:hAnsi="Arial" w:cs="Arial"/>
                <w:sz w:val="20"/>
                <w:szCs w:val="20"/>
                <w:lang w:val="en-GB"/>
              </w:rPr>
            </w:pPr>
          </w:p>
        </w:tc>
      </w:tr>
    </w:tbl>
    <w:p w14:paraId="4EC612EB" w14:textId="4A68F137" w:rsidR="001D6F0E" w:rsidRDefault="001D6F0E" w:rsidP="001D6F0E">
      <w:pPr>
        <w:spacing w:after="240" w:line="360" w:lineRule="auto"/>
        <w:jc w:val="both"/>
        <w:rPr>
          <w:rFonts w:ascii="Arial" w:hAnsi="Arial" w:cs="Arial"/>
        </w:rPr>
      </w:pPr>
      <w:r>
        <w:rPr>
          <w:rFonts w:ascii="Arial" w:hAnsi="Arial" w:cs="Arial"/>
        </w:rPr>
        <w:t xml:space="preserve">Notes: PR=Private Renting; PH=Parental Housing; HO=Home Ownership. </w:t>
      </w:r>
    </w:p>
    <w:p w14:paraId="0A1F9F83" w14:textId="4477411A" w:rsidR="00F57C44" w:rsidRDefault="001D6F0E" w:rsidP="007F121A">
      <w:pPr>
        <w:spacing w:after="240" w:line="360" w:lineRule="auto"/>
        <w:jc w:val="both"/>
        <w:rPr>
          <w:rFonts w:ascii="Arial" w:hAnsi="Arial" w:cs="Arial"/>
        </w:rPr>
        <w:sectPr w:rsidR="00F57C44" w:rsidSect="003D6300">
          <w:pgSz w:w="15840" w:h="12240" w:orient="landscape"/>
          <w:pgMar w:top="1440" w:right="1440" w:bottom="1440" w:left="1440" w:header="720" w:footer="720" w:gutter="0"/>
          <w:pgNumType w:start="12"/>
          <w:cols w:space="720"/>
          <w:docGrid w:linePitch="299"/>
        </w:sectPr>
      </w:pPr>
      <w:r>
        <w:rPr>
          <w:rFonts w:ascii="Arial" w:hAnsi="Arial" w:cs="Arial"/>
        </w:rPr>
        <w:t xml:space="preserve">Table 3: Results from </w:t>
      </w:r>
      <w:r w:rsidRPr="007F121A">
        <w:rPr>
          <w:rFonts w:ascii="Arial" w:hAnsi="Arial" w:cs="Arial"/>
        </w:rPr>
        <w:t>the interaction terms</w:t>
      </w:r>
      <w:r>
        <w:rPr>
          <w:rFonts w:ascii="Arial" w:hAnsi="Arial" w:cs="Arial"/>
        </w:rPr>
        <w:t>.</w:t>
      </w:r>
    </w:p>
    <w:p w14:paraId="00000015" w14:textId="77777777" w:rsidR="00FE0B4C" w:rsidRPr="007F121A" w:rsidRDefault="00791830" w:rsidP="00D77F14">
      <w:pPr>
        <w:pStyle w:val="Heading1"/>
        <w:rPr>
          <w:rFonts w:eastAsia="Arial"/>
        </w:rPr>
      </w:pPr>
      <w:r w:rsidRPr="007F121A">
        <w:rPr>
          <w:rFonts w:eastAsia="Arial"/>
        </w:rPr>
        <w:lastRenderedPageBreak/>
        <w:t>5. Conclusions</w:t>
      </w:r>
    </w:p>
    <w:p w14:paraId="00000016" w14:textId="6BE9D70E" w:rsidR="00FE0B4C" w:rsidRDefault="006B1136" w:rsidP="006B1136">
      <w:pPr>
        <w:spacing w:after="240" w:line="360" w:lineRule="auto"/>
        <w:jc w:val="both"/>
        <w:rPr>
          <w:rFonts w:ascii="Arial" w:eastAsia="Arial" w:hAnsi="Arial" w:cs="Arial"/>
        </w:rPr>
      </w:pPr>
      <w:r>
        <w:rPr>
          <w:rFonts w:ascii="Arial" w:eastAsia="Arial" w:hAnsi="Arial" w:cs="Arial"/>
        </w:rPr>
        <w:t xml:space="preserve">In this study, we investigate the </w:t>
      </w:r>
      <w:r w:rsidR="007B0881">
        <w:rPr>
          <w:rFonts w:ascii="Arial" w:eastAsia="Arial" w:hAnsi="Arial" w:cs="Arial"/>
        </w:rPr>
        <w:t xml:space="preserve">influence of social capital and </w:t>
      </w:r>
      <w:r w:rsidR="00D131E0">
        <w:rPr>
          <w:rFonts w:ascii="Arial" w:eastAsia="Arial" w:hAnsi="Arial" w:cs="Arial"/>
        </w:rPr>
        <w:t xml:space="preserve">perceptions of job insecurity on housing tenure and especially home ownership transitions. </w:t>
      </w:r>
      <w:r w:rsidR="008A198B">
        <w:rPr>
          <w:rFonts w:ascii="Arial" w:eastAsia="Arial" w:hAnsi="Arial" w:cs="Arial"/>
        </w:rPr>
        <w:t xml:space="preserve">The investigation </w:t>
      </w:r>
      <w:r w:rsidR="006C773F">
        <w:rPr>
          <w:rFonts w:ascii="Arial" w:eastAsia="Arial" w:hAnsi="Arial" w:cs="Arial"/>
        </w:rPr>
        <w:t>builds on the growing literature</w:t>
      </w:r>
      <w:r w:rsidR="00DA1562">
        <w:rPr>
          <w:rFonts w:ascii="Arial" w:eastAsia="Arial" w:hAnsi="Arial" w:cs="Arial"/>
        </w:rPr>
        <w:t xml:space="preserve"> on</w:t>
      </w:r>
      <w:r w:rsidR="006C773F">
        <w:rPr>
          <w:rFonts w:ascii="Arial" w:eastAsia="Arial" w:hAnsi="Arial" w:cs="Arial"/>
        </w:rPr>
        <w:t xml:space="preserve"> socio-psychological drivers of </w:t>
      </w:r>
      <w:r w:rsidR="009F4BA0">
        <w:rPr>
          <w:rFonts w:ascii="Arial" w:eastAsia="Arial" w:hAnsi="Arial" w:cs="Arial"/>
        </w:rPr>
        <w:t xml:space="preserve">housing </w:t>
      </w:r>
      <w:r w:rsidR="006C773F">
        <w:rPr>
          <w:rFonts w:ascii="Arial" w:eastAsia="Arial" w:hAnsi="Arial" w:cs="Arial"/>
        </w:rPr>
        <w:t>tenure transitions</w:t>
      </w:r>
      <w:r w:rsidR="00DA1562">
        <w:rPr>
          <w:rFonts w:ascii="Arial" w:eastAsia="Arial" w:hAnsi="Arial" w:cs="Arial"/>
        </w:rPr>
        <w:t xml:space="preserve">, by exploring possible additional </w:t>
      </w:r>
      <w:r w:rsidR="001C4343">
        <w:rPr>
          <w:rFonts w:ascii="Arial" w:eastAsia="Arial" w:hAnsi="Arial" w:cs="Arial"/>
        </w:rPr>
        <w:t>factors</w:t>
      </w:r>
      <w:r w:rsidR="00DA1562">
        <w:rPr>
          <w:rFonts w:ascii="Arial" w:eastAsia="Arial" w:hAnsi="Arial" w:cs="Arial"/>
        </w:rPr>
        <w:t xml:space="preserve"> empirically</w:t>
      </w:r>
      <w:r w:rsidR="006C773F">
        <w:rPr>
          <w:rFonts w:ascii="Arial" w:eastAsia="Arial" w:hAnsi="Arial" w:cs="Arial"/>
        </w:rPr>
        <w:t xml:space="preserve">. </w:t>
      </w:r>
      <w:r w:rsidR="00DA1562">
        <w:rPr>
          <w:rFonts w:ascii="Arial" w:eastAsia="Arial" w:hAnsi="Arial" w:cs="Arial"/>
        </w:rPr>
        <w:t>It further tests the possible combinations of the</w:t>
      </w:r>
      <w:r w:rsidR="009A3561">
        <w:rPr>
          <w:rFonts w:ascii="Arial" w:eastAsia="Arial" w:hAnsi="Arial" w:cs="Arial"/>
        </w:rPr>
        <w:t xml:space="preserve"> variables of interest as </w:t>
      </w:r>
      <w:r w:rsidR="001E19F1">
        <w:rPr>
          <w:rFonts w:ascii="Arial" w:eastAsia="Arial" w:hAnsi="Arial" w:cs="Arial"/>
        </w:rPr>
        <w:t xml:space="preserve">factors </w:t>
      </w:r>
      <w:r w:rsidR="009A3561">
        <w:rPr>
          <w:rFonts w:ascii="Arial" w:eastAsia="Arial" w:hAnsi="Arial" w:cs="Arial"/>
        </w:rPr>
        <w:t xml:space="preserve">contributing </w:t>
      </w:r>
      <w:r w:rsidR="001E19F1">
        <w:rPr>
          <w:rFonts w:ascii="Arial" w:eastAsia="Arial" w:hAnsi="Arial" w:cs="Arial"/>
        </w:rPr>
        <w:t>to</w:t>
      </w:r>
      <w:r w:rsidR="00AF2642">
        <w:rPr>
          <w:rFonts w:ascii="Arial" w:eastAsia="Arial" w:hAnsi="Arial" w:cs="Arial"/>
        </w:rPr>
        <w:t xml:space="preserve"> </w:t>
      </w:r>
      <w:r w:rsidR="004C29B9">
        <w:rPr>
          <w:rFonts w:ascii="Arial" w:eastAsia="Arial" w:hAnsi="Arial" w:cs="Arial"/>
        </w:rPr>
        <w:t xml:space="preserve">housing tenure decisions. The findings are unique to the </w:t>
      </w:r>
      <w:r w:rsidR="0018329E">
        <w:rPr>
          <w:rFonts w:ascii="Arial" w:eastAsia="Arial" w:hAnsi="Arial" w:cs="Arial"/>
        </w:rPr>
        <w:t>age group and survey period.</w:t>
      </w:r>
    </w:p>
    <w:p w14:paraId="79128816" w14:textId="296513D7" w:rsidR="002F0997" w:rsidRDefault="008D3E43" w:rsidP="006B1136">
      <w:pPr>
        <w:spacing w:after="240" w:line="360" w:lineRule="auto"/>
        <w:jc w:val="both"/>
        <w:rPr>
          <w:rFonts w:ascii="Arial" w:eastAsia="Arial" w:hAnsi="Arial" w:cs="Arial"/>
        </w:rPr>
      </w:pPr>
      <w:r>
        <w:rPr>
          <w:rFonts w:ascii="Arial" w:eastAsia="Arial" w:hAnsi="Arial" w:cs="Arial"/>
        </w:rPr>
        <w:t>We control for e</w:t>
      </w:r>
      <w:r w:rsidR="00C30E9E">
        <w:rPr>
          <w:rFonts w:ascii="Arial" w:eastAsia="Arial" w:hAnsi="Arial" w:cs="Arial"/>
        </w:rPr>
        <w:t xml:space="preserve">stablished drivers in our models, alongside </w:t>
      </w:r>
      <w:r w:rsidR="00DD2A45">
        <w:rPr>
          <w:rFonts w:ascii="Arial" w:eastAsia="Arial" w:hAnsi="Arial" w:cs="Arial"/>
        </w:rPr>
        <w:t>d</w:t>
      </w:r>
      <w:r w:rsidR="0009518F">
        <w:rPr>
          <w:rFonts w:ascii="Arial" w:eastAsia="Arial" w:hAnsi="Arial" w:cs="Arial"/>
        </w:rPr>
        <w:t>ummies</w:t>
      </w:r>
      <w:r w:rsidR="00DD2A45">
        <w:rPr>
          <w:rFonts w:ascii="Arial" w:eastAsia="Arial" w:hAnsi="Arial" w:cs="Arial"/>
        </w:rPr>
        <w:t xml:space="preserve"> representing each wave</w:t>
      </w:r>
      <w:r w:rsidR="0009518F">
        <w:rPr>
          <w:rFonts w:ascii="Arial" w:eastAsia="Arial" w:hAnsi="Arial" w:cs="Arial"/>
        </w:rPr>
        <w:t xml:space="preserve">. </w:t>
      </w:r>
      <w:r w:rsidR="007C7AF2">
        <w:rPr>
          <w:rFonts w:ascii="Arial" w:eastAsia="Arial" w:hAnsi="Arial" w:cs="Arial"/>
        </w:rPr>
        <w:t xml:space="preserve">However, </w:t>
      </w:r>
      <w:r w:rsidR="004D0A35">
        <w:rPr>
          <w:rFonts w:ascii="Arial" w:eastAsia="Arial" w:hAnsi="Arial" w:cs="Arial"/>
        </w:rPr>
        <w:t xml:space="preserve">more importantly, the </w:t>
      </w:r>
      <w:r w:rsidR="00B626B3">
        <w:rPr>
          <w:rFonts w:ascii="Arial" w:eastAsia="Arial" w:hAnsi="Arial" w:cs="Arial"/>
        </w:rPr>
        <w:t>variables of interest further provi</w:t>
      </w:r>
      <w:r w:rsidR="00910962">
        <w:rPr>
          <w:rFonts w:ascii="Arial" w:eastAsia="Arial" w:hAnsi="Arial" w:cs="Arial"/>
        </w:rPr>
        <w:t xml:space="preserve">de additional explanations </w:t>
      </w:r>
      <w:r w:rsidR="003E2A9A">
        <w:rPr>
          <w:rFonts w:ascii="Arial" w:eastAsia="Arial" w:hAnsi="Arial" w:cs="Arial"/>
        </w:rPr>
        <w:t xml:space="preserve">in ways that have not been considered in previous studies. </w:t>
      </w:r>
      <w:r w:rsidR="00941DE4">
        <w:rPr>
          <w:rFonts w:ascii="Arial" w:eastAsia="Arial" w:hAnsi="Arial" w:cs="Arial"/>
        </w:rPr>
        <w:t xml:space="preserve">It is apparent that </w:t>
      </w:r>
      <w:r w:rsidR="00CE6CDE">
        <w:rPr>
          <w:rFonts w:ascii="Arial" w:eastAsia="Arial" w:hAnsi="Arial" w:cs="Arial"/>
        </w:rPr>
        <w:t xml:space="preserve">neighbourhood integration </w:t>
      </w:r>
      <w:r w:rsidR="00A67329">
        <w:rPr>
          <w:rFonts w:ascii="Arial" w:eastAsia="Arial" w:hAnsi="Arial" w:cs="Arial"/>
        </w:rPr>
        <w:t xml:space="preserve">contribute well to HO </w:t>
      </w:r>
      <w:r w:rsidR="001F52C3">
        <w:rPr>
          <w:rFonts w:ascii="Arial" w:eastAsia="Arial" w:hAnsi="Arial" w:cs="Arial"/>
        </w:rPr>
        <w:t xml:space="preserve">delays, especially for private renters. </w:t>
      </w:r>
      <w:r w:rsidR="003D6967">
        <w:rPr>
          <w:rFonts w:ascii="Arial" w:eastAsia="Arial" w:hAnsi="Arial" w:cs="Arial"/>
        </w:rPr>
        <w:t>Redistribution of tenure through this effect</w:t>
      </w:r>
      <w:r w:rsidR="008C2385">
        <w:rPr>
          <w:rFonts w:ascii="Arial" w:eastAsia="Arial" w:hAnsi="Arial" w:cs="Arial"/>
        </w:rPr>
        <w:t xml:space="preserve"> could be seen as a </w:t>
      </w:r>
      <w:r w:rsidR="00EB0BBB">
        <w:rPr>
          <w:rFonts w:ascii="Arial" w:eastAsia="Arial" w:hAnsi="Arial" w:cs="Arial"/>
        </w:rPr>
        <w:t>growing</w:t>
      </w:r>
      <w:r w:rsidR="008C2385">
        <w:rPr>
          <w:rFonts w:ascii="Arial" w:eastAsia="Arial" w:hAnsi="Arial" w:cs="Arial"/>
        </w:rPr>
        <w:t xml:space="preserve"> </w:t>
      </w:r>
      <w:r w:rsidR="00053A14">
        <w:rPr>
          <w:rFonts w:ascii="Arial" w:eastAsia="Arial" w:hAnsi="Arial" w:cs="Arial"/>
        </w:rPr>
        <w:t>trend</w:t>
      </w:r>
      <w:r w:rsidR="003D6967">
        <w:rPr>
          <w:rFonts w:ascii="Arial" w:eastAsia="Arial" w:hAnsi="Arial" w:cs="Arial"/>
        </w:rPr>
        <w:t xml:space="preserve">, as HO may now be </w:t>
      </w:r>
      <w:r w:rsidR="00F241AA">
        <w:rPr>
          <w:rFonts w:ascii="Arial" w:eastAsia="Arial" w:hAnsi="Arial" w:cs="Arial"/>
        </w:rPr>
        <w:t xml:space="preserve">either </w:t>
      </w:r>
      <w:r w:rsidR="00983E44">
        <w:rPr>
          <w:rFonts w:ascii="Arial" w:eastAsia="Arial" w:hAnsi="Arial" w:cs="Arial"/>
        </w:rPr>
        <w:t>questioned</w:t>
      </w:r>
      <w:r w:rsidR="009A7E22">
        <w:rPr>
          <w:rFonts w:ascii="Arial" w:eastAsia="Arial" w:hAnsi="Arial" w:cs="Arial"/>
        </w:rPr>
        <w:t xml:space="preserve"> as a</w:t>
      </w:r>
      <w:r w:rsidR="00B1269A">
        <w:rPr>
          <w:rFonts w:ascii="Arial" w:eastAsia="Arial" w:hAnsi="Arial" w:cs="Arial"/>
        </w:rPr>
        <w:t xml:space="preserve"> form of </w:t>
      </w:r>
      <w:r w:rsidR="00B1269A">
        <w:rPr>
          <w:rFonts w:ascii="Arial" w:hAnsi="Arial" w:cs="Arial"/>
        </w:rPr>
        <w:t xml:space="preserve">security </w:t>
      </w:r>
      <w:r w:rsidR="00F241AA">
        <w:rPr>
          <w:rFonts w:ascii="Arial" w:hAnsi="Arial" w:cs="Arial"/>
        </w:rPr>
        <w:t>and</w:t>
      </w:r>
      <w:r w:rsidR="00B1269A">
        <w:rPr>
          <w:rFonts w:ascii="Arial" w:hAnsi="Arial" w:cs="Arial"/>
        </w:rPr>
        <w:t xml:space="preserve"> a satisfying</w:t>
      </w:r>
      <w:r w:rsidR="00B1269A" w:rsidRPr="007F121A">
        <w:rPr>
          <w:rFonts w:ascii="Arial" w:hAnsi="Arial" w:cs="Arial"/>
        </w:rPr>
        <w:t xml:space="preserve"> life</w:t>
      </w:r>
      <w:r w:rsidR="009A7E22">
        <w:rPr>
          <w:rFonts w:ascii="Arial" w:eastAsia="Arial" w:hAnsi="Arial" w:cs="Arial"/>
        </w:rPr>
        <w:t xml:space="preserve"> </w:t>
      </w:r>
      <w:r w:rsidR="00B1269A">
        <w:rPr>
          <w:rFonts w:ascii="Arial" w:eastAsia="Arial" w:hAnsi="Arial" w:cs="Arial"/>
        </w:rPr>
        <w:t xml:space="preserve">(Baum, 2017); or </w:t>
      </w:r>
      <w:r w:rsidR="003D6967">
        <w:rPr>
          <w:rFonts w:ascii="Arial" w:eastAsia="Arial" w:hAnsi="Arial" w:cs="Arial"/>
        </w:rPr>
        <w:t xml:space="preserve">seen differently </w:t>
      </w:r>
      <w:r w:rsidR="00442838">
        <w:rPr>
          <w:rFonts w:ascii="Arial" w:eastAsia="Arial" w:hAnsi="Arial" w:cs="Arial"/>
        </w:rPr>
        <w:t>by</w:t>
      </w:r>
      <w:r w:rsidR="003D6967">
        <w:rPr>
          <w:rFonts w:ascii="Arial" w:eastAsia="Arial" w:hAnsi="Arial" w:cs="Arial"/>
        </w:rPr>
        <w:t xml:space="preserve"> younger generation who</w:t>
      </w:r>
      <w:r w:rsidR="004F5923">
        <w:rPr>
          <w:rFonts w:ascii="Arial" w:eastAsia="Arial" w:hAnsi="Arial" w:cs="Arial"/>
        </w:rPr>
        <w:t xml:space="preserve"> are beginning to prefer</w:t>
      </w:r>
      <w:r w:rsidR="0094438E">
        <w:rPr>
          <w:rFonts w:ascii="Arial" w:eastAsia="Arial" w:hAnsi="Arial" w:cs="Arial"/>
        </w:rPr>
        <w:t xml:space="preserve"> flexibility</w:t>
      </w:r>
      <w:r w:rsidR="004F5923">
        <w:rPr>
          <w:rFonts w:ascii="Arial" w:eastAsia="Arial" w:hAnsi="Arial" w:cs="Arial"/>
        </w:rPr>
        <w:t xml:space="preserve"> </w:t>
      </w:r>
      <w:r w:rsidR="00192801">
        <w:rPr>
          <w:rFonts w:ascii="Arial" w:eastAsia="Arial" w:hAnsi="Arial" w:cs="Arial"/>
        </w:rPr>
        <w:t>(Pattison, 2010)</w:t>
      </w:r>
      <w:r w:rsidR="00B1269A">
        <w:rPr>
          <w:rFonts w:ascii="Arial" w:eastAsia="Arial" w:hAnsi="Arial" w:cs="Arial"/>
        </w:rPr>
        <w:t>.</w:t>
      </w:r>
      <w:r w:rsidR="0094438E">
        <w:rPr>
          <w:rFonts w:ascii="Arial" w:eastAsia="Arial" w:hAnsi="Arial" w:cs="Arial"/>
        </w:rPr>
        <w:t xml:space="preserve"> Hence, </w:t>
      </w:r>
      <w:r w:rsidR="00F25F31">
        <w:rPr>
          <w:rFonts w:ascii="Arial" w:eastAsia="Arial" w:hAnsi="Arial" w:cs="Arial"/>
        </w:rPr>
        <w:t xml:space="preserve">young adults </w:t>
      </w:r>
      <w:r w:rsidR="00DD0AB4">
        <w:rPr>
          <w:rFonts w:ascii="Arial" w:eastAsia="Arial" w:hAnsi="Arial" w:cs="Arial"/>
        </w:rPr>
        <w:t>who are se</w:t>
      </w:r>
      <w:r w:rsidR="00C8373C">
        <w:rPr>
          <w:rFonts w:ascii="Arial" w:eastAsia="Arial" w:hAnsi="Arial" w:cs="Arial"/>
        </w:rPr>
        <w:t xml:space="preserve">ttled in their neighbourhoods </w:t>
      </w:r>
      <w:r w:rsidR="00F25F31">
        <w:rPr>
          <w:rFonts w:ascii="Arial" w:eastAsia="Arial" w:hAnsi="Arial" w:cs="Arial"/>
        </w:rPr>
        <w:t xml:space="preserve">may now see living in the private rented sector for much longer as the new norm, rather than </w:t>
      </w:r>
      <w:r w:rsidR="006965F0">
        <w:rPr>
          <w:rFonts w:ascii="Arial" w:eastAsia="Arial" w:hAnsi="Arial" w:cs="Arial"/>
        </w:rPr>
        <w:t>as temporary</w:t>
      </w:r>
      <w:r w:rsidR="00F25F31">
        <w:rPr>
          <w:rFonts w:ascii="Arial" w:eastAsia="Arial" w:hAnsi="Arial" w:cs="Arial"/>
        </w:rPr>
        <w:t xml:space="preserve"> tenure</w:t>
      </w:r>
      <w:r w:rsidR="00DC1028">
        <w:rPr>
          <w:rFonts w:ascii="Arial" w:eastAsia="Arial" w:hAnsi="Arial" w:cs="Arial"/>
        </w:rPr>
        <w:t>.</w:t>
      </w:r>
      <w:r w:rsidR="00296848">
        <w:rPr>
          <w:rFonts w:ascii="Arial" w:eastAsia="Arial" w:hAnsi="Arial" w:cs="Arial"/>
        </w:rPr>
        <w:t xml:space="preserve"> </w:t>
      </w:r>
      <w:r w:rsidR="002627D2">
        <w:rPr>
          <w:rFonts w:ascii="Arial" w:eastAsia="Arial" w:hAnsi="Arial" w:cs="Arial"/>
        </w:rPr>
        <w:t>On the positive side, it</w:t>
      </w:r>
      <w:r w:rsidR="00296848">
        <w:rPr>
          <w:rFonts w:ascii="Arial" w:eastAsia="Arial" w:hAnsi="Arial" w:cs="Arial"/>
        </w:rPr>
        <w:t xml:space="preserve"> further suggests a </w:t>
      </w:r>
      <w:r w:rsidR="002627D2">
        <w:rPr>
          <w:rFonts w:ascii="Arial" w:eastAsia="Arial" w:hAnsi="Arial" w:cs="Arial"/>
        </w:rPr>
        <w:t xml:space="preserve">lesser feeling of </w:t>
      </w:r>
      <w:r w:rsidR="00FD129A">
        <w:rPr>
          <w:rFonts w:ascii="Arial" w:eastAsia="Arial" w:hAnsi="Arial" w:cs="Arial"/>
        </w:rPr>
        <w:t>being disadvantaged if they find themselves in mixed neighbourhoods.</w:t>
      </w:r>
      <w:r w:rsidR="00DC1028">
        <w:rPr>
          <w:rFonts w:ascii="Arial" w:eastAsia="Arial" w:hAnsi="Arial" w:cs="Arial"/>
        </w:rPr>
        <w:t xml:space="preserve"> </w:t>
      </w:r>
      <w:r w:rsidR="00C8373C">
        <w:rPr>
          <w:rFonts w:ascii="Arial" w:eastAsia="Arial" w:hAnsi="Arial" w:cs="Arial"/>
        </w:rPr>
        <w:t xml:space="preserve">It is therefore </w:t>
      </w:r>
      <w:r w:rsidR="002937FD">
        <w:rPr>
          <w:rFonts w:ascii="Arial" w:eastAsia="Arial" w:hAnsi="Arial" w:cs="Arial"/>
        </w:rPr>
        <w:t xml:space="preserve">a form of awareness to </w:t>
      </w:r>
      <w:r w:rsidR="00DA1C25">
        <w:rPr>
          <w:rFonts w:ascii="Arial" w:eastAsia="Arial" w:hAnsi="Arial" w:cs="Arial"/>
        </w:rPr>
        <w:t>the stakeholders in the built environment</w:t>
      </w:r>
      <w:r w:rsidR="00940249">
        <w:rPr>
          <w:rFonts w:ascii="Arial" w:eastAsia="Arial" w:hAnsi="Arial" w:cs="Arial"/>
        </w:rPr>
        <w:t xml:space="preserve"> on the importance of continuous improvement on tenure m</w:t>
      </w:r>
      <w:r w:rsidR="00AD3C43">
        <w:rPr>
          <w:rFonts w:ascii="Arial" w:eastAsia="Arial" w:hAnsi="Arial" w:cs="Arial"/>
        </w:rPr>
        <w:t xml:space="preserve">ix for </w:t>
      </w:r>
      <w:r w:rsidR="00DA1C25" w:rsidRPr="007F121A">
        <w:rPr>
          <w:rFonts w:ascii="Arial" w:eastAsia="Arial" w:hAnsi="Arial" w:cs="Arial"/>
        </w:rPr>
        <w:t>better social cohesion and sustainable communities</w:t>
      </w:r>
      <w:r w:rsidR="00AD3C43">
        <w:rPr>
          <w:rFonts w:ascii="Arial" w:eastAsia="Arial" w:hAnsi="Arial" w:cs="Arial"/>
        </w:rPr>
        <w:t xml:space="preserve">. </w:t>
      </w:r>
    </w:p>
    <w:p w14:paraId="64CE1226" w14:textId="020C759C" w:rsidR="00AD3C43" w:rsidRDefault="009216A3" w:rsidP="006B1136">
      <w:pPr>
        <w:spacing w:after="240" w:line="360" w:lineRule="auto"/>
        <w:jc w:val="both"/>
        <w:rPr>
          <w:rFonts w:ascii="Arial" w:eastAsia="Arial" w:hAnsi="Arial" w:cs="Arial"/>
        </w:rPr>
      </w:pPr>
      <w:r>
        <w:rPr>
          <w:rFonts w:ascii="Arial" w:eastAsia="Arial" w:hAnsi="Arial" w:cs="Arial"/>
        </w:rPr>
        <w:t xml:space="preserve">We could also observe elements of trust and </w:t>
      </w:r>
      <w:r w:rsidR="00F059FB">
        <w:rPr>
          <w:rFonts w:ascii="Arial" w:eastAsia="Arial" w:hAnsi="Arial" w:cs="Arial"/>
        </w:rPr>
        <w:t>exposure to useful resources possibly at play among young private renters who have (strong or weak) ties with families or local organization. This tends to put them at an advantage over others in the same socio-economic group and housing sector.</w:t>
      </w:r>
      <w:r w:rsidR="00FA17C9">
        <w:rPr>
          <w:rFonts w:ascii="Arial" w:eastAsia="Arial" w:hAnsi="Arial" w:cs="Arial"/>
        </w:rPr>
        <w:t xml:space="preserve"> </w:t>
      </w:r>
      <w:r w:rsidR="00CF7AEF">
        <w:rPr>
          <w:rFonts w:ascii="Arial" w:eastAsia="Arial" w:hAnsi="Arial" w:cs="Arial"/>
        </w:rPr>
        <w:t>W</w:t>
      </w:r>
      <w:r w:rsidR="00034534">
        <w:rPr>
          <w:rFonts w:ascii="Arial" w:eastAsia="Arial" w:hAnsi="Arial" w:cs="Arial"/>
        </w:rPr>
        <w:t xml:space="preserve">hether the same is peculiar to </w:t>
      </w:r>
      <w:r w:rsidR="00154DA4">
        <w:rPr>
          <w:rFonts w:ascii="Arial" w:eastAsia="Arial" w:hAnsi="Arial" w:cs="Arial"/>
        </w:rPr>
        <w:t xml:space="preserve">PH stayers could not be ascertained, as the </w:t>
      </w:r>
      <w:r w:rsidR="002034F7">
        <w:rPr>
          <w:rFonts w:ascii="Arial" w:eastAsia="Arial" w:hAnsi="Arial" w:cs="Arial"/>
        </w:rPr>
        <w:t xml:space="preserve">proxy representing </w:t>
      </w:r>
      <w:r w:rsidR="002627D7">
        <w:rPr>
          <w:rFonts w:ascii="Arial" w:eastAsia="Arial" w:hAnsi="Arial" w:cs="Arial"/>
        </w:rPr>
        <w:t xml:space="preserve">parental </w:t>
      </w:r>
      <w:r w:rsidR="00D62D28">
        <w:rPr>
          <w:rFonts w:ascii="Arial" w:eastAsia="Arial" w:hAnsi="Arial" w:cs="Arial"/>
        </w:rPr>
        <w:t>intimacy</w:t>
      </w:r>
      <w:r w:rsidR="00154DA4">
        <w:rPr>
          <w:rFonts w:ascii="Arial" w:eastAsia="Arial" w:hAnsi="Arial" w:cs="Arial"/>
        </w:rPr>
        <w:t xml:space="preserve"> was omitted from the tenure path</w:t>
      </w:r>
      <w:r w:rsidR="00CF20E1">
        <w:rPr>
          <w:rFonts w:ascii="Arial" w:eastAsia="Arial" w:hAnsi="Arial" w:cs="Arial"/>
        </w:rPr>
        <w:t xml:space="preserve">way to avoid bias. </w:t>
      </w:r>
      <w:r w:rsidR="00753161">
        <w:rPr>
          <w:rFonts w:ascii="Arial" w:eastAsia="Arial" w:hAnsi="Arial" w:cs="Arial"/>
        </w:rPr>
        <w:t>Nevertheless</w:t>
      </w:r>
      <w:r w:rsidR="00227C34">
        <w:rPr>
          <w:rFonts w:ascii="Arial" w:eastAsia="Arial" w:hAnsi="Arial" w:cs="Arial"/>
        </w:rPr>
        <w:t xml:space="preserve">, </w:t>
      </w:r>
      <w:r w:rsidR="00753161">
        <w:rPr>
          <w:rFonts w:ascii="Arial" w:eastAsia="Arial" w:hAnsi="Arial" w:cs="Arial"/>
        </w:rPr>
        <w:t>it</w:t>
      </w:r>
      <w:r w:rsidR="00227C34">
        <w:rPr>
          <w:rFonts w:ascii="Arial" w:eastAsia="Arial" w:hAnsi="Arial" w:cs="Arial"/>
        </w:rPr>
        <w:t xml:space="preserve"> is interesting that the social capital drivers are not </w:t>
      </w:r>
      <w:r w:rsidR="009F453D">
        <w:rPr>
          <w:rFonts w:ascii="Arial" w:eastAsia="Arial" w:hAnsi="Arial" w:cs="Arial"/>
        </w:rPr>
        <w:t xml:space="preserve">very important for PH stayers, as direct HO switch appears to be a much bigger move than </w:t>
      </w:r>
      <w:r w:rsidR="00753161">
        <w:rPr>
          <w:rFonts w:ascii="Arial" w:eastAsia="Arial" w:hAnsi="Arial" w:cs="Arial"/>
        </w:rPr>
        <w:t>from PR</w:t>
      </w:r>
      <w:r w:rsidR="00753161">
        <w:rPr>
          <w:rStyle w:val="FootnoteReference"/>
          <w:rFonts w:ascii="Arial" w:eastAsia="Arial" w:hAnsi="Arial" w:cs="Arial"/>
        </w:rPr>
        <w:footnoteReference w:id="14"/>
      </w:r>
      <w:r w:rsidR="00753161">
        <w:rPr>
          <w:rFonts w:ascii="Arial" w:eastAsia="Arial" w:hAnsi="Arial" w:cs="Arial"/>
        </w:rPr>
        <w:t xml:space="preserve">. </w:t>
      </w:r>
      <w:r w:rsidR="00CA52AE">
        <w:rPr>
          <w:rFonts w:ascii="Arial" w:eastAsia="Arial" w:hAnsi="Arial" w:cs="Arial"/>
        </w:rPr>
        <w:t>PH stayers were</w:t>
      </w:r>
      <w:r w:rsidR="00CC4004">
        <w:rPr>
          <w:rFonts w:ascii="Arial" w:eastAsia="Arial" w:hAnsi="Arial" w:cs="Arial"/>
        </w:rPr>
        <w:t xml:space="preserve"> however </w:t>
      </w:r>
      <w:r w:rsidR="00CA52AE">
        <w:rPr>
          <w:rFonts w:ascii="Arial" w:eastAsia="Arial" w:hAnsi="Arial" w:cs="Arial"/>
        </w:rPr>
        <w:t xml:space="preserve">seen to </w:t>
      </w:r>
      <w:r w:rsidR="00CC3D4A">
        <w:rPr>
          <w:rFonts w:ascii="Arial" w:eastAsia="Arial" w:hAnsi="Arial" w:cs="Arial"/>
        </w:rPr>
        <w:t>hold</w:t>
      </w:r>
      <w:r w:rsidR="002218D4">
        <w:rPr>
          <w:rFonts w:ascii="Arial" w:eastAsia="Arial" w:hAnsi="Arial" w:cs="Arial"/>
        </w:rPr>
        <w:t xml:space="preserve"> on</w:t>
      </w:r>
      <w:r w:rsidR="003E73E6">
        <w:rPr>
          <w:rFonts w:ascii="Arial" w:eastAsia="Arial" w:hAnsi="Arial" w:cs="Arial"/>
        </w:rPr>
        <w:t xml:space="preserve"> </w:t>
      </w:r>
      <w:r w:rsidR="001765ED">
        <w:rPr>
          <w:rFonts w:ascii="Arial" w:eastAsia="Arial" w:hAnsi="Arial" w:cs="Arial"/>
        </w:rPr>
        <w:t>until</w:t>
      </w:r>
      <w:r w:rsidR="003E73E6">
        <w:rPr>
          <w:rFonts w:ascii="Arial" w:eastAsia="Arial" w:hAnsi="Arial" w:cs="Arial"/>
        </w:rPr>
        <w:t xml:space="preserve"> they </w:t>
      </w:r>
      <w:r w:rsidR="002218D4">
        <w:rPr>
          <w:rFonts w:ascii="Arial" w:eastAsia="Arial" w:hAnsi="Arial" w:cs="Arial"/>
        </w:rPr>
        <w:t xml:space="preserve">acquire a new job before making </w:t>
      </w:r>
      <w:r w:rsidR="005641D7">
        <w:rPr>
          <w:rFonts w:ascii="Arial" w:eastAsia="Arial" w:hAnsi="Arial" w:cs="Arial"/>
        </w:rPr>
        <w:t>a big move to HO</w:t>
      </w:r>
      <w:r w:rsidR="00CC4004">
        <w:rPr>
          <w:rFonts w:ascii="Arial" w:eastAsia="Arial" w:hAnsi="Arial" w:cs="Arial"/>
        </w:rPr>
        <w:t xml:space="preserve">, suggesting </w:t>
      </w:r>
      <w:r w:rsidR="008100BB">
        <w:rPr>
          <w:rFonts w:ascii="Arial" w:eastAsia="Arial" w:hAnsi="Arial" w:cs="Arial"/>
        </w:rPr>
        <w:t xml:space="preserve">that </w:t>
      </w:r>
      <w:r w:rsidR="00CC4004">
        <w:rPr>
          <w:rFonts w:ascii="Arial" w:eastAsia="Arial" w:hAnsi="Arial" w:cs="Arial"/>
        </w:rPr>
        <w:t xml:space="preserve">a boost in their </w:t>
      </w:r>
      <w:r w:rsidR="008100BB">
        <w:rPr>
          <w:rFonts w:ascii="Arial" w:eastAsia="Arial" w:hAnsi="Arial" w:cs="Arial"/>
        </w:rPr>
        <w:t>perception of job security</w:t>
      </w:r>
      <w:r w:rsidR="00596EF7">
        <w:rPr>
          <w:rFonts w:ascii="Arial" w:eastAsia="Arial" w:hAnsi="Arial" w:cs="Arial"/>
        </w:rPr>
        <w:t>,</w:t>
      </w:r>
      <w:r w:rsidR="008100BB">
        <w:rPr>
          <w:rFonts w:ascii="Arial" w:eastAsia="Arial" w:hAnsi="Arial" w:cs="Arial"/>
        </w:rPr>
        <w:t xml:space="preserve"> </w:t>
      </w:r>
      <w:r w:rsidR="00596EF7">
        <w:rPr>
          <w:rFonts w:ascii="Arial" w:eastAsia="Arial" w:hAnsi="Arial" w:cs="Arial"/>
        </w:rPr>
        <w:t xml:space="preserve">through job acquisition, </w:t>
      </w:r>
      <w:r w:rsidR="009222D1">
        <w:rPr>
          <w:rFonts w:ascii="Arial" w:eastAsia="Arial" w:hAnsi="Arial" w:cs="Arial"/>
        </w:rPr>
        <w:t>is an observable psychological</w:t>
      </w:r>
      <w:r w:rsidR="00144EF2">
        <w:rPr>
          <w:rFonts w:ascii="Arial" w:eastAsia="Arial" w:hAnsi="Arial" w:cs="Arial"/>
        </w:rPr>
        <w:t xml:space="preserve"> </w:t>
      </w:r>
      <w:r w:rsidR="008100BB">
        <w:rPr>
          <w:rFonts w:ascii="Arial" w:eastAsia="Arial" w:hAnsi="Arial" w:cs="Arial"/>
        </w:rPr>
        <w:t>factor</w:t>
      </w:r>
      <w:r w:rsidR="005641D7">
        <w:rPr>
          <w:rFonts w:ascii="Arial" w:eastAsia="Arial" w:hAnsi="Arial" w:cs="Arial"/>
        </w:rPr>
        <w:t>.</w:t>
      </w:r>
      <w:r w:rsidR="008100BB">
        <w:rPr>
          <w:rFonts w:ascii="Arial" w:eastAsia="Arial" w:hAnsi="Arial" w:cs="Arial"/>
        </w:rPr>
        <w:t xml:space="preserve"> </w:t>
      </w:r>
      <w:r w:rsidR="009222D1">
        <w:rPr>
          <w:rFonts w:ascii="Arial" w:eastAsia="Arial" w:hAnsi="Arial" w:cs="Arial"/>
        </w:rPr>
        <w:t xml:space="preserve">We can also conclude that </w:t>
      </w:r>
      <w:r w:rsidR="009222D1" w:rsidRPr="009222D1">
        <w:rPr>
          <w:rFonts w:ascii="Arial" w:eastAsia="Arial" w:hAnsi="Arial" w:cs="Arial"/>
        </w:rPr>
        <w:t>t</w:t>
      </w:r>
      <w:r w:rsidR="00144EF2" w:rsidRPr="009222D1">
        <w:rPr>
          <w:rFonts w:ascii="Arial" w:eastAsia="Arial" w:hAnsi="Arial" w:cs="Arial"/>
        </w:rPr>
        <w:t xml:space="preserve">he subjective </w:t>
      </w:r>
      <w:r w:rsidR="0065505A" w:rsidRPr="009222D1">
        <w:rPr>
          <w:rFonts w:ascii="Arial" w:eastAsia="Arial" w:hAnsi="Arial" w:cs="Arial"/>
        </w:rPr>
        <w:t xml:space="preserve">nature </w:t>
      </w:r>
      <w:r w:rsidR="009222D1">
        <w:rPr>
          <w:rFonts w:ascii="Arial" w:eastAsia="Arial" w:hAnsi="Arial" w:cs="Arial"/>
        </w:rPr>
        <w:t xml:space="preserve">of </w:t>
      </w:r>
      <w:r w:rsidR="00591CE7" w:rsidRPr="009222D1">
        <w:rPr>
          <w:rFonts w:ascii="Arial" w:eastAsia="Arial" w:hAnsi="Arial" w:cs="Arial"/>
        </w:rPr>
        <w:t>perceptions of job security</w:t>
      </w:r>
      <w:r w:rsidR="007E21D3" w:rsidRPr="009222D1">
        <w:rPr>
          <w:rFonts w:ascii="Arial" w:eastAsia="Arial" w:hAnsi="Arial" w:cs="Arial"/>
        </w:rPr>
        <w:t xml:space="preserve"> </w:t>
      </w:r>
      <w:r w:rsidR="00D30A0E">
        <w:rPr>
          <w:rFonts w:ascii="Arial" w:eastAsia="Arial" w:hAnsi="Arial" w:cs="Arial"/>
        </w:rPr>
        <w:t xml:space="preserve">(i.e. sustainable job or securing a new position) </w:t>
      </w:r>
      <w:r w:rsidR="007E21D3" w:rsidRPr="009222D1">
        <w:rPr>
          <w:rFonts w:ascii="Arial" w:eastAsia="Arial" w:hAnsi="Arial" w:cs="Arial"/>
        </w:rPr>
        <w:t>looks to apply differently to young adults based on their tenure of origin</w:t>
      </w:r>
      <w:r w:rsidR="00D30A0E">
        <w:rPr>
          <w:rFonts w:ascii="Arial" w:eastAsia="Arial" w:hAnsi="Arial" w:cs="Arial"/>
        </w:rPr>
        <w:t xml:space="preserve">. </w:t>
      </w:r>
    </w:p>
    <w:p w14:paraId="330893BA" w14:textId="01044D86" w:rsidR="00D30A0E" w:rsidRPr="007F121A" w:rsidRDefault="00D30A0E" w:rsidP="006B1136">
      <w:pPr>
        <w:spacing w:after="240" w:line="360" w:lineRule="auto"/>
        <w:jc w:val="both"/>
        <w:rPr>
          <w:rFonts w:ascii="Arial" w:eastAsia="Arial" w:hAnsi="Arial" w:cs="Arial"/>
        </w:rPr>
      </w:pPr>
      <w:r>
        <w:rPr>
          <w:rFonts w:ascii="Arial" w:eastAsia="Arial" w:hAnsi="Arial" w:cs="Arial"/>
        </w:rPr>
        <w:lastRenderedPageBreak/>
        <w:t xml:space="preserve">Although we find minimal effects from the combinations of social capital and perceived job security drivers. Nevertheless, the specific measures of interest provide us with additional knowledge on the drivers of home ownership transitions for British young adults. On the one hand, the findings shed more light on the present economic situation </w:t>
      </w:r>
      <w:r w:rsidR="00F6352B">
        <w:rPr>
          <w:rFonts w:ascii="Arial" w:eastAsia="Arial" w:hAnsi="Arial" w:cs="Arial"/>
        </w:rPr>
        <w:t>leading to</w:t>
      </w:r>
      <w:r>
        <w:rPr>
          <w:rFonts w:ascii="Arial" w:eastAsia="Arial" w:hAnsi="Arial" w:cs="Arial"/>
        </w:rPr>
        <w:t xml:space="preserve"> </w:t>
      </w:r>
      <w:r w:rsidR="00F6352B">
        <w:rPr>
          <w:rFonts w:ascii="Arial" w:eastAsia="Arial" w:hAnsi="Arial" w:cs="Arial"/>
        </w:rPr>
        <w:t>perception of their</w:t>
      </w:r>
      <w:r>
        <w:rPr>
          <w:rFonts w:ascii="Arial" w:eastAsia="Arial" w:hAnsi="Arial" w:cs="Arial"/>
        </w:rPr>
        <w:t xml:space="preserve"> job security for young adults, which tends to influence their social life and </w:t>
      </w:r>
      <w:r w:rsidR="00A71F37">
        <w:rPr>
          <w:rFonts w:ascii="Arial" w:eastAsia="Arial" w:hAnsi="Arial" w:cs="Arial"/>
        </w:rPr>
        <w:t>housing</w:t>
      </w:r>
      <w:r>
        <w:rPr>
          <w:rFonts w:ascii="Arial" w:eastAsia="Arial" w:hAnsi="Arial" w:cs="Arial"/>
        </w:rPr>
        <w:t xml:space="preserve"> decisions. On the other hand, </w:t>
      </w:r>
      <w:r w:rsidR="00F6352B" w:rsidRPr="007F121A">
        <w:rPr>
          <w:rFonts w:ascii="Arial" w:eastAsia="Arial" w:hAnsi="Arial" w:cs="Arial"/>
        </w:rPr>
        <w:t xml:space="preserve">property developers, local authorities, and central governments </w:t>
      </w:r>
      <w:r w:rsidR="00F6352B">
        <w:rPr>
          <w:rFonts w:ascii="Arial" w:eastAsia="Arial" w:hAnsi="Arial" w:cs="Arial"/>
        </w:rPr>
        <w:t>will have more</w:t>
      </w:r>
      <w:r w:rsidR="00F6352B" w:rsidRPr="007F121A">
        <w:rPr>
          <w:rFonts w:ascii="Arial" w:eastAsia="Arial" w:hAnsi="Arial" w:cs="Arial"/>
        </w:rPr>
        <w:t xml:space="preserve"> knowledge and information to guide urban renewal towards achieving better social cohesion and sustainable communities</w:t>
      </w:r>
      <w:r w:rsidR="00F6352B">
        <w:rPr>
          <w:rFonts w:ascii="Arial" w:eastAsia="Arial" w:hAnsi="Arial" w:cs="Arial"/>
        </w:rPr>
        <w:t>.</w:t>
      </w:r>
    </w:p>
    <w:p w14:paraId="00000017" w14:textId="77777777" w:rsidR="00FE0B4C" w:rsidRPr="007F121A" w:rsidRDefault="00791830" w:rsidP="00D77F14">
      <w:pPr>
        <w:pStyle w:val="Heading1"/>
      </w:pPr>
      <w:r w:rsidRPr="007F121A">
        <w:t>References</w:t>
      </w:r>
    </w:p>
    <w:p w14:paraId="2DE3D437" w14:textId="64E49D5F" w:rsidR="001714FB" w:rsidRDefault="001714FB" w:rsidP="001714FB">
      <w:pPr>
        <w:spacing w:before="240" w:after="240" w:line="360" w:lineRule="auto"/>
        <w:jc w:val="both"/>
        <w:rPr>
          <w:rFonts w:ascii="Arial" w:eastAsia="Arial" w:hAnsi="Arial" w:cs="Arial"/>
          <w:color w:val="222222"/>
          <w:highlight w:val="white"/>
        </w:rPr>
      </w:pPr>
      <w:r w:rsidRPr="001714FB">
        <w:rPr>
          <w:rFonts w:ascii="Arial" w:eastAsia="Arial" w:hAnsi="Arial" w:cs="Arial"/>
          <w:color w:val="222222"/>
        </w:rPr>
        <w:t>Ab Majid, R., Said, R. and Daud, M.N. 2014</w:t>
      </w:r>
      <w:r w:rsidR="006F6A6D">
        <w:rPr>
          <w:rFonts w:ascii="Arial" w:eastAsia="Arial" w:hAnsi="Arial" w:cs="Arial"/>
          <w:color w:val="222222"/>
        </w:rPr>
        <w:t>.</w:t>
      </w:r>
      <w:r w:rsidRPr="001714FB">
        <w:rPr>
          <w:rFonts w:ascii="Arial" w:eastAsia="Arial" w:hAnsi="Arial" w:cs="Arial"/>
          <w:color w:val="222222"/>
        </w:rPr>
        <w:t xml:space="preserve"> “The assessment of young couples’ behaviour on</w:t>
      </w:r>
      <w:r>
        <w:rPr>
          <w:rFonts w:ascii="Arial" w:eastAsia="Arial" w:hAnsi="Arial" w:cs="Arial"/>
          <w:color w:val="222222"/>
        </w:rPr>
        <w:t xml:space="preserve"> </w:t>
      </w:r>
      <w:r w:rsidRPr="001714FB">
        <w:rPr>
          <w:rFonts w:ascii="Arial" w:eastAsia="Arial" w:hAnsi="Arial" w:cs="Arial"/>
          <w:color w:val="222222"/>
        </w:rPr>
        <w:t xml:space="preserve">expenditure towards homeownership”, </w:t>
      </w:r>
      <w:r w:rsidRPr="001714FB">
        <w:rPr>
          <w:rFonts w:ascii="Arial" w:eastAsia="Arial" w:hAnsi="Arial" w:cs="Arial"/>
          <w:i/>
          <w:color w:val="222222"/>
        </w:rPr>
        <w:t>Research Journal</w:t>
      </w:r>
      <w:r w:rsidRPr="001714FB">
        <w:rPr>
          <w:rFonts w:ascii="Arial" w:eastAsia="Arial" w:hAnsi="Arial" w:cs="Arial"/>
          <w:color w:val="222222"/>
        </w:rPr>
        <w:t>, Vol. 35.</w:t>
      </w:r>
    </w:p>
    <w:p w14:paraId="00000018" w14:textId="7CBA0940" w:rsidR="00FE0B4C" w:rsidRDefault="002E4F91" w:rsidP="002E4F91">
      <w:pPr>
        <w:spacing w:before="240" w:after="240" w:line="360" w:lineRule="auto"/>
        <w:jc w:val="both"/>
        <w:rPr>
          <w:rFonts w:ascii="Arial" w:eastAsia="Arial" w:hAnsi="Arial" w:cs="Arial"/>
          <w:color w:val="222222"/>
        </w:rPr>
      </w:pPr>
      <w:r w:rsidRPr="007F121A">
        <w:rPr>
          <w:rFonts w:ascii="Arial" w:eastAsia="Arial" w:hAnsi="Arial" w:cs="Arial"/>
          <w:color w:val="222222"/>
          <w:highlight w:val="white"/>
        </w:rPr>
        <w:t xml:space="preserve">Aguda, O. </w:t>
      </w:r>
      <w:r w:rsidR="00791830" w:rsidRPr="007F121A">
        <w:rPr>
          <w:rFonts w:ascii="Arial" w:eastAsia="Arial" w:hAnsi="Arial" w:cs="Arial"/>
          <w:color w:val="222222"/>
          <w:highlight w:val="white"/>
        </w:rPr>
        <w:t>2019</w:t>
      </w:r>
      <w:r w:rsidRPr="007F121A">
        <w:rPr>
          <w:rFonts w:ascii="Arial" w:eastAsia="Arial" w:hAnsi="Arial" w:cs="Arial"/>
          <w:color w:val="222222"/>
          <w:highlight w:val="white"/>
        </w:rPr>
        <w:t>.</w:t>
      </w:r>
      <w:r w:rsidR="00791830" w:rsidRPr="007F121A">
        <w:rPr>
          <w:rFonts w:ascii="Arial" w:eastAsia="Arial" w:hAnsi="Arial" w:cs="Arial"/>
          <w:color w:val="222222"/>
          <w:highlight w:val="white"/>
        </w:rPr>
        <w:t xml:space="preserve"> Contributions of path-dependency and social capital drivers to housing tenure transitions in Britain. </w:t>
      </w:r>
      <w:r w:rsidR="00791830" w:rsidRPr="007F121A">
        <w:rPr>
          <w:rFonts w:ascii="Arial" w:eastAsia="Arial" w:hAnsi="Arial" w:cs="Arial"/>
          <w:i/>
          <w:color w:val="222222"/>
          <w:highlight w:val="white"/>
        </w:rPr>
        <w:t>International Journal of Housing Markets and Analysis</w:t>
      </w:r>
      <w:r w:rsidR="00791830" w:rsidRPr="007F121A">
        <w:rPr>
          <w:rFonts w:ascii="Arial" w:eastAsia="Arial" w:hAnsi="Arial" w:cs="Arial"/>
          <w:color w:val="222222"/>
          <w:highlight w:val="white"/>
        </w:rPr>
        <w:t>.</w:t>
      </w:r>
    </w:p>
    <w:p w14:paraId="0801D437" w14:textId="195DC28E" w:rsidR="000A2410" w:rsidRPr="007F121A" w:rsidRDefault="000A2410" w:rsidP="002E4F91">
      <w:pPr>
        <w:spacing w:before="240" w:after="240" w:line="360" w:lineRule="auto"/>
        <w:jc w:val="both"/>
        <w:rPr>
          <w:rFonts w:ascii="Arial" w:eastAsia="Arial" w:hAnsi="Arial" w:cs="Arial"/>
          <w:color w:val="222222"/>
        </w:rPr>
      </w:pPr>
      <w:r w:rsidRPr="000A2410">
        <w:rPr>
          <w:rFonts w:ascii="Arial" w:eastAsia="Arial" w:hAnsi="Arial" w:cs="Arial"/>
          <w:color w:val="222222"/>
        </w:rPr>
        <w:t xml:space="preserve">Allison, P.D., 2009. </w:t>
      </w:r>
      <w:r w:rsidRPr="000A2410">
        <w:rPr>
          <w:rFonts w:ascii="Arial" w:eastAsia="Arial" w:hAnsi="Arial" w:cs="Arial"/>
          <w:i/>
          <w:color w:val="222222"/>
        </w:rPr>
        <w:t>Fixed effects regression models</w:t>
      </w:r>
      <w:r w:rsidRPr="000A2410">
        <w:rPr>
          <w:rFonts w:ascii="Arial" w:eastAsia="Arial" w:hAnsi="Arial" w:cs="Arial"/>
          <w:color w:val="222222"/>
        </w:rPr>
        <w:t xml:space="preserve"> (Vol. 160). SAGE publications.</w:t>
      </w:r>
    </w:p>
    <w:p w14:paraId="00000019" w14:textId="7FC22DB4" w:rsidR="00FE0B4C" w:rsidRPr="007F121A" w:rsidRDefault="002E4F91" w:rsidP="002E4F91">
      <w:pPr>
        <w:spacing w:before="240" w:after="240" w:line="360" w:lineRule="auto"/>
        <w:jc w:val="both"/>
        <w:rPr>
          <w:rFonts w:ascii="Arial" w:eastAsia="Arial" w:hAnsi="Arial" w:cs="Arial"/>
          <w:color w:val="222222"/>
        </w:rPr>
      </w:pPr>
      <w:bookmarkStart w:id="1" w:name="_heading=h.gjdgxs" w:colFirst="0" w:colLast="0"/>
      <w:bookmarkEnd w:id="1"/>
      <w:r w:rsidRPr="007F121A">
        <w:rPr>
          <w:rFonts w:ascii="Arial" w:eastAsia="Arial" w:hAnsi="Arial" w:cs="Arial"/>
          <w:color w:val="222222"/>
        </w:rPr>
        <w:t xml:space="preserve">Andrew, M. and Meen, G. </w:t>
      </w:r>
      <w:r w:rsidR="00791830" w:rsidRPr="007F121A">
        <w:rPr>
          <w:rFonts w:ascii="Arial" w:eastAsia="Arial" w:hAnsi="Arial" w:cs="Arial"/>
          <w:color w:val="222222"/>
        </w:rPr>
        <w:t>2003</w:t>
      </w:r>
      <w:r w:rsidRPr="007F121A">
        <w:rPr>
          <w:rFonts w:ascii="Arial" w:eastAsia="Arial" w:hAnsi="Arial" w:cs="Arial"/>
          <w:color w:val="222222"/>
        </w:rPr>
        <w:t>.</w:t>
      </w:r>
      <w:r w:rsidR="00791830" w:rsidRPr="007F121A">
        <w:rPr>
          <w:rFonts w:ascii="Arial" w:eastAsia="Arial" w:hAnsi="Arial" w:cs="Arial"/>
          <w:color w:val="222222"/>
        </w:rPr>
        <w:t xml:space="preserve"> “Housing transactions and the changing decisions of young households in Britain: the microeconomic evidence”, </w:t>
      </w:r>
      <w:r w:rsidR="00791830" w:rsidRPr="007F121A">
        <w:rPr>
          <w:rFonts w:ascii="Arial" w:eastAsia="Arial" w:hAnsi="Arial" w:cs="Arial"/>
          <w:i/>
          <w:color w:val="222222"/>
        </w:rPr>
        <w:t>Real Estate Economics</w:t>
      </w:r>
      <w:r w:rsidR="00791830" w:rsidRPr="007F121A">
        <w:rPr>
          <w:rFonts w:ascii="Arial" w:eastAsia="Arial" w:hAnsi="Arial" w:cs="Arial"/>
          <w:color w:val="222222"/>
        </w:rPr>
        <w:t>, Vol. 31 No. 1, pp. 117-138.</w:t>
      </w:r>
    </w:p>
    <w:p w14:paraId="6A53FD63" w14:textId="51E378F6" w:rsidR="002E4F91" w:rsidRPr="007F121A" w:rsidRDefault="002E4F91" w:rsidP="002E4F91">
      <w:pPr>
        <w:spacing w:before="240" w:after="240" w:line="360" w:lineRule="auto"/>
        <w:jc w:val="both"/>
        <w:rPr>
          <w:rFonts w:ascii="Arial" w:eastAsia="Arial" w:hAnsi="Arial" w:cs="Arial"/>
          <w:color w:val="222222"/>
        </w:rPr>
      </w:pPr>
      <w:r w:rsidRPr="007F121A">
        <w:rPr>
          <w:rFonts w:ascii="Arial" w:eastAsia="Arial" w:hAnsi="Arial" w:cs="Arial"/>
          <w:color w:val="222222"/>
        </w:rPr>
        <w:t>Andrew, M. &amp; Pannell, B. 2006. Housing tenure choices by the young. Housing Finance, 7, 1-13.</w:t>
      </w:r>
    </w:p>
    <w:p w14:paraId="5EAD1E73" w14:textId="364A22DD" w:rsidR="002E4F91" w:rsidRDefault="002E4F91" w:rsidP="002E4F91">
      <w:pPr>
        <w:spacing w:before="240" w:after="240" w:line="360" w:lineRule="auto"/>
        <w:jc w:val="both"/>
        <w:rPr>
          <w:rFonts w:ascii="Arial" w:eastAsia="Arial" w:hAnsi="Arial" w:cs="Arial"/>
          <w:color w:val="222222"/>
        </w:rPr>
      </w:pPr>
      <w:r w:rsidRPr="007F121A">
        <w:rPr>
          <w:rFonts w:ascii="Arial" w:eastAsia="Arial" w:hAnsi="Arial" w:cs="Arial"/>
          <w:color w:val="222222"/>
        </w:rPr>
        <w:t>Baddeley, M. 2011. Social Influence and Household Decision-Making: A Behavioural Analysis of Housing Demand.</w:t>
      </w:r>
    </w:p>
    <w:p w14:paraId="55285499" w14:textId="28AC91E7" w:rsidR="007E5ECF" w:rsidRPr="007F121A" w:rsidRDefault="007E5ECF" w:rsidP="002E4F91">
      <w:pPr>
        <w:spacing w:before="240" w:after="240" w:line="360" w:lineRule="auto"/>
        <w:jc w:val="both"/>
        <w:rPr>
          <w:rFonts w:ascii="Arial" w:eastAsia="Arial" w:hAnsi="Arial" w:cs="Arial"/>
          <w:color w:val="222222"/>
        </w:rPr>
      </w:pPr>
      <w:r w:rsidRPr="007E5ECF">
        <w:rPr>
          <w:rFonts w:ascii="Arial" w:eastAsia="Arial" w:hAnsi="Arial" w:cs="Arial"/>
          <w:color w:val="222222"/>
        </w:rPr>
        <w:t>Baum, A., 2017. PropTech 3.0: the future of real estate.</w:t>
      </w:r>
    </w:p>
    <w:p w14:paraId="0000001A" w14:textId="3F9E07BD" w:rsidR="00FE0B4C" w:rsidRPr="007F121A" w:rsidRDefault="00791830" w:rsidP="002E4F91">
      <w:pPr>
        <w:spacing w:before="240" w:after="240" w:line="360" w:lineRule="auto"/>
        <w:jc w:val="both"/>
        <w:rPr>
          <w:rFonts w:ascii="Arial" w:eastAsia="Arial" w:hAnsi="Arial" w:cs="Arial"/>
          <w:color w:val="222222"/>
        </w:rPr>
      </w:pPr>
      <w:r w:rsidRPr="007F121A">
        <w:rPr>
          <w:rFonts w:ascii="Arial" w:eastAsia="Arial" w:hAnsi="Arial" w:cs="Arial"/>
          <w:color w:val="222222"/>
        </w:rPr>
        <w:t xml:space="preserve">Belfield, </w:t>
      </w:r>
      <w:r w:rsidR="002E4F91" w:rsidRPr="007F121A">
        <w:rPr>
          <w:rFonts w:ascii="Arial" w:eastAsia="Arial" w:hAnsi="Arial" w:cs="Arial"/>
          <w:color w:val="222222"/>
        </w:rPr>
        <w:t xml:space="preserve">C., Chandler, D. and Joyce, R. </w:t>
      </w:r>
      <w:r w:rsidRPr="007F121A">
        <w:rPr>
          <w:rFonts w:ascii="Arial" w:eastAsia="Arial" w:hAnsi="Arial" w:cs="Arial"/>
          <w:color w:val="222222"/>
        </w:rPr>
        <w:t>2015</w:t>
      </w:r>
      <w:r w:rsidR="002E4F91" w:rsidRPr="007F121A">
        <w:rPr>
          <w:rFonts w:ascii="Arial" w:eastAsia="Arial" w:hAnsi="Arial" w:cs="Arial"/>
          <w:color w:val="222222"/>
        </w:rPr>
        <w:t>.</w:t>
      </w:r>
      <w:r w:rsidRPr="007F121A">
        <w:rPr>
          <w:rFonts w:ascii="Arial" w:eastAsia="Arial" w:hAnsi="Arial" w:cs="Arial"/>
          <w:color w:val="222222"/>
        </w:rPr>
        <w:t xml:space="preserve"> Housing: trends in prices, costs and tenure.</w:t>
      </w:r>
    </w:p>
    <w:p w14:paraId="0000001B" w14:textId="5666756B" w:rsidR="00FE0B4C" w:rsidRPr="007F121A" w:rsidRDefault="002E4F91" w:rsidP="002E4F91">
      <w:pPr>
        <w:spacing w:before="240" w:after="240" w:line="360" w:lineRule="auto"/>
        <w:jc w:val="both"/>
        <w:rPr>
          <w:rFonts w:ascii="Arial" w:hAnsi="Arial" w:cs="Arial"/>
        </w:rPr>
      </w:pPr>
      <w:r w:rsidRPr="007F121A">
        <w:rPr>
          <w:rFonts w:ascii="Arial" w:hAnsi="Arial" w:cs="Arial"/>
        </w:rPr>
        <w:t xml:space="preserve">Ben-Shahar, D. </w:t>
      </w:r>
      <w:r w:rsidR="00791830" w:rsidRPr="007F121A">
        <w:rPr>
          <w:rFonts w:ascii="Arial" w:hAnsi="Arial" w:cs="Arial"/>
        </w:rPr>
        <w:t>2007</w:t>
      </w:r>
      <w:r w:rsidRPr="007F121A">
        <w:rPr>
          <w:rFonts w:ascii="Arial" w:hAnsi="Arial" w:cs="Arial"/>
        </w:rPr>
        <w:t>.</w:t>
      </w:r>
      <w:r w:rsidR="00791830" w:rsidRPr="007F121A">
        <w:rPr>
          <w:rFonts w:ascii="Arial" w:hAnsi="Arial" w:cs="Arial"/>
        </w:rPr>
        <w:t xml:space="preserve"> “Tenure choice in the housing market psychological versus economic factors”, </w:t>
      </w:r>
      <w:r w:rsidR="00791830" w:rsidRPr="007F121A">
        <w:rPr>
          <w:rFonts w:ascii="Arial" w:hAnsi="Arial" w:cs="Arial"/>
          <w:i/>
        </w:rPr>
        <w:t>Environment and Behavior</w:t>
      </w:r>
      <w:r w:rsidR="00791830" w:rsidRPr="007F121A">
        <w:rPr>
          <w:rFonts w:ascii="Arial" w:hAnsi="Arial" w:cs="Arial"/>
        </w:rPr>
        <w:t>, Vol. 39 No. 6, pp. 841-858.</w:t>
      </w:r>
    </w:p>
    <w:p w14:paraId="759187AC" w14:textId="670FF0C2" w:rsidR="002E4F91" w:rsidRDefault="002E4F91" w:rsidP="002E4F91">
      <w:pPr>
        <w:spacing w:before="240" w:after="240" w:line="360" w:lineRule="auto"/>
        <w:jc w:val="both"/>
        <w:rPr>
          <w:rFonts w:ascii="Arial" w:hAnsi="Arial" w:cs="Arial"/>
        </w:rPr>
      </w:pPr>
      <w:r w:rsidRPr="007F121A">
        <w:rPr>
          <w:rFonts w:ascii="Arial" w:hAnsi="Arial" w:cs="Arial"/>
        </w:rPr>
        <w:t>Bourassa, S. C. 1995. A model of housing tenure choice in Australia. Journal of Urban Economics, 37, 161-175.</w:t>
      </w:r>
    </w:p>
    <w:p w14:paraId="6994320B" w14:textId="4CF16736" w:rsidR="00783C46" w:rsidRDefault="00783C46" w:rsidP="00783C46">
      <w:pPr>
        <w:spacing w:before="240" w:after="240" w:line="360" w:lineRule="auto"/>
        <w:jc w:val="both"/>
        <w:rPr>
          <w:rFonts w:ascii="Arial" w:hAnsi="Arial" w:cs="Arial"/>
        </w:rPr>
      </w:pPr>
      <w:r w:rsidRPr="00783C46">
        <w:rPr>
          <w:rFonts w:ascii="Arial" w:hAnsi="Arial" w:cs="Arial"/>
        </w:rPr>
        <w:lastRenderedPageBreak/>
        <w:t xml:space="preserve">Brook, K. (2005), “Labour market participation: the influence of social capital”, </w:t>
      </w:r>
      <w:r w:rsidRPr="00783C46">
        <w:rPr>
          <w:rFonts w:ascii="Arial" w:hAnsi="Arial" w:cs="Arial"/>
          <w:i/>
        </w:rPr>
        <w:t>Labour Market Trends</w:t>
      </w:r>
      <w:r w:rsidRPr="00783C46">
        <w:rPr>
          <w:rFonts w:ascii="Arial" w:hAnsi="Arial" w:cs="Arial"/>
        </w:rPr>
        <w:t>,</w:t>
      </w:r>
      <w:r>
        <w:rPr>
          <w:rFonts w:ascii="Arial" w:hAnsi="Arial" w:cs="Arial"/>
        </w:rPr>
        <w:t xml:space="preserve"> </w:t>
      </w:r>
      <w:r w:rsidRPr="00783C46">
        <w:rPr>
          <w:rFonts w:ascii="Arial" w:hAnsi="Arial" w:cs="Arial"/>
        </w:rPr>
        <w:t>Vol. 3 No. 1, pp. 113-123.</w:t>
      </w:r>
    </w:p>
    <w:p w14:paraId="16A4368D" w14:textId="2195ECBB" w:rsidR="0041355A" w:rsidRDefault="0041355A" w:rsidP="0041355A">
      <w:pPr>
        <w:spacing w:before="240" w:after="240" w:line="360" w:lineRule="auto"/>
        <w:jc w:val="both"/>
        <w:rPr>
          <w:rFonts w:ascii="Arial" w:hAnsi="Arial" w:cs="Arial"/>
          <w:lang w:val="en-GB"/>
        </w:rPr>
      </w:pPr>
      <w:r w:rsidRPr="0041355A">
        <w:rPr>
          <w:rFonts w:ascii="Arial" w:hAnsi="Arial" w:cs="Arial"/>
          <w:lang w:val="en-GB"/>
        </w:rPr>
        <w:t xml:space="preserve">Clapham, D., Mackie, P., Orford, </w:t>
      </w:r>
      <w:r>
        <w:rPr>
          <w:rFonts w:ascii="Arial" w:hAnsi="Arial" w:cs="Arial"/>
          <w:lang w:val="en-GB"/>
        </w:rPr>
        <w:t>S., Thomas, I. and Buckley, K. 2014.</w:t>
      </w:r>
      <w:r w:rsidRPr="0041355A">
        <w:rPr>
          <w:rFonts w:ascii="Arial" w:hAnsi="Arial" w:cs="Arial"/>
          <w:lang w:val="en-GB"/>
        </w:rPr>
        <w:t xml:space="preserve"> “The housing pathways of</w:t>
      </w:r>
      <w:r>
        <w:rPr>
          <w:rFonts w:ascii="Arial" w:hAnsi="Arial" w:cs="Arial"/>
          <w:lang w:val="en-GB"/>
        </w:rPr>
        <w:t xml:space="preserve"> </w:t>
      </w:r>
      <w:r w:rsidRPr="0041355A">
        <w:rPr>
          <w:rFonts w:ascii="Arial" w:hAnsi="Arial" w:cs="Arial"/>
          <w:lang w:val="en-GB"/>
        </w:rPr>
        <w:t xml:space="preserve">young people in the UK”, </w:t>
      </w:r>
      <w:r w:rsidRPr="0041355A">
        <w:rPr>
          <w:rFonts w:ascii="Arial" w:hAnsi="Arial" w:cs="Arial"/>
          <w:i/>
          <w:lang w:val="en-GB"/>
        </w:rPr>
        <w:t>Environment and Planning A</w:t>
      </w:r>
      <w:r w:rsidRPr="0041355A">
        <w:rPr>
          <w:rFonts w:ascii="Arial" w:hAnsi="Arial" w:cs="Arial"/>
          <w:lang w:val="en-GB"/>
        </w:rPr>
        <w:t>, Vol. 46 No. 8, pp. 2016-2031.</w:t>
      </w:r>
    </w:p>
    <w:p w14:paraId="0FA78F7D" w14:textId="1915AE70" w:rsidR="00824E71" w:rsidRDefault="00824E71" w:rsidP="0041355A">
      <w:pPr>
        <w:spacing w:before="240" w:after="240" w:line="360" w:lineRule="auto"/>
        <w:jc w:val="both"/>
        <w:rPr>
          <w:rFonts w:ascii="Arial" w:hAnsi="Arial" w:cs="Arial"/>
          <w:lang w:val="en-GB"/>
        </w:rPr>
      </w:pPr>
      <w:r w:rsidRPr="00824E71">
        <w:rPr>
          <w:rFonts w:ascii="Arial" w:hAnsi="Arial" w:cs="Arial"/>
          <w:lang w:val="en-GB"/>
        </w:rPr>
        <w:t>Côté, S. &amp; Healy, T. 2001. The well-being of nations: The role of human and social capital. Paris: Organisation for Economic Co-operation and Development.</w:t>
      </w:r>
    </w:p>
    <w:p w14:paraId="0F3762A9" w14:textId="45887FDD" w:rsidR="00D27393" w:rsidRPr="007F121A" w:rsidRDefault="00824E71" w:rsidP="00D27393">
      <w:pPr>
        <w:spacing w:before="240" w:after="240" w:line="360" w:lineRule="auto"/>
        <w:jc w:val="both"/>
        <w:rPr>
          <w:rFonts w:ascii="Arial" w:hAnsi="Arial" w:cs="Arial"/>
        </w:rPr>
      </w:pPr>
      <w:r>
        <w:rPr>
          <w:rFonts w:ascii="Arial" w:hAnsi="Arial" w:cs="Arial"/>
        </w:rPr>
        <w:t>Coulter, R. 2016.</w:t>
      </w:r>
      <w:r w:rsidR="00D27393" w:rsidRPr="00D27393">
        <w:rPr>
          <w:rFonts w:ascii="Arial" w:hAnsi="Arial" w:cs="Arial"/>
        </w:rPr>
        <w:t xml:space="preserve"> “Parental background and housing outcomes in young adulthood”, </w:t>
      </w:r>
      <w:r w:rsidR="00D27393" w:rsidRPr="00D27393">
        <w:rPr>
          <w:rFonts w:ascii="Arial" w:hAnsi="Arial" w:cs="Arial"/>
          <w:i/>
        </w:rPr>
        <w:t>Housing Studies</w:t>
      </w:r>
      <w:r w:rsidR="00D27393" w:rsidRPr="00D27393">
        <w:rPr>
          <w:rFonts w:ascii="Arial" w:hAnsi="Arial" w:cs="Arial"/>
        </w:rPr>
        <w:t>,</w:t>
      </w:r>
      <w:r w:rsidR="00D27393">
        <w:rPr>
          <w:rFonts w:ascii="Arial" w:hAnsi="Arial" w:cs="Arial"/>
        </w:rPr>
        <w:t xml:space="preserve"> </w:t>
      </w:r>
      <w:r w:rsidR="00D27393" w:rsidRPr="00D27393">
        <w:rPr>
          <w:rFonts w:ascii="Arial" w:hAnsi="Arial" w:cs="Arial"/>
        </w:rPr>
        <w:t>Vol. 33 No. 2, pp. 1-23.</w:t>
      </w:r>
    </w:p>
    <w:p w14:paraId="0000001C" w14:textId="5CACC2F4" w:rsidR="00FE0B4C" w:rsidRPr="007F121A" w:rsidRDefault="002E4F91" w:rsidP="002E4F91">
      <w:pPr>
        <w:spacing w:before="240" w:after="240" w:line="360" w:lineRule="auto"/>
        <w:jc w:val="both"/>
        <w:rPr>
          <w:rFonts w:ascii="Arial" w:hAnsi="Arial" w:cs="Arial"/>
        </w:rPr>
      </w:pPr>
      <w:r w:rsidRPr="007F121A">
        <w:rPr>
          <w:rFonts w:ascii="Arial" w:hAnsi="Arial" w:cs="Arial"/>
        </w:rPr>
        <w:t xml:space="preserve">Di Salvo, P. and Ermisch, J. </w:t>
      </w:r>
      <w:r w:rsidR="00791830" w:rsidRPr="007F121A">
        <w:rPr>
          <w:rFonts w:ascii="Arial" w:hAnsi="Arial" w:cs="Arial"/>
        </w:rPr>
        <w:t>1997</w:t>
      </w:r>
      <w:r w:rsidRPr="007F121A">
        <w:rPr>
          <w:rFonts w:ascii="Arial" w:hAnsi="Arial" w:cs="Arial"/>
        </w:rPr>
        <w:t>.</w:t>
      </w:r>
      <w:r w:rsidR="00791830" w:rsidRPr="007F121A">
        <w:rPr>
          <w:rFonts w:ascii="Arial" w:hAnsi="Arial" w:cs="Arial"/>
        </w:rPr>
        <w:t xml:space="preserve"> “Analysis of the dynamics of housing tenure choice in Britain”, </w:t>
      </w:r>
      <w:r w:rsidR="00791830" w:rsidRPr="007F121A">
        <w:rPr>
          <w:rFonts w:ascii="Arial" w:hAnsi="Arial" w:cs="Arial"/>
          <w:i/>
        </w:rPr>
        <w:t>Journal of Urban Economics</w:t>
      </w:r>
      <w:r w:rsidR="00791830" w:rsidRPr="007F121A">
        <w:rPr>
          <w:rFonts w:ascii="Arial" w:hAnsi="Arial" w:cs="Arial"/>
        </w:rPr>
        <w:t>, Vol. 42 No. 1, pp. 1-17.</w:t>
      </w:r>
    </w:p>
    <w:p w14:paraId="0000001D" w14:textId="125C04CA" w:rsidR="00FE0B4C" w:rsidRDefault="002E4F91" w:rsidP="002E4F91">
      <w:pPr>
        <w:spacing w:before="240" w:after="240" w:line="360" w:lineRule="auto"/>
        <w:jc w:val="both"/>
        <w:rPr>
          <w:rFonts w:ascii="Arial" w:hAnsi="Arial" w:cs="Arial"/>
        </w:rPr>
      </w:pPr>
      <w:r w:rsidRPr="007F121A">
        <w:rPr>
          <w:rFonts w:ascii="Arial" w:hAnsi="Arial" w:cs="Arial"/>
        </w:rPr>
        <w:t>Drew, R.B. 2014.</w:t>
      </w:r>
      <w:r w:rsidR="00791830" w:rsidRPr="007F121A">
        <w:rPr>
          <w:rFonts w:ascii="Arial" w:hAnsi="Arial" w:cs="Arial"/>
        </w:rPr>
        <w:t xml:space="preserve"> </w:t>
      </w:r>
      <w:r w:rsidR="00791830" w:rsidRPr="007F121A">
        <w:rPr>
          <w:rFonts w:ascii="Arial" w:hAnsi="Arial" w:cs="Arial"/>
          <w:i/>
        </w:rPr>
        <w:t>Believing in Homeownership: Behavioral Drivers of Housing Tenure Decisions</w:t>
      </w:r>
      <w:r w:rsidR="00791830" w:rsidRPr="007F121A">
        <w:rPr>
          <w:rFonts w:ascii="Arial" w:hAnsi="Arial" w:cs="Arial"/>
        </w:rPr>
        <w:t>, Joint Center for Housing Studies, Cambridge.</w:t>
      </w:r>
    </w:p>
    <w:p w14:paraId="6F30619E" w14:textId="49CD1487" w:rsidR="00763C1D" w:rsidRPr="007F121A" w:rsidRDefault="00763C1D" w:rsidP="002E4F91">
      <w:pPr>
        <w:spacing w:before="240" w:after="240" w:line="360" w:lineRule="auto"/>
        <w:jc w:val="both"/>
        <w:rPr>
          <w:rFonts w:ascii="Arial" w:hAnsi="Arial" w:cs="Arial"/>
        </w:rPr>
      </w:pPr>
      <w:r w:rsidRPr="00763C1D">
        <w:rPr>
          <w:rFonts w:ascii="Arial" w:hAnsi="Arial" w:cs="Arial"/>
        </w:rPr>
        <w:t xml:space="preserve">Erlinghagen, M., 2007. Self-perceived job insecurity and social context: A multi-level analysis of 17 European countries. </w:t>
      </w:r>
      <w:r w:rsidRPr="00763C1D">
        <w:rPr>
          <w:rFonts w:ascii="Arial" w:hAnsi="Arial" w:cs="Arial"/>
          <w:i/>
        </w:rPr>
        <w:t>European Sociological Review</w:t>
      </w:r>
      <w:r w:rsidRPr="00763C1D">
        <w:rPr>
          <w:rFonts w:ascii="Arial" w:hAnsi="Arial" w:cs="Arial"/>
        </w:rPr>
        <w:t>, 24(2), pp.183-197.</w:t>
      </w:r>
    </w:p>
    <w:p w14:paraId="5AC5D2CD" w14:textId="6ABBF709" w:rsidR="002E4F91" w:rsidRDefault="002E4F91" w:rsidP="002E4F91">
      <w:pPr>
        <w:spacing w:before="240" w:after="240" w:line="360" w:lineRule="auto"/>
        <w:jc w:val="both"/>
        <w:rPr>
          <w:rFonts w:ascii="Arial" w:hAnsi="Arial" w:cs="Arial"/>
        </w:rPr>
      </w:pPr>
      <w:r w:rsidRPr="007F121A">
        <w:rPr>
          <w:rFonts w:ascii="Arial" w:hAnsi="Arial" w:cs="Arial"/>
        </w:rPr>
        <w:t>Ermisch, J. &amp; Di Salvo, P. 1996. Surprises and housing tenure decisions in Great Britain. Journal of Housing Economics, 5, 247-273.</w:t>
      </w:r>
    </w:p>
    <w:p w14:paraId="4800F2C1" w14:textId="2765A975" w:rsidR="00A90309" w:rsidRDefault="00A90309" w:rsidP="00A90309">
      <w:pPr>
        <w:spacing w:before="240" w:after="240" w:line="360" w:lineRule="auto"/>
        <w:jc w:val="both"/>
        <w:rPr>
          <w:rFonts w:ascii="Arial" w:hAnsi="Arial" w:cs="Arial"/>
        </w:rPr>
      </w:pPr>
      <w:r>
        <w:rPr>
          <w:rFonts w:ascii="Arial" w:hAnsi="Arial" w:cs="Arial"/>
        </w:rPr>
        <w:t>Felstead, A., Gallie, D., Green, F., and Henseke, Golo.</w:t>
      </w:r>
      <w:r w:rsidR="00CD7828">
        <w:rPr>
          <w:rFonts w:ascii="Arial" w:hAnsi="Arial" w:cs="Arial"/>
        </w:rPr>
        <w:t xml:space="preserve"> 2017.</w:t>
      </w:r>
      <w:r>
        <w:rPr>
          <w:rFonts w:ascii="Arial" w:hAnsi="Arial" w:cs="Arial"/>
        </w:rPr>
        <w:t xml:space="preserve"> </w:t>
      </w:r>
      <w:r w:rsidRPr="00CD7828">
        <w:rPr>
          <w:rFonts w:ascii="Arial" w:hAnsi="Arial" w:cs="Arial"/>
          <w:i/>
        </w:rPr>
        <w:t>Insecurity at Work in Britain: First Findings from the Skills and Employment Survey 2017</w:t>
      </w:r>
      <w:r>
        <w:rPr>
          <w:rFonts w:ascii="Arial" w:hAnsi="Arial" w:cs="Arial"/>
        </w:rPr>
        <w:t>, a</w:t>
      </w:r>
      <w:r w:rsidRPr="00A24FEA">
        <w:rPr>
          <w:rFonts w:ascii="Arial" w:hAnsi="Arial" w:cs="Arial"/>
        </w:rPr>
        <w:t>vailable</w:t>
      </w:r>
      <w:r>
        <w:rPr>
          <w:rFonts w:ascii="Arial" w:hAnsi="Arial" w:cs="Arial"/>
        </w:rPr>
        <w:t xml:space="preserve"> at</w:t>
      </w:r>
      <w:r w:rsidRPr="00A24FEA">
        <w:rPr>
          <w:rFonts w:ascii="Arial" w:hAnsi="Arial" w:cs="Arial"/>
        </w:rPr>
        <w:t>:</w:t>
      </w:r>
      <w:r>
        <w:rPr>
          <w:rFonts w:ascii="Arial" w:hAnsi="Arial" w:cs="Arial"/>
        </w:rPr>
        <w:t xml:space="preserve"> </w:t>
      </w:r>
      <w:hyperlink r:id="rId10" w:history="1">
        <w:r>
          <w:rPr>
            <w:rStyle w:val="Hyperlink"/>
          </w:rPr>
          <w:t>https://www.cardiff.ac.uk/__data/assets/pdf_file/0011/1309457/6_Insecurity_Minireport_Final.pdf</w:t>
        </w:r>
      </w:hyperlink>
      <w:r>
        <w:t xml:space="preserve"> </w:t>
      </w:r>
      <w:r>
        <w:rPr>
          <w:rFonts w:ascii="Arial" w:hAnsi="Arial" w:cs="Arial"/>
        </w:rPr>
        <w:t>(</w:t>
      </w:r>
      <w:r w:rsidRPr="00A24FEA">
        <w:rPr>
          <w:rFonts w:ascii="Arial" w:hAnsi="Arial" w:cs="Arial"/>
        </w:rPr>
        <w:t xml:space="preserve">Accessed </w:t>
      </w:r>
      <w:r>
        <w:rPr>
          <w:rFonts w:ascii="Arial" w:hAnsi="Arial" w:cs="Arial"/>
        </w:rPr>
        <w:t>3 August 2019)</w:t>
      </w:r>
      <w:r w:rsidRPr="00A24FEA">
        <w:rPr>
          <w:rFonts w:ascii="Arial" w:hAnsi="Arial" w:cs="Arial"/>
        </w:rPr>
        <w:t>.</w:t>
      </w:r>
    </w:p>
    <w:p w14:paraId="0222BD4E" w14:textId="429BF1CE" w:rsidR="000254DA" w:rsidRDefault="000254DA" w:rsidP="00A90309">
      <w:pPr>
        <w:spacing w:before="240" w:after="240" w:line="360" w:lineRule="auto"/>
        <w:jc w:val="both"/>
        <w:rPr>
          <w:rFonts w:ascii="Arial" w:hAnsi="Arial" w:cs="Arial"/>
        </w:rPr>
      </w:pPr>
      <w:r w:rsidRPr="000254DA">
        <w:rPr>
          <w:rFonts w:ascii="Arial" w:hAnsi="Arial" w:cs="Arial"/>
        </w:rPr>
        <w:t xml:space="preserve">Fevre, R., 2007. Employment insecurity and social theory: the power of nightmares. </w:t>
      </w:r>
      <w:r w:rsidRPr="000254DA">
        <w:rPr>
          <w:rFonts w:ascii="Arial" w:hAnsi="Arial" w:cs="Arial"/>
          <w:i/>
        </w:rPr>
        <w:t>Work, employment and society</w:t>
      </w:r>
      <w:r w:rsidRPr="000254DA">
        <w:rPr>
          <w:rFonts w:ascii="Arial" w:hAnsi="Arial" w:cs="Arial"/>
        </w:rPr>
        <w:t>, 21(3), pp.517-535.</w:t>
      </w:r>
    </w:p>
    <w:p w14:paraId="739851CF" w14:textId="6FE2DEA9" w:rsidR="00413FE9" w:rsidRPr="007F121A" w:rsidRDefault="00413FE9" w:rsidP="00413FE9">
      <w:pPr>
        <w:spacing w:before="240" w:after="240" w:line="360" w:lineRule="auto"/>
        <w:jc w:val="both"/>
        <w:rPr>
          <w:rFonts w:ascii="Arial" w:hAnsi="Arial" w:cs="Arial"/>
        </w:rPr>
      </w:pPr>
      <w:r w:rsidRPr="00413FE9">
        <w:rPr>
          <w:rFonts w:ascii="Arial" w:hAnsi="Arial" w:cs="Arial"/>
        </w:rPr>
        <w:t>Ford, J., Rugg, J. and Burrows, R. (2002), “Conceptualising the contemporary role of housing in the</w:t>
      </w:r>
      <w:r>
        <w:rPr>
          <w:rFonts w:ascii="Arial" w:hAnsi="Arial" w:cs="Arial"/>
        </w:rPr>
        <w:t xml:space="preserve"> </w:t>
      </w:r>
      <w:r w:rsidRPr="00413FE9">
        <w:rPr>
          <w:rFonts w:ascii="Arial" w:hAnsi="Arial" w:cs="Arial"/>
        </w:rPr>
        <w:t xml:space="preserve">transition to adult life in England”, </w:t>
      </w:r>
      <w:r w:rsidRPr="00413FE9">
        <w:rPr>
          <w:rFonts w:ascii="Arial" w:hAnsi="Arial" w:cs="Arial"/>
          <w:i/>
        </w:rPr>
        <w:t>Urban Studies</w:t>
      </w:r>
      <w:r w:rsidRPr="00413FE9">
        <w:rPr>
          <w:rFonts w:ascii="Arial" w:hAnsi="Arial" w:cs="Arial"/>
        </w:rPr>
        <w:t>, Vol. 39 No. 13, pp. 2455-2467.</w:t>
      </w:r>
    </w:p>
    <w:p w14:paraId="52EF91F3" w14:textId="40ACB637" w:rsidR="002E4F91" w:rsidRDefault="002E4F91" w:rsidP="002E4F91">
      <w:pPr>
        <w:spacing w:before="240" w:after="240" w:line="360" w:lineRule="auto"/>
        <w:jc w:val="both"/>
        <w:rPr>
          <w:rFonts w:ascii="Arial" w:hAnsi="Arial" w:cs="Arial"/>
        </w:rPr>
      </w:pPr>
      <w:r w:rsidRPr="007F121A">
        <w:rPr>
          <w:rFonts w:ascii="Arial" w:hAnsi="Arial" w:cs="Arial"/>
        </w:rPr>
        <w:t xml:space="preserve">Fu, K., 2014. A review on housing tenure choice. In </w:t>
      </w:r>
      <w:r w:rsidRPr="007F121A">
        <w:rPr>
          <w:rFonts w:ascii="Arial" w:hAnsi="Arial" w:cs="Arial"/>
          <w:i/>
        </w:rPr>
        <w:t>Proceedings of the 17th international symposium on advancement of construction management and real estate</w:t>
      </w:r>
      <w:r w:rsidRPr="007F121A">
        <w:rPr>
          <w:rFonts w:ascii="Arial" w:hAnsi="Arial" w:cs="Arial"/>
        </w:rPr>
        <w:t xml:space="preserve"> (pp. 351-360). Springer, Berlin, Heidelberg.</w:t>
      </w:r>
    </w:p>
    <w:p w14:paraId="3D435318" w14:textId="66774936" w:rsidR="004117F0" w:rsidRPr="007F121A" w:rsidRDefault="004117F0" w:rsidP="002E4F91">
      <w:pPr>
        <w:spacing w:before="240" w:after="240" w:line="360" w:lineRule="auto"/>
        <w:jc w:val="both"/>
        <w:rPr>
          <w:rFonts w:ascii="Arial" w:hAnsi="Arial" w:cs="Arial"/>
        </w:rPr>
      </w:pPr>
      <w:r w:rsidRPr="004117F0">
        <w:rPr>
          <w:rFonts w:ascii="Arial" w:hAnsi="Arial" w:cs="Arial"/>
        </w:rPr>
        <w:lastRenderedPageBreak/>
        <w:t xml:space="preserve">Gallie, D., Felstead, A., Green, F. and Inanc, H., 2017. The hidden face of job insecurity. </w:t>
      </w:r>
      <w:r w:rsidRPr="004117F0">
        <w:rPr>
          <w:rFonts w:ascii="Arial" w:hAnsi="Arial" w:cs="Arial"/>
          <w:i/>
        </w:rPr>
        <w:t>Work, employment and society</w:t>
      </w:r>
      <w:r w:rsidRPr="004117F0">
        <w:rPr>
          <w:rFonts w:ascii="Arial" w:hAnsi="Arial" w:cs="Arial"/>
        </w:rPr>
        <w:t>, 31(1), pp.36-53.</w:t>
      </w:r>
    </w:p>
    <w:p w14:paraId="49AC89D5" w14:textId="4235832D" w:rsidR="002E4F91" w:rsidRDefault="002E4F91" w:rsidP="002E4F91">
      <w:pPr>
        <w:autoSpaceDE w:val="0"/>
        <w:autoSpaceDN w:val="0"/>
        <w:adjustRightInd w:val="0"/>
        <w:spacing w:before="240" w:after="0" w:line="360" w:lineRule="auto"/>
        <w:rPr>
          <w:rFonts w:ascii="Arial" w:hAnsi="Arial" w:cs="Arial"/>
          <w:lang w:val="en-GB"/>
        </w:rPr>
      </w:pPr>
      <w:r w:rsidRPr="007F121A">
        <w:rPr>
          <w:rFonts w:ascii="Arial" w:hAnsi="Arial" w:cs="Arial"/>
          <w:lang w:val="en-GB"/>
        </w:rPr>
        <w:t>Gathergood, J. 2011. “Unemployment risk, house price risk and the transition into home ownership in the United Kingdom</w:t>
      </w:r>
      <w:r w:rsidRPr="007F121A">
        <w:rPr>
          <w:rFonts w:ascii="Arial" w:hAnsi="Arial" w:cs="Arial"/>
          <w:i/>
          <w:lang w:val="en-GB"/>
        </w:rPr>
        <w:t>”, Journal of Housing Economics</w:t>
      </w:r>
      <w:r w:rsidRPr="007F121A">
        <w:rPr>
          <w:rFonts w:ascii="Arial" w:hAnsi="Arial" w:cs="Arial"/>
          <w:lang w:val="en-GB"/>
        </w:rPr>
        <w:t>, Vol. 20 No. 3, pp. 200-209.</w:t>
      </w:r>
    </w:p>
    <w:p w14:paraId="19F62ED1" w14:textId="5E3CF150" w:rsidR="00F83ED7" w:rsidRDefault="00F83ED7" w:rsidP="002E4F91">
      <w:pPr>
        <w:autoSpaceDE w:val="0"/>
        <w:autoSpaceDN w:val="0"/>
        <w:adjustRightInd w:val="0"/>
        <w:spacing w:before="240" w:after="0" w:line="360" w:lineRule="auto"/>
        <w:rPr>
          <w:rFonts w:ascii="Arial" w:hAnsi="Arial" w:cs="Arial"/>
          <w:lang w:val="en-GB"/>
        </w:rPr>
      </w:pPr>
      <w:r w:rsidRPr="00F83ED7">
        <w:rPr>
          <w:rFonts w:ascii="Arial" w:hAnsi="Arial" w:cs="Arial"/>
          <w:lang w:val="en-GB"/>
        </w:rPr>
        <w:t xml:space="preserve">Gormley, T.A. and Matsa, D.A., 2013. Common errors: How to (and not to) control for unobserved heterogeneity. </w:t>
      </w:r>
      <w:r w:rsidRPr="00F83ED7">
        <w:rPr>
          <w:rFonts w:ascii="Arial" w:hAnsi="Arial" w:cs="Arial"/>
          <w:i/>
          <w:lang w:val="en-GB"/>
        </w:rPr>
        <w:t>The Review of Financial Studies</w:t>
      </w:r>
      <w:r w:rsidRPr="00F83ED7">
        <w:rPr>
          <w:rFonts w:ascii="Arial" w:hAnsi="Arial" w:cs="Arial"/>
          <w:lang w:val="en-GB"/>
        </w:rPr>
        <w:t>, 27(2), pp.617-661.</w:t>
      </w:r>
    </w:p>
    <w:p w14:paraId="5452E0FF" w14:textId="06DCC95B" w:rsidR="000254DA" w:rsidRDefault="000254DA" w:rsidP="002E4F91">
      <w:pPr>
        <w:autoSpaceDE w:val="0"/>
        <w:autoSpaceDN w:val="0"/>
        <w:adjustRightInd w:val="0"/>
        <w:spacing w:before="240" w:after="0" w:line="360" w:lineRule="auto"/>
        <w:rPr>
          <w:rFonts w:ascii="Arial" w:hAnsi="Arial" w:cs="Arial"/>
          <w:lang w:val="en-GB"/>
        </w:rPr>
      </w:pPr>
      <w:r w:rsidRPr="000254DA">
        <w:rPr>
          <w:rFonts w:ascii="Arial" w:hAnsi="Arial" w:cs="Arial"/>
          <w:lang w:val="en-GB"/>
        </w:rPr>
        <w:t xml:space="preserve">Green, F., Dickerson, A., Carruth, A. and Campbell, D., 2001. </w:t>
      </w:r>
      <w:r w:rsidRPr="000254DA">
        <w:rPr>
          <w:rFonts w:ascii="Arial" w:hAnsi="Arial" w:cs="Arial"/>
          <w:i/>
          <w:lang w:val="en-GB"/>
        </w:rPr>
        <w:t>An analysis of subjective views of job insecurity</w:t>
      </w:r>
      <w:r w:rsidRPr="000254DA">
        <w:rPr>
          <w:rFonts w:ascii="Arial" w:hAnsi="Arial" w:cs="Arial"/>
          <w:lang w:val="en-GB"/>
        </w:rPr>
        <w:t xml:space="preserve"> (No. 01, 08). Department of Economics Discussion Paper.</w:t>
      </w:r>
    </w:p>
    <w:p w14:paraId="05DF6C31" w14:textId="5BB15716" w:rsidR="0041355A" w:rsidRDefault="0041355A" w:rsidP="0041355A">
      <w:pPr>
        <w:autoSpaceDE w:val="0"/>
        <w:autoSpaceDN w:val="0"/>
        <w:adjustRightInd w:val="0"/>
        <w:spacing w:before="240" w:after="0" w:line="360" w:lineRule="auto"/>
        <w:rPr>
          <w:rFonts w:ascii="Arial" w:hAnsi="Arial" w:cs="Arial"/>
          <w:lang w:val="en-GB"/>
        </w:rPr>
      </w:pPr>
      <w:r>
        <w:rPr>
          <w:rFonts w:ascii="Arial" w:hAnsi="Arial" w:cs="Arial"/>
          <w:lang w:val="en-GB"/>
        </w:rPr>
        <w:t xml:space="preserve">Heath, S. </w:t>
      </w:r>
      <w:r w:rsidRPr="0041355A">
        <w:rPr>
          <w:rFonts w:ascii="Arial" w:hAnsi="Arial" w:cs="Arial"/>
          <w:lang w:val="en-GB"/>
        </w:rPr>
        <w:t>2008</w:t>
      </w:r>
      <w:r>
        <w:rPr>
          <w:rFonts w:ascii="Arial" w:hAnsi="Arial" w:cs="Arial"/>
          <w:lang w:val="en-GB"/>
        </w:rPr>
        <w:t>.</w:t>
      </w:r>
      <w:r w:rsidRPr="0041355A">
        <w:rPr>
          <w:rFonts w:ascii="Arial" w:hAnsi="Arial" w:cs="Arial"/>
          <w:lang w:val="en-GB"/>
        </w:rPr>
        <w:t xml:space="preserve"> </w:t>
      </w:r>
      <w:r w:rsidRPr="0041355A">
        <w:rPr>
          <w:rFonts w:ascii="Arial" w:hAnsi="Arial" w:cs="Arial"/>
          <w:i/>
          <w:lang w:val="en-GB"/>
        </w:rPr>
        <w:t>Housing Choices and Issues for Young People in the UK</w:t>
      </w:r>
      <w:r w:rsidRPr="0041355A">
        <w:rPr>
          <w:rFonts w:ascii="Arial" w:hAnsi="Arial" w:cs="Arial"/>
          <w:lang w:val="en-GB"/>
        </w:rPr>
        <w:t>, Joseph Rowntree Foundation,</w:t>
      </w:r>
      <w:r>
        <w:rPr>
          <w:rFonts w:ascii="Arial" w:hAnsi="Arial" w:cs="Arial"/>
          <w:lang w:val="en-GB"/>
        </w:rPr>
        <w:t xml:space="preserve"> </w:t>
      </w:r>
      <w:r w:rsidRPr="0041355A">
        <w:rPr>
          <w:rFonts w:ascii="Arial" w:hAnsi="Arial" w:cs="Arial"/>
          <w:lang w:val="en-GB"/>
        </w:rPr>
        <w:t>York.</w:t>
      </w:r>
    </w:p>
    <w:p w14:paraId="3D66D583" w14:textId="4CB010B5" w:rsidR="009A2993" w:rsidRDefault="009A2993" w:rsidP="0041355A">
      <w:pPr>
        <w:autoSpaceDE w:val="0"/>
        <w:autoSpaceDN w:val="0"/>
        <w:adjustRightInd w:val="0"/>
        <w:spacing w:before="240" w:after="0" w:line="360" w:lineRule="auto"/>
        <w:rPr>
          <w:rFonts w:ascii="Arial" w:hAnsi="Arial" w:cs="Arial"/>
          <w:lang w:val="en-GB"/>
        </w:rPr>
      </w:pPr>
      <w:r w:rsidRPr="009A2993">
        <w:rPr>
          <w:rFonts w:ascii="Arial" w:hAnsi="Arial" w:cs="Arial"/>
          <w:lang w:val="en-GB"/>
        </w:rPr>
        <w:t xml:space="preserve">Kemp, P. (2002), </w:t>
      </w:r>
      <w:r w:rsidRPr="009A2993">
        <w:rPr>
          <w:rFonts w:ascii="Arial" w:hAnsi="Arial" w:cs="Arial"/>
          <w:i/>
          <w:lang w:val="en-GB"/>
        </w:rPr>
        <w:t>Private Renting in Transition</w:t>
      </w:r>
      <w:r w:rsidRPr="009A2993">
        <w:rPr>
          <w:rFonts w:ascii="Arial" w:hAnsi="Arial" w:cs="Arial"/>
          <w:lang w:val="en-GB"/>
        </w:rPr>
        <w:t>, Chartered Institute of Housing, Coventry.</w:t>
      </w:r>
    </w:p>
    <w:p w14:paraId="197DBF41" w14:textId="42719C08" w:rsidR="0007746B" w:rsidRDefault="0007746B" w:rsidP="0007746B">
      <w:pPr>
        <w:autoSpaceDE w:val="0"/>
        <w:autoSpaceDN w:val="0"/>
        <w:adjustRightInd w:val="0"/>
        <w:spacing w:before="240" w:after="0" w:line="360" w:lineRule="auto"/>
        <w:rPr>
          <w:rFonts w:ascii="Arial" w:hAnsi="Arial" w:cs="Arial"/>
        </w:rPr>
      </w:pPr>
      <w:r w:rsidRPr="0007746B">
        <w:rPr>
          <w:rFonts w:ascii="Arial" w:hAnsi="Arial" w:cs="Arial"/>
        </w:rPr>
        <w:t>Lersch, P.M. and Luijkx, R. (2015), “Intergenerational transmission of homeownership in Europe:</w:t>
      </w:r>
      <w:r>
        <w:rPr>
          <w:rFonts w:ascii="Arial" w:hAnsi="Arial" w:cs="Arial"/>
        </w:rPr>
        <w:t xml:space="preserve"> </w:t>
      </w:r>
      <w:r w:rsidRPr="0007746B">
        <w:rPr>
          <w:rFonts w:ascii="Arial" w:hAnsi="Arial" w:cs="Arial"/>
        </w:rPr>
        <w:t xml:space="preserve">revisiting the socialisation hypothesis”, </w:t>
      </w:r>
      <w:r w:rsidRPr="0007746B">
        <w:rPr>
          <w:rFonts w:ascii="Arial" w:hAnsi="Arial" w:cs="Arial"/>
          <w:i/>
        </w:rPr>
        <w:t>Social Science Research</w:t>
      </w:r>
      <w:r w:rsidRPr="0007746B">
        <w:rPr>
          <w:rFonts w:ascii="Arial" w:hAnsi="Arial" w:cs="Arial"/>
        </w:rPr>
        <w:t>, Vol. 49, pp. 327-342.</w:t>
      </w:r>
    </w:p>
    <w:p w14:paraId="1B7BC902" w14:textId="0BB6E1AC" w:rsidR="00D26116" w:rsidRDefault="00D26116" w:rsidP="0007746B">
      <w:pPr>
        <w:autoSpaceDE w:val="0"/>
        <w:autoSpaceDN w:val="0"/>
        <w:adjustRightInd w:val="0"/>
        <w:spacing w:before="240" w:after="0" w:line="360" w:lineRule="auto"/>
        <w:rPr>
          <w:rFonts w:ascii="Arial" w:hAnsi="Arial" w:cs="Arial"/>
        </w:rPr>
      </w:pPr>
      <w:r w:rsidRPr="00D26116">
        <w:rPr>
          <w:rFonts w:ascii="Arial" w:hAnsi="Arial" w:cs="Arial"/>
        </w:rPr>
        <w:t>Leszczensky, L. and Wolbring, T., 2018. How to deal with reverse causality using panel data? Recommendations for researchers based on a simulation study.</w:t>
      </w:r>
    </w:p>
    <w:p w14:paraId="2BD7968F" w14:textId="1F833310" w:rsidR="001714FB" w:rsidRDefault="001714FB" w:rsidP="001714FB">
      <w:pPr>
        <w:autoSpaceDE w:val="0"/>
        <w:autoSpaceDN w:val="0"/>
        <w:adjustRightInd w:val="0"/>
        <w:spacing w:before="240" w:after="0" w:line="360" w:lineRule="auto"/>
        <w:rPr>
          <w:rFonts w:ascii="Arial" w:hAnsi="Arial" w:cs="Arial"/>
        </w:rPr>
      </w:pPr>
      <w:r w:rsidRPr="001714FB">
        <w:rPr>
          <w:rFonts w:ascii="Arial" w:hAnsi="Arial" w:cs="Arial"/>
        </w:rPr>
        <w:t>Lux, M., Samec, T., Bartos, V., Sunega, P., Palguta, J., Boumová, I. and Kážmér, L. (2018), “Who actually</w:t>
      </w:r>
      <w:r>
        <w:rPr>
          <w:rFonts w:ascii="Arial" w:hAnsi="Arial" w:cs="Arial"/>
        </w:rPr>
        <w:t xml:space="preserve"> </w:t>
      </w:r>
      <w:r w:rsidRPr="001714FB">
        <w:rPr>
          <w:rFonts w:ascii="Arial" w:hAnsi="Arial" w:cs="Arial"/>
        </w:rPr>
        <w:t xml:space="preserve">decides? Parental influence on the housing tenure choice of their children”, </w:t>
      </w:r>
      <w:r w:rsidRPr="001714FB">
        <w:rPr>
          <w:rFonts w:ascii="Arial" w:hAnsi="Arial" w:cs="Arial"/>
          <w:i/>
        </w:rPr>
        <w:t>Urban Studies</w:t>
      </w:r>
      <w:r w:rsidRPr="001714FB">
        <w:rPr>
          <w:rFonts w:ascii="Arial" w:hAnsi="Arial" w:cs="Arial"/>
        </w:rPr>
        <w:t>,</w:t>
      </w:r>
      <w:r>
        <w:rPr>
          <w:rFonts w:ascii="Arial" w:hAnsi="Arial" w:cs="Arial"/>
        </w:rPr>
        <w:t xml:space="preserve"> </w:t>
      </w:r>
      <w:r w:rsidRPr="001714FB">
        <w:rPr>
          <w:rFonts w:ascii="Arial" w:hAnsi="Arial" w:cs="Arial"/>
        </w:rPr>
        <w:t>Vol. 55 No. 2, pp. 406-426.</w:t>
      </w:r>
    </w:p>
    <w:p w14:paraId="074AB26D" w14:textId="4B9BED27" w:rsidR="004026B2" w:rsidRDefault="004026B2" w:rsidP="001714FB">
      <w:pPr>
        <w:autoSpaceDE w:val="0"/>
        <w:autoSpaceDN w:val="0"/>
        <w:adjustRightInd w:val="0"/>
        <w:spacing w:before="240" w:after="0" w:line="360" w:lineRule="auto"/>
        <w:rPr>
          <w:rFonts w:ascii="Arial" w:hAnsi="Arial" w:cs="Arial"/>
        </w:rPr>
      </w:pPr>
      <w:r w:rsidRPr="004026B2">
        <w:rPr>
          <w:rFonts w:ascii="Arial" w:hAnsi="Arial" w:cs="Arial"/>
        </w:rPr>
        <w:t xml:space="preserve">Malpass, P. and Victory, C., 2010. The modernisation of social housing in England. International </w:t>
      </w:r>
      <w:r w:rsidRPr="004026B2">
        <w:rPr>
          <w:rFonts w:ascii="Arial" w:hAnsi="Arial" w:cs="Arial"/>
          <w:i/>
        </w:rPr>
        <w:t>Journal of Housing Policy</w:t>
      </w:r>
      <w:r w:rsidRPr="004026B2">
        <w:rPr>
          <w:rFonts w:ascii="Arial" w:hAnsi="Arial" w:cs="Arial"/>
        </w:rPr>
        <w:t>, 10(1), pp.3-18.</w:t>
      </w:r>
    </w:p>
    <w:p w14:paraId="5FCDB049" w14:textId="0021C4DC" w:rsidR="00122CC4" w:rsidRDefault="00122CC4" w:rsidP="00122CC4">
      <w:pPr>
        <w:spacing w:before="240" w:after="240" w:line="360" w:lineRule="auto"/>
        <w:jc w:val="both"/>
        <w:rPr>
          <w:rFonts w:ascii="Arial" w:hAnsi="Arial" w:cs="Arial"/>
        </w:rPr>
      </w:pPr>
      <w:r>
        <w:rPr>
          <w:rFonts w:ascii="Arial" w:hAnsi="Arial" w:cs="Arial"/>
        </w:rPr>
        <w:t xml:space="preserve">Ministry of Housing, Communities and Local Government, 2018. </w:t>
      </w:r>
      <w:r w:rsidRPr="00122CC4">
        <w:rPr>
          <w:rFonts w:ascii="Arial" w:hAnsi="Arial" w:cs="Arial"/>
          <w:i/>
        </w:rPr>
        <w:t>English Housing Survey Headline Report 2016-17</w:t>
      </w:r>
      <w:r>
        <w:rPr>
          <w:rFonts w:ascii="Arial" w:hAnsi="Arial" w:cs="Arial"/>
        </w:rPr>
        <w:t>, a</w:t>
      </w:r>
      <w:r w:rsidRPr="00A24FEA">
        <w:rPr>
          <w:rFonts w:ascii="Arial" w:hAnsi="Arial" w:cs="Arial"/>
        </w:rPr>
        <w:t>vailable</w:t>
      </w:r>
      <w:r>
        <w:rPr>
          <w:rFonts w:ascii="Arial" w:hAnsi="Arial" w:cs="Arial"/>
        </w:rPr>
        <w:t xml:space="preserve"> at</w:t>
      </w:r>
      <w:r w:rsidRPr="00A24FEA">
        <w:rPr>
          <w:rFonts w:ascii="Arial" w:hAnsi="Arial" w:cs="Arial"/>
        </w:rPr>
        <w:t>:</w:t>
      </w:r>
      <w:r>
        <w:rPr>
          <w:rFonts w:ascii="Arial" w:hAnsi="Arial" w:cs="Arial"/>
        </w:rPr>
        <w:t xml:space="preserve"> </w:t>
      </w:r>
      <w:hyperlink r:id="rId11" w:history="1">
        <w:r w:rsidRPr="00E632CC">
          <w:rPr>
            <w:rStyle w:val="Hyperlink"/>
          </w:rPr>
          <w:t>https://assets.publishing.service.gov.uk/government/uploads/system/uploads/attachment_data/file/705821/2016-17_EHS_Headline_Report.pdf</w:t>
        </w:r>
      </w:hyperlink>
      <w:r>
        <w:t xml:space="preserve"> </w:t>
      </w:r>
      <w:r>
        <w:rPr>
          <w:rFonts w:ascii="Arial" w:hAnsi="Arial" w:cs="Arial"/>
        </w:rPr>
        <w:t>(</w:t>
      </w:r>
      <w:r w:rsidRPr="00A24FEA">
        <w:rPr>
          <w:rFonts w:ascii="Arial" w:hAnsi="Arial" w:cs="Arial"/>
        </w:rPr>
        <w:t xml:space="preserve">Accessed </w:t>
      </w:r>
      <w:r>
        <w:rPr>
          <w:rFonts w:ascii="Arial" w:hAnsi="Arial" w:cs="Arial"/>
        </w:rPr>
        <w:t>3 August 2019)</w:t>
      </w:r>
      <w:r w:rsidRPr="00A24FEA">
        <w:rPr>
          <w:rFonts w:ascii="Arial" w:hAnsi="Arial" w:cs="Arial"/>
        </w:rPr>
        <w:t>.</w:t>
      </w:r>
    </w:p>
    <w:p w14:paraId="0B71C8F3" w14:textId="1DF6925A" w:rsidR="00A24FEA" w:rsidRDefault="00A24FEA" w:rsidP="001714FB">
      <w:pPr>
        <w:autoSpaceDE w:val="0"/>
        <w:autoSpaceDN w:val="0"/>
        <w:adjustRightInd w:val="0"/>
        <w:spacing w:before="240" w:after="0" w:line="360" w:lineRule="auto"/>
        <w:rPr>
          <w:rFonts w:ascii="Arial" w:hAnsi="Arial" w:cs="Arial"/>
        </w:rPr>
      </w:pPr>
      <w:r>
        <w:rPr>
          <w:rFonts w:ascii="Arial" w:hAnsi="Arial" w:cs="Arial"/>
        </w:rPr>
        <w:t>Office f</w:t>
      </w:r>
      <w:r w:rsidRPr="00A24FEA">
        <w:rPr>
          <w:rFonts w:ascii="Arial" w:hAnsi="Arial" w:cs="Arial"/>
        </w:rPr>
        <w:t xml:space="preserve">or National Statistics. 2013. </w:t>
      </w:r>
      <w:r w:rsidRPr="00A24FEA">
        <w:rPr>
          <w:rFonts w:ascii="Arial" w:hAnsi="Arial" w:cs="Arial"/>
          <w:i/>
        </w:rPr>
        <w:t>Labour market overview, UK: July 2019</w:t>
      </w:r>
      <w:r>
        <w:rPr>
          <w:rFonts w:ascii="Arial" w:hAnsi="Arial" w:cs="Arial"/>
        </w:rPr>
        <w:t>,</w:t>
      </w:r>
      <w:r w:rsidRPr="00A24FEA">
        <w:rPr>
          <w:rFonts w:ascii="Arial" w:hAnsi="Arial" w:cs="Arial"/>
        </w:rPr>
        <w:t xml:space="preserve"> </w:t>
      </w:r>
      <w:r>
        <w:rPr>
          <w:rFonts w:ascii="Arial" w:hAnsi="Arial" w:cs="Arial"/>
        </w:rPr>
        <w:t>a</w:t>
      </w:r>
      <w:r w:rsidRPr="00A24FEA">
        <w:rPr>
          <w:rFonts w:ascii="Arial" w:hAnsi="Arial" w:cs="Arial"/>
        </w:rPr>
        <w:t>vailable</w:t>
      </w:r>
      <w:r>
        <w:rPr>
          <w:rFonts w:ascii="Arial" w:hAnsi="Arial" w:cs="Arial"/>
        </w:rPr>
        <w:t xml:space="preserve"> at</w:t>
      </w:r>
      <w:r w:rsidRPr="00A24FEA">
        <w:rPr>
          <w:rFonts w:ascii="Arial" w:hAnsi="Arial" w:cs="Arial"/>
        </w:rPr>
        <w:t>:</w:t>
      </w:r>
      <w:r>
        <w:rPr>
          <w:rFonts w:ascii="Arial" w:hAnsi="Arial" w:cs="Arial"/>
        </w:rPr>
        <w:t xml:space="preserve"> </w:t>
      </w:r>
      <w:hyperlink r:id="rId12" w:history="1">
        <w:r w:rsidRPr="00946223">
          <w:rPr>
            <w:rStyle w:val="Hyperlink"/>
            <w:rFonts w:ascii="Arial" w:hAnsi="Arial" w:cs="Arial"/>
          </w:rPr>
          <w:t>https://www.ons.gov.uk/employmentandlabourmarket/peopleinwork/employmentandemployeetypes/bulletins/uklabourmarket/july2019</w:t>
        </w:r>
      </w:hyperlink>
      <w:r>
        <w:rPr>
          <w:rFonts w:ascii="Arial" w:hAnsi="Arial" w:cs="Arial"/>
        </w:rPr>
        <w:t xml:space="preserve"> (</w:t>
      </w:r>
      <w:r w:rsidRPr="00A24FEA">
        <w:rPr>
          <w:rFonts w:ascii="Arial" w:hAnsi="Arial" w:cs="Arial"/>
        </w:rPr>
        <w:t xml:space="preserve">Accessed </w:t>
      </w:r>
      <w:r>
        <w:rPr>
          <w:rFonts w:ascii="Arial" w:hAnsi="Arial" w:cs="Arial"/>
        </w:rPr>
        <w:t>3 August 2019)</w:t>
      </w:r>
      <w:r w:rsidRPr="00A24FEA">
        <w:rPr>
          <w:rFonts w:ascii="Arial" w:hAnsi="Arial" w:cs="Arial"/>
        </w:rPr>
        <w:t>.</w:t>
      </w:r>
    </w:p>
    <w:p w14:paraId="1759457D" w14:textId="4BFC7ED1" w:rsidR="00FC22CD" w:rsidRPr="007F121A" w:rsidRDefault="00FC22CD" w:rsidP="001714FB">
      <w:pPr>
        <w:autoSpaceDE w:val="0"/>
        <w:autoSpaceDN w:val="0"/>
        <w:adjustRightInd w:val="0"/>
        <w:spacing w:before="240" w:after="0" w:line="360" w:lineRule="auto"/>
        <w:rPr>
          <w:rFonts w:ascii="Arial" w:hAnsi="Arial" w:cs="Arial"/>
        </w:rPr>
      </w:pPr>
      <w:r w:rsidRPr="00FC22CD">
        <w:rPr>
          <w:rFonts w:ascii="Arial" w:hAnsi="Arial" w:cs="Arial"/>
        </w:rPr>
        <w:lastRenderedPageBreak/>
        <w:t xml:space="preserve">Pattison, B., 2010. </w:t>
      </w:r>
      <w:r w:rsidRPr="00FC22CD">
        <w:rPr>
          <w:rFonts w:ascii="Arial" w:hAnsi="Arial" w:cs="Arial"/>
          <w:i/>
        </w:rPr>
        <w:t>Tenure Trends in the UK Housing System: Will the Private Rented Sector Continue to Grow?</w:t>
      </w:r>
      <w:r w:rsidRPr="00FC22CD">
        <w:rPr>
          <w:rFonts w:ascii="Arial" w:hAnsi="Arial" w:cs="Arial"/>
        </w:rPr>
        <w:t>. BSHF.</w:t>
      </w:r>
    </w:p>
    <w:p w14:paraId="0000001E" w14:textId="4B3F44B8" w:rsidR="00FE0B4C" w:rsidRDefault="002E4F91" w:rsidP="002E4F91">
      <w:pPr>
        <w:spacing w:before="240" w:after="240" w:line="360" w:lineRule="auto"/>
        <w:jc w:val="both"/>
        <w:rPr>
          <w:rFonts w:ascii="Arial" w:hAnsi="Arial" w:cs="Arial"/>
        </w:rPr>
      </w:pPr>
      <w:r w:rsidRPr="007F121A">
        <w:rPr>
          <w:rFonts w:ascii="Arial" w:hAnsi="Arial" w:cs="Arial"/>
        </w:rPr>
        <w:t>Reid, C. 2013.</w:t>
      </w:r>
      <w:r w:rsidR="00791830" w:rsidRPr="007F121A">
        <w:rPr>
          <w:rFonts w:ascii="Arial" w:hAnsi="Arial" w:cs="Arial"/>
        </w:rPr>
        <w:t xml:space="preserve"> </w:t>
      </w:r>
      <w:r w:rsidR="00791830" w:rsidRPr="007F121A">
        <w:rPr>
          <w:rFonts w:ascii="Arial" w:hAnsi="Arial" w:cs="Arial"/>
          <w:i/>
        </w:rPr>
        <w:t>To Buy or Not to Buy? Understanding Tenure Preferences and the Decision-Making Processes of Lower-Income Households</w:t>
      </w:r>
      <w:r w:rsidR="00791830" w:rsidRPr="007F121A">
        <w:rPr>
          <w:rFonts w:ascii="Arial" w:hAnsi="Arial" w:cs="Arial"/>
        </w:rPr>
        <w:t>, Joint Center for Housing Studies of Harvard University, Cambridge.</w:t>
      </w:r>
    </w:p>
    <w:p w14:paraId="4640E7D1" w14:textId="07D8CF13" w:rsidR="009C03E4" w:rsidRDefault="009C03E4" w:rsidP="002E4F91">
      <w:pPr>
        <w:spacing w:before="240" w:after="240" w:line="360" w:lineRule="auto"/>
        <w:jc w:val="both"/>
        <w:rPr>
          <w:rFonts w:ascii="Arial" w:hAnsi="Arial" w:cs="Arial"/>
        </w:rPr>
      </w:pPr>
      <w:r w:rsidRPr="009C03E4">
        <w:rPr>
          <w:rFonts w:ascii="Arial" w:hAnsi="Arial" w:cs="Arial"/>
        </w:rPr>
        <w:t xml:space="preserve">Jara, H., 2015. The effect of job insecurity on labour supply. </w:t>
      </w:r>
      <w:r w:rsidRPr="009C03E4">
        <w:rPr>
          <w:rFonts w:ascii="Arial" w:hAnsi="Arial" w:cs="Arial"/>
          <w:i/>
        </w:rPr>
        <w:t>Australian Journal of Labour Economics</w:t>
      </w:r>
      <w:r w:rsidRPr="009C03E4">
        <w:rPr>
          <w:rFonts w:ascii="Arial" w:hAnsi="Arial" w:cs="Arial"/>
        </w:rPr>
        <w:t xml:space="preserve">, 18(2), p.187. </w:t>
      </w:r>
    </w:p>
    <w:p w14:paraId="238CAFAF" w14:textId="6EE54E38" w:rsidR="008F659F" w:rsidRDefault="00C33EA7" w:rsidP="00C33EA7">
      <w:pPr>
        <w:spacing w:before="240" w:after="240" w:line="360" w:lineRule="auto"/>
        <w:jc w:val="both"/>
        <w:rPr>
          <w:rFonts w:ascii="Arial" w:hAnsi="Arial" w:cs="Arial"/>
        </w:rPr>
      </w:pPr>
      <w:r>
        <w:rPr>
          <w:rFonts w:ascii="Arial" w:hAnsi="Arial" w:cs="Arial"/>
        </w:rPr>
        <w:t>StataCorp (2019), “c</w:t>
      </w:r>
      <w:r w:rsidRPr="00C33EA7">
        <w:rPr>
          <w:rFonts w:ascii="Arial" w:hAnsi="Arial" w:cs="Arial"/>
        </w:rPr>
        <w:t>logit – Conditional (fixed-effects) logistic regression”</w:t>
      </w:r>
      <w:r>
        <w:rPr>
          <w:rFonts w:ascii="Arial" w:hAnsi="Arial" w:cs="Arial"/>
        </w:rPr>
        <w:t xml:space="preserve">, in </w:t>
      </w:r>
      <w:r w:rsidRPr="00C33EA7">
        <w:rPr>
          <w:rFonts w:ascii="Arial" w:hAnsi="Arial" w:cs="Arial"/>
          <w:i/>
        </w:rPr>
        <w:t>Stata Base Reference Manual Release 16</w:t>
      </w:r>
      <w:r w:rsidRPr="00C33EA7">
        <w:rPr>
          <w:rFonts w:ascii="Arial" w:hAnsi="Arial" w:cs="Arial"/>
        </w:rPr>
        <w:t xml:space="preserve">, Stata Press, College Station, pp. </w:t>
      </w:r>
      <w:r>
        <w:rPr>
          <w:rFonts w:ascii="Arial" w:hAnsi="Arial" w:cs="Arial"/>
        </w:rPr>
        <w:t>251-266</w:t>
      </w:r>
      <w:r w:rsidRPr="00C33EA7">
        <w:rPr>
          <w:rFonts w:ascii="Arial" w:hAnsi="Arial" w:cs="Arial"/>
        </w:rPr>
        <w:t xml:space="preserve">, available at: </w:t>
      </w:r>
      <w:hyperlink r:id="rId13" w:history="1">
        <w:r w:rsidRPr="00E632CC">
          <w:rPr>
            <w:rStyle w:val="Hyperlink"/>
            <w:rFonts w:ascii="Arial" w:hAnsi="Arial" w:cs="Arial"/>
          </w:rPr>
          <w:t>www.stata.com/manuals/r.pdf</w:t>
        </w:r>
      </w:hyperlink>
      <w:r>
        <w:rPr>
          <w:rFonts w:ascii="Arial" w:hAnsi="Arial" w:cs="Arial"/>
        </w:rPr>
        <w:t xml:space="preserve"> </w:t>
      </w:r>
    </w:p>
    <w:p w14:paraId="64934CB5" w14:textId="006BE51B" w:rsidR="00A47A26" w:rsidRDefault="00A47A26" w:rsidP="002E4F91">
      <w:pPr>
        <w:spacing w:before="240" w:after="240" w:line="360" w:lineRule="auto"/>
        <w:jc w:val="both"/>
        <w:rPr>
          <w:rFonts w:ascii="Arial" w:hAnsi="Arial" w:cs="Arial"/>
        </w:rPr>
      </w:pPr>
      <w:r>
        <w:rPr>
          <w:rFonts w:ascii="Arial" w:hAnsi="Arial" w:cs="Arial"/>
        </w:rPr>
        <w:t>Tatch</w:t>
      </w:r>
      <w:r w:rsidRPr="00A47A26">
        <w:rPr>
          <w:rFonts w:ascii="Arial" w:hAnsi="Arial" w:cs="Arial"/>
        </w:rPr>
        <w:t xml:space="preserve">, J. 2007. Affordability—are parents helping. </w:t>
      </w:r>
      <w:r w:rsidRPr="00A47A26">
        <w:rPr>
          <w:rFonts w:ascii="Arial" w:hAnsi="Arial" w:cs="Arial"/>
          <w:i/>
        </w:rPr>
        <w:t>Housing Finance</w:t>
      </w:r>
      <w:r w:rsidRPr="00A47A26">
        <w:rPr>
          <w:rFonts w:ascii="Arial" w:hAnsi="Arial" w:cs="Arial"/>
        </w:rPr>
        <w:t>, 3, 1-11.</w:t>
      </w:r>
    </w:p>
    <w:p w14:paraId="309870E8" w14:textId="30DEB6CE" w:rsidR="00CE64A4" w:rsidRDefault="00463306" w:rsidP="002E4F91">
      <w:pPr>
        <w:spacing w:before="240" w:after="240" w:line="360" w:lineRule="auto"/>
        <w:jc w:val="both"/>
        <w:rPr>
          <w:rFonts w:ascii="Arial" w:hAnsi="Arial" w:cs="Arial"/>
        </w:rPr>
      </w:pPr>
      <w:r w:rsidRPr="00463306">
        <w:rPr>
          <w:rFonts w:ascii="Arial" w:hAnsi="Arial" w:cs="Arial"/>
        </w:rPr>
        <w:t>University of Essex, Institute for</w:t>
      </w:r>
      <w:r>
        <w:rPr>
          <w:rFonts w:ascii="Arial" w:hAnsi="Arial" w:cs="Arial"/>
        </w:rPr>
        <w:t xml:space="preserve"> Social and Economic Research. 2019,</w:t>
      </w:r>
      <w:r w:rsidRPr="00463306">
        <w:rPr>
          <w:rFonts w:ascii="Arial" w:hAnsi="Arial" w:cs="Arial"/>
        </w:rPr>
        <w:t xml:space="preserve"> </w:t>
      </w:r>
      <w:r w:rsidRPr="00463306">
        <w:rPr>
          <w:rFonts w:ascii="Arial" w:hAnsi="Arial" w:cs="Arial"/>
          <w:i/>
        </w:rPr>
        <w:t>Understanding Society: Waves 1-8, 2009-2017 and Harmonised BHPS: Waves 1-18, 1991-2009</w:t>
      </w:r>
      <w:r w:rsidRPr="00463306">
        <w:rPr>
          <w:rFonts w:ascii="Arial" w:hAnsi="Arial" w:cs="Arial"/>
        </w:rPr>
        <w:t xml:space="preserve">. [data collection]. </w:t>
      </w:r>
      <w:r w:rsidRPr="00463306">
        <w:rPr>
          <w:rFonts w:ascii="Arial" w:hAnsi="Arial" w:cs="Arial"/>
          <w:i/>
        </w:rPr>
        <w:t>11th Edition</w:t>
      </w:r>
      <w:r w:rsidRPr="00463306">
        <w:rPr>
          <w:rFonts w:ascii="Arial" w:hAnsi="Arial" w:cs="Arial"/>
        </w:rPr>
        <w:t>. UK Data Service. SN: 6614, http://doi.org/10.5255/UKDA-SN-6614-12</w:t>
      </w:r>
      <w:r w:rsidR="00FC1F4D">
        <w:rPr>
          <w:rFonts w:ascii="Arial" w:hAnsi="Arial" w:cs="Arial"/>
        </w:rPr>
        <w:t xml:space="preserve"> </w:t>
      </w:r>
    </w:p>
    <w:p w14:paraId="6B17C703" w14:textId="77777777" w:rsidR="00CE64A4" w:rsidRDefault="00CE64A4">
      <w:pPr>
        <w:rPr>
          <w:rFonts w:ascii="Arial" w:hAnsi="Arial" w:cs="Arial"/>
        </w:rPr>
      </w:pPr>
      <w:r>
        <w:rPr>
          <w:rFonts w:ascii="Arial" w:hAnsi="Arial" w:cs="Arial"/>
        </w:rPr>
        <w:br w:type="page"/>
      </w:r>
    </w:p>
    <w:p w14:paraId="1B4E960A" w14:textId="1AE757CA" w:rsidR="00FC1F4D" w:rsidRDefault="00CE64A4" w:rsidP="00D77F14">
      <w:pPr>
        <w:pStyle w:val="Heading1"/>
      </w:pPr>
      <w:r>
        <w:lastRenderedPageBreak/>
        <w:t>Appendices</w:t>
      </w:r>
    </w:p>
    <w:tbl>
      <w:tblPr>
        <w:tblW w:w="10359" w:type="dxa"/>
        <w:tblBorders>
          <w:top w:val="single" w:sz="4" w:space="0" w:color="auto"/>
          <w:bottom w:val="single" w:sz="4" w:space="0" w:color="auto"/>
        </w:tblBorders>
        <w:tblLook w:val="04A0" w:firstRow="1" w:lastRow="0" w:firstColumn="1" w:lastColumn="0" w:noHBand="0" w:noVBand="1"/>
      </w:tblPr>
      <w:tblGrid>
        <w:gridCol w:w="4253"/>
        <w:gridCol w:w="1701"/>
        <w:gridCol w:w="992"/>
        <w:gridCol w:w="1134"/>
        <w:gridCol w:w="1182"/>
        <w:gridCol w:w="1231"/>
      </w:tblGrid>
      <w:tr w:rsidR="00D77F14" w:rsidRPr="00D77F14" w14:paraId="40E9D1E3" w14:textId="77777777" w:rsidTr="00D77F14">
        <w:trPr>
          <w:trHeight w:val="300"/>
        </w:trPr>
        <w:tc>
          <w:tcPr>
            <w:tcW w:w="4253" w:type="dxa"/>
            <w:shd w:val="clear" w:color="auto" w:fill="auto"/>
            <w:noWrap/>
            <w:vAlign w:val="bottom"/>
            <w:hideMark/>
          </w:tcPr>
          <w:p w14:paraId="7D4B22A8" w14:textId="77777777" w:rsidR="00D77F14" w:rsidRPr="00D77F14" w:rsidRDefault="00D77F14" w:rsidP="00D77F14">
            <w:pPr>
              <w:spacing w:after="0" w:line="240" w:lineRule="auto"/>
              <w:rPr>
                <w:rFonts w:ascii="Arial" w:eastAsia="Times New Roman" w:hAnsi="Arial" w:cs="Arial"/>
                <w:b/>
                <w:color w:val="000000"/>
                <w:lang w:val="en-GB"/>
              </w:rPr>
            </w:pPr>
            <w:r w:rsidRPr="00D77F14">
              <w:rPr>
                <w:rFonts w:ascii="Arial" w:eastAsia="Times New Roman" w:hAnsi="Arial" w:cs="Arial"/>
                <w:b/>
                <w:color w:val="000000"/>
                <w:lang w:val="en-GB"/>
              </w:rPr>
              <w:t>Variable</w:t>
            </w:r>
          </w:p>
        </w:tc>
        <w:tc>
          <w:tcPr>
            <w:tcW w:w="1701" w:type="dxa"/>
            <w:tcBorders>
              <w:top w:val="single" w:sz="4" w:space="0" w:color="auto"/>
              <w:bottom w:val="single" w:sz="4" w:space="0" w:color="auto"/>
            </w:tcBorders>
            <w:shd w:val="clear" w:color="auto" w:fill="auto"/>
            <w:noWrap/>
            <w:vAlign w:val="bottom"/>
            <w:hideMark/>
          </w:tcPr>
          <w:p w14:paraId="467D885C" w14:textId="77777777" w:rsidR="00D77F14" w:rsidRPr="00D77F14" w:rsidRDefault="00D77F14" w:rsidP="00D77F14">
            <w:pPr>
              <w:spacing w:after="0" w:line="240" w:lineRule="auto"/>
              <w:rPr>
                <w:rFonts w:ascii="Arial" w:eastAsia="Times New Roman" w:hAnsi="Arial" w:cs="Arial"/>
                <w:b/>
                <w:color w:val="000000"/>
                <w:lang w:val="en-GB"/>
              </w:rPr>
            </w:pPr>
            <w:r w:rsidRPr="00D77F14">
              <w:rPr>
                <w:rFonts w:ascii="Arial" w:eastAsia="Times New Roman" w:hAnsi="Arial" w:cs="Arial"/>
                <w:b/>
                <w:color w:val="000000"/>
                <w:lang w:val="en-GB"/>
              </w:rPr>
              <w:t>Observations</w:t>
            </w:r>
          </w:p>
        </w:tc>
        <w:tc>
          <w:tcPr>
            <w:tcW w:w="992" w:type="dxa"/>
            <w:tcBorders>
              <w:top w:val="single" w:sz="4" w:space="0" w:color="auto"/>
              <w:bottom w:val="single" w:sz="4" w:space="0" w:color="auto"/>
            </w:tcBorders>
            <w:shd w:val="clear" w:color="auto" w:fill="auto"/>
            <w:noWrap/>
            <w:vAlign w:val="bottom"/>
            <w:hideMark/>
          </w:tcPr>
          <w:p w14:paraId="58E4F8AD" w14:textId="77777777" w:rsidR="00D77F14" w:rsidRPr="00D77F14" w:rsidRDefault="00D77F14" w:rsidP="00D77F14">
            <w:pPr>
              <w:spacing w:after="0" w:line="240" w:lineRule="auto"/>
              <w:rPr>
                <w:rFonts w:ascii="Arial" w:eastAsia="Times New Roman" w:hAnsi="Arial" w:cs="Arial"/>
                <w:b/>
                <w:color w:val="000000"/>
                <w:lang w:val="en-GB"/>
              </w:rPr>
            </w:pPr>
            <w:r w:rsidRPr="00D77F14">
              <w:rPr>
                <w:rFonts w:ascii="Arial" w:eastAsia="Times New Roman" w:hAnsi="Arial" w:cs="Arial"/>
                <w:b/>
                <w:color w:val="000000"/>
                <w:lang w:val="en-GB"/>
              </w:rPr>
              <w:t>Mean</w:t>
            </w:r>
          </w:p>
        </w:tc>
        <w:tc>
          <w:tcPr>
            <w:tcW w:w="1134" w:type="dxa"/>
            <w:tcBorders>
              <w:top w:val="single" w:sz="4" w:space="0" w:color="auto"/>
              <w:bottom w:val="single" w:sz="4" w:space="0" w:color="auto"/>
            </w:tcBorders>
            <w:shd w:val="clear" w:color="auto" w:fill="auto"/>
            <w:noWrap/>
            <w:vAlign w:val="bottom"/>
            <w:hideMark/>
          </w:tcPr>
          <w:p w14:paraId="6324FB15" w14:textId="77777777" w:rsidR="00D77F14" w:rsidRPr="00D77F14" w:rsidRDefault="00D77F14" w:rsidP="00D77F14">
            <w:pPr>
              <w:spacing w:after="0" w:line="240" w:lineRule="auto"/>
              <w:rPr>
                <w:rFonts w:ascii="Arial" w:eastAsia="Times New Roman" w:hAnsi="Arial" w:cs="Arial"/>
                <w:b/>
                <w:color w:val="000000"/>
                <w:lang w:val="en-GB"/>
              </w:rPr>
            </w:pPr>
            <w:r w:rsidRPr="00D77F14">
              <w:rPr>
                <w:rFonts w:ascii="Arial" w:eastAsia="Times New Roman" w:hAnsi="Arial" w:cs="Arial"/>
                <w:b/>
                <w:color w:val="000000"/>
                <w:lang w:val="en-GB"/>
              </w:rPr>
              <w:t>Std. dev</w:t>
            </w:r>
          </w:p>
        </w:tc>
        <w:tc>
          <w:tcPr>
            <w:tcW w:w="1109" w:type="dxa"/>
            <w:tcBorders>
              <w:top w:val="single" w:sz="4" w:space="0" w:color="auto"/>
              <w:bottom w:val="single" w:sz="4" w:space="0" w:color="auto"/>
            </w:tcBorders>
            <w:shd w:val="clear" w:color="auto" w:fill="auto"/>
            <w:noWrap/>
            <w:vAlign w:val="bottom"/>
            <w:hideMark/>
          </w:tcPr>
          <w:p w14:paraId="1CC14699" w14:textId="77777777" w:rsidR="00D77F14" w:rsidRPr="00D77F14" w:rsidRDefault="00D77F14" w:rsidP="00D77F14">
            <w:pPr>
              <w:spacing w:after="0" w:line="240" w:lineRule="auto"/>
              <w:rPr>
                <w:rFonts w:ascii="Arial" w:eastAsia="Times New Roman" w:hAnsi="Arial" w:cs="Arial"/>
                <w:b/>
                <w:color w:val="000000"/>
                <w:lang w:val="en-GB"/>
              </w:rPr>
            </w:pPr>
            <w:r w:rsidRPr="00D77F14">
              <w:rPr>
                <w:rFonts w:ascii="Arial" w:eastAsia="Times New Roman" w:hAnsi="Arial" w:cs="Arial"/>
                <w:b/>
                <w:color w:val="000000"/>
                <w:lang w:val="en-GB"/>
              </w:rPr>
              <w:t>Minimum</w:t>
            </w:r>
          </w:p>
        </w:tc>
        <w:tc>
          <w:tcPr>
            <w:tcW w:w="1170" w:type="dxa"/>
            <w:tcBorders>
              <w:top w:val="single" w:sz="4" w:space="0" w:color="auto"/>
              <w:bottom w:val="single" w:sz="4" w:space="0" w:color="auto"/>
            </w:tcBorders>
            <w:shd w:val="clear" w:color="auto" w:fill="auto"/>
            <w:noWrap/>
            <w:vAlign w:val="bottom"/>
            <w:hideMark/>
          </w:tcPr>
          <w:p w14:paraId="3DBE19A0" w14:textId="77777777" w:rsidR="00D77F14" w:rsidRPr="00D77F14" w:rsidRDefault="00D77F14" w:rsidP="00D77F14">
            <w:pPr>
              <w:spacing w:after="0" w:line="240" w:lineRule="auto"/>
              <w:rPr>
                <w:rFonts w:ascii="Arial" w:eastAsia="Times New Roman" w:hAnsi="Arial" w:cs="Arial"/>
                <w:b/>
                <w:color w:val="000000"/>
                <w:lang w:val="en-GB"/>
              </w:rPr>
            </w:pPr>
            <w:r w:rsidRPr="00D77F14">
              <w:rPr>
                <w:rFonts w:ascii="Arial" w:eastAsia="Times New Roman" w:hAnsi="Arial" w:cs="Arial"/>
                <w:b/>
                <w:color w:val="000000"/>
                <w:lang w:val="en-GB"/>
              </w:rPr>
              <w:t>Maximum</w:t>
            </w:r>
          </w:p>
        </w:tc>
      </w:tr>
      <w:tr w:rsidR="00D77F14" w:rsidRPr="00D77F14" w14:paraId="05EEE03F" w14:textId="77777777" w:rsidTr="00D77F14">
        <w:trPr>
          <w:trHeight w:val="300"/>
        </w:trPr>
        <w:tc>
          <w:tcPr>
            <w:tcW w:w="4253" w:type="dxa"/>
            <w:shd w:val="clear" w:color="auto" w:fill="auto"/>
            <w:noWrap/>
            <w:vAlign w:val="bottom"/>
            <w:hideMark/>
          </w:tcPr>
          <w:p w14:paraId="6525C53C" w14:textId="77777777" w:rsidR="00D77F14" w:rsidRPr="00D77F14" w:rsidRDefault="00D77F14" w:rsidP="00D77F14">
            <w:pPr>
              <w:spacing w:after="0" w:line="240" w:lineRule="auto"/>
              <w:rPr>
                <w:rFonts w:ascii="Arial" w:eastAsia="Times New Roman" w:hAnsi="Arial" w:cs="Arial"/>
                <w:i/>
                <w:iCs/>
                <w:color w:val="000000"/>
                <w:lang w:val="en-GB"/>
              </w:rPr>
            </w:pPr>
            <w:r w:rsidRPr="00D77F14">
              <w:rPr>
                <w:rFonts w:ascii="Arial" w:eastAsia="Times New Roman" w:hAnsi="Arial" w:cs="Arial"/>
                <w:i/>
                <w:iCs/>
                <w:color w:val="000000"/>
                <w:lang w:val="en-GB"/>
              </w:rPr>
              <w:t>Dependent</w:t>
            </w:r>
          </w:p>
        </w:tc>
        <w:tc>
          <w:tcPr>
            <w:tcW w:w="1701" w:type="dxa"/>
            <w:tcBorders>
              <w:top w:val="single" w:sz="4" w:space="0" w:color="auto"/>
            </w:tcBorders>
            <w:shd w:val="clear" w:color="auto" w:fill="auto"/>
            <w:noWrap/>
            <w:vAlign w:val="bottom"/>
            <w:hideMark/>
          </w:tcPr>
          <w:p w14:paraId="750C6B7B" w14:textId="77777777" w:rsidR="00D77F14" w:rsidRPr="00D77F14" w:rsidRDefault="00D77F14" w:rsidP="00D77F14">
            <w:pPr>
              <w:spacing w:after="0" w:line="240" w:lineRule="auto"/>
              <w:rPr>
                <w:rFonts w:ascii="Arial" w:eastAsia="Times New Roman" w:hAnsi="Arial" w:cs="Arial"/>
                <w:i/>
                <w:iCs/>
                <w:color w:val="000000"/>
                <w:lang w:val="en-GB"/>
              </w:rPr>
            </w:pPr>
          </w:p>
        </w:tc>
        <w:tc>
          <w:tcPr>
            <w:tcW w:w="992" w:type="dxa"/>
            <w:tcBorders>
              <w:top w:val="single" w:sz="4" w:space="0" w:color="auto"/>
            </w:tcBorders>
            <w:shd w:val="clear" w:color="auto" w:fill="auto"/>
            <w:noWrap/>
            <w:vAlign w:val="bottom"/>
            <w:hideMark/>
          </w:tcPr>
          <w:p w14:paraId="788441F8" w14:textId="77777777" w:rsidR="00D77F14" w:rsidRPr="00D77F14" w:rsidRDefault="00D77F14" w:rsidP="00D77F14">
            <w:pPr>
              <w:spacing w:after="0" w:line="240" w:lineRule="auto"/>
              <w:rPr>
                <w:rFonts w:ascii="Arial" w:eastAsia="Times New Roman" w:hAnsi="Arial" w:cs="Arial"/>
                <w:lang w:val="en-GB"/>
              </w:rPr>
            </w:pPr>
          </w:p>
        </w:tc>
        <w:tc>
          <w:tcPr>
            <w:tcW w:w="1134" w:type="dxa"/>
            <w:tcBorders>
              <w:top w:val="single" w:sz="4" w:space="0" w:color="auto"/>
            </w:tcBorders>
            <w:shd w:val="clear" w:color="auto" w:fill="auto"/>
            <w:noWrap/>
            <w:vAlign w:val="bottom"/>
            <w:hideMark/>
          </w:tcPr>
          <w:p w14:paraId="04E3C3B4" w14:textId="77777777" w:rsidR="00D77F14" w:rsidRPr="00D77F14" w:rsidRDefault="00D77F14" w:rsidP="00D77F14">
            <w:pPr>
              <w:spacing w:after="0" w:line="240" w:lineRule="auto"/>
              <w:rPr>
                <w:rFonts w:ascii="Arial" w:eastAsia="Times New Roman" w:hAnsi="Arial" w:cs="Arial"/>
                <w:lang w:val="en-GB"/>
              </w:rPr>
            </w:pPr>
          </w:p>
        </w:tc>
        <w:tc>
          <w:tcPr>
            <w:tcW w:w="1109" w:type="dxa"/>
            <w:tcBorders>
              <w:top w:val="single" w:sz="4" w:space="0" w:color="auto"/>
            </w:tcBorders>
            <w:shd w:val="clear" w:color="auto" w:fill="auto"/>
            <w:noWrap/>
            <w:vAlign w:val="bottom"/>
            <w:hideMark/>
          </w:tcPr>
          <w:p w14:paraId="30D78691" w14:textId="77777777" w:rsidR="00D77F14" w:rsidRPr="00D77F14" w:rsidRDefault="00D77F14" w:rsidP="00D77F14">
            <w:pPr>
              <w:spacing w:after="0" w:line="240" w:lineRule="auto"/>
              <w:rPr>
                <w:rFonts w:ascii="Arial" w:eastAsia="Times New Roman" w:hAnsi="Arial" w:cs="Arial"/>
                <w:lang w:val="en-GB"/>
              </w:rPr>
            </w:pPr>
          </w:p>
        </w:tc>
        <w:tc>
          <w:tcPr>
            <w:tcW w:w="1170" w:type="dxa"/>
            <w:tcBorders>
              <w:top w:val="single" w:sz="4" w:space="0" w:color="auto"/>
            </w:tcBorders>
            <w:shd w:val="clear" w:color="auto" w:fill="auto"/>
            <w:noWrap/>
            <w:vAlign w:val="bottom"/>
            <w:hideMark/>
          </w:tcPr>
          <w:p w14:paraId="575228AA" w14:textId="77777777" w:rsidR="00D77F14" w:rsidRPr="00D77F14" w:rsidRDefault="00D77F14" w:rsidP="00D77F14">
            <w:pPr>
              <w:spacing w:after="0" w:line="240" w:lineRule="auto"/>
              <w:rPr>
                <w:rFonts w:ascii="Arial" w:eastAsia="Times New Roman" w:hAnsi="Arial" w:cs="Arial"/>
                <w:lang w:val="en-GB"/>
              </w:rPr>
            </w:pPr>
          </w:p>
        </w:tc>
      </w:tr>
      <w:tr w:rsidR="00D77F14" w:rsidRPr="00D77F14" w14:paraId="07984931" w14:textId="77777777" w:rsidTr="00D77F14">
        <w:trPr>
          <w:trHeight w:val="300"/>
        </w:trPr>
        <w:tc>
          <w:tcPr>
            <w:tcW w:w="4253" w:type="dxa"/>
            <w:shd w:val="clear" w:color="auto" w:fill="auto"/>
            <w:noWrap/>
            <w:vAlign w:val="bottom"/>
            <w:hideMark/>
          </w:tcPr>
          <w:p w14:paraId="381D863D"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PR to HO</w:t>
            </w:r>
          </w:p>
        </w:tc>
        <w:tc>
          <w:tcPr>
            <w:tcW w:w="1701" w:type="dxa"/>
            <w:shd w:val="clear" w:color="auto" w:fill="auto"/>
            <w:noWrap/>
            <w:vAlign w:val="bottom"/>
            <w:hideMark/>
          </w:tcPr>
          <w:p w14:paraId="5FB3923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06FD7A2A"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0.0138</w:t>
            </w:r>
          </w:p>
        </w:tc>
        <w:tc>
          <w:tcPr>
            <w:tcW w:w="1134" w:type="dxa"/>
            <w:shd w:val="clear" w:color="auto" w:fill="auto"/>
            <w:noWrap/>
            <w:vAlign w:val="bottom"/>
            <w:hideMark/>
          </w:tcPr>
          <w:p w14:paraId="45444E7C"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0.117</w:t>
            </w:r>
          </w:p>
        </w:tc>
        <w:tc>
          <w:tcPr>
            <w:tcW w:w="1109" w:type="dxa"/>
            <w:shd w:val="clear" w:color="auto" w:fill="auto"/>
            <w:noWrap/>
            <w:vAlign w:val="bottom"/>
            <w:hideMark/>
          </w:tcPr>
          <w:p w14:paraId="6883D1D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241653C4"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59E66DC3" w14:textId="77777777" w:rsidTr="00D77F14">
        <w:trPr>
          <w:trHeight w:val="300"/>
        </w:trPr>
        <w:tc>
          <w:tcPr>
            <w:tcW w:w="4253" w:type="dxa"/>
            <w:shd w:val="clear" w:color="auto" w:fill="auto"/>
            <w:noWrap/>
            <w:vAlign w:val="bottom"/>
            <w:hideMark/>
          </w:tcPr>
          <w:p w14:paraId="783C9F1C"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PH to HO</w:t>
            </w:r>
          </w:p>
        </w:tc>
        <w:tc>
          <w:tcPr>
            <w:tcW w:w="1701" w:type="dxa"/>
            <w:shd w:val="clear" w:color="auto" w:fill="auto"/>
            <w:noWrap/>
            <w:vAlign w:val="bottom"/>
            <w:hideMark/>
          </w:tcPr>
          <w:p w14:paraId="48B0EBDC"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465525F9"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0.0183</w:t>
            </w:r>
          </w:p>
        </w:tc>
        <w:tc>
          <w:tcPr>
            <w:tcW w:w="1134" w:type="dxa"/>
            <w:shd w:val="clear" w:color="auto" w:fill="auto"/>
            <w:noWrap/>
            <w:vAlign w:val="bottom"/>
            <w:hideMark/>
          </w:tcPr>
          <w:p w14:paraId="4B9E8D22"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0.134</w:t>
            </w:r>
          </w:p>
        </w:tc>
        <w:tc>
          <w:tcPr>
            <w:tcW w:w="1109" w:type="dxa"/>
            <w:shd w:val="clear" w:color="auto" w:fill="auto"/>
            <w:noWrap/>
            <w:vAlign w:val="bottom"/>
            <w:hideMark/>
          </w:tcPr>
          <w:p w14:paraId="1C993CBA"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3DBB6A36"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0CF2425F" w14:textId="77777777" w:rsidTr="00D77F14">
        <w:trPr>
          <w:trHeight w:val="300"/>
        </w:trPr>
        <w:tc>
          <w:tcPr>
            <w:tcW w:w="4253" w:type="dxa"/>
            <w:shd w:val="clear" w:color="auto" w:fill="auto"/>
            <w:noWrap/>
            <w:vAlign w:val="bottom"/>
            <w:hideMark/>
          </w:tcPr>
          <w:p w14:paraId="780DAB00" w14:textId="77777777" w:rsidR="00D77F14" w:rsidRPr="00D77F14" w:rsidRDefault="00D77F14" w:rsidP="00D77F14">
            <w:pPr>
              <w:spacing w:after="0" w:line="240" w:lineRule="auto"/>
              <w:rPr>
                <w:rFonts w:ascii="Arial" w:eastAsia="Times New Roman" w:hAnsi="Arial" w:cs="Arial"/>
                <w:i/>
                <w:iCs/>
                <w:color w:val="000000"/>
                <w:lang w:val="en-GB"/>
              </w:rPr>
            </w:pPr>
            <w:r w:rsidRPr="00D77F14">
              <w:rPr>
                <w:rFonts w:ascii="Arial" w:eastAsia="Times New Roman" w:hAnsi="Arial" w:cs="Arial"/>
                <w:i/>
                <w:iCs/>
                <w:color w:val="000000"/>
                <w:lang w:val="en-GB"/>
              </w:rPr>
              <w:t>Control variables</w:t>
            </w:r>
          </w:p>
        </w:tc>
        <w:tc>
          <w:tcPr>
            <w:tcW w:w="1701" w:type="dxa"/>
            <w:shd w:val="clear" w:color="auto" w:fill="auto"/>
            <w:noWrap/>
            <w:vAlign w:val="bottom"/>
            <w:hideMark/>
          </w:tcPr>
          <w:p w14:paraId="3F66250C" w14:textId="77777777" w:rsidR="00D77F14" w:rsidRPr="00D77F14" w:rsidRDefault="00D77F14" w:rsidP="00D77F14">
            <w:pPr>
              <w:spacing w:after="0" w:line="240" w:lineRule="auto"/>
              <w:rPr>
                <w:rFonts w:ascii="Arial" w:eastAsia="Times New Roman" w:hAnsi="Arial" w:cs="Arial"/>
                <w:i/>
                <w:iCs/>
                <w:color w:val="000000"/>
                <w:lang w:val="en-GB"/>
              </w:rPr>
            </w:pPr>
          </w:p>
        </w:tc>
        <w:tc>
          <w:tcPr>
            <w:tcW w:w="992" w:type="dxa"/>
            <w:shd w:val="clear" w:color="auto" w:fill="auto"/>
            <w:noWrap/>
            <w:vAlign w:val="bottom"/>
            <w:hideMark/>
          </w:tcPr>
          <w:p w14:paraId="4CA8158D" w14:textId="77777777" w:rsidR="00D77F14" w:rsidRPr="00D77F14" w:rsidRDefault="00D77F14" w:rsidP="00D77F14">
            <w:pPr>
              <w:spacing w:after="0" w:line="240" w:lineRule="auto"/>
              <w:rPr>
                <w:rFonts w:ascii="Arial" w:eastAsia="Times New Roman" w:hAnsi="Arial" w:cs="Arial"/>
                <w:lang w:val="en-GB"/>
              </w:rPr>
            </w:pPr>
          </w:p>
        </w:tc>
        <w:tc>
          <w:tcPr>
            <w:tcW w:w="1134" w:type="dxa"/>
            <w:shd w:val="clear" w:color="auto" w:fill="auto"/>
            <w:noWrap/>
            <w:vAlign w:val="bottom"/>
            <w:hideMark/>
          </w:tcPr>
          <w:p w14:paraId="674F940B" w14:textId="77777777" w:rsidR="00D77F14" w:rsidRPr="00D77F14" w:rsidRDefault="00D77F14" w:rsidP="00D77F14">
            <w:pPr>
              <w:spacing w:after="0" w:line="240" w:lineRule="auto"/>
              <w:rPr>
                <w:rFonts w:ascii="Arial" w:eastAsia="Times New Roman" w:hAnsi="Arial" w:cs="Arial"/>
                <w:lang w:val="en-GB"/>
              </w:rPr>
            </w:pPr>
          </w:p>
        </w:tc>
        <w:tc>
          <w:tcPr>
            <w:tcW w:w="1109" w:type="dxa"/>
            <w:shd w:val="clear" w:color="auto" w:fill="auto"/>
            <w:noWrap/>
            <w:vAlign w:val="bottom"/>
            <w:hideMark/>
          </w:tcPr>
          <w:p w14:paraId="72EF5152" w14:textId="77777777" w:rsidR="00D77F14" w:rsidRPr="00D77F14" w:rsidRDefault="00D77F14" w:rsidP="00D77F14">
            <w:pPr>
              <w:spacing w:after="0" w:line="240" w:lineRule="auto"/>
              <w:rPr>
                <w:rFonts w:ascii="Arial" w:eastAsia="Times New Roman" w:hAnsi="Arial" w:cs="Arial"/>
                <w:lang w:val="en-GB"/>
              </w:rPr>
            </w:pPr>
          </w:p>
        </w:tc>
        <w:tc>
          <w:tcPr>
            <w:tcW w:w="1170" w:type="dxa"/>
            <w:shd w:val="clear" w:color="auto" w:fill="auto"/>
            <w:noWrap/>
            <w:vAlign w:val="bottom"/>
            <w:hideMark/>
          </w:tcPr>
          <w:p w14:paraId="620FA322" w14:textId="77777777" w:rsidR="00D77F14" w:rsidRPr="00D77F14" w:rsidRDefault="00D77F14" w:rsidP="00D77F14">
            <w:pPr>
              <w:spacing w:after="0" w:line="240" w:lineRule="auto"/>
              <w:rPr>
                <w:rFonts w:ascii="Arial" w:eastAsia="Times New Roman" w:hAnsi="Arial" w:cs="Arial"/>
                <w:lang w:val="en-GB"/>
              </w:rPr>
            </w:pPr>
          </w:p>
        </w:tc>
      </w:tr>
      <w:tr w:rsidR="00D77F14" w:rsidRPr="00D77F14" w14:paraId="1A96A397" w14:textId="77777777" w:rsidTr="00D77F14">
        <w:trPr>
          <w:trHeight w:val="300"/>
        </w:trPr>
        <w:tc>
          <w:tcPr>
            <w:tcW w:w="4253" w:type="dxa"/>
            <w:shd w:val="clear" w:color="auto" w:fill="auto"/>
            <w:noWrap/>
            <w:vAlign w:val="bottom"/>
            <w:hideMark/>
          </w:tcPr>
          <w:p w14:paraId="44E8E305" w14:textId="7BB432D4"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Wage rate</w:t>
            </w:r>
            <w:r w:rsidRPr="00D77F14">
              <w:rPr>
                <w:rFonts w:ascii="Arial" w:eastAsia="Times New Roman" w:hAnsi="Arial" w:cs="Arial"/>
                <w:color w:val="000000"/>
                <w:vertAlign w:val="superscript"/>
                <w:lang w:val="en-GB"/>
              </w:rPr>
              <w:t>c</w:t>
            </w:r>
          </w:p>
        </w:tc>
        <w:tc>
          <w:tcPr>
            <w:tcW w:w="1701" w:type="dxa"/>
            <w:shd w:val="clear" w:color="auto" w:fill="auto"/>
            <w:noWrap/>
            <w:vAlign w:val="bottom"/>
            <w:hideMark/>
          </w:tcPr>
          <w:p w14:paraId="355A0C9C"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5AA295A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0.8507</w:t>
            </w:r>
          </w:p>
        </w:tc>
        <w:tc>
          <w:tcPr>
            <w:tcW w:w="1134" w:type="dxa"/>
            <w:shd w:val="clear" w:color="auto" w:fill="auto"/>
            <w:noWrap/>
            <w:vAlign w:val="bottom"/>
            <w:hideMark/>
          </w:tcPr>
          <w:p w14:paraId="2A5552B0"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1.654</w:t>
            </w:r>
          </w:p>
        </w:tc>
        <w:tc>
          <w:tcPr>
            <w:tcW w:w="1109" w:type="dxa"/>
            <w:shd w:val="clear" w:color="auto" w:fill="auto"/>
            <w:noWrap/>
            <w:vAlign w:val="bottom"/>
            <w:hideMark/>
          </w:tcPr>
          <w:p w14:paraId="2651E3E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2EA211EE"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61.25</w:t>
            </w:r>
          </w:p>
        </w:tc>
      </w:tr>
      <w:tr w:rsidR="00D77F14" w:rsidRPr="00D77F14" w14:paraId="4DE198E3" w14:textId="77777777" w:rsidTr="00D77F14">
        <w:trPr>
          <w:trHeight w:val="300"/>
        </w:trPr>
        <w:tc>
          <w:tcPr>
            <w:tcW w:w="4253" w:type="dxa"/>
            <w:shd w:val="clear" w:color="auto" w:fill="auto"/>
            <w:noWrap/>
            <w:vAlign w:val="bottom"/>
            <w:hideMark/>
          </w:tcPr>
          <w:p w14:paraId="200EA050" w14:textId="4CE06F29"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Wage rate sq</w:t>
            </w:r>
            <w:r w:rsidRPr="00D77F14">
              <w:rPr>
                <w:rFonts w:ascii="Arial" w:eastAsia="Times New Roman" w:hAnsi="Arial" w:cs="Arial"/>
                <w:color w:val="000000"/>
                <w:vertAlign w:val="superscript"/>
                <w:lang w:val="en-GB"/>
              </w:rPr>
              <w:t>c</w:t>
            </w:r>
          </w:p>
        </w:tc>
        <w:tc>
          <w:tcPr>
            <w:tcW w:w="1701" w:type="dxa"/>
            <w:shd w:val="clear" w:color="auto" w:fill="auto"/>
            <w:noWrap/>
            <w:vAlign w:val="bottom"/>
            <w:hideMark/>
          </w:tcPr>
          <w:p w14:paraId="6C28E95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788C84F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3.4608</w:t>
            </w:r>
          </w:p>
        </w:tc>
        <w:tc>
          <w:tcPr>
            <w:tcW w:w="1134" w:type="dxa"/>
            <w:shd w:val="clear" w:color="auto" w:fill="auto"/>
            <w:noWrap/>
            <w:vAlign w:val="bottom"/>
            <w:hideMark/>
          </w:tcPr>
          <w:p w14:paraId="41D7151C"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36.109</w:t>
            </w:r>
          </w:p>
        </w:tc>
        <w:tc>
          <w:tcPr>
            <w:tcW w:w="1109" w:type="dxa"/>
            <w:shd w:val="clear" w:color="auto" w:fill="auto"/>
            <w:noWrap/>
            <w:vAlign w:val="bottom"/>
            <w:hideMark/>
          </w:tcPr>
          <w:p w14:paraId="7351B15B"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200DD643"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3751.56</w:t>
            </w:r>
          </w:p>
        </w:tc>
      </w:tr>
      <w:tr w:rsidR="00D77F14" w:rsidRPr="00D77F14" w14:paraId="77ECAA74" w14:textId="77777777" w:rsidTr="00D77F14">
        <w:trPr>
          <w:trHeight w:val="300"/>
        </w:trPr>
        <w:tc>
          <w:tcPr>
            <w:tcW w:w="4253" w:type="dxa"/>
            <w:shd w:val="clear" w:color="auto" w:fill="auto"/>
            <w:noWrap/>
            <w:vAlign w:val="bottom"/>
            <w:hideMark/>
          </w:tcPr>
          <w:p w14:paraId="62B3206B"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Female</w:t>
            </w:r>
          </w:p>
        </w:tc>
        <w:tc>
          <w:tcPr>
            <w:tcW w:w="1701" w:type="dxa"/>
            <w:shd w:val="clear" w:color="auto" w:fill="auto"/>
            <w:noWrap/>
            <w:vAlign w:val="bottom"/>
            <w:hideMark/>
          </w:tcPr>
          <w:p w14:paraId="0CEF8E8D"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5D3C7D5B"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0.5384</w:t>
            </w:r>
          </w:p>
        </w:tc>
        <w:tc>
          <w:tcPr>
            <w:tcW w:w="1134" w:type="dxa"/>
            <w:shd w:val="clear" w:color="auto" w:fill="auto"/>
            <w:noWrap/>
            <w:vAlign w:val="bottom"/>
            <w:hideMark/>
          </w:tcPr>
          <w:p w14:paraId="74A1E67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0.499</w:t>
            </w:r>
          </w:p>
        </w:tc>
        <w:tc>
          <w:tcPr>
            <w:tcW w:w="1109" w:type="dxa"/>
            <w:shd w:val="clear" w:color="auto" w:fill="auto"/>
            <w:noWrap/>
            <w:vAlign w:val="bottom"/>
            <w:hideMark/>
          </w:tcPr>
          <w:p w14:paraId="02147932"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667A2BBC"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3D515520" w14:textId="77777777" w:rsidTr="00D77F14">
        <w:trPr>
          <w:trHeight w:val="300"/>
        </w:trPr>
        <w:tc>
          <w:tcPr>
            <w:tcW w:w="4253" w:type="dxa"/>
            <w:shd w:val="clear" w:color="auto" w:fill="auto"/>
            <w:noWrap/>
            <w:vAlign w:val="bottom"/>
            <w:hideMark/>
          </w:tcPr>
          <w:p w14:paraId="4D542F35"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Age 25-29, ref = 18-24</w:t>
            </w:r>
          </w:p>
        </w:tc>
        <w:tc>
          <w:tcPr>
            <w:tcW w:w="1701" w:type="dxa"/>
            <w:shd w:val="clear" w:color="auto" w:fill="auto"/>
            <w:noWrap/>
            <w:vAlign w:val="bottom"/>
            <w:hideMark/>
          </w:tcPr>
          <w:p w14:paraId="31A3E2E4"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7744081C"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0.2096</w:t>
            </w:r>
          </w:p>
        </w:tc>
        <w:tc>
          <w:tcPr>
            <w:tcW w:w="1134" w:type="dxa"/>
            <w:shd w:val="clear" w:color="auto" w:fill="auto"/>
            <w:noWrap/>
            <w:vAlign w:val="bottom"/>
            <w:hideMark/>
          </w:tcPr>
          <w:p w14:paraId="07F81EB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0.407</w:t>
            </w:r>
          </w:p>
        </w:tc>
        <w:tc>
          <w:tcPr>
            <w:tcW w:w="1109" w:type="dxa"/>
            <w:shd w:val="clear" w:color="auto" w:fill="auto"/>
            <w:noWrap/>
            <w:vAlign w:val="bottom"/>
            <w:hideMark/>
          </w:tcPr>
          <w:p w14:paraId="54BF5F1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4CB0FFC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778E0A69" w14:textId="77777777" w:rsidTr="00D77F14">
        <w:trPr>
          <w:trHeight w:val="300"/>
        </w:trPr>
        <w:tc>
          <w:tcPr>
            <w:tcW w:w="4253" w:type="dxa"/>
            <w:shd w:val="clear" w:color="auto" w:fill="auto"/>
            <w:noWrap/>
            <w:vAlign w:val="bottom"/>
            <w:hideMark/>
          </w:tcPr>
          <w:p w14:paraId="743B92AD"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Age 30-34</w:t>
            </w:r>
          </w:p>
        </w:tc>
        <w:tc>
          <w:tcPr>
            <w:tcW w:w="1701" w:type="dxa"/>
            <w:shd w:val="clear" w:color="auto" w:fill="auto"/>
            <w:noWrap/>
            <w:vAlign w:val="bottom"/>
            <w:hideMark/>
          </w:tcPr>
          <w:p w14:paraId="2C76DFD3"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6775678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0.5157</w:t>
            </w:r>
          </w:p>
        </w:tc>
        <w:tc>
          <w:tcPr>
            <w:tcW w:w="1134" w:type="dxa"/>
            <w:shd w:val="clear" w:color="auto" w:fill="auto"/>
            <w:noWrap/>
            <w:vAlign w:val="bottom"/>
            <w:hideMark/>
          </w:tcPr>
          <w:p w14:paraId="1E12C4D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0.500</w:t>
            </w:r>
          </w:p>
        </w:tc>
        <w:tc>
          <w:tcPr>
            <w:tcW w:w="1109" w:type="dxa"/>
            <w:shd w:val="clear" w:color="auto" w:fill="auto"/>
            <w:noWrap/>
            <w:vAlign w:val="bottom"/>
            <w:hideMark/>
          </w:tcPr>
          <w:p w14:paraId="511681E3"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6781BF20"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674B282B" w14:textId="77777777" w:rsidTr="00D77F14">
        <w:trPr>
          <w:trHeight w:val="300"/>
        </w:trPr>
        <w:tc>
          <w:tcPr>
            <w:tcW w:w="4253" w:type="dxa"/>
            <w:shd w:val="clear" w:color="auto" w:fill="auto"/>
            <w:noWrap/>
            <w:vAlign w:val="bottom"/>
            <w:hideMark/>
          </w:tcPr>
          <w:p w14:paraId="1F324B8B" w14:textId="4EC3239C"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1-2 children</w:t>
            </w:r>
            <w:r w:rsidR="00765D8E">
              <w:rPr>
                <w:rFonts w:ascii="Arial" w:eastAsia="Times New Roman" w:hAnsi="Arial" w:cs="Arial"/>
                <w:color w:val="000000"/>
                <w:lang w:val="en-GB"/>
              </w:rPr>
              <w:t xml:space="preserve"> in household</w:t>
            </w:r>
            <w:r w:rsidRPr="00D77F14">
              <w:rPr>
                <w:rFonts w:ascii="Arial" w:eastAsia="Times New Roman" w:hAnsi="Arial" w:cs="Arial"/>
                <w:color w:val="000000"/>
                <w:lang w:val="en-GB"/>
              </w:rPr>
              <w:t xml:space="preserve">, </w:t>
            </w:r>
            <w:r w:rsidRPr="009F0838">
              <w:rPr>
                <w:rFonts w:ascii="Arial" w:eastAsia="Times New Roman" w:hAnsi="Arial" w:cs="Arial"/>
                <w:i/>
                <w:color w:val="000000"/>
                <w:lang w:val="en-GB"/>
              </w:rPr>
              <w:t>ref = no child</w:t>
            </w:r>
          </w:p>
        </w:tc>
        <w:tc>
          <w:tcPr>
            <w:tcW w:w="1701" w:type="dxa"/>
            <w:shd w:val="clear" w:color="auto" w:fill="auto"/>
            <w:noWrap/>
            <w:vAlign w:val="bottom"/>
            <w:hideMark/>
          </w:tcPr>
          <w:p w14:paraId="6788CE7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06658333"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0.4388</w:t>
            </w:r>
          </w:p>
        </w:tc>
        <w:tc>
          <w:tcPr>
            <w:tcW w:w="1134" w:type="dxa"/>
            <w:shd w:val="clear" w:color="auto" w:fill="auto"/>
            <w:noWrap/>
            <w:vAlign w:val="bottom"/>
            <w:hideMark/>
          </w:tcPr>
          <w:p w14:paraId="7F66F871"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0.496</w:t>
            </w:r>
          </w:p>
        </w:tc>
        <w:tc>
          <w:tcPr>
            <w:tcW w:w="1109" w:type="dxa"/>
            <w:shd w:val="clear" w:color="auto" w:fill="auto"/>
            <w:noWrap/>
            <w:vAlign w:val="bottom"/>
            <w:hideMark/>
          </w:tcPr>
          <w:p w14:paraId="2C55FABE"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79810FE1"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33C09455" w14:textId="77777777" w:rsidTr="00D77F14">
        <w:trPr>
          <w:trHeight w:val="300"/>
        </w:trPr>
        <w:tc>
          <w:tcPr>
            <w:tcW w:w="4253" w:type="dxa"/>
            <w:shd w:val="clear" w:color="auto" w:fill="auto"/>
            <w:noWrap/>
            <w:vAlign w:val="bottom"/>
            <w:hideMark/>
          </w:tcPr>
          <w:p w14:paraId="4950D628" w14:textId="5607F421"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 children</w:t>
            </w:r>
            <w:r w:rsidR="00765D8E">
              <w:rPr>
                <w:rFonts w:ascii="Arial" w:eastAsia="Times New Roman" w:hAnsi="Arial" w:cs="Arial"/>
                <w:color w:val="000000"/>
                <w:lang w:val="en-GB"/>
              </w:rPr>
              <w:t xml:space="preserve"> in household</w:t>
            </w:r>
          </w:p>
        </w:tc>
        <w:tc>
          <w:tcPr>
            <w:tcW w:w="1701" w:type="dxa"/>
            <w:shd w:val="clear" w:color="auto" w:fill="auto"/>
            <w:noWrap/>
            <w:vAlign w:val="bottom"/>
            <w:hideMark/>
          </w:tcPr>
          <w:p w14:paraId="3D34A2E2"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2759969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0.0818</w:t>
            </w:r>
          </w:p>
        </w:tc>
        <w:tc>
          <w:tcPr>
            <w:tcW w:w="1134" w:type="dxa"/>
            <w:shd w:val="clear" w:color="auto" w:fill="auto"/>
            <w:noWrap/>
            <w:vAlign w:val="bottom"/>
            <w:hideMark/>
          </w:tcPr>
          <w:p w14:paraId="32F2D435"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0.274</w:t>
            </w:r>
          </w:p>
        </w:tc>
        <w:tc>
          <w:tcPr>
            <w:tcW w:w="1109" w:type="dxa"/>
            <w:shd w:val="clear" w:color="auto" w:fill="auto"/>
            <w:noWrap/>
            <w:vAlign w:val="bottom"/>
            <w:hideMark/>
          </w:tcPr>
          <w:p w14:paraId="28C3B552"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770FC9E0"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37BF0036" w14:textId="77777777" w:rsidTr="00D77F14">
        <w:trPr>
          <w:trHeight w:val="300"/>
        </w:trPr>
        <w:tc>
          <w:tcPr>
            <w:tcW w:w="4253" w:type="dxa"/>
            <w:shd w:val="clear" w:color="auto" w:fill="auto"/>
            <w:noWrap/>
            <w:vAlign w:val="bottom"/>
            <w:hideMark/>
          </w:tcPr>
          <w:p w14:paraId="7E074164"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 xml:space="preserve">Non-white, </w:t>
            </w:r>
            <w:r w:rsidRPr="009F0838">
              <w:rPr>
                <w:rFonts w:ascii="Arial" w:eastAsia="Times New Roman" w:hAnsi="Arial" w:cs="Arial"/>
                <w:i/>
                <w:color w:val="000000"/>
                <w:lang w:val="en-GB"/>
              </w:rPr>
              <w:t>ref=White</w:t>
            </w:r>
          </w:p>
        </w:tc>
        <w:tc>
          <w:tcPr>
            <w:tcW w:w="1701" w:type="dxa"/>
            <w:shd w:val="clear" w:color="auto" w:fill="auto"/>
            <w:noWrap/>
            <w:vAlign w:val="bottom"/>
            <w:hideMark/>
          </w:tcPr>
          <w:p w14:paraId="7764823A"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65E4D04C"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0.5590</w:t>
            </w:r>
          </w:p>
        </w:tc>
        <w:tc>
          <w:tcPr>
            <w:tcW w:w="1134" w:type="dxa"/>
            <w:shd w:val="clear" w:color="auto" w:fill="auto"/>
            <w:noWrap/>
            <w:vAlign w:val="bottom"/>
            <w:hideMark/>
          </w:tcPr>
          <w:p w14:paraId="1617DCBD"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0.497</w:t>
            </w:r>
          </w:p>
        </w:tc>
        <w:tc>
          <w:tcPr>
            <w:tcW w:w="1109" w:type="dxa"/>
            <w:shd w:val="clear" w:color="auto" w:fill="auto"/>
            <w:noWrap/>
            <w:vAlign w:val="bottom"/>
            <w:hideMark/>
          </w:tcPr>
          <w:p w14:paraId="2C7BEC11"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291C24DD"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72A08520" w14:textId="77777777" w:rsidTr="00D77F14">
        <w:trPr>
          <w:trHeight w:val="300"/>
        </w:trPr>
        <w:tc>
          <w:tcPr>
            <w:tcW w:w="4253" w:type="dxa"/>
            <w:shd w:val="clear" w:color="auto" w:fill="auto"/>
            <w:noWrap/>
            <w:vAlign w:val="bottom"/>
            <w:hideMark/>
          </w:tcPr>
          <w:p w14:paraId="3577EDDC"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Presence of spouse in household</w:t>
            </w:r>
          </w:p>
        </w:tc>
        <w:tc>
          <w:tcPr>
            <w:tcW w:w="1701" w:type="dxa"/>
            <w:shd w:val="clear" w:color="auto" w:fill="auto"/>
            <w:noWrap/>
            <w:vAlign w:val="bottom"/>
            <w:hideMark/>
          </w:tcPr>
          <w:p w14:paraId="54ECED62"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205BA7FD"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0.5205</w:t>
            </w:r>
          </w:p>
        </w:tc>
        <w:tc>
          <w:tcPr>
            <w:tcW w:w="1134" w:type="dxa"/>
            <w:shd w:val="clear" w:color="auto" w:fill="auto"/>
            <w:noWrap/>
            <w:vAlign w:val="bottom"/>
            <w:hideMark/>
          </w:tcPr>
          <w:p w14:paraId="7748512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0.500</w:t>
            </w:r>
          </w:p>
        </w:tc>
        <w:tc>
          <w:tcPr>
            <w:tcW w:w="1109" w:type="dxa"/>
            <w:shd w:val="clear" w:color="auto" w:fill="auto"/>
            <w:noWrap/>
            <w:vAlign w:val="bottom"/>
            <w:hideMark/>
          </w:tcPr>
          <w:p w14:paraId="2C5E2082"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3211DEE3"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7101E1DD" w14:textId="77777777" w:rsidTr="00D77F14">
        <w:trPr>
          <w:trHeight w:val="300"/>
        </w:trPr>
        <w:tc>
          <w:tcPr>
            <w:tcW w:w="4253" w:type="dxa"/>
            <w:shd w:val="clear" w:color="auto" w:fill="auto"/>
            <w:noWrap/>
            <w:vAlign w:val="bottom"/>
            <w:hideMark/>
          </w:tcPr>
          <w:p w14:paraId="1320149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 xml:space="preserve">Q2 house prices, </w:t>
            </w:r>
            <w:r w:rsidRPr="009F0838">
              <w:rPr>
                <w:rFonts w:ascii="Arial" w:eastAsia="Times New Roman" w:hAnsi="Arial" w:cs="Arial"/>
                <w:i/>
                <w:color w:val="000000"/>
                <w:lang w:val="en-GB"/>
              </w:rPr>
              <w:t>ref=Q1</w:t>
            </w:r>
          </w:p>
        </w:tc>
        <w:tc>
          <w:tcPr>
            <w:tcW w:w="1701" w:type="dxa"/>
            <w:shd w:val="clear" w:color="auto" w:fill="auto"/>
            <w:noWrap/>
            <w:vAlign w:val="bottom"/>
            <w:hideMark/>
          </w:tcPr>
          <w:p w14:paraId="50C290FD"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5341133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0.1402</w:t>
            </w:r>
          </w:p>
        </w:tc>
        <w:tc>
          <w:tcPr>
            <w:tcW w:w="1134" w:type="dxa"/>
            <w:shd w:val="clear" w:color="auto" w:fill="auto"/>
            <w:noWrap/>
            <w:vAlign w:val="bottom"/>
            <w:hideMark/>
          </w:tcPr>
          <w:p w14:paraId="028B5F55"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0.347</w:t>
            </w:r>
          </w:p>
        </w:tc>
        <w:tc>
          <w:tcPr>
            <w:tcW w:w="1109" w:type="dxa"/>
            <w:shd w:val="clear" w:color="auto" w:fill="auto"/>
            <w:noWrap/>
            <w:vAlign w:val="bottom"/>
            <w:hideMark/>
          </w:tcPr>
          <w:p w14:paraId="37D4E964"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7E0A6CEE"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4A772EB4" w14:textId="77777777" w:rsidTr="00D77F14">
        <w:trPr>
          <w:trHeight w:val="300"/>
        </w:trPr>
        <w:tc>
          <w:tcPr>
            <w:tcW w:w="4253" w:type="dxa"/>
            <w:shd w:val="clear" w:color="auto" w:fill="auto"/>
            <w:noWrap/>
            <w:vAlign w:val="bottom"/>
            <w:hideMark/>
          </w:tcPr>
          <w:p w14:paraId="7042E1C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Q3 house prices</w:t>
            </w:r>
          </w:p>
        </w:tc>
        <w:tc>
          <w:tcPr>
            <w:tcW w:w="1701" w:type="dxa"/>
            <w:shd w:val="clear" w:color="auto" w:fill="auto"/>
            <w:noWrap/>
            <w:vAlign w:val="bottom"/>
            <w:hideMark/>
          </w:tcPr>
          <w:p w14:paraId="50DC914B"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38BEC9C8"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0.3618</w:t>
            </w:r>
          </w:p>
        </w:tc>
        <w:tc>
          <w:tcPr>
            <w:tcW w:w="1134" w:type="dxa"/>
            <w:shd w:val="clear" w:color="auto" w:fill="auto"/>
            <w:noWrap/>
            <w:vAlign w:val="bottom"/>
            <w:hideMark/>
          </w:tcPr>
          <w:p w14:paraId="0A4FC7D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0.481</w:t>
            </w:r>
          </w:p>
        </w:tc>
        <w:tc>
          <w:tcPr>
            <w:tcW w:w="1109" w:type="dxa"/>
            <w:shd w:val="clear" w:color="auto" w:fill="auto"/>
            <w:noWrap/>
            <w:vAlign w:val="bottom"/>
            <w:hideMark/>
          </w:tcPr>
          <w:p w14:paraId="31B22FD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1BE20F71"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1C6C90A5" w14:textId="77777777" w:rsidTr="00D77F14">
        <w:trPr>
          <w:trHeight w:val="300"/>
        </w:trPr>
        <w:tc>
          <w:tcPr>
            <w:tcW w:w="4253" w:type="dxa"/>
            <w:shd w:val="clear" w:color="auto" w:fill="auto"/>
            <w:noWrap/>
            <w:vAlign w:val="bottom"/>
            <w:hideMark/>
          </w:tcPr>
          <w:p w14:paraId="59478243"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Q4 house prices</w:t>
            </w:r>
          </w:p>
        </w:tc>
        <w:tc>
          <w:tcPr>
            <w:tcW w:w="1701" w:type="dxa"/>
            <w:shd w:val="clear" w:color="auto" w:fill="auto"/>
            <w:noWrap/>
            <w:vAlign w:val="bottom"/>
            <w:hideMark/>
          </w:tcPr>
          <w:p w14:paraId="275D1A22"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39C0635E"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0.4502</w:t>
            </w:r>
          </w:p>
        </w:tc>
        <w:tc>
          <w:tcPr>
            <w:tcW w:w="1134" w:type="dxa"/>
            <w:shd w:val="clear" w:color="auto" w:fill="auto"/>
            <w:noWrap/>
            <w:vAlign w:val="bottom"/>
            <w:hideMark/>
          </w:tcPr>
          <w:p w14:paraId="24B0DEE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0.498</w:t>
            </w:r>
          </w:p>
        </w:tc>
        <w:tc>
          <w:tcPr>
            <w:tcW w:w="1109" w:type="dxa"/>
            <w:shd w:val="clear" w:color="auto" w:fill="auto"/>
            <w:noWrap/>
            <w:vAlign w:val="bottom"/>
            <w:hideMark/>
          </w:tcPr>
          <w:p w14:paraId="3063D78D"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01510655"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7A4BF920" w14:textId="77777777" w:rsidTr="00D77F14">
        <w:trPr>
          <w:trHeight w:val="300"/>
        </w:trPr>
        <w:tc>
          <w:tcPr>
            <w:tcW w:w="4253" w:type="dxa"/>
            <w:shd w:val="clear" w:color="auto" w:fill="auto"/>
            <w:noWrap/>
            <w:vAlign w:val="bottom"/>
            <w:hideMark/>
          </w:tcPr>
          <w:p w14:paraId="0BF5D267" w14:textId="4F1C35BD"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Net rent £000</w:t>
            </w:r>
            <w:r w:rsidRPr="00D77F14">
              <w:rPr>
                <w:rFonts w:ascii="Arial" w:eastAsia="Times New Roman" w:hAnsi="Arial" w:cs="Arial"/>
                <w:color w:val="000000"/>
                <w:vertAlign w:val="superscript"/>
                <w:lang w:val="en-GB"/>
              </w:rPr>
              <w:t>c</w:t>
            </w:r>
          </w:p>
        </w:tc>
        <w:tc>
          <w:tcPr>
            <w:tcW w:w="1701" w:type="dxa"/>
            <w:shd w:val="clear" w:color="auto" w:fill="auto"/>
            <w:noWrap/>
            <w:vAlign w:val="bottom"/>
            <w:hideMark/>
          </w:tcPr>
          <w:p w14:paraId="70956AD5"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2F30526C"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0.8031</w:t>
            </w:r>
          </w:p>
        </w:tc>
        <w:tc>
          <w:tcPr>
            <w:tcW w:w="1134" w:type="dxa"/>
            <w:shd w:val="clear" w:color="auto" w:fill="auto"/>
            <w:noWrap/>
            <w:vAlign w:val="bottom"/>
            <w:hideMark/>
          </w:tcPr>
          <w:p w14:paraId="6BD6BDCB"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2.192</w:t>
            </w:r>
          </w:p>
        </w:tc>
        <w:tc>
          <w:tcPr>
            <w:tcW w:w="1109" w:type="dxa"/>
            <w:shd w:val="clear" w:color="auto" w:fill="auto"/>
            <w:noWrap/>
            <w:vAlign w:val="bottom"/>
            <w:hideMark/>
          </w:tcPr>
          <w:p w14:paraId="283BF64E"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1F64D4FF" w14:textId="77777777" w:rsidR="00D77F14" w:rsidRPr="00D77F14" w:rsidRDefault="00D77F14" w:rsidP="00D77F14">
            <w:pPr>
              <w:spacing w:line="240" w:lineRule="auto"/>
              <w:rPr>
                <w:rFonts w:ascii="Arial" w:eastAsia="Times New Roman" w:hAnsi="Arial" w:cs="Arial"/>
                <w:color w:val="000000"/>
                <w:lang w:val="en-GB"/>
              </w:rPr>
            </w:pPr>
            <w:r w:rsidRPr="00D77F14">
              <w:rPr>
                <w:rFonts w:ascii="Arial" w:eastAsia="Times New Roman" w:hAnsi="Arial" w:cs="Arial"/>
                <w:color w:val="000000"/>
                <w:lang w:val="en-GB"/>
              </w:rPr>
              <w:t>43.40</w:t>
            </w:r>
          </w:p>
        </w:tc>
      </w:tr>
      <w:tr w:rsidR="00D77F14" w:rsidRPr="00D77F14" w14:paraId="668C3763" w14:textId="77777777" w:rsidTr="00D77F14">
        <w:trPr>
          <w:trHeight w:val="300"/>
        </w:trPr>
        <w:tc>
          <w:tcPr>
            <w:tcW w:w="4253" w:type="dxa"/>
            <w:shd w:val="clear" w:color="auto" w:fill="auto"/>
            <w:noWrap/>
            <w:vAlign w:val="bottom"/>
            <w:hideMark/>
          </w:tcPr>
          <w:p w14:paraId="4FA12D32" w14:textId="77777777" w:rsidR="00D77F14" w:rsidRPr="00D77F14" w:rsidRDefault="00D77F14" w:rsidP="00D77F14">
            <w:pPr>
              <w:spacing w:after="0" w:line="240" w:lineRule="auto"/>
              <w:rPr>
                <w:rFonts w:ascii="Arial" w:eastAsia="Times New Roman" w:hAnsi="Arial" w:cs="Arial"/>
                <w:i/>
                <w:iCs/>
                <w:color w:val="000000"/>
                <w:lang w:val="en-GB"/>
              </w:rPr>
            </w:pPr>
            <w:r w:rsidRPr="00D77F14">
              <w:rPr>
                <w:rFonts w:ascii="Arial" w:eastAsia="Times New Roman" w:hAnsi="Arial" w:cs="Arial"/>
                <w:i/>
                <w:iCs/>
                <w:color w:val="000000"/>
                <w:lang w:val="en-GB"/>
              </w:rPr>
              <w:t>Variables of interest</w:t>
            </w:r>
          </w:p>
        </w:tc>
        <w:tc>
          <w:tcPr>
            <w:tcW w:w="1701" w:type="dxa"/>
            <w:shd w:val="clear" w:color="auto" w:fill="auto"/>
            <w:noWrap/>
            <w:vAlign w:val="bottom"/>
            <w:hideMark/>
          </w:tcPr>
          <w:p w14:paraId="754FB8A5" w14:textId="77777777" w:rsidR="00D77F14" w:rsidRPr="00D77F14" w:rsidRDefault="00D77F14" w:rsidP="00D77F14">
            <w:pPr>
              <w:spacing w:after="0" w:line="240" w:lineRule="auto"/>
              <w:rPr>
                <w:rFonts w:ascii="Arial" w:eastAsia="Times New Roman" w:hAnsi="Arial" w:cs="Arial"/>
                <w:i/>
                <w:iCs/>
                <w:color w:val="000000"/>
                <w:lang w:val="en-GB"/>
              </w:rPr>
            </w:pPr>
          </w:p>
        </w:tc>
        <w:tc>
          <w:tcPr>
            <w:tcW w:w="992" w:type="dxa"/>
            <w:shd w:val="clear" w:color="auto" w:fill="auto"/>
            <w:noWrap/>
            <w:vAlign w:val="bottom"/>
            <w:hideMark/>
          </w:tcPr>
          <w:p w14:paraId="0E6B77D9" w14:textId="77777777" w:rsidR="00D77F14" w:rsidRPr="00D77F14" w:rsidRDefault="00D77F14" w:rsidP="00D77F14">
            <w:pPr>
              <w:spacing w:after="0" w:line="240" w:lineRule="auto"/>
              <w:rPr>
                <w:rFonts w:ascii="Arial" w:eastAsia="Times New Roman" w:hAnsi="Arial" w:cs="Arial"/>
                <w:lang w:val="en-GB"/>
              </w:rPr>
            </w:pPr>
          </w:p>
        </w:tc>
        <w:tc>
          <w:tcPr>
            <w:tcW w:w="1134" w:type="dxa"/>
            <w:shd w:val="clear" w:color="auto" w:fill="auto"/>
            <w:noWrap/>
            <w:vAlign w:val="bottom"/>
            <w:hideMark/>
          </w:tcPr>
          <w:p w14:paraId="4BE17482" w14:textId="77777777" w:rsidR="00D77F14" w:rsidRPr="00D77F14" w:rsidRDefault="00D77F14" w:rsidP="00D77F14">
            <w:pPr>
              <w:spacing w:after="0" w:line="240" w:lineRule="auto"/>
              <w:rPr>
                <w:rFonts w:ascii="Arial" w:eastAsia="Times New Roman" w:hAnsi="Arial" w:cs="Arial"/>
                <w:lang w:val="en-GB"/>
              </w:rPr>
            </w:pPr>
          </w:p>
        </w:tc>
        <w:tc>
          <w:tcPr>
            <w:tcW w:w="1109" w:type="dxa"/>
            <w:shd w:val="clear" w:color="auto" w:fill="auto"/>
            <w:noWrap/>
            <w:vAlign w:val="bottom"/>
            <w:hideMark/>
          </w:tcPr>
          <w:p w14:paraId="233F6D4E" w14:textId="77777777" w:rsidR="00D77F14" w:rsidRPr="00D77F14" w:rsidRDefault="00D77F14" w:rsidP="00D77F14">
            <w:pPr>
              <w:spacing w:after="0" w:line="240" w:lineRule="auto"/>
              <w:rPr>
                <w:rFonts w:ascii="Arial" w:eastAsia="Times New Roman" w:hAnsi="Arial" w:cs="Arial"/>
                <w:lang w:val="en-GB"/>
              </w:rPr>
            </w:pPr>
          </w:p>
        </w:tc>
        <w:tc>
          <w:tcPr>
            <w:tcW w:w="1170" w:type="dxa"/>
            <w:shd w:val="clear" w:color="auto" w:fill="auto"/>
            <w:noWrap/>
            <w:vAlign w:val="bottom"/>
            <w:hideMark/>
          </w:tcPr>
          <w:p w14:paraId="53510727" w14:textId="77777777" w:rsidR="00D77F14" w:rsidRPr="00D77F14" w:rsidRDefault="00D77F14" w:rsidP="00D77F14">
            <w:pPr>
              <w:spacing w:after="0" w:line="240" w:lineRule="auto"/>
              <w:rPr>
                <w:rFonts w:ascii="Arial" w:eastAsia="Times New Roman" w:hAnsi="Arial" w:cs="Arial"/>
                <w:lang w:val="en-GB"/>
              </w:rPr>
            </w:pPr>
          </w:p>
        </w:tc>
      </w:tr>
      <w:tr w:rsidR="00D77F14" w:rsidRPr="00D77F14" w14:paraId="5FAD2356" w14:textId="77777777" w:rsidTr="00D77F14">
        <w:trPr>
          <w:trHeight w:val="300"/>
        </w:trPr>
        <w:tc>
          <w:tcPr>
            <w:tcW w:w="4253" w:type="dxa"/>
            <w:shd w:val="clear" w:color="auto" w:fill="auto"/>
            <w:noWrap/>
            <w:vAlign w:val="bottom"/>
            <w:hideMark/>
          </w:tcPr>
          <w:p w14:paraId="2C35B11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Liked neighbourhood</w:t>
            </w:r>
          </w:p>
        </w:tc>
        <w:tc>
          <w:tcPr>
            <w:tcW w:w="1701" w:type="dxa"/>
            <w:shd w:val="clear" w:color="auto" w:fill="auto"/>
            <w:noWrap/>
            <w:vAlign w:val="bottom"/>
            <w:hideMark/>
          </w:tcPr>
          <w:p w14:paraId="22D7E7A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4FDE7D6E"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0.8924</w:t>
            </w:r>
          </w:p>
        </w:tc>
        <w:tc>
          <w:tcPr>
            <w:tcW w:w="1134" w:type="dxa"/>
            <w:shd w:val="clear" w:color="auto" w:fill="auto"/>
            <w:noWrap/>
            <w:vAlign w:val="bottom"/>
            <w:hideMark/>
          </w:tcPr>
          <w:p w14:paraId="257ED2A8"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0.310</w:t>
            </w:r>
          </w:p>
        </w:tc>
        <w:tc>
          <w:tcPr>
            <w:tcW w:w="1109" w:type="dxa"/>
            <w:shd w:val="clear" w:color="auto" w:fill="auto"/>
            <w:noWrap/>
            <w:vAlign w:val="bottom"/>
            <w:hideMark/>
          </w:tcPr>
          <w:p w14:paraId="0D644DE0"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5C0C51DB"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759B468B" w14:textId="77777777" w:rsidTr="00D77F14">
        <w:trPr>
          <w:trHeight w:val="300"/>
        </w:trPr>
        <w:tc>
          <w:tcPr>
            <w:tcW w:w="4253" w:type="dxa"/>
            <w:shd w:val="clear" w:color="auto" w:fill="auto"/>
            <w:noWrap/>
            <w:vAlign w:val="bottom"/>
            <w:hideMark/>
          </w:tcPr>
          <w:p w14:paraId="10317FD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 xml:space="preserve">Interact with neighbours (med), </w:t>
            </w:r>
            <w:r w:rsidRPr="009F0838">
              <w:rPr>
                <w:rFonts w:ascii="Arial" w:eastAsia="Times New Roman" w:hAnsi="Arial" w:cs="Arial"/>
                <w:i/>
                <w:color w:val="000000"/>
                <w:lang w:val="en-GB"/>
              </w:rPr>
              <w:t>ref=low</w:t>
            </w:r>
          </w:p>
        </w:tc>
        <w:tc>
          <w:tcPr>
            <w:tcW w:w="1701" w:type="dxa"/>
            <w:shd w:val="clear" w:color="auto" w:fill="auto"/>
            <w:noWrap/>
            <w:vAlign w:val="bottom"/>
            <w:hideMark/>
          </w:tcPr>
          <w:p w14:paraId="560266F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35362332"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0.1671</w:t>
            </w:r>
          </w:p>
        </w:tc>
        <w:tc>
          <w:tcPr>
            <w:tcW w:w="1134" w:type="dxa"/>
            <w:shd w:val="clear" w:color="auto" w:fill="auto"/>
            <w:noWrap/>
            <w:vAlign w:val="bottom"/>
            <w:hideMark/>
          </w:tcPr>
          <w:p w14:paraId="78F117D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0.373</w:t>
            </w:r>
          </w:p>
        </w:tc>
        <w:tc>
          <w:tcPr>
            <w:tcW w:w="1109" w:type="dxa"/>
            <w:shd w:val="clear" w:color="auto" w:fill="auto"/>
            <w:noWrap/>
            <w:vAlign w:val="bottom"/>
            <w:hideMark/>
          </w:tcPr>
          <w:p w14:paraId="542C9BC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4E60E0C2"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4269AEF4" w14:textId="77777777" w:rsidTr="00D77F14">
        <w:trPr>
          <w:trHeight w:val="300"/>
        </w:trPr>
        <w:tc>
          <w:tcPr>
            <w:tcW w:w="4253" w:type="dxa"/>
            <w:shd w:val="clear" w:color="auto" w:fill="auto"/>
            <w:noWrap/>
            <w:vAlign w:val="bottom"/>
            <w:hideMark/>
          </w:tcPr>
          <w:p w14:paraId="60EE3B0E"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Interact with neighbours (high)</w:t>
            </w:r>
          </w:p>
        </w:tc>
        <w:tc>
          <w:tcPr>
            <w:tcW w:w="1701" w:type="dxa"/>
            <w:shd w:val="clear" w:color="auto" w:fill="auto"/>
            <w:noWrap/>
            <w:vAlign w:val="bottom"/>
            <w:hideMark/>
          </w:tcPr>
          <w:p w14:paraId="2E5C6BF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2AA6C171"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0.6782</w:t>
            </w:r>
          </w:p>
        </w:tc>
        <w:tc>
          <w:tcPr>
            <w:tcW w:w="1134" w:type="dxa"/>
            <w:shd w:val="clear" w:color="auto" w:fill="auto"/>
            <w:noWrap/>
            <w:vAlign w:val="bottom"/>
            <w:hideMark/>
          </w:tcPr>
          <w:p w14:paraId="5A57D64E"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0.467</w:t>
            </w:r>
          </w:p>
        </w:tc>
        <w:tc>
          <w:tcPr>
            <w:tcW w:w="1109" w:type="dxa"/>
            <w:shd w:val="clear" w:color="auto" w:fill="auto"/>
            <w:noWrap/>
            <w:vAlign w:val="bottom"/>
            <w:hideMark/>
          </w:tcPr>
          <w:p w14:paraId="76C5486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097757A3"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4D40345E" w14:textId="77777777" w:rsidTr="00D77F14">
        <w:trPr>
          <w:trHeight w:val="300"/>
        </w:trPr>
        <w:tc>
          <w:tcPr>
            <w:tcW w:w="4253" w:type="dxa"/>
            <w:shd w:val="clear" w:color="auto" w:fill="auto"/>
            <w:noWrap/>
            <w:vAlign w:val="bottom"/>
            <w:hideMark/>
          </w:tcPr>
          <w:p w14:paraId="6B699CF5"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Active in any local organisation</w:t>
            </w:r>
          </w:p>
        </w:tc>
        <w:tc>
          <w:tcPr>
            <w:tcW w:w="1701" w:type="dxa"/>
            <w:shd w:val="clear" w:color="auto" w:fill="auto"/>
            <w:noWrap/>
            <w:vAlign w:val="bottom"/>
            <w:hideMark/>
          </w:tcPr>
          <w:p w14:paraId="4DB7466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0B15EBAA"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0.3547</w:t>
            </w:r>
          </w:p>
        </w:tc>
        <w:tc>
          <w:tcPr>
            <w:tcW w:w="1134" w:type="dxa"/>
            <w:shd w:val="clear" w:color="auto" w:fill="auto"/>
            <w:noWrap/>
            <w:vAlign w:val="bottom"/>
            <w:hideMark/>
          </w:tcPr>
          <w:p w14:paraId="62FE9C5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0.478</w:t>
            </w:r>
          </w:p>
        </w:tc>
        <w:tc>
          <w:tcPr>
            <w:tcW w:w="1109" w:type="dxa"/>
            <w:shd w:val="clear" w:color="auto" w:fill="auto"/>
            <w:noWrap/>
            <w:vAlign w:val="bottom"/>
            <w:hideMark/>
          </w:tcPr>
          <w:p w14:paraId="5CC0AFAA"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671FE27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29E783D8" w14:textId="77777777" w:rsidTr="00D77F14">
        <w:trPr>
          <w:trHeight w:val="300"/>
        </w:trPr>
        <w:tc>
          <w:tcPr>
            <w:tcW w:w="4253" w:type="dxa"/>
            <w:shd w:val="clear" w:color="auto" w:fill="auto"/>
            <w:noWrap/>
            <w:vAlign w:val="bottom"/>
            <w:hideMark/>
          </w:tcPr>
          <w:p w14:paraId="3325D004"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 xml:space="preserve">Contact with parent (med)*, </w:t>
            </w:r>
            <w:r w:rsidRPr="009F0838">
              <w:rPr>
                <w:rFonts w:ascii="Arial" w:eastAsia="Times New Roman" w:hAnsi="Arial" w:cs="Arial"/>
                <w:i/>
                <w:color w:val="000000"/>
                <w:lang w:val="en-GB"/>
              </w:rPr>
              <w:t>ref=low</w:t>
            </w:r>
          </w:p>
        </w:tc>
        <w:tc>
          <w:tcPr>
            <w:tcW w:w="1701" w:type="dxa"/>
            <w:shd w:val="clear" w:color="auto" w:fill="auto"/>
            <w:noWrap/>
            <w:vAlign w:val="bottom"/>
            <w:hideMark/>
          </w:tcPr>
          <w:p w14:paraId="4CAA0970"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3238DB50"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0.2393</w:t>
            </w:r>
          </w:p>
        </w:tc>
        <w:tc>
          <w:tcPr>
            <w:tcW w:w="1134" w:type="dxa"/>
            <w:shd w:val="clear" w:color="auto" w:fill="auto"/>
            <w:noWrap/>
            <w:vAlign w:val="bottom"/>
            <w:hideMark/>
          </w:tcPr>
          <w:p w14:paraId="4A426CCB"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0.427</w:t>
            </w:r>
          </w:p>
        </w:tc>
        <w:tc>
          <w:tcPr>
            <w:tcW w:w="1109" w:type="dxa"/>
            <w:shd w:val="clear" w:color="auto" w:fill="auto"/>
            <w:noWrap/>
            <w:vAlign w:val="bottom"/>
            <w:hideMark/>
          </w:tcPr>
          <w:p w14:paraId="715494B0"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54D9282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5C450512" w14:textId="77777777" w:rsidTr="00D77F14">
        <w:trPr>
          <w:trHeight w:val="300"/>
        </w:trPr>
        <w:tc>
          <w:tcPr>
            <w:tcW w:w="4253" w:type="dxa"/>
            <w:shd w:val="clear" w:color="auto" w:fill="auto"/>
            <w:noWrap/>
            <w:vAlign w:val="bottom"/>
            <w:hideMark/>
          </w:tcPr>
          <w:p w14:paraId="31B9B71B"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Contact with parent (high)*</w:t>
            </w:r>
          </w:p>
        </w:tc>
        <w:tc>
          <w:tcPr>
            <w:tcW w:w="1701" w:type="dxa"/>
            <w:shd w:val="clear" w:color="auto" w:fill="auto"/>
            <w:noWrap/>
            <w:vAlign w:val="bottom"/>
            <w:hideMark/>
          </w:tcPr>
          <w:p w14:paraId="3CB26525"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22DF0A38"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0.2505</w:t>
            </w:r>
          </w:p>
        </w:tc>
        <w:tc>
          <w:tcPr>
            <w:tcW w:w="1134" w:type="dxa"/>
            <w:shd w:val="clear" w:color="auto" w:fill="auto"/>
            <w:noWrap/>
            <w:vAlign w:val="bottom"/>
            <w:hideMark/>
          </w:tcPr>
          <w:p w14:paraId="6197CEA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0.433</w:t>
            </w:r>
          </w:p>
        </w:tc>
        <w:tc>
          <w:tcPr>
            <w:tcW w:w="1109" w:type="dxa"/>
            <w:shd w:val="clear" w:color="auto" w:fill="auto"/>
            <w:noWrap/>
            <w:vAlign w:val="bottom"/>
            <w:hideMark/>
          </w:tcPr>
          <w:p w14:paraId="17DF9B03"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784A7A5C"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63DCFFFC" w14:textId="77777777" w:rsidTr="00D77F14">
        <w:trPr>
          <w:trHeight w:val="300"/>
        </w:trPr>
        <w:tc>
          <w:tcPr>
            <w:tcW w:w="4253" w:type="dxa"/>
            <w:shd w:val="clear" w:color="auto" w:fill="auto"/>
            <w:noWrap/>
            <w:vAlign w:val="bottom"/>
            <w:hideMark/>
          </w:tcPr>
          <w:p w14:paraId="5EE061DF"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 xml:space="preserve">Perceived job security (med), </w:t>
            </w:r>
            <w:r w:rsidRPr="009F0838">
              <w:rPr>
                <w:rFonts w:ascii="Arial" w:eastAsia="Times New Roman" w:hAnsi="Arial" w:cs="Arial"/>
                <w:i/>
                <w:color w:val="000000"/>
                <w:lang w:val="en-GB"/>
              </w:rPr>
              <w:t>ref=low</w:t>
            </w:r>
          </w:p>
        </w:tc>
        <w:tc>
          <w:tcPr>
            <w:tcW w:w="1701" w:type="dxa"/>
            <w:shd w:val="clear" w:color="auto" w:fill="auto"/>
            <w:noWrap/>
            <w:vAlign w:val="bottom"/>
            <w:hideMark/>
          </w:tcPr>
          <w:p w14:paraId="61179C2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61CE4C7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0.0913</w:t>
            </w:r>
          </w:p>
        </w:tc>
        <w:tc>
          <w:tcPr>
            <w:tcW w:w="1134" w:type="dxa"/>
            <w:shd w:val="clear" w:color="auto" w:fill="auto"/>
            <w:noWrap/>
            <w:vAlign w:val="bottom"/>
            <w:hideMark/>
          </w:tcPr>
          <w:p w14:paraId="4258A2A9"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0.288</w:t>
            </w:r>
          </w:p>
        </w:tc>
        <w:tc>
          <w:tcPr>
            <w:tcW w:w="1109" w:type="dxa"/>
            <w:shd w:val="clear" w:color="auto" w:fill="auto"/>
            <w:noWrap/>
            <w:vAlign w:val="bottom"/>
            <w:hideMark/>
          </w:tcPr>
          <w:p w14:paraId="5D650C07"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088B5232"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54459B66" w14:textId="77777777" w:rsidTr="00D77F14">
        <w:trPr>
          <w:trHeight w:val="300"/>
        </w:trPr>
        <w:tc>
          <w:tcPr>
            <w:tcW w:w="4253" w:type="dxa"/>
            <w:shd w:val="clear" w:color="auto" w:fill="auto"/>
            <w:noWrap/>
            <w:vAlign w:val="bottom"/>
            <w:hideMark/>
          </w:tcPr>
          <w:p w14:paraId="30554CC0"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Perceived job security (high)</w:t>
            </w:r>
          </w:p>
        </w:tc>
        <w:tc>
          <w:tcPr>
            <w:tcW w:w="1701" w:type="dxa"/>
            <w:shd w:val="clear" w:color="auto" w:fill="auto"/>
            <w:noWrap/>
            <w:vAlign w:val="bottom"/>
            <w:hideMark/>
          </w:tcPr>
          <w:p w14:paraId="536E324C"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458C7190"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0.5903</w:t>
            </w:r>
          </w:p>
        </w:tc>
        <w:tc>
          <w:tcPr>
            <w:tcW w:w="1134" w:type="dxa"/>
            <w:shd w:val="clear" w:color="auto" w:fill="auto"/>
            <w:noWrap/>
            <w:vAlign w:val="bottom"/>
            <w:hideMark/>
          </w:tcPr>
          <w:p w14:paraId="37ED86FE"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0.492</w:t>
            </w:r>
          </w:p>
        </w:tc>
        <w:tc>
          <w:tcPr>
            <w:tcW w:w="1109" w:type="dxa"/>
            <w:shd w:val="clear" w:color="auto" w:fill="auto"/>
            <w:noWrap/>
            <w:vAlign w:val="bottom"/>
            <w:hideMark/>
          </w:tcPr>
          <w:p w14:paraId="2E608468"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47C46438"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r w:rsidR="00D77F14" w:rsidRPr="00D77F14" w14:paraId="6AC9C1CD" w14:textId="77777777" w:rsidTr="00D77F14">
        <w:trPr>
          <w:trHeight w:val="300"/>
        </w:trPr>
        <w:tc>
          <w:tcPr>
            <w:tcW w:w="4253" w:type="dxa"/>
            <w:shd w:val="clear" w:color="auto" w:fill="auto"/>
            <w:noWrap/>
            <w:vAlign w:val="bottom"/>
            <w:hideMark/>
          </w:tcPr>
          <w:p w14:paraId="0D6776D8"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New job</w:t>
            </w:r>
          </w:p>
        </w:tc>
        <w:tc>
          <w:tcPr>
            <w:tcW w:w="1701" w:type="dxa"/>
            <w:shd w:val="clear" w:color="auto" w:fill="auto"/>
            <w:noWrap/>
            <w:vAlign w:val="bottom"/>
            <w:hideMark/>
          </w:tcPr>
          <w:p w14:paraId="5546E754"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31,126</w:t>
            </w:r>
          </w:p>
        </w:tc>
        <w:tc>
          <w:tcPr>
            <w:tcW w:w="992" w:type="dxa"/>
            <w:shd w:val="clear" w:color="auto" w:fill="auto"/>
            <w:noWrap/>
            <w:vAlign w:val="bottom"/>
            <w:hideMark/>
          </w:tcPr>
          <w:p w14:paraId="1C255776"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0.0831</w:t>
            </w:r>
          </w:p>
        </w:tc>
        <w:tc>
          <w:tcPr>
            <w:tcW w:w="1134" w:type="dxa"/>
            <w:shd w:val="clear" w:color="auto" w:fill="auto"/>
            <w:noWrap/>
            <w:vAlign w:val="bottom"/>
            <w:hideMark/>
          </w:tcPr>
          <w:p w14:paraId="5F990A74"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0.276</w:t>
            </w:r>
          </w:p>
        </w:tc>
        <w:tc>
          <w:tcPr>
            <w:tcW w:w="1109" w:type="dxa"/>
            <w:shd w:val="clear" w:color="auto" w:fill="auto"/>
            <w:noWrap/>
            <w:vAlign w:val="bottom"/>
            <w:hideMark/>
          </w:tcPr>
          <w:p w14:paraId="0D32F403"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0</w:t>
            </w:r>
          </w:p>
        </w:tc>
        <w:tc>
          <w:tcPr>
            <w:tcW w:w="1170" w:type="dxa"/>
            <w:shd w:val="clear" w:color="auto" w:fill="auto"/>
            <w:noWrap/>
            <w:vAlign w:val="bottom"/>
            <w:hideMark/>
          </w:tcPr>
          <w:p w14:paraId="76C7D1D5" w14:textId="77777777" w:rsidR="00D77F14" w:rsidRPr="00D77F14" w:rsidRDefault="00D77F14" w:rsidP="00D77F14">
            <w:pPr>
              <w:spacing w:after="0" w:line="240" w:lineRule="auto"/>
              <w:rPr>
                <w:rFonts w:ascii="Arial" w:eastAsia="Times New Roman" w:hAnsi="Arial" w:cs="Arial"/>
                <w:color w:val="000000"/>
                <w:lang w:val="en-GB"/>
              </w:rPr>
            </w:pPr>
            <w:r w:rsidRPr="00D77F14">
              <w:rPr>
                <w:rFonts w:ascii="Arial" w:eastAsia="Times New Roman" w:hAnsi="Arial" w:cs="Arial"/>
                <w:color w:val="000000"/>
                <w:lang w:val="en-GB"/>
              </w:rPr>
              <w:t>1</w:t>
            </w:r>
          </w:p>
        </w:tc>
      </w:tr>
    </w:tbl>
    <w:p w14:paraId="381F95BC" w14:textId="6CF9EF32" w:rsidR="00CE64A4" w:rsidRDefault="00D77F14" w:rsidP="00720371">
      <w:pPr>
        <w:spacing w:after="240" w:line="360" w:lineRule="auto"/>
        <w:jc w:val="both"/>
        <w:rPr>
          <w:rFonts w:ascii="Arial" w:hAnsi="Arial" w:cs="Arial"/>
        </w:rPr>
      </w:pPr>
      <w:r>
        <w:rPr>
          <w:rFonts w:ascii="Arial" w:hAnsi="Arial" w:cs="Arial"/>
        </w:rPr>
        <w:t xml:space="preserve">Notes: PR=Private Renting; PH=Parental Housing; HO=Home Ownership; </w:t>
      </w:r>
      <w:r w:rsidRPr="00D77F14">
        <w:rPr>
          <w:rFonts w:ascii="Arial" w:eastAsia="Times New Roman" w:hAnsi="Arial" w:cs="Arial"/>
          <w:color w:val="000000"/>
          <w:vertAlign w:val="superscript"/>
          <w:lang w:val="en-GB"/>
        </w:rPr>
        <w:t>c</w:t>
      </w:r>
      <w:r>
        <w:rPr>
          <w:rFonts w:ascii="Arial" w:eastAsia="Times New Roman" w:hAnsi="Arial" w:cs="Arial"/>
          <w:color w:val="000000"/>
          <w:vertAlign w:val="superscript"/>
          <w:lang w:val="en-GB"/>
        </w:rPr>
        <w:t xml:space="preserve"> </w:t>
      </w:r>
      <w:r>
        <w:rPr>
          <w:rFonts w:ascii="Arial" w:hAnsi="Arial" w:cs="Arial"/>
        </w:rPr>
        <w:t xml:space="preserve">= continuous rather than discrete measure. </w:t>
      </w:r>
    </w:p>
    <w:p w14:paraId="4B5A471A" w14:textId="30920E64" w:rsidR="00720371" w:rsidRDefault="00720371" w:rsidP="00720371">
      <w:pPr>
        <w:spacing w:after="240" w:line="360" w:lineRule="auto"/>
        <w:jc w:val="both"/>
        <w:rPr>
          <w:rFonts w:ascii="Arial" w:hAnsi="Arial" w:cs="Arial"/>
        </w:rPr>
      </w:pPr>
      <w:r>
        <w:rPr>
          <w:rFonts w:ascii="Arial" w:hAnsi="Arial" w:cs="Arial"/>
        </w:rPr>
        <w:t>Appendix 1: Summary statistics of variables in use</w:t>
      </w:r>
    </w:p>
    <w:p w14:paraId="67B42EE7" w14:textId="77777777" w:rsidR="00765D8E" w:rsidRDefault="00765D8E" w:rsidP="00720371">
      <w:pPr>
        <w:spacing w:after="240" w:line="360" w:lineRule="auto"/>
        <w:jc w:val="both"/>
        <w:rPr>
          <w:rFonts w:ascii="Arial" w:hAnsi="Arial" w:cs="Arial"/>
        </w:rPr>
        <w:sectPr w:rsidR="00765D8E" w:rsidSect="003D6300">
          <w:pgSz w:w="12240" w:h="15840"/>
          <w:pgMar w:top="1440" w:right="1440" w:bottom="1440" w:left="1440" w:header="720" w:footer="720" w:gutter="0"/>
          <w:pgNumType w:start="14"/>
          <w:cols w:space="720"/>
        </w:sectPr>
      </w:pPr>
    </w:p>
    <w:tbl>
      <w:tblPr>
        <w:tblW w:w="12748" w:type="dxa"/>
        <w:tblInd w:w="-709" w:type="dxa"/>
        <w:tblBorders>
          <w:bottom w:val="single" w:sz="4" w:space="0" w:color="auto"/>
        </w:tblBorders>
        <w:tblLook w:val="04A0" w:firstRow="1" w:lastRow="0" w:firstColumn="1" w:lastColumn="0" w:noHBand="0" w:noVBand="1"/>
      </w:tblPr>
      <w:tblGrid>
        <w:gridCol w:w="4401"/>
        <w:gridCol w:w="1366"/>
        <w:gridCol w:w="1214"/>
        <w:gridCol w:w="1121"/>
        <w:gridCol w:w="1004"/>
        <w:gridCol w:w="1293"/>
        <w:gridCol w:w="1135"/>
        <w:gridCol w:w="1214"/>
      </w:tblGrid>
      <w:tr w:rsidR="00765D8E" w:rsidRPr="00765D8E" w14:paraId="4D123B09" w14:textId="77777777" w:rsidTr="009F0838">
        <w:trPr>
          <w:trHeight w:val="281"/>
        </w:trPr>
        <w:tc>
          <w:tcPr>
            <w:tcW w:w="4401" w:type="dxa"/>
            <w:shd w:val="clear" w:color="auto" w:fill="auto"/>
            <w:noWrap/>
            <w:vAlign w:val="bottom"/>
            <w:hideMark/>
          </w:tcPr>
          <w:p w14:paraId="004DF597" w14:textId="77777777" w:rsidR="00765D8E" w:rsidRPr="00765D8E" w:rsidRDefault="00765D8E" w:rsidP="00765D8E">
            <w:pPr>
              <w:spacing w:after="0" w:line="240" w:lineRule="auto"/>
              <w:rPr>
                <w:rFonts w:ascii="Arial" w:eastAsia="Times New Roman" w:hAnsi="Arial" w:cs="Arial"/>
                <w:lang w:val="en-GB"/>
              </w:rPr>
            </w:pPr>
          </w:p>
        </w:tc>
        <w:tc>
          <w:tcPr>
            <w:tcW w:w="2580" w:type="dxa"/>
            <w:gridSpan w:val="2"/>
            <w:shd w:val="clear" w:color="auto" w:fill="auto"/>
            <w:noWrap/>
            <w:vAlign w:val="bottom"/>
            <w:hideMark/>
          </w:tcPr>
          <w:p w14:paraId="4BF909FE" w14:textId="77777777" w:rsidR="00765D8E" w:rsidRPr="00765D8E" w:rsidRDefault="00765D8E" w:rsidP="00765D8E">
            <w:pPr>
              <w:spacing w:after="0" w:line="240" w:lineRule="auto"/>
              <w:jc w:val="center"/>
              <w:rPr>
                <w:rFonts w:ascii="Arial" w:eastAsia="Times New Roman" w:hAnsi="Arial" w:cs="Arial"/>
                <w:b/>
                <w:color w:val="000000"/>
                <w:lang w:val="en-GB"/>
              </w:rPr>
            </w:pPr>
            <w:r w:rsidRPr="00765D8E">
              <w:rPr>
                <w:rFonts w:ascii="Arial" w:eastAsia="Times New Roman" w:hAnsi="Arial" w:cs="Arial"/>
                <w:b/>
                <w:color w:val="000000"/>
                <w:lang w:val="en-GB"/>
              </w:rPr>
              <w:t>Model 1</w:t>
            </w:r>
          </w:p>
        </w:tc>
        <w:tc>
          <w:tcPr>
            <w:tcW w:w="816" w:type="dxa"/>
            <w:shd w:val="clear" w:color="auto" w:fill="auto"/>
            <w:noWrap/>
            <w:vAlign w:val="bottom"/>
            <w:hideMark/>
          </w:tcPr>
          <w:p w14:paraId="2C01254C" w14:textId="77777777" w:rsidR="00765D8E" w:rsidRPr="00765D8E" w:rsidRDefault="00765D8E" w:rsidP="00765D8E">
            <w:pPr>
              <w:spacing w:after="0" w:line="240" w:lineRule="auto"/>
              <w:rPr>
                <w:rFonts w:ascii="Arial" w:eastAsia="Times New Roman" w:hAnsi="Arial" w:cs="Arial"/>
                <w:b/>
                <w:color w:val="000000"/>
                <w:lang w:val="en-GB"/>
              </w:rPr>
            </w:pPr>
          </w:p>
        </w:tc>
        <w:tc>
          <w:tcPr>
            <w:tcW w:w="1309" w:type="dxa"/>
          </w:tcPr>
          <w:p w14:paraId="5F475A94" w14:textId="77777777" w:rsidR="00765D8E" w:rsidRPr="00765D8E" w:rsidRDefault="00765D8E" w:rsidP="00765D8E">
            <w:pPr>
              <w:spacing w:after="0" w:line="240" w:lineRule="auto"/>
              <w:rPr>
                <w:rFonts w:ascii="Arial" w:eastAsia="Times New Roman" w:hAnsi="Arial" w:cs="Arial"/>
                <w:b/>
                <w:lang w:val="en-GB"/>
              </w:rPr>
            </w:pPr>
          </w:p>
        </w:tc>
        <w:tc>
          <w:tcPr>
            <w:tcW w:w="2428" w:type="dxa"/>
            <w:gridSpan w:val="2"/>
            <w:shd w:val="clear" w:color="auto" w:fill="auto"/>
            <w:noWrap/>
            <w:vAlign w:val="bottom"/>
            <w:hideMark/>
          </w:tcPr>
          <w:p w14:paraId="0C25C3F8" w14:textId="77777777" w:rsidR="00765D8E" w:rsidRPr="00765D8E" w:rsidRDefault="00765D8E" w:rsidP="00765D8E">
            <w:pPr>
              <w:spacing w:after="0" w:line="240" w:lineRule="auto"/>
              <w:jc w:val="center"/>
              <w:rPr>
                <w:rFonts w:ascii="Arial" w:eastAsia="Times New Roman" w:hAnsi="Arial" w:cs="Arial"/>
                <w:b/>
                <w:color w:val="000000"/>
                <w:lang w:val="en-GB"/>
              </w:rPr>
            </w:pPr>
            <w:r w:rsidRPr="00765D8E">
              <w:rPr>
                <w:rFonts w:ascii="Arial" w:eastAsia="Times New Roman" w:hAnsi="Arial" w:cs="Arial"/>
                <w:b/>
                <w:color w:val="000000"/>
                <w:lang w:val="en-GB"/>
              </w:rPr>
              <w:t>Model 2</w:t>
            </w:r>
          </w:p>
        </w:tc>
        <w:tc>
          <w:tcPr>
            <w:tcW w:w="1214" w:type="dxa"/>
            <w:shd w:val="clear" w:color="auto" w:fill="auto"/>
            <w:noWrap/>
            <w:vAlign w:val="bottom"/>
            <w:hideMark/>
          </w:tcPr>
          <w:p w14:paraId="1FDBC49B" w14:textId="77777777" w:rsidR="00765D8E" w:rsidRPr="00765D8E" w:rsidRDefault="00765D8E" w:rsidP="00765D8E">
            <w:pPr>
              <w:spacing w:after="0" w:line="240" w:lineRule="auto"/>
              <w:rPr>
                <w:rFonts w:ascii="Arial" w:eastAsia="Times New Roman" w:hAnsi="Arial" w:cs="Arial"/>
                <w:b/>
                <w:color w:val="000000"/>
                <w:lang w:val="en-GB"/>
              </w:rPr>
            </w:pPr>
          </w:p>
        </w:tc>
      </w:tr>
      <w:tr w:rsidR="00765D8E" w:rsidRPr="00765D8E" w14:paraId="2DC998EE" w14:textId="77777777" w:rsidTr="009F0838">
        <w:trPr>
          <w:trHeight w:val="281"/>
        </w:trPr>
        <w:tc>
          <w:tcPr>
            <w:tcW w:w="4401" w:type="dxa"/>
            <w:shd w:val="clear" w:color="auto" w:fill="auto"/>
            <w:noWrap/>
            <w:vAlign w:val="bottom"/>
            <w:hideMark/>
          </w:tcPr>
          <w:p w14:paraId="4F6FA21C" w14:textId="77777777" w:rsidR="00765D8E" w:rsidRPr="00765D8E" w:rsidRDefault="00765D8E" w:rsidP="00765D8E">
            <w:pPr>
              <w:spacing w:after="0" w:line="240" w:lineRule="auto"/>
              <w:rPr>
                <w:rFonts w:ascii="Arial" w:eastAsia="Times New Roman" w:hAnsi="Arial" w:cs="Arial"/>
                <w:lang w:val="en-GB"/>
              </w:rPr>
            </w:pPr>
          </w:p>
        </w:tc>
        <w:tc>
          <w:tcPr>
            <w:tcW w:w="2580" w:type="dxa"/>
            <w:gridSpan w:val="2"/>
            <w:shd w:val="clear" w:color="auto" w:fill="auto"/>
            <w:noWrap/>
            <w:vAlign w:val="bottom"/>
            <w:hideMark/>
          </w:tcPr>
          <w:p w14:paraId="08AADDD9"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PR to HO transition</w:t>
            </w:r>
          </w:p>
        </w:tc>
        <w:tc>
          <w:tcPr>
            <w:tcW w:w="816" w:type="dxa"/>
            <w:shd w:val="clear" w:color="auto" w:fill="auto"/>
            <w:noWrap/>
            <w:vAlign w:val="bottom"/>
            <w:hideMark/>
          </w:tcPr>
          <w:p w14:paraId="1E0D80DC" w14:textId="77777777" w:rsidR="00765D8E" w:rsidRPr="00765D8E" w:rsidRDefault="00765D8E" w:rsidP="00765D8E">
            <w:pPr>
              <w:spacing w:after="0" w:line="240" w:lineRule="auto"/>
              <w:rPr>
                <w:rFonts w:ascii="Arial" w:eastAsia="Times New Roman" w:hAnsi="Arial" w:cs="Arial"/>
                <w:color w:val="000000"/>
                <w:lang w:val="en-GB"/>
              </w:rPr>
            </w:pPr>
          </w:p>
        </w:tc>
        <w:tc>
          <w:tcPr>
            <w:tcW w:w="1309" w:type="dxa"/>
          </w:tcPr>
          <w:p w14:paraId="4E3C79E6" w14:textId="77777777" w:rsidR="00765D8E" w:rsidRPr="00765D8E" w:rsidRDefault="00765D8E" w:rsidP="00765D8E">
            <w:pPr>
              <w:spacing w:after="0" w:line="240" w:lineRule="auto"/>
              <w:rPr>
                <w:rFonts w:ascii="Arial" w:eastAsia="Times New Roman" w:hAnsi="Arial" w:cs="Arial"/>
                <w:color w:val="000000"/>
                <w:lang w:val="en-GB"/>
              </w:rPr>
            </w:pPr>
          </w:p>
        </w:tc>
        <w:tc>
          <w:tcPr>
            <w:tcW w:w="2428" w:type="dxa"/>
            <w:gridSpan w:val="2"/>
            <w:shd w:val="clear" w:color="auto" w:fill="auto"/>
            <w:noWrap/>
            <w:vAlign w:val="bottom"/>
            <w:hideMark/>
          </w:tcPr>
          <w:p w14:paraId="07154627" w14:textId="4F6AC60B"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PH to HO transition</w:t>
            </w:r>
          </w:p>
        </w:tc>
        <w:tc>
          <w:tcPr>
            <w:tcW w:w="1214" w:type="dxa"/>
            <w:shd w:val="clear" w:color="auto" w:fill="auto"/>
            <w:noWrap/>
            <w:vAlign w:val="bottom"/>
            <w:hideMark/>
          </w:tcPr>
          <w:p w14:paraId="5630EB8E" w14:textId="77777777" w:rsidR="00765D8E" w:rsidRPr="00765D8E" w:rsidRDefault="00765D8E" w:rsidP="00765D8E">
            <w:pPr>
              <w:spacing w:after="0" w:line="240" w:lineRule="auto"/>
              <w:rPr>
                <w:rFonts w:ascii="Arial" w:eastAsia="Times New Roman" w:hAnsi="Arial" w:cs="Arial"/>
                <w:color w:val="000000"/>
                <w:lang w:val="en-GB"/>
              </w:rPr>
            </w:pPr>
          </w:p>
        </w:tc>
      </w:tr>
      <w:tr w:rsidR="00765D8E" w:rsidRPr="00765D8E" w14:paraId="08151C5A" w14:textId="77777777" w:rsidTr="009F0838">
        <w:trPr>
          <w:trHeight w:val="281"/>
        </w:trPr>
        <w:tc>
          <w:tcPr>
            <w:tcW w:w="4401" w:type="dxa"/>
            <w:shd w:val="clear" w:color="auto" w:fill="auto"/>
            <w:noWrap/>
            <w:vAlign w:val="bottom"/>
            <w:hideMark/>
          </w:tcPr>
          <w:p w14:paraId="29FC9CFB" w14:textId="77777777" w:rsidR="00765D8E" w:rsidRPr="00765D8E" w:rsidRDefault="00765D8E" w:rsidP="00765D8E">
            <w:pPr>
              <w:spacing w:after="0" w:line="240" w:lineRule="auto"/>
              <w:rPr>
                <w:rFonts w:ascii="Arial" w:eastAsia="Times New Roman" w:hAnsi="Arial" w:cs="Arial"/>
                <w:lang w:val="en-GB"/>
              </w:rPr>
            </w:pPr>
          </w:p>
        </w:tc>
        <w:tc>
          <w:tcPr>
            <w:tcW w:w="3396" w:type="dxa"/>
            <w:gridSpan w:val="3"/>
            <w:tcBorders>
              <w:bottom w:val="nil"/>
            </w:tcBorders>
            <w:shd w:val="clear" w:color="auto" w:fill="auto"/>
            <w:noWrap/>
            <w:vAlign w:val="bottom"/>
            <w:hideMark/>
          </w:tcPr>
          <w:p w14:paraId="5B1F1DB4"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(without interactions)</w:t>
            </w:r>
          </w:p>
        </w:tc>
        <w:tc>
          <w:tcPr>
            <w:tcW w:w="1309" w:type="dxa"/>
            <w:tcBorders>
              <w:bottom w:val="nil"/>
            </w:tcBorders>
          </w:tcPr>
          <w:p w14:paraId="5B50604B" w14:textId="77777777" w:rsidR="00765D8E" w:rsidRPr="00765D8E" w:rsidRDefault="00765D8E" w:rsidP="00765D8E">
            <w:pPr>
              <w:spacing w:after="0" w:line="240" w:lineRule="auto"/>
              <w:rPr>
                <w:rFonts w:ascii="Arial" w:eastAsia="Times New Roman" w:hAnsi="Arial" w:cs="Arial"/>
                <w:color w:val="000000"/>
                <w:lang w:val="en-GB"/>
              </w:rPr>
            </w:pPr>
          </w:p>
        </w:tc>
        <w:tc>
          <w:tcPr>
            <w:tcW w:w="3642" w:type="dxa"/>
            <w:gridSpan w:val="3"/>
            <w:tcBorders>
              <w:bottom w:val="nil"/>
            </w:tcBorders>
            <w:shd w:val="clear" w:color="auto" w:fill="auto"/>
            <w:noWrap/>
            <w:vAlign w:val="bottom"/>
            <w:hideMark/>
          </w:tcPr>
          <w:p w14:paraId="53C35808" w14:textId="011D4799"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(without interactions)</w:t>
            </w:r>
          </w:p>
        </w:tc>
      </w:tr>
      <w:tr w:rsidR="00765D8E" w:rsidRPr="00765D8E" w14:paraId="00F9AADE" w14:textId="77777777" w:rsidTr="009F0838">
        <w:trPr>
          <w:trHeight w:val="281"/>
        </w:trPr>
        <w:tc>
          <w:tcPr>
            <w:tcW w:w="4401" w:type="dxa"/>
            <w:shd w:val="clear" w:color="auto" w:fill="auto"/>
            <w:noWrap/>
            <w:vAlign w:val="bottom"/>
            <w:hideMark/>
          </w:tcPr>
          <w:p w14:paraId="2CED5C53" w14:textId="77777777" w:rsidR="00765D8E" w:rsidRPr="00765D8E" w:rsidRDefault="00765D8E" w:rsidP="00765D8E">
            <w:pPr>
              <w:spacing w:after="0" w:line="240" w:lineRule="auto"/>
              <w:rPr>
                <w:rFonts w:ascii="Arial" w:eastAsia="Times New Roman" w:hAnsi="Arial" w:cs="Arial"/>
                <w:b/>
                <w:color w:val="000000"/>
                <w:lang w:val="en-GB"/>
              </w:rPr>
            </w:pPr>
            <w:r w:rsidRPr="00765D8E">
              <w:rPr>
                <w:rFonts w:ascii="Arial" w:eastAsia="Times New Roman" w:hAnsi="Arial" w:cs="Arial"/>
                <w:b/>
                <w:color w:val="000000"/>
                <w:lang w:val="en-GB"/>
              </w:rPr>
              <w:t>Established Variables</w:t>
            </w:r>
          </w:p>
        </w:tc>
        <w:tc>
          <w:tcPr>
            <w:tcW w:w="1366" w:type="dxa"/>
            <w:tcBorders>
              <w:bottom w:val="single" w:sz="4" w:space="0" w:color="auto"/>
            </w:tcBorders>
            <w:shd w:val="clear" w:color="auto" w:fill="auto"/>
            <w:noWrap/>
            <w:vAlign w:val="bottom"/>
            <w:hideMark/>
          </w:tcPr>
          <w:p w14:paraId="28FB9566" w14:textId="77777777" w:rsidR="00765D8E" w:rsidRPr="00B27045" w:rsidRDefault="00765D8E" w:rsidP="00765D8E">
            <w:pPr>
              <w:spacing w:after="0" w:line="240" w:lineRule="auto"/>
              <w:rPr>
                <w:rFonts w:ascii="Arial" w:eastAsia="Times New Roman" w:hAnsi="Arial" w:cs="Arial"/>
                <w:b/>
                <w:color w:val="000000"/>
                <w:lang w:val="en-GB"/>
              </w:rPr>
            </w:pPr>
            <w:r w:rsidRPr="00B27045">
              <w:rPr>
                <w:rFonts w:ascii="Arial" w:eastAsia="Times New Roman" w:hAnsi="Arial" w:cs="Arial"/>
                <w:b/>
                <w:color w:val="000000"/>
                <w:lang w:val="en-GB"/>
              </w:rPr>
              <w:t>odds ratio</w:t>
            </w:r>
          </w:p>
        </w:tc>
        <w:tc>
          <w:tcPr>
            <w:tcW w:w="1214" w:type="dxa"/>
            <w:tcBorders>
              <w:bottom w:val="single" w:sz="4" w:space="0" w:color="auto"/>
            </w:tcBorders>
            <w:shd w:val="clear" w:color="auto" w:fill="auto"/>
            <w:noWrap/>
            <w:vAlign w:val="bottom"/>
            <w:hideMark/>
          </w:tcPr>
          <w:p w14:paraId="569F3B33" w14:textId="77777777" w:rsidR="00765D8E" w:rsidRPr="00B27045" w:rsidRDefault="00765D8E" w:rsidP="00765D8E">
            <w:pPr>
              <w:spacing w:after="0" w:line="240" w:lineRule="auto"/>
              <w:jc w:val="center"/>
              <w:rPr>
                <w:rFonts w:ascii="Arial" w:eastAsia="Times New Roman" w:hAnsi="Arial" w:cs="Arial"/>
                <w:b/>
                <w:color w:val="000000"/>
                <w:lang w:val="en-GB"/>
              </w:rPr>
            </w:pPr>
            <w:r w:rsidRPr="00B27045">
              <w:rPr>
                <w:rFonts w:ascii="Arial" w:eastAsia="Times New Roman" w:hAnsi="Arial" w:cs="Arial"/>
                <w:b/>
                <w:color w:val="000000"/>
                <w:lang w:val="en-GB"/>
              </w:rPr>
              <w:t>z values</w:t>
            </w:r>
          </w:p>
        </w:tc>
        <w:tc>
          <w:tcPr>
            <w:tcW w:w="816" w:type="dxa"/>
            <w:tcBorders>
              <w:bottom w:val="single" w:sz="4" w:space="0" w:color="auto"/>
            </w:tcBorders>
            <w:shd w:val="clear" w:color="auto" w:fill="auto"/>
            <w:noWrap/>
            <w:vAlign w:val="bottom"/>
            <w:hideMark/>
          </w:tcPr>
          <w:p w14:paraId="35AF08DE" w14:textId="77777777" w:rsidR="00765D8E" w:rsidRPr="00B27045" w:rsidRDefault="00765D8E" w:rsidP="00765D8E">
            <w:pPr>
              <w:spacing w:after="0" w:line="240" w:lineRule="auto"/>
              <w:jc w:val="center"/>
              <w:rPr>
                <w:rFonts w:ascii="Arial" w:eastAsia="Times New Roman" w:hAnsi="Arial" w:cs="Arial"/>
                <w:b/>
                <w:color w:val="000000"/>
                <w:lang w:val="en-GB"/>
              </w:rPr>
            </w:pPr>
            <w:r w:rsidRPr="00B27045">
              <w:rPr>
                <w:rFonts w:ascii="Arial" w:eastAsia="Times New Roman" w:hAnsi="Arial" w:cs="Arial"/>
                <w:b/>
                <w:color w:val="000000"/>
                <w:lang w:val="en-GB"/>
              </w:rPr>
              <w:t>Marginal effects</w:t>
            </w:r>
          </w:p>
        </w:tc>
        <w:tc>
          <w:tcPr>
            <w:tcW w:w="1309" w:type="dxa"/>
            <w:tcBorders>
              <w:bottom w:val="nil"/>
            </w:tcBorders>
          </w:tcPr>
          <w:p w14:paraId="30C29248" w14:textId="77777777" w:rsidR="00765D8E" w:rsidRPr="00B27045" w:rsidRDefault="00765D8E" w:rsidP="00765D8E">
            <w:pPr>
              <w:spacing w:after="0" w:line="240" w:lineRule="auto"/>
              <w:rPr>
                <w:rFonts w:ascii="Arial" w:eastAsia="Times New Roman" w:hAnsi="Arial" w:cs="Arial"/>
                <w:b/>
                <w:color w:val="000000"/>
                <w:lang w:val="en-GB"/>
              </w:rPr>
            </w:pPr>
          </w:p>
        </w:tc>
        <w:tc>
          <w:tcPr>
            <w:tcW w:w="1293" w:type="dxa"/>
            <w:tcBorders>
              <w:bottom w:val="single" w:sz="4" w:space="0" w:color="auto"/>
            </w:tcBorders>
            <w:shd w:val="clear" w:color="auto" w:fill="auto"/>
            <w:noWrap/>
            <w:vAlign w:val="bottom"/>
            <w:hideMark/>
          </w:tcPr>
          <w:p w14:paraId="16F3F15C" w14:textId="358B016D" w:rsidR="00765D8E" w:rsidRPr="00B27045" w:rsidRDefault="00765D8E" w:rsidP="00765D8E">
            <w:pPr>
              <w:spacing w:after="0" w:line="240" w:lineRule="auto"/>
              <w:rPr>
                <w:rFonts w:ascii="Arial" w:eastAsia="Times New Roman" w:hAnsi="Arial" w:cs="Arial"/>
                <w:b/>
                <w:color w:val="000000"/>
                <w:lang w:val="en-GB"/>
              </w:rPr>
            </w:pPr>
            <w:r w:rsidRPr="00B27045">
              <w:rPr>
                <w:rFonts w:ascii="Arial" w:eastAsia="Times New Roman" w:hAnsi="Arial" w:cs="Arial"/>
                <w:b/>
                <w:color w:val="000000"/>
                <w:lang w:val="en-GB"/>
              </w:rPr>
              <w:t>odds ratio</w:t>
            </w:r>
          </w:p>
        </w:tc>
        <w:tc>
          <w:tcPr>
            <w:tcW w:w="1135" w:type="dxa"/>
            <w:tcBorders>
              <w:bottom w:val="single" w:sz="4" w:space="0" w:color="auto"/>
            </w:tcBorders>
            <w:shd w:val="clear" w:color="auto" w:fill="auto"/>
            <w:noWrap/>
            <w:vAlign w:val="bottom"/>
            <w:hideMark/>
          </w:tcPr>
          <w:p w14:paraId="277F1F8E" w14:textId="77777777" w:rsidR="00765D8E" w:rsidRPr="00B27045" w:rsidRDefault="00765D8E" w:rsidP="00765D8E">
            <w:pPr>
              <w:spacing w:after="0" w:line="240" w:lineRule="auto"/>
              <w:rPr>
                <w:rFonts w:ascii="Arial" w:eastAsia="Times New Roman" w:hAnsi="Arial" w:cs="Arial"/>
                <w:b/>
                <w:color w:val="000000"/>
                <w:lang w:val="en-GB"/>
              </w:rPr>
            </w:pPr>
            <w:r w:rsidRPr="00B27045">
              <w:rPr>
                <w:rFonts w:ascii="Arial" w:eastAsia="Times New Roman" w:hAnsi="Arial" w:cs="Arial"/>
                <w:b/>
                <w:color w:val="000000"/>
                <w:lang w:val="en-GB"/>
              </w:rPr>
              <w:t>z values</w:t>
            </w:r>
          </w:p>
        </w:tc>
        <w:tc>
          <w:tcPr>
            <w:tcW w:w="1214" w:type="dxa"/>
            <w:tcBorders>
              <w:bottom w:val="single" w:sz="4" w:space="0" w:color="auto"/>
            </w:tcBorders>
            <w:shd w:val="clear" w:color="auto" w:fill="auto"/>
            <w:noWrap/>
            <w:vAlign w:val="bottom"/>
            <w:hideMark/>
          </w:tcPr>
          <w:p w14:paraId="52EA48DA" w14:textId="77777777" w:rsidR="00765D8E" w:rsidRPr="00B27045" w:rsidRDefault="00765D8E" w:rsidP="00765D8E">
            <w:pPr>
              <w:spacing w:after="0" w:line="240" w:lineRule="auto"/>
              <w:jc w:val="center"/>
              <w:rPr>
                <w:rFonts w:ascii="Arial" w:eastAsia="Times New Roman" w:hAnsi="Arial" w:cs="Arial"/>
                <w:b/>
                <w:color w:val="000000"/>
                <w:lang w:val="en-GB"/>
              </w:rPr>
            </w:pPr>
            <w:r w:rsidRPr="00B27045">
              <w:rPr>
                <w:rFonts w:ascii="Arial" w:eastAsia="Times New Roman" w:hAnsi="Arial" w:cs="Arial"/>
                <w:b/>
                <w:color w:val="000000"/>
                <w:lang w:val="en-GB"/>
              </w:rPr>
              <w:t>Marginal effects</w:t>
            </w:r>
          </w:p>
        </w:tc>
      </w:tr>
      <w:tr w:rsidR="00765D8E" w:rsidRPr="00765D8E" w14:paraId="38882435" w14:textId="77777777" w:rsidTr="009F0838">
        <w:trPr>
          <w:trHeight w:val="281"/>
        </w:trPr>
        <w:tc>
          <w:tcPr>
            <w:tcW w:w="4401" w:type="dxa"/>
            <w:shd w:val="clear" w:color="auto" w:fill="auto"/>
            <w:noWrap/>
            <w:vAlign w:val="bottom"/>
            <w:hideMark/>
          </w:tcPr>
          <w:p w14:paraId="051CA7B2" w14:textId="77777777" w:rsidR="00765D8E" w:rsidRPr="00765D8E" w:rsidRDefault="00765D8E" w:rsidP="00765D8E">
            <w:pPr>
              <w:spacing w:after="0" w:line="240" w:lineRule="auto"/>
              <w:rPr>
                <w:rFonts w:ascii="Arial" w:eastAsia="Times New Roman" w:hAnsi="Arial" w:cs="Arial"/>
                <w:color w:val="000000"/>
                <w:lang w:val="en-GB"/>
              </w:rPr>
            </w:pPr>
          </w:p>
        </w:tc>
        <w:tc>
          <w:tcPr>
            <w:tcW w:w="1366" w:type="dxa"/>
            <w:tcBorders>
              <w:top w:val="single" w:sz="4" w:space="0" w:color="auto"/>
            </w:tcBorders>
            <w:shd w:val="clear" w:color="auto" w:fill="auto"/>
            <w:noWrap/>
            <w:vAlign w:val="bottom"/>
            <w:hideMark/>
          </w:tcPr>
          <w:p w14:paraId="375A0F1D" w14:textId="77777777" w:rsidR="00765D8E" w:rsidRPr="00765D8E" w:rsidRDefault="00765D8E" w:rsidP="00765D8E">
            <w:pPr>
              <w:spacing w:after="0" w:line="240" w:lineRule="auto"/>
              <w:rPr>
                <w:rFonts w:ascii="Arial" w:eastAsia="Times New Roman" w:hAnsi="Arial" w:cs="Arial"/>
                <w:lang w:val="en-GB"/>
              </w:rPr>
            </w:pPr>
          </w:p>
        </w:tc>
        <w:tc>
          <w:tcPr>
            <w:tcW w:w="1214" w:type="dxa"/>
            <w:tcBorders>
              <w:top w:val="nil"/>
            </w:tcBorders>
            <w:shd w:val="clear" w:color="auto" w:fill="auto"/>
            <w:noWrap/>
            <w:vAlign w:val="bottom"/>
            <w:hideMark/>
          </w:tcPr>
          <w:p w14:paraId="15029A65" w14:textId="77777777" w:rsidR="00765D8E" w:rsidRPr="00765D8E" w:rsidRDefault="00765D8E" w:rsidP="00765D8E">
            <w:pPr>
              <w:spacing w:after="0" w:line="240" w:lineRule="auto"/>
              <w:rPr>
                <w:rFonts w:ascii="Arial" w:eastAsia="Times New Roman" w:hAnsi="Arial" w:cs="Arial"/>
                <w:lang w:val="en-GB"/>
              </w:rPr>
            </w:pPr>
          </w:p>
        </w:tc>
        <w:tc>
          <w:tcPr>
            <w:tcW w:w="816" w:type="dxa"/>
            <w:tcBorders>
              <w:top w:val="nil"/>
            </w:tcBorders>
            <w:shd w:val="clear" w:color="auto" w:fill="auto"/>
            <w:noWrap/>
            <w:vAlign w:val="bottom"/>
            <w:hideMark/>
          </w:tcPr>
          <w:p w14:paraId="1FE9DA87" w14:textId="77777777" w:rsidR="00765D8E" w:rsidRPr="00765D8E" w:rsidRDefault="00765D8E" w:rsidP="00765D8E">
            <w:pPr>
              <w:spacing w:after="0" w:line="240" w:lineRule="auto"/>
              <w:rPr>
                <w:rFonts w:ascii="Arial" w:eastAsia="Times New Roman" w:hAnsi="Arial" w:cs="Arial"/>
                <w:lang w:val="en-GB"/>
              </w:rPr>
            </w:pPr>
          </w:p>
        </w:tc>
        <w:tc>
          <w:tcPr>
            <w:tcW w:w="1309" w:type="dxa"/>
            <w:tcBorders>
              <w:top w:val="nil"/>
            </w:tcBorders>
          </w:tcPr>
          <w:p w14:paraId="5147C448" w14:textId="77777777" w:rsidR="00765D8E" w:rsidRPr="00765D8E" w:rsidRDefault="00765D8E" w:rsidP="00765D8E">
            <w:pPr>
              <w:spacing w:after="0" w:line="240" w:lineRule="auto"/>
              <w:rPr>
                <w:rFonts w:ascii="Arial" w:eastAsia="Times New Roman" w:hAnsi="Arial" w:cs="Arial"/>
                <w:lang w:val="en-GB"/>
              </w:rPr>
            </w:pPr>
          </w:p>
        </w:tc>
        <w:tc>
          <w:tcPr>
            <w:tcW w:w="1293" w:type="dxa"/>
            <w:tcBorders>
              <w:top w:val="single" w:sz="4" w:space="0" w:color="auto"/>
            </w:tcBorders>
            <w:shd w:val="clear" w:color="auto" w:fill="auto"/>
            <w:noWrap/>
            <w:vAlign w:val="bottom"/>
            <w:hideMark/>
          </w:tcPr>
          <w:p w14:paraId="69712B9B" w14:textId="3372AC46" w:rsidR="00765D8E" w:rsidRPr="00765D8E" w:rsidRDefault="00765D8E" w:rsidP="00765D8E">
            <w:pPr>
              <w:spacing w:after="0" w:line="240" w:lineRule="auto"/>
              <w:rPr>
                <w:rFonts w:ascii="Arial" w:eastAsia="Times New Roman" w:hAnsi="Arial" w:cs="Arial"/>
                <w:lang w:val="en-GB"/>
              </w:rPr>
            </w:pPr>
          </w:p>
        </w:tc>
        <w:tc>
          <w:tcPr>
            <w:tcW w:w="1135" w:type="dxa"/>
            <w:tcBorders>
              <w:top w:val="single" w:sz="4" w:space="0" w:color="auto"/>
            </w:tcBorders>
            <w:shd w:val="clear" w:color="auto" w:fill="auto"/>
            <w:noWrap/>
            <w:vAlign w:val="bottom"/>
            <w:hideMark/>
          </w:tcPr>
          <w:p w14:paraId="35A2CCD9" w14:textId="77777777" w:rsidR="00765D8E" w:rsidRPr="00765D8E" w:rsidRDefault="00765D8E" w:rsidP="00765D8E">
            <w:pPr>
              <w:spacing w:after="0" w:line="240" w:lineRule="auto"/>
              <w:rPr>
                <w:rFonts w:ascii="Arial" w:eastAsia="Times New Roman" w:hAnsi="Arial" w:cs="Arial"/>
                <w:lang w:val="en-GB"/>
              </w:rPr>
            </w:pPr>
          </w:p>
        </w:tc>
        <w:tc>
          <w:tcPr>
            <w:tcW w:w="1214" w:type="dxa"/>
            <w:tcBorders>
              <w:top w:val="single" w:sz="4" w:space="0" w:color="auto"/>
            </w:tcBorders>
            <w:shd w:val="clear" w:color="auto" w:fill="auto"/>
            <w:noWrap/>
            <w:vAlign w:val="bottom"/>
            <w:hideMark/>
          </w:tcPr>
          <w:p w14:paraId="41997E1E" w14:textId="77777777" w:rsidR="00765D8E" w:rsidRPr="00765D8E" w:rsidRDefault="00765D8E" w:rsidP="00765D8E">
            <w:pPr>
              <w:spacing w:after="0" w:line="240" w:lineRule="auto"/>
              <w:rPr>
                <w:rFonts w:ascii="Arial" w:eastAsia="Times New Roman" w:hAnsi="Arial" w:cs="Arial"/>
                <w:lang w:val="en-GB"/>
              </w:rPr>
            </w:pPr>
          </w:p>
        </w:tc>
      </w:tr>
      <w:tr w:rsidR="00765D8E" w:rsidRPr="00765D8E" w14:paraId="5AC8189A" w14:textId="77777777" w:rsidTr="009F0838">
        <w:trPr>
          <w:trHeight w:val="281"/>
        </w:trPr>
        <w:tc>
          <w:tcPr>
            <w:tcW w:w="4401" w:type="dxa"/>
            <w:shd w:val="clear" w:color="auto" w:fill="auto"/>
            <w:noWrap/>
            <w:vAlign w:val="bottom"/>
            <w:hideMark/>
          </w:tcPr>
          <w:p w14:paraId="59E1E0E4" w14:textId="0BD10A20"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Wage rate</w:t>
            </w:r>
            <w:r w:rsidR="00B611F0" w:rsidRPr="00B611F0">
              <w:rPr>
                <w:rFonts w:ascii="Arial" w:eastAsia="Times New Roman" w:hAnsi="Arial" w:cs="Arial"/>
                <w:i/>
                <w:color w:val="000000"/>
                <w:vertAlign w:val="subscript"/>
                <w:lang w:val="en-GB"/>
              </w:rPr>
              <w:t>t-1</w:t>
            </w:r>
          </w:p>
        </w:tc>
        <w:tc>
          <w:tcPr>
            <w:tcW w:w="1366" w:type="dxa"/>
            <w:shd w:val="clear" w:color="auto" w:fill="auto"/>
            <w:noWrap/>
            <w:vAlign w:val="bottom"/>
            <w:hideMark/>
          </w:tcPr>
          <w:p w14:paraId="497D6A49"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1.005**</w:t>
            </w:r>
          </w:p>
        </w:tc>
        <w:tc>
          <w:tcPr>
            <w:tcW w:w="1214" w:type="dxa"/>
            <w:shd w:val="clear" w:color="auto" w:fill="auto"/>
            <w:noWrap/>
            <w:vAlign w:val="bottom"/>
            <w:hideMark/>
          </w:tcPr>
          <w:p w14:paraId="6B635C17"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2.43</w:t>
            </w:r>
          </w:p>
        </w:tc>
        <w:tc>
          <w:tcPr>
            <w:tcW w:w="816" w:type="dxa"/>
            <w:shd w:val="clear" w:color="auto" w:fill="auto"/>
            <w:noWrap/>
            <w:vAlign w:val="bottom"/>
            <w:hideMark/>
          </w:tcPr>
          <w:p w14:paraId="5DD0DBEF"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0.001</w:t>
            </w:r>
          </w:p>
        </w:tc>
        <w:tc>
          <w:tcPr>
            <w:tcW w:w="1309" w:type="dxa"/>
          </w:tcPr>
          <w:p w14:paraId="00ABA4EC" w14:textId="77777777" w:rsidR="00765D8E" w:rsidRPr="00765D8E" w:rsidRDefault="00765D8E" w:rsidP="00765D8E">
            <w:pPr>
              <w:spacing w:after="0" w:line="240" w:lineRule="auto"/>
              <w:rPr>
                <w:rFonts w:ascii="Arial" w:eastAsia="Times New Roman" w:hAnsi="Arial" w:cs="Arial"/>
                <w:color w:val="000000"/>
                <w:lang w:val="en-GB"/>
              </w:rPr>
            </w:pPr>
          </w:p>
        </w:tc>
        <w:tc>
          <w:tcPr>
            <w:tcW w:w="1293" w:type="dxa"/>
            <w:shd w:val="clear" w:color="auto" w:fill="auto"/>
            <w:noWrap/>
            <w:vAlign w:val="bottom"/>
            <w:hideMark/>
          </w:tcPr>
          <w:p w14:paraId="30924A26" w14:textId="4941E99A"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1.004***</w:t>
            </w:r>
          </w:p>
        </w:tc>
        <w:tc>
          <w:tcPr>
            <w:tcW w:w="1135" w:type="dxa"/>
            <w:shd w:val="clear" w:color="auto" w:fill="auto"/>
            <w:noWrap/>
            <w:vAlign w:val="bottom"/>
            <w:hideMark/>
          </w:tcPr>
          <w:p w14:paraId="773363FA"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2.76</w:t>
            </w:r>
          </w:p>
        </w:tc>
        <w:tc>
          <w:tcPr>
            <w:tcW w:w="1214" w:type="dxa"/>
            <w:shd w:val="clear" w:color="auto" w:fill="auto"/>
            <w:noWrap/>
            <w:vAlign w:val="bottom"/>
            <w:hideMark/>
          </w:tcPr>
          <w:p w14:paraId="098F554D"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0.0003</w:t>
            </w:r>
          </w:p>
        </w:tc>
      </w:tr>
      <w:tr w:rsidR="00765D8E" w:rsidRPr="00765D8E" w14:paraId="79903EB8" w14:textId="77777777" w:rsidTr="009F0838">
        <w:trPr>
          <w:trHeight w:val="281"/>
        </w:trPr>
        <w:tc>
          <w:tcPr>
            <w:tcW w:w="4401" w:type="dxa"/>
            <w:shd w:val="clear" w:color="auto" w:fill="auto"/>
            <w:noWrap/>
            <w:vAlign w:val="bottom"/>
            <w:hideMark/>
          </w:tcPr>
          <w:p w14:paraId="4964BD89" w14:textId="72B1B231"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Wage rate sq</w:t>
            </w:r>
            <w:r w:rsidR="00B611F0" w:rsidRPr="00B611F0">
              <w:rPr>
                <w:rFonts w:ascii="Arial" w:eastAsia="Times New Roman" w:hAnsi="Arial" w:cs="Arial"/>
                <w:i/>
                <w:color w:val="000000"/>
                <w:vertAlign w:val="subscript"/>
                <w:lang w:val="en-GB"/>
              </w:rPr>
              <w:t xml:space="preserve"> t-1</w:t>
            </w:r>
          </w:p>
        </w:tc>
        <w:tc>
          <w:tcPr>
            <w:tcW w:w="1366" w:type="dxa"/>
            <w:shd w:val="clear" w:color="auto" w:fill="auto"/>
            <w:noWrap/>
            <w:vAlign w:val="bottom"/>
            <w:hideMark/>
          </w:tcPr>
          <w:p w14:paraId="38C818B2"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1.000</w:t>
            </w:r>
          </w:p>
        </w:tc>
        <w:tc>
          <w:tcPr>
            <w:tcW w:w="1214" w:type="dxa"/>
            <w:shd w:val="clear" w:color="auto" w:fill="auto"/>
            <w:noWrap/>
            <w:vAlign w:val="bottom"/>
            <w:hideMark/>
          </w:tcPr>
          <w:p w14:paraId="6F683C07"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-1.52</w:t>
            </w:r>
          </w:p>
        </w:tc>
        <w:tc>
          <w:tcPr>
            <w:tcW w:w="816" w:type="dxa"/>
            <w:shd w:val="clear" w:color="auto" w:fill="auto"/>
            <w:noWrap/>
            <w:vAlign w:val="bottom"/>
            <w:hideMark/>
          </w:tcPr>
          <w:p w14:paraId="0CD3D0CE" w14:textId="5648F995" w:rsidR="00765D8E" w:rsidRPr="00765D8E" w:rsidRDefault="00765D8E" w:rsidP="00765D8E">
            <w:pPr>
              <w:spacing w:after="0" w:line="240" w:lineRule="auto"/>
              <w:jc w:val="right"/>
              <w:rPr>
                <w:rFonts w:ascii="Arial" w:eastAsia="Times New Roman" w:hAnsi="Arial" w:cs="Arial"/>
                <w:color w:val="000000"/>
                <w:lang w:val="en-GB"/>
              </w:rPr>
            </w:pPr>
            <w:r>
              <w:rPr>
                <w:rFonts w:ascii="Arial" w:eastAsia="Times New Roman" w:hAnsi="Arial" w:cs="Arial"/>
                <w:color w:val="000000"/>
                <w:lang w:val="en-GB"/>
              </w:rPr>
              <w:t>0.001</w:t>
            </w:r>
          </w:p>
        </w:tc>
        <w:tc>
          <w:tcPr>
            <w:tcW w:w="1309" w:type="dxa"/>
          </w:tcPr>
          <w:p w14:paraId="37704B3C" w14:textId="77777777" w:rsidR="00765D8E" w:rsidRPr="00765D8E" w:rsidRDefault="00765D8E" w:rsidP="00765D8E">
            <w:pPr>
              <w:spacing w:after="0" w:line="240" w:lineRule="auto"/>
              <w:jc w:val="right"/>
              <w:rPr>
                <w:rFonts w:ascii="Arial" w:eastAsia="Times New Roman" w:hAnsi="Arial" w:cs="Arial"/>
                <w:color w:val="000000"/>
                <w:lang w:val="en-GB"/>
              </w:rPr>
            </w:pPr>
          </w:p>
        </w:tc>
        <w:tc>
          <w:tcPr>
            <w:tcW w:w="1293" w:type="dxa"/>
            <w:shd w:val="clear" w:color="auto" w:fill="auto"/>
            <w:noWrap/>
            <w:vAlign w:val="bottom"/>
            <w:hideMark/>
          </w:tcPr>
          <w:p w14:paraId="34FE36D8" w14:textId="53E29B65"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1.000</w:t>
            </w:r>
          </w:p>
        </w:tc>
        <w:tc>
          <w:tcPr>
            <w:tcW w:w="1135" w:type="dxa"/>
            <w:shd w:val="clear" w:color="auto" w:fill="auto"/>
            <w:noWrap/>
            <w:vAlign w:val="bottom"/>
            <w:hideMark/>
          </w:tcPr>
          <w:p w14:paraId="178AC54D"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-0.75</w:t>
            </w:r>
          </w:p>
        </w:tc>
        <w:tc>
          <w:tcPr>
            <w:tcW w:w="1214" w:type="dxa"/>
            <w:shd w:val="clear" w:color="auto" w:fill="auto"/>
            <w:noWrap/>
            <w:vAlign w:val="bottom"/>
            <w:hideMark/>
          </w:tcPr>
          <w:p w14:paraId="41BFE3BA" w14:textId="03531ED2" w:rsidR="00765D8E" w:rsidRPr="00765D8E" w:rsidRDefault="00B611F0" w:rsidP="00765D8E">
            <w:pPr>
              <w:spacing w:after="0" w:line="240" w:lineRule="auto"/>
              <w:jc w:val="right"/>
              <w:rPr>
                <w:rFonts w:ascii="Arial" w:eastAsia="Times New Roman" w:hAnsi="Arial" w:cs="Arial"/>
                <w:color w:val="000000"/>
                <w:lang w:val="en-GB"/>
              </w:rPr>
            </w:pPr>
            <w:r>
              <w:rPr>
                <w:rFonts w:ascii="Arial" w:eastAsia="Times New Roman" w:hAnsi="Arial" w:cs="Arial"/>
                <w:color w:val="000000"/>
                <w:lang w:val="en-GB"/>
              </w:rPr>
              <w:t>0.001</w:t>
            </w:r>
          </w:p>
        </w:tc>
      </w:tr>
      <w:tr w:rsidR="00765D8E" w:rsidRPr="00765D8E" w14:paraId="3E770200" w14:textId="77777777" w:rsidTr="009F0838">
        <w:trPr>
          <w:trHeight w:val="281"/>
        </w:trPr>
        <w:tc>
          <w:tcPr>
            <w:tcW w:w="4401" w:type="dxa"/>
            <w:shd w:val="clear" w:color="auto" w:fill="auto"/>
            <w:noWrap/>
            <w:vAlign w:val="bottom"/>
            <w:hideMark/>
          </w:tcPr>
          <w:p w14:paraId="2DC3051E"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Age 25-29, ref=18-24</w:t>
            </w:r>
          </w:p>
        </w:tc>
        <w:tc>
          <w:tcPr>
            <w:tcW w:w="1366" w:type="dxa"/>
            <w:shd w:val="clear" w:color="auto" w:fill="auto"/>
            <w:noWrap/>
            <w:vAlign w:val="bottom"/>
            <w:hideMark/>
          </w:tcPr>
          <w:p w14:paraId="2DA81582"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2.542***</w:t>
            </w:r>
          </w:p>
        </w:tc>
        <w:tc>
          <w:tcPr>
            <w:tcW w:w="1214" w:type="dxa"/>
            <w:shd w:val="clear" w:color="auto" w:fill="auto"/>
            <w:noWrap/>
            <w:vAlign w:val="bottom"/>
            <w:hideMark/>
          </w:tcPr>
          <w:p w14:paraId="244DEC41"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3.88</w:t>
            </w:r>
          </w:p>
        </w:tc>
        <w:tc>
          <w:tcPr>
            <w:tcW w:w="816" w:type="dxa"/>
            <w:shd w:val="clear" w:color="auto" w:fill="auto"/>
            <w:noWrap/>
            <w:vAlign w:val="bottom"/>
            <w:hideMark/>
          </w:tcPr>
          <w:p w14:paraId="5C6D2CCA"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0.135</w:t>
            </w:r>
          </w:p>
        </w:tc>
        <w:tc>
          <w:tcPr>
            <w:tcW w:w="1309" w:type="dxa"/>
          </w:tcPr>
          <w:p w14:paraId="0FD9674F" w14:textId="77777777" w:rsidR="00765D8E" w:rsidRPr="00765D8E" w:rsidRDefault="00765D8E" w:rsidP="00765D8E">
            <w:pPr>
              <w:spacing w:after="0" w:line="240" w:lineRule="auto"/>
              <w:jc w:val="right"/>
              <w:rPr>
                <w:rFonts w:ascii="Arial" w:eastAsia="Times New Roman" w:hAnsi="Arial" w:cs="Arial"/>
                <w:color w:val="000000"/>
                <w:lang w:val="en-GB"/>
              </w:rPr>
            </w:pPr>
          </w:p>
        </w:tc>
        <w:tc>
          <w:tcPr>
            <w:tcW w:w="1293" w:type="dxa"/>
            <w:shd w:val="clear" w:color="auto" w:fill="auto"/>
            <w:noWrap/>
            <w:vAlign w:val="bottom"/>
            <w:hideMark/>
          </w:tcPr>
          <w:p w14:paraId="635C1D8B" w14:textId="6A02FE0F"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1.117</w:t>
            </w:r>
          </w:p>
        </w:tc>
        <w:tc>
          <w:tcPr>
            <w:tcW w:w="1135" w:type="dxa"/>
            <w:shd w:val="clear" w:color="auto" w:fill="auto"/>
            <w:noWrap/>
            <w:vAlign w:val="bottom"/>
            <w:hideMark/>
          </w:tcPr>
          <w:p w14:paraId="5FE6475E"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0.59</w:t>
            </w:r>
          </w:p>
        </w:tc>
        <w:tc>
          <w:tcPr>
            <w:tcW w:w="1214" w:type="dxa"/>
            <w:shd w:val="clear" w:color="auto" w:fill="auto"/>
            <w:noWrap/>
            <w:vAlign w:val="bottom"/>
            <w:hideMark/>
          </w:tcPr>
          <w:p w14:paraId="204CD43E"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0.019</w:t>
            </w:r>
          </w:p>
        </w:tc>
      </w:tr>
      <w:tr w:rsidR="00765D8E" w:rsidRPr="00765D8E" w14:paraId="1AF94955" w14:textId="77777777" w:rsidTr="009F0838">
        <w:trPr>
          <w:trHeight w:val="281"/>
        </w:trPr>
        <w:tc>
          <w:tcPr>
            <w:tcW w:w="4401" w:type="dxa"/>
            <w:shd w:val="clear" w:color="auto" w:fill="auto"/>
            <w:noWrap/>
            <w:vAlign w:val="bottom"/>
            <w:hideMark/>
          </w:tcPr>
          <w:p w14:paraId="76948BAB"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Age 30-34</w:t>
            </w:r>
          </w:p>
        </w:tc>
        <w:tc>
          <w:tcPr>
            <w:tcW w:w="1366" w:type="dxa"/>
            <w:shd w:val="clear" w:color="auto" w:fill="auto"/>
            <w:noWrap/>
            <w:vAlign w:val="bottom"/>
            <w:hideMark/>
          </w:tcPr>
          <w:p w14:paraId="3BBF1EE0"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2.878**</w:t>
            </w:r>
          </w:p>
        </w:tc>
        <w:tc>
          <w:tcPr>
            <w:tcW w:w="1214" w:type="dxa"/>
            <w:shd w:val="clear" w:color="auto" w:fill="auto"/>
            <w:noWrap/>
            <w:vAlign w:val="bottom"/>
            <w:hideMark/>
          </w:tcPr>
          <w:p w14:paraId="2E1045AD"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2.56</w:t>
            </w:r>
          </w:p>
        </w:tc>
        <w:tc>
          <w:tcPr>
            <w:tcW w:w="816" w:type="dxa"/>
            <w:shd w:val="clear" w:color="auto" w:fill="auto"/>
            <w:noWrap/>
            <w:vAlign w:val="bottom"/>
            <w:hideMark/>
          </w:tcPr>
          <w:p w14:paraId="414DD092"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0.153</w:t>
            </w:r>
          </w:p>
        </w:tc>
        <w:tc>
          <w:tcPr>
            <w:tcW w:w="1309" w:type="dxa"/>
          </w:tcPr>
          <w:p w14:paraId="647E4246" w14:textId="77777777" w:rsidR="00765D8E" w:rsidRPr="00765D8E" w:rsidRDefault="00765D8E" w:rsidP="00765D8E">
            <w:pPr>
              <w:spacing w:after="0" w:line="240" w:lineRule="auto"/>
              <w:jc w:val="right"/>
              <w:rPr>
                <w:rFonts w:ascii="Arial" w:eastAsia="Times New Roman" w:hAnsi="Arial" w:cs="Arial"/>
                <w:color w:val="000000"/>
                <w:lang w:val="en-GB"/>
              </w:rPr>
            </w:pPr>
          </w:p>
        </w:tc>
        <w:tc>
          <w:tcPr>
            <w:tcW w:w="1293" w:type="dxa"/>
            <w:shd w:val="clear" w:color="auto" w:fill="auto"/>
            <w:noWrap/>
            <w:vAlign w:val="bottom"/>
            <w:hideMark/>
          </w:tcPr>
          <w:p w14:paraId="614738E5" w14:textId="225CFDB8"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0.995</w:t>
            </w:r>
          </w:p>
        </w:tc>
        <w:tc>
          <w:tcPr>
            <w:tcW w:w="1135" w:type="dxa"/>
            <w:shd w:val="clear" w:color="auto" w:fill="auto"/>
            <w:noWrap/>
            <w:vAlign w:val="bottom"/>
            <w:hideMark/>
          </w:tcPr>
          <w:p w14:paraId="045E8A74"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-0.02</w:t>
            </w:r>
          </w:p>
        </w:tc>
        <w:tc>
          <w:tcPr>
            <w:tcW w:w="1214" w:type="dxa"/>
            <w:shd w:val="clear" w:color="auto" w:fill="auto"/>
            <w:noWrap/>
            <w:vAlign w:val="bottom"/>
            <w:hideMark/>
          </w:tcPr>
          <w:p w14:paraId="39F22EC7"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-0.001</w:t>
            </w:r>
          </w:p>
        </w:tc>
      </w:tr>
      <w:tr w:rsidR="00765D8E" w:rsidRPr="00765D8E" w14:paraId="1203E419" w14:textId="77777777" w:rsidTr="009F0838">
        <w:trPr>
          <w:trHeight w:val="281"/>
        </w:trPr>
        <w:tc>
          <w:tcPr>
            <w:tcW w:w="4401" w:type="dxa"/>
            <w:shd w:val="clear" w:color="auto" w:fill="auto"/>
            <w:noWrap/>
            <w:vAlign w:val="bottom"/>
            <w:hideMark/>
          </w:tcPr>
          <w:p w14:paraId="687F0ED4" w14:textId="70B54785"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1-2 children in household</w:t>
            </w:r>
            <w:r w:rsidR="00B611F0" w:rsidRPr="00B611F0">
              <w:rPr>
                <w:rFonts w:ascii="Arial" w:eastAsia="Times New Roman" w:hAnsi="Arial" w:cs="Arial"/>
                <w:i/>
                <w:color w:val="000000"/>
                <w:vertAlign w:val="subscript"/>
                <w:lang w:val="en-GB"/>
              </w:rPr>
              <w:t xml:space="preserve"> t-1</w:t>
            </w:r>
            <w:r w:rsidRPr="00765D8E">
              <w:rPr>
                <w:rFonts w:ascii="Arial" w:eastAsia="Times New Roman" w:hAnsi="Arial" w:cs="Arial"/>
                <w:color w:val="000000"/>
                <w:lang w:val="en-GB"/>
              </w:rPr>
              <w:t>, ref= no child</w:t>
            </w:r>
          </w:p>
        </w:tc>
        <w:tc>
          <w:tcPr>
            <w:tcW w:w="1366" w:type="dxa"/>
            <w:shd w:val="clear" w:color="auto" w:fill="auto"/>
            <w:noWrap/>
            <w:vAlign w:val="bottom"/>
            <w:hideMark/>
          </w:tcPr>
          <w:p w14:paraId="6D68C9C2"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0.548**</w:t>
            </w:r>
          </w:p>
        </w:tc>
        <w:tc>
          <w:tcPr>
            <w:tcW w:w="1214" w:type="dxa"/>
            <w:shd w:val="clear" w:color="auto" w:fill="auto"/>
            <w:noWrap/>
            <w:vAlign w:val="bottom"/>
            <w:hideMark/>
          </w:tcPr>
          <w:p w14:paraId="68110325"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-2.11</w:t>
            </w:r>
          </w:p>
        </w:tc>
        <w:tc>
          <w:tcPr>
            <w:tcW w:w="816" w:type="dxa"/>
            <w:shd w:val="clear" w:color="auto" w:fill="auto"/>
            <w:noWrap/>
            <w:vAlign w:val="bottom"/>
            <w:hideMark/>
          </w:tcPr>
          <w:p w14:paraId="6FB2A364"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-0.090</w:t>
            </w:r>
          </w:p>
        </w:tc>
        <w:tc>
          <w:tcPr>
            <w:tcW w:w="1309" w:type="dxa"/>
          </w:tcPr>
          <w:p w14:paraId="499BE498" w14:textId="77777777" w:rsidR="00765D8E" w:rsidRPr="00765D8E" w:rsidRDefault="00765D8E" w:rsidP="00765D8E">
            <w:pPr>
              <w:spacing w:after="0" w:line="240" w:lineRule="auto"/>
              <w:rPr>
                <w:rFonts w:ascii="Arial" w:eastAsia="Times New Roman" w:hAnsi="Arial" w:cs="Arial"/>
                <w:color w:val="000000"/>
                <w:lang w:val="en-GB"/>
              </w:rPr>
            </w:pPr>
          </w:p>
        </w:tc>
        <w:tc>
          <w:tcPr>
            <w:tcW w:w="1293" w:type="dxa"/>
            <w:shd w:val="clear" w:color="auto" w:fill="auto"/>
            <w:noWrap/>
            <w:vAlign w:val="bottom"/>
            <w:hideMark/>
          </w:tcPr>
          <w:p w14:paraId="33332452" w14:textId="5AC16DBD"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0.496***</w:t>
            </w:r>
          </w:p>
        </w:tc>
        <w:tc>
          <w:tcPr>
            <w:tcW w:w="1135" w:type="dxa"/>
            <w:shd w:val="clear" w:color="auto" w:fill="auto"/>
            <w:noWrap/>
            <w:vAlign w:val="bottom"/>
            <w:hideMark/>
          </w:tcPr>
          <w:p w14:paraId="4C053455"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-3.88</w:t>
            </w:r>
          </w:p>
        </w:tc>
        <w:tc>
          <w:tcPr>
            <w:tcW w:w="1214" w:type="dxa"/>
            <w:shd w:val="clear" w:color="auto" w:fill="auto"/>
            <w:noWrap/>
            <w:vAlign w:val="bottom"/>
            <w:hideMark/>
          </w:tcPr>
          <w:p w14:paraId="7EB572D9"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-0.122</w:t>
            </w:r>
          </w:p>
        </w:tc>
      </w:tr>
      <w:tr w:rsidR="00765D8E" w:rsidRPr="00765D8E" w14:paraId="1FF05DA6" w14:textId="77777777" w:rsidTr="009F0838">
        <w:trPr>
          <w:trHeight w:val="281"/>
        </w:trPr>
        <w:tc>
          <w:tcPr>
            <w:tcW w:w="4401" w:type="dxa"/>
            <w:shd w:val="clear" w:color="auto" w:fill="auto"/>
            <w:noWrap/>
            <w:vAlign w:val="bottom"/>
            <w:hideMark/>
          </w:tcPr>
          <w:p w14:paraId="3A5250E6" w14:textId="750D360C"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3+ children in household</w:t>
            </w:r>
            <w:r w:rsidR="00B611F0" w:rsidRPr="00B611F0">
              <w:rPr>
                <w:rFonts w:ascii="Arial" w:eastAsia="Times New Roman" w:hAnsi="Arial" w:cs="Arial"/>
                <w:i/>
                <w:color w:val="000000"/>
                <w:vertAlign w:val="subscript"/>
                <w:lang w:val="en-GB"/>
              </w:rPr>
              <w:t xml:space="preserve"> t-1</w:t>
            </w:r>
          </w:p>
        </w:tc>
        <w:tc>
          <w:tcPr>
            <w:tcW w:w="1366" w:type="dxa"/>
            <w:shd w:val="clear" w:color="auto" w:fill="auto"/>
            <w:noWrap/>
            <w:vAlign w:val="bottom"/>
            <w:hideMark/>
          </w:tcPr>
          <w:p w14:paraId="02F65BC7"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0.159***</w:t>
            </w:r>
          </w:p>
        </w:tc>
        <w:tc>
          <w:tcPr>
            <w:tcW w:w="1214" w:type="dxa"/>
            <w:shd w:val="clear" w:color="auto" w:fill="auto"/>
            <w:noWrap/>
            <w:vAlign w:val="bottom"/>
            <w:hideMark/>
          </w:tcPr>
          <w:p w14:paraId="402B9B10"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-2.72</w:t>
            </w:r>
          </w:p>
        </w:tc>
        <w:tc>
          <w:tcPr>
            <w:tcW w:w="816" w:type="dxa"/>
            <w:shd w:val="clear" w:color="auto" w:fill="auto"/>
            <w:noWrap/>
            <w:vAlign w:val="bottom"/>
            <w:hideMark/>
          </w:tcPr>
          <w:p w14:paraId="63E89060"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-0.305</w:t>
            </w:r>
          </w:p>
        </w:tc>
        <w:tc>
          <w:tcPr>
            <w:tcW w:w="1309" w:type="dxa"/>
          </w:tcPr>
          <w:p w14:paraId="4097C700" w14:textId="77777777" w:rsidR="00765D8E" w:rsidRPr="00765D8E" w:rsidRDefault="00765D8E" w:rsidP="00765D8E">
            <w:pPr>
              <w:spacing w:after="0" w:line="240" w:lineRule="auto"/>
              <w:jc w:val="right"/>
              <w:rPr>
                <w:rFonts w:ascii="Arial" w:eastAsia="Times New Roman" w:hAnsi="Arial" w:cs="Arial"/>
                <w:color w:val="000000"/>
                <w:lang w:val="en-GB"/>
              </w:rPr>
            </w:pPr>
          </w:p>
        </w:tc>
        <w:tc>
          <w:tcPr>
            <w:tcW w:w="1293" w:type="dxa"/>
            <w:shd w:val="clear" w:color="auto" w:fill="auto"/>
            <w:noWrap/>
            <w:vAlign w:val="bottom"/>
            <w:hideMark/>
          </w:tcPr>
          <w:p w14:paraId="6BF7A25E" w14:textId="7C9D7B80"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0.499</w:t>
            </w:r>
          </w:p>
        </w:tc>
        <w:tc>
          <w:tcPr>
            <w:tcW w:w="1135" w:type="dxa"/>
            <w:shd w:val="clear" w:color="auto" w:fill="auto"/>
            <w:noWrap/>
            <w:vAlign w:val="bottom"/>
            <w:hideMark/>
          </w:tcPr>
          <w:p w14:paraId="161CD4C8"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-1.33</w:t>
            </w:r>
          </w:p>
        </w:tc>
        <w:tc>
          <w:tcPr>
            <w:tcW w:w="1214" w:type="dxa"/>
            <w:shd w:val="clear" w:color="auto" w:fill="auto"/>
            <w:noWrap/>
            <w:vAlign w:val="bottom"/>
            <w:hideMark/>
          </w:tcPr>
          <w:p w14:paraId="6B1BAE08"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-0.121</w:t>
            </w:r>
          </w:p>
        </w:tc>
      </w:tr>
      <w:tr w:rsidR="00765D8E" w:rsidRPr="00765D8E" w14:paraId="58E35954" w14:textId="77777777" w:rsidTr="009F0838">
        <w:trPr>
          <w:trHeight w:val="281"/>
        </w:trPr>
        <w:tc>
          <w:tcPr>
            <w:tcW w:w="4401" w:type="dxa"/>
            <w:shd w:val="clear" w:color="auto" w:fill="auto"/>
            <w:noWrap/>
            <w:vAlign w:val="bottom"/>
            <w:hideMark/>
          </w:tcPr>
          <w:p w14:paraId="63455CC7" w14:textId="79706011"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New birth</w:t>
            </w:r>
            <w:r w:rsidR="00B611F0" w:rsidRPr="00B611F0">
              <w:rPr>
                <w:rFonts w:ascii="Arial" w:eastAsia="Times New Roman" w:hAnsi="Arial" w:cs="Arial"/>
                <w:i/>
                <w:color w:val="000000"/>
                <w:vertAlign w:val="subscript"/>
                <w:lang w:val="en-GB"/>
              </w:rPr>
              <w:t xml:space="preserve"> t-1</w:t>
            </w:r>
          </w:p>
        </w:tc>
        <w:tc>
          <w:tcPr>
            <w:tcW w:w="1366" w:type="dxa"/>
            <w:shd w:val="clear" w:color="auto" w:fill="auto"/>
            <w:noWrap/>
            <w:vAlign w:val="bottom"/>
            <w:hideMark/>
          </w:tcPr>
          <w:p w14:paraId="77053653"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0.614</w:t>
            </w:r>
          </w:p>
        </w:tc>
        <w:tc>
          <w:tcPr>
            <w:tcW w:w="1214" w:type="dxa"/>
            <w:shd w:val="clear" w:color="auto" w:fill="auto"/>
            <w:noWrap/>
            <w:vAlign w:val="bottom"/>
            <w:hideMark/>
          </w:tcPr>
          <w:p w14:paraId="1E020DE8"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-1.54</w:t>
            </w:r>
          </w:p>
        </w:tc>
        <w:tc>
          <w:tcPr>
            <w:tcW w:w="816" w:type="dxa"/>
            <w:shd w:val="clear" w:color="auto" w:fill="auto"/>
            <w:noWrap/>
            <w:vAlign w:val="bottom"/>
            <w:hideMark/>
          </w:tcPr>
          <w:p w14:paraId="4FDC4B95"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-0.070</w:t>
            </w:r>
          </w:p>
        </w:tc>
        <w:tc>
          <w:tcPr>
            <w:tcW w:w="1309" w:type="dxa"/>
          </w:tcPr>
          <w:p w14:paraId="13B42E56" w14:textId="77777777" w:rsidR="00765D8E" w:rsidRPr="00765D8E" w:rsidRDefault="00765D8E" w:rsidP="00765D8E">
            <w:pPr>
              <w:spacing w:after="0" w:line="240" w:lineRule="auto"/>
              <w:jc w:val="right"/>
              <w:rPr>
                <w:rFonts w:ascii="Arial" w:eastAsia="Times New Roman" w:hAnsi="Arial" w:cs="Arial"/>
                <w:color w:val="000000"/>
                <w:lang w:val="en-GB"/>
              </w:rPr>
            </w:pPr>
          </w:p>
        </w:tc>
        <w:tc>
          <w:tcPr>
            <w:tcW w:w="1293" w:type="dxa"/>
            <w:shd w:val="clear" w:color="auto" w:fill="auto"/>
            <w:noWrap/>
            <w:vAlign w:val="bottom"/>
            <w:hideMark/>
          </w:tcPr>
          <w:p w14:paraId="514C65D9" w14:textId="19BA1B40"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1.112</w:t>
            </w:r>
          </w:p>
        </w:tc>
        <w:tc>
          <w:tcPr>
            <w:tcW w:w="1135" w:type="dxa"/>
            <w:shd w:val="clear" w:color="auto" w:fill="auto"/>
            <w:noWrap/>
            <w:vAlign w:val="bottom"/>
            <w:hideMark/>
          </w:tcPr>
          <w:p w14:paraId="7AEC240C"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0.53</w:t>
            </w:r>
          </w:p>
        </w:tc>
        <w:tc>
          <w:tcPr>
            <w:tcW w:w="1214" w:type="dxa"/>
            <w:shd w:val="clear" w:color="auto" w:fill="auto"/>
            <w:noWrap/>
            <w:vAlign w:val="bottom"/>
            <w:hideMark/>
          </w:tcPr>
          <w:p w14:paraId="502FE7FB"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0.019</w:t>
            </w:r>
          </w:p>
        </w:tc>
      </w:tr>
      <w:tr w:rsidR="00765D8E" w:rsidRPr="00765D8E" w14:paraId="757BE59A" w14:textId="77777777" w:rsidTr="009F0838">
        <w:trPr>
          <w:trHeight w:val="281"/>
        </w:trPr>
        <w:tc>
          <w:tcPr>
            <w:tcW w:w="4401" w:type="dxa"/>
            <w:shd w:val="clear" w:color="auto" w:fill="auto"/>
            <w:noWrap/>
            <w:vAlign w:val="bottom"/>
            <w:hideMark/>
          </w:tcPr>
          <w:p w14:paraId="24E6E0DB" w14:textId="43084F71"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Spouse present in household</w:t>
            </w:r>
            <w:r w:rsidR="00B611F0" w:rsidRPr="00B611F0">
              <w:rPr>
                <w:rFonts w:ascii="Arial" w:eastAsia="Times New Roman" w:hAnsi="Arial" w:cs="Arial"/>
                <w:i/>
                <w:color w:val="000000"/>
                <w:vertAlign w:val="subscript"/>
                <w:lang w:val="en-GB"/>
              </w:rPr>
              <w:t xml:space="preserve"> t-1</w:t>
            </w:r>
          </w:p>
        </w:tc>
        <w:tc>
          <w:tcPr>
            <w:tcW w:w="1366" w:type="dxa"/>
            <w:shd w:val="clear" w:color="auto" w:fill="auto"/>
            <w:noWrap/>
            <w:vAlign w:val="bottom"/>
            <w:hideMark/>
          </w:tcPr>
          <w:p w14:paraId="484CF645"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2.902***</w:t>
            </w:r>
          </w:p>
        </w:tc>
        <w:tc>
          <w:tcPr>
            <w:tcW w:w="1214" w:type="dxa"/>
            <w:shd w:val="clear" w:color="auto" w:fill="auto"/>
            <w:noWrap/>
            <w:vAlign w:val="bottom"/>
            <w:hideMark/>
          </w:tcPr>
          <w:p w14:paraId="4B907E32"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4.72</w:t>
            </w:r>
          </w:p>
        </w:tc>
        <w:tc>
          <w:tcPr>
            <w:tcW w:w="816" w:type="dxa"/>
            <w:shd w:val="clear" w:color="auto" w:fill="auto"/>
            <w:noWrap/>
            <w:vAlign w:val="bottom"/>
            <w:hideMark/>
          </w:tcPr>
          <w:p w14:paraId="014628CC"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0.154</w:t>
            </w:r>
          </w:p>
        </w:tc>
        <w:tc>
          <w:tcPr>
            <w:tcW w:w="1309" w:type="dxa"/>
          </w:tcPr>
          <w:p w14:paraId="0EA4D1D9" w14:textId="77777777" w:rsidR="00765D8E" w:rsidRPr="00765D8E" w:rsidRDefault="00765D8E" w:rsidP="00765D8E">
            <w:pPr>
              <w:spacing w:after="0" w:line="240" w:lineRule="auto"/>
              <w:rPr>
                <w:rFonts w:ascii="Arial" w:eastAsia="Times New Roman" w:hAnsi="Arial" w:cs="Arial"/>
                <w:color w:val="000000"/>
                <w:lang w:val="en-GB"/>
              </w:rPr>
            </w:pPr>
          </w:p>
        </w:tc>
        <w:tc>
          <w:tcPr>
            <w:tcW w:w="1293" w:type="dxa"/>
            <w:shd w:val="clear" w:color="auto" w:fill="auto"/>
            <w:noWrap/>
            <w:vAlign w:val="bottom"/>
            <w:hideMark/>
          </w:tcPr>
          <w:p w14:paraId="7B97CB69" w14:textId="026242AE"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6.175***</w:t>
            </w:r>
          </w:p>
        </w:tc>
        <w:tc>
          <w:tcPr>
            <w:tcW w:w="1135" w:type="dxa"/>
            <w:shd w:val="clear" w:color="auto" w:fill="auto"/>
            <w:noWrap/>
            <w:vAlign w:val="bottom"/>
            <w:hideMark/>
          </w:tcPr>
          <w:p w14:paraId="096368EB"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10.9</w:t>
            </w:r>
          </w:p>
        </w:tc>
        <w:tc>
          <w:tcPr>
            <w:tcW w:w="1214" w:type="dxa"/>
            <w:shd w:val="clear" w:color="auto" w:fill="auto"/>
            <w:noWrap/>
            <w:vAlign w:val="bottom"/>
            <w:hideMark/>
          </w:tcPr>
          <w:p w14:paraId="45BCC26F"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0.319</w:t>
            </w:r>
          </w:p>
        </w:tc>
      </w:tr>
      <w:tr w:rsidR="00765D8E" w:rsidRPr="00765D8E" w14:paraId="097CB3F4" w14:textId="77777777" w:rsidTr="009F0838">
        <w:trPr>
          <w:trHeight w:val="281"/>
        </w:trPr>
        <w:tc>
          <w:tcPr>
            <w:tcW w:w="4401" w:type="dxa"/>
            <w:shd w:val="clear" w:color="auto" w:fill="auto"/>
            <w:noWrap/>
            <w:vAlign w:val="bottom"/>
            <w:hideMark/>
          </w:tcPr>
          <w:p w14:paraId="2D243783" w14:textId="26E3C6AB"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Q2 house prices</w:t>
            </w:r>
            <w:r w:rsidR="00B611F0" w:rsidRPr="00B611F0">
              <w:rPr>
                <w:rFonts w:ascii="Arial" w:eastAsia="Times New Roman" w:hAnsi="Arial" w:cs="Arial"/>
                <w:i/>
                <w:color w:val="000000"/>
                <w:vertAlign w:val="subscript"/>
                <w:lang w:val="en-GB"/>
              </w:rPr>
              <w:t xml:space="preserve"> t-1</w:t>
            </w:r>
            <w:r w:rsidRPr="00765D8E">
              <w:rPr>
                <w:rFonts w:ascii="Arial" w:eastAsia="Times New Roman" w:hAnsi="Arial" w:cs="Arial"/>
                <w:color w:val="000000"/>
                <w:lang w:val="en-GB"/>
              </w:rPr>
              <w:t>, ref=Q1</w:t>
            </w:r>
          </w:p>
        </w:tc>
        <w:tc>
          <w:tcPr>
            <w:tcW w:w="1366" w:type="dxa"/>
            <w:shd w:val="clear" w:color="auto" w:fill="auto"/>
            <w:noWrap/>
            <w:vAlign w:val="bottom"/>
            <w:hideMark/>
          </w:tcPr>
          <w:p w14:paraId="61726C16"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0.871</w:t>
            </w:r>
          </w:p>
        </w:tc>
        <w:tc>
          <w:tcPr>
            <w:tcW w:w="1214" w:type="dxa"/>
            <w:shd w:val="clear" w:color="auto" w:fill="auto"/>
            <w:noWrap/>
            <w:vAlign w:val="bottom"/>
            <w:hideMark/>
          </w:tcPr>
          <w:p w14:paraId="7DA97D7A"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-0.57</w:t>
            </w:r>
          </w:p>
        </w:tc>
        <w:tc>
          <w:tcPr>
            <w:tcW w:w="816" w:type="dxa"/>
            <w:shd w:val="clear" w:color="auto" w:fill="auto"/>
            <w:noWrap/>
            <w:vAlign w:val="bottom"/>
            <w:hideMark/>
          </w:tcPr>
          <w:p w14:paraId="6A3FAA54"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-0.020</w:t>
            </w:r>
          </w:p>
        </w:tc>
        <w:tc>
          <w:tcPr>
            <w:tcW w:w="1309" w:type="dxa"/>
          </w:tcPr>
          <w:p w14:paraId="4FBE9707" w14:textId="77777777" w:rsidR="00765D8E" w:rsidRPr="00765D8E" w:rsidRDefault="00765D8E" w:rsidP="00765D8E">
            <w:pPr>
              <w:spacing w:after="0" w:line="240" w:lineRule="auto"/>
              <w:rPr>
                <w:rFonts w:ascii="Arial" w:eastAsia="Times New Roman" w:hAnsi="Arial" w:cs="Arial"/>
                <w:color w:val="000000"/>
                <w:lang w:val="en-GB"/>
              </w:rPr>
            </w:pPr>
          </w:p>
        </w:tc>
        <w:tc>
          <w:tcPr>
            <w:tcW w:w="1293" w:type="dxa"/>
            <w:shd w:val="clear" w:color="auto" w:fill="auto"/>
            <w:noWrap/>
            <w:vAlign w:val="bottom"/>
            <w:hideMark/>
          </w:tcPr>
          <w:p w14:paraId="27763FD8" w14:textId="641333FF"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0.519***</w:t>
            </w:r>
          </w:p>
        </w:tc>
        <w:tc>
          <w:tcPr>
            <w:tcW w:w="1135" w:type="dxa"/>
            <w:shd w:val="clear" w:color="auto" w:fill="auto"/>
            <w:noWrap/>
            <w:vAlign w:val="bottom"/>
            <w:hideMark/>
          </w:tcPr>
          <w:p w14:paraId="7E7C0773"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-3.51</w:t>
            </w:r>
          </w:p>
        </w:tc>
        <w:tc>
          <w:tcPr>
            <w:tcW w:w="1214" w:type="dxa"/>
            <w:shd w:val="clear" w:color="auto" w:fill="auto"/>
            <w:noWrap/>
            <w:vAlign w:val="bottom"/>
            <w:hideMark/>
          </w:tcPr>
          <w:p w14:paraId="7736B9A4"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-0.115</w:t>
            </w:r>
          </w:p>
        </w:tc>
      </w:tr>
      <w:tr w:rsidR="00765D8E" w:rsidRPr="00765D8E" w14:paraId="0AA3EB56" w14:textId="77777777" w:rsidTr="009F0838">
        <w:trPr>
          <w:trHeight w:val="281"/>
        </w:trPr>
        <w:tc>
          <w:tcPr>
            <w:tcW w:w="4401" w:type="dxa"/>
            <w:shd w:val="clear" w:color="auto" w:fill="auto"/>
            <w:noWrap/>
            <w:vAlign w:val="bottom"/>
            <w:hideMark/>
          </w:tcPr>
          <w:p w14:paraId="1010565C" w14:textId="71146CF8"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Q3 house prices</w:t>
            </w:r>
            <w:r w:rsidR="00B611F0" w:rsidRPr="00B611F0">
              <w:rPr>
                <w:rFonts w:ascii="Arial" w:eastAsia="Times New Roman" w:hAnsi="Arial" w:cs="Arial"/>
                <w:i/>
                <w:color w:val="000000"/>
                <w:vertAlign w:val="subscript"/>
                <w:lang w:val="en-GB"/>
              </w:rPr>
              <w:t xml:space="preserve"> t-1</w:t>
            </w:r>
          </w:p>
        </w:tc>
        <w:tc>
          <w:tcPr>
            <w:tcW w:w="1366" w:type="dxa"/>
            <w:shd w:val="clear" w:color="auto" w:fill="auto"/>
            <w:noWrap/>
            <w:vAlign w:val="bottom"/>
            <w:hideMark/>
          </w:tcPr>
          <w:p w14:paraId="5DCDBC2B"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0.832</w:t>
            </w:r>
          </w:p>
        </w:tc>
        <w:tc>
          <w:tcPr>
            <w:tcW w:w="1214" w:type="dxa"/>
            <w:shd w:val="clear" w:color="auto" w:fill="auto"/>
            <w:noWrap/>
            <w:vAlign w:val="bottom"/>
            <w:hideMark/>
          </w:tcPr>
          <w:p w14:paraId="38B8B907"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-0.59</w:t>
            </w:r>
          </w:p>
        </w:tc>
        <w:tc>
          <w:tcPr>
            <w:tcW w:w="816" w:type="dxa"/>
            <w:shd w:val="clear" w:color="auto" w:fill="auto"/>
            <w:noWrap/>
            <w:vAlign w:val="bottom"/>
            <w:hideMark/>
          </w:tcPr>
          <w:p w14:paraId="219F219A"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-0.027</w:t>
            </w:r>
          </w:p>
        </w:tc>
        <w:tc>
          <w:tcPr>
            <w:tcW w:w="1309" w:type="dxa"/>
          </w:tcPr>
          <w:p w14:paraId="78AE1251" w14:textId="77777777" w:rsidR="00765D8E" w:rsidRPr="00765D8E" w:rsidRDefault="00765D8E" w:rsidP="00765D8E">
            <w:pPr>
              <w:spacing w:after="0" w:line="240" w:lineRule="auto"/>
              <w:jc w:val="right"/>
              <w:rPr>
                <w:rFonts w:ascii="Arial" w:eastAsia="Times New Roman" w:hAnsi="Arial" w:cs="Arial"/>
                <w:color w:val="000000"/>
                <w:lang w:val="en-GB"/>
              </w:rPr>
            </w:pPr>
          </w:p>
        </w:tc>
        <w:tc>
          <w:tcPr>
            <w:tcW w:w="1293" w:type="dxa"/>
            <w:shd w:val="clear" w:color="auto" w:fill="auto"/>
            <w:noWrap/>
            <w:vAlign w:val="bottom"/>
            <w:hideMark/>
          </w:tcPr>
          <w:p w14:paraId="70D8E589" w14:textId="5DB4B5C4"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0.754</w:t>
            </w:r>
          </w:p>
        </w:tc>
        <w:tc>
          <w:tcPr>
            <w:tcW w:w="1135" w:type="dxa"/>
            <w:shd w:val="clear" w:color="auto" w:fill="auto"/>
            <w:noWrap/>
            <w:vAlign w:val="bottom"/>
            <w:hideMark/>
          </w:tcPr>
          <w:p w14:paraId="4BEABBBE"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-1.19</w:t>
            </w:r>
          </w:p>
        </w:tc>
        <w:tc>
          <w:tcPr>
            <w:tcW w:w="1214" w:type="dxa"/>
            <w:shd w:val="clear" w:color="auto" w:fill="auto"/>
            <w:noWrap/>
            <w:vAlign w:val="bottom"/>
            <w:hideMark/>
          </w:tcPr>
          <w:p w14:paraId="07315559"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-0.049</w:t>
            </w:r>
          </w:p>
        </w:tc>
      </w:tr>
      <w:tr w:rsidR="00765D8E" w:rsidRPr="00765D8E" w14:paraId="54AE88C3" w14:textId="77777777" w:rsidTr="009F0838">
        <w:trPr>
          <w:trHeight w:val="281"/>
        </w:trPr>
        <w:tc>
          <w:tcPr>
            <w:tcW w:w="4401" w:type="dxa"/>
            <w:tcBorders>
              <w:bottom w:val="nil"/>
            </w:tcBorders>
            <w:shd w:val="clear" w:color="auto" w:fill="auto"/>
            <w:noWrap/>
            <w:vAlign w:val="bottom"/>
            <w:hideMark/>
          </w:tcPr>
          <w:p w14:paraId="4D87F7F7" w14:textId="0BB8D84A"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Q4 house prices</w:t>
            </w:r>
            <w:r w:rsidR="00B611F0" w:rsidRPr="00B611F0">
              <w:rPr>
                <w:rFonts w:ascii="Arial" w:eastAsia="Times New Roman" w:hAnsi="Arial" w:cs="Arial"/>
                <w:i/>
                <w:color w:val="000000"/>
                <w:vertAlign w:val="subscript"/>
                <w:lang w:val="en-GB"/>
              </w:rPr>
              <w:t xml:space="preserve"> t-1</w:t>
            </w:r>
          </w:p>
        </w:tc>
        <w:tc>
          <w:tcPr>
            <w:tcW w:w="1366" w:type="dxa"/>
            <w:tcBorders>
              <w:bottom w:val="nil"/>
            </w:tcBorders>
            <w:shd w:val="clear" w:color="auto" w:fill="auto"/>
            <w:noWrap/>
            <w:vAlign w:val="bottom"/>
            <w:hideMark/>
          </w:tcPr>
          <w:p w14:paraId="7440A1A2"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0.835</w:t>
            </w:r>
          </w:p>
        </w:tc>
        <w:tc>
          <w:tcPr>
            <w:tcW w:w="1214" w:type="dxa"/>
            <w:tcBorders>
              <w:bottom w:val="nil"/>
            </w:tcBorders>
            <w:shd w:val="clear" w:color="auto" w:fill="auto"/>
            <w:noWrap/>
            <w:vAlign w:val="bottom"/>
            <w:hideMark/>
          </w:tcPr>
          <w:p w14:paraId="6E85BB0F"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-0.44</w:t>
            </w:r>
          </w:p>
        </w:tc>
        <w:tc>
          <w:tcPr>
            <w:tcW w:w="816" w:type="dxa"/>
            <w:tcBorders>
              <w:bottom w:val="nil"/>
            </w:tcBorders>
            <w:shd w:val="clear" w:color="auto" w:fill="auto"/>
            <w:noWrap/>
            <w:vAlign w:val="bottom"/>
            <w:hideMark/>
          </w:tcPr>
          <w:p w14:paraId="1B662E5B"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-0.026</w:t>
            </w:r>
          </w:p>
        </w:tc>
        <w:tc>
          <w:tcPr>
            <w:tcW w:w="1309" w:type="dxa"/>
            <w:tcBorders>
              <w:bottom w:val="nil"/>
            </w:tcBorders>
          </w:tcPr>
          <w:p w14:paraId="5E5B033C" w14:textId="77777777" w:rsidR="00765D8E" w:rsidRPr="00765D8E" w:rsidRDefault="00765D8E" w:rsidP="00765D8E">
            <w:pPr>
              <w:spacing w:after="0" w:line="240" w:lineRule="auto"/>
              <w:jc w:val="right"/>
              <w:rPr>
                <w:rFonts w:ascii="Arial" w:eastAsia="Times New Roman" w:hAnsi="Arial" w:cs="Arial"/>
                <w:color w:val="000000"/>
                <w:lang w:val="en-GB"/>
              </w:rPr>
            </w:pPr>
          </w:p>
        </w:tc>
        <w:tc>
          <w:tcPr>
            <w:tcW w:w="1293" w:type="dxa"/>
            <w:tcBorders>
              <w:bottom w:val="nil"/>
            </w:tcBorders>
            <w:shd w:val="clear" w:color="auto" w:fill="auto"/>
            <w:noWrap/>
            <w:vAlign w:val="bottom"/>
            <w:hideMark/>
          </w:tcPr>
          <w:p w14:paraId="3A0D0EEF" w14:textId="49019FC4"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0.645</w:t>
            </w:r>
          </w:p>
        </w:tc>
        <w:tc>
          <w:tcPr>
            <w:tcW w:w="1135" w:type="dxa"/>
            <w:tcBorders>
              <w:bottom w:val="nil"/>
            </w:tcBorders>
            <w:shd w:val="clear" w:color="auto" w:fill="auto"/>
            <w:noWrap/>
            <w:vAlign w:val="bottom"/>
            <w:hideMark/>
          </w:tcPr>
          <w:p w14:paraId="2202B14E"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-1.34</w:t>
            </w:r>
          </w:p>
        </w:tc>
        <w:tc>
          <w:tcPr>
            <w:tcW w:w="1214" w:type="dxa"/>
            <w:tcBorders>
              <w:bottom w:val="nil"/>
            </w:tcBorders>
            <w:shd w:val="clear" w:color="auto" w:fill="auto"/>
            <w:noWrap/>
            <w:vAlign w:val="bottom"/>
            <w:hideMark/>
          </w:tcPr>
          <w:p w14:paraId="5C58C5F1"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-0.077</w:t>
            </w:r>
          </w:p>
        </w:tc>
      </w:tr>
      <w:tr w:rsidR="00765D8E" w:rsidRPr="00765D8E" w14:paraId="31EB449C" w14:textId="77777777" w:rsidTr="009F0838">
        <w:trPr>
          <w:trHeight w:val="281"/>
        </w:trPr>
        <w:tc>
          <w:tcPr>
            <w:tcW w:w="4401" w:type="dxa"/>
            <w:tcBorders>
              <w:bottom w:val="single" w:sz="4" w:space="0" w:color="auto"/>
            </w:tcBorders>
            <w:shd w:val="clear" w:color="auto" w:fill="auto"/>
            <w:noWrap/>
            <w:vAlign w:val="bottom"/>
            <w:hideMark/>
          </w:tcPr>
          <w:p w14:paraId="46C1955A" w14:textId="692E3BE0"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Net rent £000</w:t>
            </w:r>
            <w:r w:rsidR="00B611F0" w:rsidRPr="00B611F0">
              <w:rPr>
                <w:rFonts w:ascii="Arial" w:eastAsia="Times New Roman" w:hAnsi="Arial" w:cs="Arial"/>
                <w:i/>
                <w:color w:val="000000"/>
                <w:vertAlign w:val="subscript"/>
                <w:lang w:val="en-GB"/>
              </w:rPr>
              <w:t xml:space="preserve"> t-1</w:t>
            </w:r>
          </w:p>
        </w:tc>
        <w:tc>
          <w:tcPr>
            <w:tcW w:w="1366" w:type="dxa"/>
            <w:tcBorders>
              <w:bottom w:val="single" w:sz="4" w:space="0" w:color="auto"/>
            </w:tcBorders>
            <w:shd w:val="clear" w:color="auto" w:fill="auto"/>
            <w:noWrap/>
            <w:vAlign w:val="bottom"/>
            <w:hideMark/>
          </w:tcPr>
          <w:p w14:paraId="0B8B88D9" w14:textId="77777777"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1.543***</w:t>
            </w:r>
          </w:p>
        </w:tc>
        <w:tc>
          <w:tcPr>
            <w:tcW w:w="1214" w:type="dxa"/>
            <w:tcBorders>
              <w:bottom w:val="single" w:sz="4" w:space="0" w:color="auto"/>
            </w:tcBorders>
            <w:shd w:val="clear" w:color="auto" w:fill="auto"/>
            <w:noWrap/>
            <w:vAlign w:val="bottom"/>
            <w:hideMark/>
          </w:tcPr>
          <w:p w14:paraId="030D9692"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14.49</w:t>
            </w:r>
          </w:p>
        </w:tc>
        <w:tc>
          <w:tcPr>
            <w:tcW w:w="816" w:type="dxa"/>
            <w:tcBorders>
              <w:bottom w:val="single" w:sz="4" w:space="0" w:color="auto"/>
            </w:tcBorders>
            <w:shd w:val="clear" w:color="auto" w:fill="auto"/>
            <w:noWrap/>
            <w:vAlign w:val="bottom"/>
            <w:hideMark/>
          </w:tcPr>
          <w:p w14:paraId="3B56192F"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0.063</w:t>
            </w:r>
          </w:p>
        </w:tc>
        <w:tc>
          <w:tcPr>
            <w:tcW w:w="1309" w:type="dxa"/>
            <w:tcBorders>
              <w:bottom w:val="single" w:sz="4" w:space="0" w:color="auto"/>
            </w:tcBorders>
          </w:tcPr>
          <w:p w14:paraId="34F54604" w14:textId="77777777" w:rsidR="00765D8E" w:rsidRPr="00765D8E" w:rsidRDefault="00765D8E" w:rsidP="00765D8E">
            <w:pPr>
              <w:spacing w:after="0" w:line="240" w:lineRule="auto"/>
              <w:jc w:val="right"/>
              <w:rPr>
                <w:rFonts w:ascii="Arial" w:eastAsia="Times New Roman" w:hAnsi="Arial" w:cs="Arial"/>
                <w:color w:val="000000"/>
                <w:lang w:val="en-GB"/>
              </w:rPr>
            </w:pPr>
          </w:p>
        </w:tc>
        <w:tc>
          <w:tcPr>
            <w:tcW w:w="1293" w:type="dxa"/>
            <w:tcBorders>
              <w:bottom w:val="single" w:sz="4" w:space="0" w:color="auto"/>
            </w:tcBorders>
            <w:shd w:val="clear" w:color="auto" w:fill="auto"/>
            <w:noWrap/>
            <w:vAlign w:val="bottom"/>
            <w:hideMark/>
          </w:tcPr>
          <w:p w14:paraId="7110F81D" w14:textId="6497F740" w:rsidR="00765D8E" w:rsidRPr="00765D8E" w:rsidRDefault="00765D8E" w:rsidP="00765D8E">
            <w:pPr>
              <w:spacing w:after="0" w:line="240" w:lineRule="auto"/>
              <w:rPr>
                <w:rFonts w:ascii="Arial" w:eastAsia="Times New Roman" w:hAnsi="Arial" w:cs="Arial"/>
                <w:color w:val="000000"/>
                <w:lang w:val="en-GB"/>
              </w:rPr>
            </w:pPr>
            <w:r w:rsidRPr="00765D8E">
              <w:rPr>
                <w:rFonts w:ascii="Arial" w:eastAsia="Times New Roman" w:hAnsi="Arial" w:cs="Arial"/>
                <w:color w:val="000000"/>
                <w:lang w:val="en-GB"/>
              </w:rPr>
              <w:t>0.978</w:t>
            </w:r>
          </w:p>
        </w:tc>
        <w:tc>
          <w:tcPr>
            <w:tcW w:w="1135" w:type="dxa"/>
            <w:tcBorders>
              <w:bottom w:val="single" w:sz="4" w:space="0" w:color="auto"/>
            </w:tcBorders>
            <w:shd w:val="clear" w:color="auto" w:fill="auto"/>
            <w:noWrap/>
            <w:vAlign w:val="bottom"/>
            <w:hideMark/>
          </w:tcPr>
          <w:p w14:paraId="330B71CA"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-0.70</w:t>
            </w:r>
          </w:p>
        </w:tc>
        <w:tc>
          <w:tcPr>
            <w:tcW w:w="1214" w:type="dxa"/>
            <w:tcBorders>
              <w:bottom w:val="single" w:sz="4" w:space="0" w:color="auto"/>
            </w:tcBorders>
            <w:shd w:val="clear" w:color="auto" w:fill="auto"/>
            <w:noWrap/>
            <w:vAlign w:val="bottom"/>
            <w:hideMark/>
          </w:tcPr>
          <w:p w14:paraId="59191298" w14:textId="77777777" w:rsidR="00765D8E" w:rsidRPr="00765D8E" w:rsidRDefault="00765D8E" w:rsidP="00765D8E">
            <w:pPr>
              <w:spacing w:after="0" w:line="240" w:lineRule="auto"/>
              <w:jc w:val="right"/>
              <w:rPr>
                <w:rFonts w:ascii="Arial" w:eastAsia="Times New Roman" w:hAnsi="Arial" w:cs="Arial"/>
                <w:color w:val="000000"/>
                <w:lang w:val="en-GB"/>
              </w:rPr>
            </w:pPr>
            <w:r w:rsidRPr="00765D8E">
              <w:rPr>
                <w:rFonts w:ascii="Arial" w:eastAsia="Times New Roman" w:hAnsi="Arial" w:cs="Arial"/>
                <w:color w:val="000000"/>
                <w:lang w:val="en-GB"/>
              </w:rPr>
              <w:t>-0.004</w:t>
            </w:r>
          </w:p>
        </w:tc>
      </w:tr>
      <w:tr w:rsidR="00B27045" w:rsidRPr="00765D8E" w14:paraId="62835B95" w14:textId="77777777" w:rsidTr="009F0838">
        <w:trPr>
          <w:trHeight w:val="281"/>
        </w:trPr>
        <w:tc>
          <w:tcPr>
            <w:tcW w:w="4401" w:type="dxa"/>
            <w:tcBorders>
              <w:top w:val="single" w:sz="4" w:space="0" w:color="auto"/>
            </w:tcBorders>
            <w:shd w:val="clear" w:color="auto" w:fill="auto"/>
            <w:noWrap/>
            <w:vAlign w:val="bottom"/>
          </w:tcPr>
          <w:p w14:paraId="7761726D" w14:textId="77777777" w:rsidR="00B27045" w:rsidRPr="00765D8E" w:rsidRDefault="00B27045" w:rsidP="00765D8E">
            <w:pPr>
              <w:spacing w:after="0" w:line="240" w:lineRule="auto"/>
              <w:rPr>
                <w:rFonts w:ascii="Arial" w:eastAsia="Times New Roman" w:hAnsi="Arial" w:cs="Arial"/>
                <w:color w:val="000000"/>
                <w:lang w:val="en-GB"/>
              </w:rPr>
            </w:pPr>
          </w:p>
        </w:tc>
        <w:tc>
          <w:tcPr>
            <w:tcW w:w="1366" w:type="dxa"/>
            <w:tcBorders>
              <w:top w:val="single" w:sz="4" w:space="0" w:color="auto"/>
            </w:tcBorders>
            <w:shd w:val="clear" w:color="auto" w:fill="auto"/>
            <w:noWrap/>
            <w:vAlign w:val="bottom"/>
          </w:tcPr>
          <w:p w14:paraId="706FC8B7" w14:textId="77777777" w:rsidR="00B27045" w:rsidRPr="00765D8E" w:rsidRDefault="00B27045" w:rsidP="00765D8E">
            <w:pPr>
              <w:spacing w:after="0" w:line="240" w:lineRule="auto"/>
              <w:rPr>
                <w:rFonts w:ascii="Arial" w:eastAsia="Times New Roman" w:hAnsi="Arial" w:cs="Arial"/>
                <w:color w:val="000000"/>
                <w:lang w:val="en-GB"/>
              </w:rPr>
            </w:pPr>
          </w:p>
        </w:tc>
        <w:tc>
          <w:tcPr>
            <w:tcW w:w="1214" w:type="dxa"/>
            <w:tcBorders>
              <w:top w:val="single" w:sz="4" w:space="0" w:color="auto"/>
            </w:tcBorders>
            <w:shd w:val="clear" w:color="auto" w:fill="auto"/>
            <w:noWrap/>
            <w:vAlign w:val="bottom"/>
          </w:tcPr>
          <w:p w14:paraId="0B73FDE8" w14:textId="77777777" w:rsidR="00B27045" w:rsidRPr="00765D8E" w:rsidRDefault="00B27045" w:rsidP="00765D8E">
            <w:pPr>
              <w:spacing w:after="0" w:line="240" w:lineRule="auto"/>
              <w:jc w:val="right"/>
              <w:rPr>
                <w:rFonts w:ascii="Arial" w:eastAsia="Times New Roman" w:hAnsi="Arial" w:cs="Arial"/>
                <w:color w:val="000000"/>
                <w:lang w:val="en-GB"/>
              </w:rPr>
            </w:pPr>
          </w:p>
        </w:tc>
        <w:tc>
          <w:tcPr>
            <w:tcW w:w="816" w:type="dxa"/>
            <w:tcBorders>
              <w:top w:val="single" w:sz="4" w:space="0" w:color="auto"/>
            </w:tcBorders>
            <w:shd w:val="clear" w:color="auto" w:fill="auto"/>
            <w:noWrap/>
            <w:vAlign w:val="bottom"/>
          </w:tcPr>
          <w:p w14:paraId="7BE076A2" w14:textId="77777777" w:rsidR="00B27045" w:rsidRPr="00765D8E" w:rsidRDefault="00B27045" w:rsidP="00765D8E">
            <w:pPr>
              <w:spacing w:after="0" w:line="240" w:lineRule="auto"/>
              <w:jc w:val="right"/>
              <w:rPr>
                <w:rFonts w:ascii="Arial" w:eastAsia="Times New Roman" w:hAnsi="Arial" w:cs="Arial"/>
                <w:color w:val="000000"/>
                <w:lang w:val="en-GB"/>
              </w:rPr>
            </w:pPr>
          </w:p>
        </w:tc>
        <w:tc>
          <w:tcPr>
            <w:tcW w:w="1309" w:type="dxa"/>
            <w:tcBorders>
              <w:top w:val="single" w:sz="4" w:space="0" w:color="auto"/>
            </w:tcBorders>
          </w:tcPr>
          <w:p w14:paraId="6D341E62" w14:textId="77777777" w:rsidR="00B27045" w:rsidRPr="00765D8E" w:rsidRDefault="00B27045" w:rsidP="00765D8E">
            <w:pPr>
              <w:spacing w:after="0" w:line="240" w:lineRule="auto"/>
              <w:jc w:val="right"/>
              <w:rPr>
                <w:rFonts w:ascii="Arial" w:eastAsia="Times New Roman" w:hAnsi="Arial" w:cs="Arial"/>
                <w:color w:val="000000"/>
                <w:lang w:val="en-GB"/>
              </w:rPr>
            </w:pPr>
          </w:p>
        </w:tc>
        <w:tc>
          <w:tcPr>
            <w:tcW w:w="1293" w:type="dxa"/>
            <w:tcBorders>
              <w:top w:val="single" w:sz="4" w:space="0" w:color="auto"/>
            </w:tcBorders>
            <w:shd w:val="clear" w:color="auto" w:fill="auto"/>
            <w:noWrap/>
            <w:vAlign w:val="bottom"/>
          </w:tcPr>
          <w:p w14:paraId="037E876C" w14:textId="77777777" w:rsidR="00B27045" w:rsidRPr="00765D8E" w:rsidRDefault="00B27045" w:rsidP="00765D8E">
            <w:pPr>
              <w:spacing w:after="0" w:line="240" w:lineRule="auto"/>
              <w:rPr>
                <w:rFonts w:ascii="Arial" w:eastAsia="Times New Roman" w:hAnsi="Arial" w:cs="Arial"/>
                <w:color w:val="000000"/>
                <w:lang w:val="en-GB"/>
              </w:rPr>
            </w:pPr>
          </w:p>
        </w:tc>
        <w:tc>
          <w:tcPr>
            <w:tcW w:w="1135" w:type="dxa"/>
            <w:tcBorders>
              <w:top w:val="single" w:sz="4" w:space="0" w:color="auto"/>
            </w:tcBorders>
            <w:shd w:val="clear" w:color="auto" w:fill="auto"/>
            <w:noWrap/>
            <w:vAlign w:val="bottom"/>
          </w:tcPr>
          <w:p w14:paraId="281DEA6A" w14:textId="77777777" w:rsidR="00B27045" w:rsidRPr="00765D8E" w:rsidRDefault="00B27045" w:rsidP="00765D8E">
            <w:pPr>
              <w:spacing w:after="0" w:line="240" w:lineRule="auto"/>
              <w:jc w:val="right"/>
              <w:rPr>
                <w:rFonts w:ascii="Arial" w:eastAsia="Times New Roman" w:hAnsi="Arial" w:cs="Arial"/>
                <w:color w:val="000000"/>
                <w:lang w:val="en-GB"/>
              </w:rPr>
            </w:pPr>
          </w:p>
        </w:tc>
        <w:tc>
          <w:tcPr>
            <w:tcW w:w="1214" w:type="dxa"/>
            <w:tcBorders>
              <w:top w:val="single" w:sz="4" w:space="0" w:color="auto"/>
            </w:tcBorders>
            <w:shd w:val="clear" w:color="auto" w:fill="auto"/>
            <w:noWrap/>
            <w:vAlign w:val="bottom"/>
          </w:tcPr>
          <w:p w14:paraId="1EB6B67B" w14:textId="77777777" w:rsidR="00B27045" w:rsidRPr="00765D8E" w:rsidRDefault="00B27045" w:rsidP="00765D8E">
            <w:pPr>
              <w:spacing w:after="0" w:line="240" w:lineRule="auto"/>
              <w:jc w:val="right"/>
              <w:rPr>
                <w:rFonts w:ascii="Arial" w:eastAsia="Times New Roman" w:hAnsi="Arial" w:cs="Arial"/>
                <w:color w:val="000000"/>
                <w:lang w:val="en-GB"/>
              </w:rPr>
            </w:pPr>
          </w:p>
        </w:tc>
      </w:tr>
      <w:tr w:rsidR="00B27045" w:rsidRPr="00765D8E" w14:paraId="6A54C095" w14:textId="77777777" w:rsidTr="009F0838">
        <w:trPr>
          <w:trHeight w:val="281"/>
        </w:trPr>
        <w:tc>
          <w:tcPr>
            <w:tcW w:w="4401" w:type="dxa"/>
            <w:shd w:val="clear" w:color="auto" w:fill="auto"/>
            <w:noWrap/>
            <w:vAlign w:val="bottom"/>
          </w:tcPr>
          <w:p w14:paraId="645D473B" w14:textId="530AFC0A"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Log likelihood</w:t>
            </w:r>
          </w:p>
        </w:tc>
        <w:tc>
          <w:tcPr>
            <w:tcW w:w="1366" w:type="dxa"/>
            <w:shd w:val="clear" w:color="auto" w:fill="auto"/>
            <w:noWrap/>
            <w:vAlign w:val="bottom"/>
          </w:tcPr>
          <w:p w14:paraId="6982960C" w14:textId="69B4D389"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-532.667</w:t>
            </w:r>
          </w:p>
        </w:tc>
        <w:tc>
          <w:tcPr>
            <w:tcW w:w="1214" w:type="dxa"/>
            <w:shd w:val="clear" w:color="auto" w:fill="auto"/>
            <w:noWrap/>
            <w:vAlign w:val="bottom"/>
          </w:tcPr>
          <w:p w14:paraId="51C32E9D"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816" w:type="dxa"/>
            <w:shd w:val="clear" w:color="auto" w:fill="auto"/>
            <w:noWrap/>
            <w:vAlign w:val="bottom"/>
          </w:tcPr>
          <w:p w14:paraId="47E01839"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309" w:type="dxa"/>
          </w:tcPr>
          <w:p w14:paraId="7B0E1EB7"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93" w:type="dxa"/>
            <w:shd w:val="clear" w:color="auto" w:fill="auto"/>
            <w:noWrap/>
            <w:vAlign w:val="bottom"/>
          </w:tcPr>
          <w:p w14:paraId="67BD54C7" w14:textId="0FDB3983"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-917.959</w:t>
            </w:r>
          </w:p>
        </w:tc>
        <w:tc>
          <w:tcPr>
            <w:tcW w:w="1135" w:type="dxa"/>
            <w:shd w:val="clear" w:color="auto" w:fill="auto"/>
            <w:noWrap/>
            <w:vAlign w:val="bottom"/>
          </w:tcPr>
          <w:p w14:paraId="656A51B3"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14" w:type="dxa"/>
            <w:shd w:val="clear" w:color="auto" w:fill="auto"/>
            <w:noWrap/>
            <w:vAlign w:val="bottom"/>
          </w:tcPr>
          <w:p w14:paraId="3ACD2016" w14:textId="77777777" w:rsidR="00B27045" w:rsidRPr="00B27045" w:rsidRDefault="00B27045" w:rsidP="00B27045">
            <w:pPr>
              <w:spacing w:after="0" w:line="240" w:lineRule="auto"/>
              <w:jc w:val="right"/>
              <w:rPr>
                <w:rFonts w:ascii="Arial" w:eastAsia="Times New Roman" w:hAnsi="Arial" w:cs="Arial"/>
                <w:color w:val="000000"/>
                <w:lang w:val="en-GB"/>
              </w:rPr>
            </w:pPr>
          </w:p>
        </w:tc>
      </w:tr>
      <w:tr w:rsidR="00B27045" w:rsidRPr="00765D8E" w14:paraId="6DC67C66" w14:textId="77777777" w:rsidTr="009F0838">
        <w:trPr>
          <w:trHeight w:val="281"/>
        </w:trPr>
        <w:tc>
          <w:tcPr>
            <w:tcW w:w="4401" w:type="dxa"/>
            <w:shd w:val="clear" w:color="auto" w:fill="auto"/>
            <w:noWrap/>
            <w:vAlign w:val="bottom"/>
          </w:tcPr>
          <w:p w14:paraId="506D171A" w14:textId="6773E279"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LR chi</w:t>
            </w:r>
            <w:r w:rsidRPr="00B27045">
              <w:rPr>
                <w:rFonts w:ascii="Arial" w:hAnsi="Arial" w:cs="Arial"/>
                <w:color w:val="000000"/>
                <w:vertAlign w:val="superscript"/>
              </w:rPr>
              <w:t>2</w:t>
            </w:r>
            <w:r w:rsidRPr="00B27045">
              <w:rPr>
                <w:rFonts w:ascii="Arial" w:hAnsi="Arial" w:cs="Arial"/>
                <w:color w:val="000000"/>
              </w:rPr>
              <w:t>(32)</w:t>
            </w:r>
          </w:p>
        </w:tc>
        <w:tc>
          <w:tcPr>
            <w:tcW w:w="1366" w:type="dxa"/>
            <w:shd w:val="clear" w:color="auto" w:fill="auto"/>
            <w:noWrap/>
            <w:vAlign w:val="bottom"/>
          </w:tcPr>
          <w:p w14:paraId="041C2DC5" w14:textId="59242B26"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559.13</w:t>
            </w:r>
          </w:p>
        </w:tc>
        <w:tc>
          <w:tcPr>
            <w:tcW w:w="1214" w:type="dxa"/>
            <w:shd w:val="clear" w:color="auto" w:fill="auto"/>
            <w:noWrap/>
            <w:vAlign w:val="bottom"/>
          </w:tcPr>
          <w:p w14:paraId="48149291"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816" w:type="dxa"/>
            <w:shd w:val="clear" w:color="auto" w:fill="auto"/>
            <w:noWrap/>
            <w:vAlign w:val="bottom"/>
          </w:tcPr>
          <w:p w14:paraId="5847A0C3"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309" w:type="dxa"/>
          </w:tcPr>
          <w:p w14:paraId="4EEF3BBF"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93" w:type="dxa"/>
            <w:shd w:val="clear" w:color="auto" w:fill="auto"/>
            <w:noWrap/>
            <w:vAlign w:val="bottom"/>
          </w:tcPr>
          <w:p w14:paraId="4AD3DF3C" w14:textId="683A1BAC"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319.89</w:t>
            </w:r>
          </w:p>
        </w:tc>
        <w:tc>
          <w:tcPr>
            <w:tcW w:w="1135" w:type="dxa"/>
            <w:shd w:val="clear" w:color="auto" w:fill="auto"/>
            <w:noWrap/>
            <w:vAlign w:val="bottom"/>
          </w:tcPr>
          <w:p w14:paraId="3D27DA43"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14" w:type="dxa"/>
            <w:shd w:val="clear" w:color="auto" w:fill="auto"/>
            <w:noWrap/>
            <w:vAlign w:val="bottom"/>
          </w:tcPr>
          <w:p w14:paraId="3CED1189" w14:textId="77777777" w:rsidR="00B27045" w:rsidRPr="00B27045" w:rsidRDefault="00B27045" w:rsidP="00B27045">
            <w:pPr>
              <w:spacing w:after="0" w:line="240" w:lineRule="auto"/>
              <w:jc w:val="right"/>
              <w:rPr>
                <w:rFonts w:ascii="Arial" w:eastAsia="Times New Roman" w:hAnsi="Arial" w:cs="Arial"/>
                <w:color w:val="000000"/>
                <w:lang w:val="en-GB"/>
              </w:rPr>
            </w:pPr>
          </w:p>
        </w:tc>
      </w:tr>
      <w:tr w:rsidR="00B27045" w:rsidRPr="00765D8E" w14:paraId="3AF3EC8D" w14:textId="77777777" w:rsidTr="009F0838">
        <w:trPr>
          <w:trHeight w:val="281"/>
        </w:trPr>
        <w:tc>
          <w:tcPr>
            <w:tcW w:w="4401" w:type="dxa"/>
            <w:shd w:val="clear" w:color="auto" w:fill="auto"/>
            <w:noWrap/>
            <w:vAlign w:val="bottom"/>
          </w:tcPr>
          <w:p w14:paraId="729F47C4" w14:textId="63C429CD"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Prob &gt; chi</w:t>
            </w:r>
            <w:r w:rsidRPr="00B27045">
              <w:rPr>
                <w:rFonts w:ascii="Arial" w:hAnsi="Arial" w:cs="Arial"/>
                <w:color w:val="000000"/>
                <w:vertAlign w:val="superscript"/>
              </w:rPr>
              <w:t>2</w:t>
            </w:r>
          </w:p>
        </w:tc>
        <w:tc>
          <w:tcPr>
            <w:tcW w:w="1366" w:type="dxa"/>
            <w:shd w:val="clear" w:color="auto" w:fill="auto"/>
            <w:noWrap/>
            <w:vAlign w:val="bottom"/>
          </w:tcPr>
          <w:p w14:paraId="63912E00" w14:textId="5B983EB9"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0.000</w:t>
            </w:r>
          </w:p>
        </w:tc>
        <w:tc>
          <w:tcPr>
            <w:tcW w:w="1214" w:type="dxa"/>
            <w:shd w:val="clear" w:color="auto" w:fill="auto"/>
            <w:noWrap/>
            <w:vAlign w:val="bottom"/>
          </w:tcPr>
          <w:p w14:paraId="539EA352"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816" w:type="dxa"/>
            <w:shd w:val="clear" w:color="auto" w:fill="auto"/>
            <w:noWrap/>
            <w:vAlign w:val="bottom"/>
          </w:tcPr>
          <w:p w14:paraId="07EC5B28"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309" w:type="dxa"/>
          </w:tcPr>
          <w:p w14:paraId="1171C342"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93" w:type="dxa"/>
            <w:shd w:val="clear" w:color="auto" w:fill="auto"/>
            <w:noWrap/>
            <w:vAlign w:val="bottom"/>
          </w:tcPr>
          <w:p w14:paraId="545C7785" w14:textId="18448175"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0.000</w:t>
            </w:r>
          </w:p>
        </w:tc>
        <w:tc>
          <w:tcPr>
            <w:tcW w:w="1135" w:type="dxa"/>
            <w:shd w:val="clear" w:color="auto" w:fill="auto"/>
            <w:noWrap/>
            <w:vAlign w:val="bottom"/>
          </w:tcPr>
          <w:p w14:paraId="7A61FA29"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14" w:type="dxa"/>
            <w:shd w:val="clear" w:color="auto" w:fill="auto"/>
            <w:noWrap/>
            <w:vAlign w:val="bottom"/>
          </w:tcPr>
          <w:p w14:paraId="1BC6F6BA" w14:textId="77777777" w:rsidR="00B27045" w:rsidRPr="00B27045" w:rsidRDefault="00B27045" w:rsidP="00B27045">
            <w:pPr>
              <w:spacing w:after="0" w:line="240" w:lineRule="auto"/>
              <w:jc w:val="right"/>
              <w:rPr>
                <w:rFonts w:ascii="Arial" w:eastAsia="Times New Roman" w:hAnsi="Arial" w:cs="Arial"/>
                <w:color w:val="000000"/>
                <w:lang w:val="en-GB"/>
              </w:rPr>
            </w:pPr>
          </w:p>
        </w:tc>
      </w:tr>
      <w:tr w:rsidR="00B27045" w:rsidRPr="00765D8E" w14:paraId="47C1F85A" w14:textId="77777777" w:rsidTr="009F0838">
        <w:trPr>
          <w:trHeight w:val="281"/>
        </w:trPr>
        <w:tc>
          <w:tcPr>
            <w:tcW w:w="4401" w:type="dxa"/>
            <w:shd w:val="clear" w:color="auto" w:fill="auto"/>
            <w:noWrap/>
            <w:vAlign w:val="bottom"/>
          </w:tcPr>
          <w:p w14:paraId="60C82B8E" w14:textId="413F178C"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Observations</w:t>
            </w:r>
            <w:r w:rsidR="00A01A8A">
              <w:rPr>
                <w:rFonts w:ascii="Arial" w:hAnsi="Arial" w:cs="Arial"/>
                <w:color w:val="000000"/>
              </w:rPr>
              <w:t xml:space="preserve"> used</w:t>
            </w:r>
            <w:r w:rsidR="000B53D6">
              <w:rPr>
                <w:rFonts w:ascii="Arial" w:eastAsia="Times New Roman" w:hAnsi="Arial" w:cs="Arial"/>
                <w:color w:val="000000"/>
                <w:lang w:val="en-GB"/>
              </w:rPr>
              <w:t xml:space="preserve"> or switched to HO</w:t>
            </w:r>
          </w:p>
        </w:tc>
        <w:tc>
          <w:tcPr>
            <w:tcW w:w="1366" w:type="dxa"/>
            <w:shd w:val="clear" w:color="auto" w:fill="auto"/>
            <w:noWrap/>
            <w:vAlign w:val="bottom"/>
          </w:tcPr>
          <w:p w14:paraId="7A3BC1B2" w14:textId="7AAB2AF3"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3,074</w:t>
            </w:r>
          </w:p>
        </w:tc>
        <w:tc>
          <w:tcPr>
            <w:tcW w:w="1214" w:type="dxa"/>
            <w:shd w:val="clear" w:color="auto" w:fill="auto"/>
            <w:noWrap/>
            <w:vAlign w:val="bottom"/>
          </w:tcPr>
          <w:p w14:paraId="6182C512"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816" w:type="dxa"/>
            <w:shd w:val="clear" w:color="auto" w:fill="auto"/>
            <w:noWrap/>
            <w:vAlign w:val="bottom"/>
          </w:tcPr>
          <w:p w14:paraId="70CF23AB"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309" w:type="dxa"/>
          </w:tcPr>
          <w:p w14:paraId="5598590C"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93" w:type="dxa"/>
            <w:shd w:val="clear" w:color="auto" w:fill="auto"/>
            <w:noWrap/>
            <w:vAlign w:val="bottom"/>
          </w:tcPr>
          <w:p w14:paraId="509CFA00" w14:textId="17273588"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4,052</w:t>
            </w:r>
          </w:p>
        </w:tc>
        <w:tc>
          <w:tcPr>
            <w:tcW w:w="1135" w:type="dxa"/>
            <w:shd w:val="clear" w:color="auto" w:fill="auto"/>
            <w:noWrap/>
            <w:vAlign w:val="bottom"/>
          </w:tcPr>
          <w:p w14:paraId="312FA745"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14" w:type="dxa"/>
            <w:shd w:val="clear" w:color="auto" w:fill="auto"/>
            <w:noWrap/>
            <w:vAlign w:val="bottom"/>
          </w:tcPr>
          <w:p w14:paraId="0C30D0AB" w14:textId="77777777" w:rsidR="00B27045" w:rsidRPr="00B27045" w:rsidRDefault="00B27045" w:rsidP="00B27045">
            <w:pPr>
              <w:spacing w:after="0" w:line="240" w:lineRule="auto"/>
              <w:jc w:val="right"/>
              <w:rPr>
                <w:rFonts w:ascii="Arial" w:eastAsia="Times New Roman" w:hAnsi="Arial" w:cs="Arial"/>
                <w:color w:val="000000"/>
                <w:lang w:val="en-GB"/>
              </w:rPr>
            </w:pPr>
          </w:p>
        </w:tc>
      </w:tr>
      <w:tr w:rsidR="00B27045" w:rsidRPr="00765D8E" w14:paraId="20BA5DA8" w14:textId="77777777" w:rsidTr="009F0838">
        <w:trPr>
          <w:trHeight w:val="281"/>
        </w:trPr>
        <w:tc>
          <w:tcPr>
            <w:tcW w:w="4401" w:type="dxa"/>
            <w:shd w:val="clear" w:color="auto" w:fill="auto"/>
            <w:noWrap/>
            <w:vAlign w:val="bottom"/>
          </w:tcPr>
          <w:p w14:paraId="72D419E8" w14:textId="1171A70C" w:rsidR="00B27045" w:rsidRPr="00B27045" w:rsidRDefault="00B27045" w:rsidP="00A01A8A">
            <w:pPr>
              <w:spacing w:after="0" w:line="240" w:lineRule="auto"/>
              <w:rPr>
                <w:rFonts w:ascii="Arial" w:eastAsia="Times New Roman" w:hAnsi="Arial" w:cs="Arial"/>
                <w:color w:val="000000"/>
                <w:lang w:val="en-GB"/>
              </w:rPr>
            </w:pPr>
            <w:r w:rsidRPr="00B27045">
              <w:rPr>
                <w:rFonts w:ascii="Arial" w:hAnsi="Arial" w:cs="Arial"/>
                <w:color w:val="000000"/>
              </w:rPr>
              <w:t>Number of respondents</w:t>
            </w:r>
            <w:r>
              <w:rPr>
                <w:rFonts w:ascii="Arial" w:hAnsi="Arial" w:cs="Arial"/>
                <w:color w:val="000000"/>
              </w:rPr>
              <w:t xml:space="preserve"> </w:t>
            </w:r>
          </w:p>
        </w:tc>
        <w:tc>
          <w:tcPr>
            <w:tcW w:w="1366" w:type="dxa"/>
            <w:shd w:val="clear" w:color="auto" w:fill="auto"/>
            <w:noWrap/>
            <w:vAlign w:val="bottom"/>
          </w:tcPr>
          <w:p w14:paraId="4DF2D6A3" w14:textId="139BB420"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410</w:t>
            </w:r>
          </w:p>
        </w:tc>
        <w:tc>
          <w:tcPr>
            <w:tcW w:w="1214" w:type="dxa"/>
            <w:shd w:val="clear" w:color="auto" w:fill="auto"/>
            <w:noWrap/>
            <w:vAlign w:val="bottom"/>
          </w:tcPr>
          <w:p w14:paraId="782100B4"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816" w:type="dxa"/>
            <w:shd w:val="clear" w:color="auto" w:fill="auto"/>
            <w:noWrap/>
            <w:vAlign w:val="bottom"/>
          </w:tcPr>
          <w:p w14:paraId="25250343"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309" w:type="dxa"/>
          </w:tcPr>
          <w:p w14:paraId="17FADD36"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93" w:type="dxa"/>
            <w:shd w:val="clear" w:color="auto" w:fill="auto"/>
            <w:noWrap/>
            <w:vAlign w:val="bottom"/>
          </w:tcPr>
          <w:p w14:paraId="0E05191E" w14:textId="563D5595"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rPr>
              <w:t>536</w:t>
            </w:r>
          </w:p>
        </w:tc>
        <w:tc>
          <w:tcPr>
            <w:tcW w:w="1135" w:type="dxa"/>
            <w:shd w:val="clear" w:color="auto" w:fill="auto"/>
            <w:noWrap/>
            <w:vAlign w:val="bottom"/>
          </w:tcPr>
          <w:p w14:paraId="74A145B9"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14" w:type="dxa"/>
            <w:shd w:val="clear" w:color="auto" w:fill="auto"/>
            <w:noWrap/>
            <w:vAlign w:val="bottom"/>
          </w:tcPr>
          <w:p w14:paraId="69FCC264" w14:textId="77777777" w:rsidR="00B27045" w:rsidRPr="00B27045" w:rsidRDefault="00B27045" w:rsidP="00B27045">
            <w:pPr>
              <w:spacing w:after="0" w:line="240" w:lineRule="auto"/>
              <w:jc w:val="right"/>
              <w:rPr>
                <w:rFonts w:ascii="Arial" w:eastAsia="Times New Roman" w:hAnsi="Arial" w:cs="Arial"/>
                <w:color w:val="000000"/>
                <w:lang w:val="en-GB"/>
              </w:rPr>
            </w:pPr>
          </w:p>
        </w:tc>
      </w:tr>
      <w:tr w:rsidR="00B27045" w:rsidRPr="00765D8E" w14:paraId="6A73AD81" w14:textId="77777777" w:rsidTr="009F0838">
        <w:trPr>
          <w:trHeight w:val="281"/>
        </w:trPr>
        <w:tc>
          <w:tcPr>
            <w:tcW w:w="4401" w:type="dxa"/>
            <w:shd w:val="clear" w:color="auto" w:fill="auto"/>
            <w:noWrap/>
            <w:vAlign w:val="bottom"/>
          </w:tcPr>
          <w:p w14:paraId="4108E652" w14:textId="71C4AEB8" w:rsidR="00B27045" w:rsidRPr="00B27045" w:rsidRDefault="00B27045" w:rsidP="00B27045">
            <w:pPr>
              <w:spacing w:after="0" w:line="240" w:lineRule="auto"/>
              <w:rPr>
                <w:rFonts w:ascii="Arial" w:eastAsia="Times New Roman" w:hAnsi="Arial" w:cs="Arial"/>
                <w:color w:val="000000"/>
                <w:lang w:val="en-GB"/>
              </w:rPr>
            </w:pPr>
            <w:r w:rsidRPr="00B27045">
              <w:rPr>
                <w:rFonts w:ascii="Arial" w:hAnsi="Arial" w:cs="Arial"/>
                <w:color w:val="000000"/>
                <w:w w:val="99"/>
              </w:rPr>
              <w:t xml:space="preserve">  *** p&lt;0.01, ** p&lt;0.05, * p&lt;0.1 </w:t>
            </w:r>
          </w:p>
        </w:tc>
        <w:tc>
          <w:tcPr>
            <w:tcW w:w="1366" w:type="dxa"/>
            <w:shd w:val="clear" w:color="auto" w:fill="auto"/>
            <w:noWrap/>
            <w:vAlign w:val="bottom"/>
          </w:tcPr>
          <w:p w14:paraId="0D78AB56" w14:textId="77777777" w:rsidR="00B27045" w:rsidRPr="00B27045" w:rsidRDefault="00B27045" w:rsidP="00B27045">
            <w:pPr>
              <w:spacing w:after="0" w:line="240" w:lineRule="auto"/>
              <w:rPr>
                <w:rFonts w:ascii="Arial" w:eastAsia="Times New Roman" w:hAnsi="Arial" w:cs="Arial"/>
                <w:color w:val="000000"/>
                <w:lang w:val="en-GB"/>
              </w:rPr>
            </w:pPr>
          </w:p>
        </w:tc>
        <w:tc>
          <w:tcPr>
            <w:tcW w:w="1214" w:type="dxa"/>
            <w:shd w:val="clear" w:color="auto" w:fill="auto"/>
            <w:noWrap/>
            <w:vAlign w:val="bottom"/>
          </w:tcPr>
          <w:p w14:paraId="6951CA05"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816" w:type="dxa"/>
            <w:shd w:val="clear" w:color="auto" w:fill="auto"/>
            <w:noWrap/>
            <w:vAlign w:val="bottom"/>
          </w:tcPr>
          <w:p w14:paraId="01C02279"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309" w:type="dxa"/>
          </w:tcPr>
          <w:p w14:paraId="42F72AB6"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93" w:type="dxa"/>
            <w:shd w:val="clear" w:color="auto" w:fill="auto"/>
            <w:noWrap/>
            <w:vAlign w:val="bottom"/>
          </w:tcPr>
          <w:p w14:paraId="1F2E6F26" w14:textId="77777777" w:rsidR="00B27045" w:rsidRPr="00B27045" w:rsidRDefault="00B27045" w:rsidP="00B27045">
            <w:pPr>
              <w:spacing w:after="0" w:line="240" w:lineRule="auto"/>
              <w:rPr>
                <w:rFonts w:ascii="Arial" w:eastAsia="Times New Roman" w:hAnsi="Arial" w:cs="Arial"/>
                <w:color w:val="000000"/>
                <w:lang w:val="en-GB"/>
              </w:rPr>
            </w:pPr>
          </w:p>
        </w:tc>
        <w:tc>
          <w:tcPr>
            <w:tcW w:w="1135" w:type="dxa"/>
            <w:shd w:val="clear" w:color="auto" w:fill="auto"/>
            <w:noWrap/>
            <w:vAlign w:val="bottom"/>
          </w:tcPr>
          <w:p w14:paraId="536AC5EB" w14:textId="77777777" w:rsidR="00B27045" w:rsidRPr="00B27045" w:rsidRDefault="00B27045" w:rsidP="00B27045">
            <w:pPr>
              <w:spacing w:after="0" w:line="240" w:lineRule="auto"/>
              <w:jc w:val="right"/>
              <w:rPr>
                <w:rFonts w:ascii="Arial" w:eastAsia="Times New Roman" w:hAnsi="Arial" w:cs="Arial"/>
                <w:color w:val="000000"/>
                <w:lang w:val="en-GB"/>
              </w:rPr>
            </w:pPr>
          </w:p>
        </w:tc>
        <w:tc>
          <w:tcPr>
            <w:tcW w:w="1214" w:type="dxa"/>
            <w:shd w:val="clear" w:color="auto" w:fill="auto"/>
            <w:noWrap/>
            <w:vAlign w:val="bottom"/>
          </w:tcPr>
          <w:p w14:paraId="42379C4A" w14:textId="77777777" w:rsidR="00B27045" w:rsidRPr="00B27045" w:rsidRDefault="00B27045" w:rsidP="00B27045">
            <w:pPr>
              <w:spacing w:after="0" w:line="240" w:lineRule="auto"/>
              <w:jc w:val="right"/>
              <w:rPr>
                <w:rFonts w:ascii="Arial" w:eastAsia="Times New Roman" w:hAnsi="Arial" w:cs="Arial"/>
                <w:color w:val="000000"/>
                <w:lang w:val="en-GB"/>
              </w:rPr>
            </w:pPr>
          </w:p>
        </w:tc>
      </w:tr>
    </w:tbl>
    <w:p w14:paraId="2553A8B0" w14:textId="6056FD15" w:rsidR="00765D8E" w:rsidRDefault="00765D8E" w:rsidP="00765D8E">
      <w:pPr>
        <w:spacing w:after="240" w:line="360" w:lineRule="auto"/>
        <w:jc w:val="both"/>
        <w:rPr>
          <w:rFonts w:ascii="Arial" w:hAnsi="Arial" w:cs="Arial"/>
        </w:rPr>
      </w:pPr>
      <w:r>
        <w:rPr>
          <w:rFonts w:ascii="Arial" w:hAnsi="Arial" w:cs="Arial"/>
        </w:rPr>
        <w:t>Notes: PR=Private Renting; PH=Parental Housing; HO=Home Ownership</w:t>
      </w:r>
      <w:r w:rsidR="00B611F0">
        <w:rPr>
          <w:rFonts w:ascii="Arial" w:hAnsi="Arial" w:cs="Arial"/>
        </w:rPr>
        <w:t xml:space="preserve">; </w:t>
      </w:r>
      <w:r w:rsidR="00B611F0" w:rsidRPr="00B611F0">
        <w:rPr>
          <w:rFonts w:ascii="Arial" w:eastAsia="Times New Roman" w:hAnsi="Arial" w:cs="Arial"/>
          <w:i/>
          <w:color w:val="000000"/>
          <w:vertAlign w:val="subscript"/>
          <w:lang w:val="en-GB"/>
        </w:rPr>
        <w:t>t-1</w:t>
      </w:r>
      <w:r>
        <w:rPr>
          <w:rFonts w:ascii="Arial" w:hAnsi="Arial" w:cs="Arial"/>
        </w:rPr>
        <w:t xml:space="preserve"> </w:t>
      </w:r>
      <w:r w:rsidR="00B611F0">
        <w:rPr>
          <w:rFonts w:ascii="Arial" w:hAnsi="Arial" w:cs="Arial"/>
        </w:rPr>
        <w:t>= lagged by a year</w:t>
      </w:r>
    </w:p>
    <w:p w14:paraId="157B2E00" w14:textId="6C662BF2" w:rsidR="00765D8E" w:rsidRDefault="00765D8E" w:rsidP="00765D8E">
      <w:pPr>
        <w:spacing w:after="240" w:line="360" w:lineRule="auto"/>
        <w:jc w:val="both"/>
        <w:rPr>
          <w:rFonts w:ascii="Arial" w:hAnsi="Arial" w:cs="Arial"/>
        </w:rPr>
      </w:pPr>
      <w:r>
        <w:rPr>
          <w:rFonts w:ascii="Arial" w:hAnsi="Arial" w:cs="Arial"/>
        </w:rPr>
        <w:t>Appendix 2: Results from established drivers of tenure transition</w:t>
      </w:r>
    </w:p>
    <w:p w14:paraId="0000001F" w14:textId="77777777" w:rsidR="00FE0B4C" w:rsidRPr="007F121A" w:rsidRDefault="00FE0B4C">
      <w:pPr>
        <w:jc w:val="both"/>
        <w:rPr>
          <w:rFonts w:ascii="Arial" w:hAnsi="Arial" w:cs="Arial"/>
        </w:rPr>
      </w:pPr>
    </w:p>
    <w:sectPr w:rsidR="00FE0B4C" w:rsidRPr="007F121A" w:rsidSect="005F549E">
      <w:pgSz w:w="15840" w:h="12240" w:orient="landscape"/>
      <w:pgMar w:top="1440" w:right="1440" w:bottom="1440" w:left="1440" w:header="720" w:footer="720" w:gutter="0"/>
      <w:pgNumType w:start="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0E37E" w14:textId="77777777" w:rsidR="002011FD" w:rsidRDefault="002011FD" w:rsidP="003529D1">
      <w:pPr>
        <w:spacing w:after="0" w:line="240" w:lineRule="auto"/>
      </w:pPr>
      <w:r>
        <w:separator/>
      </w:r>
    </w:p>
  </w:endnote>
  <w:endnote w:type="continuationSeparator" w:id="0">
    <w:p w14:paraId="7B6B4FD7" w14:textId="77777777" w:rsidR="002011FD" w:rsidRDefault="002011FD" w:rsidP="003529D1">
      <w:pPr>
        <w:spacing w:after="0" w:line="240" w:lineRule="auto"/>
      </w:pPr>
      <w:r>
        <w:continuationSeparator/>
      </w:r>
    </w:p>
  </w:endnote>
  <w:endnote w:type="continuationNotice" w:id="1">
    <w:p w14:paraId="3F6A89E7" w14:textId="77777777" w:rsidR="002011FD" w:rsidRDefault="00201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49346"/>
      <w:docPartObj>
        <w:docPartGallery w:val="Page Numbers (Bottom of Page)"/>
        <w:docPartUnique/>
      </w:docPartObj>
    </w:sdtPr>
    <w:sdtEndPr>
      <w:rPr>
        <w:noProof/>
      </w:rPr>
    </w:sdtEndPr>
    <w:sdtContent>
      <w:p w14:paraId="36226A69" w14:textId="12FEDDBF" w:rsidR="00765D8E" w:rsidRDefault="00765D8E">
        <w:pPr>
          <w:pStyle w:val="Footer"/>
        </w:pPr>
        <w:r>
          <w:t xml:space="preserve">Page | </w:t>
        </w:r>
        <w:r>
          <w:fldChar w:fldCharType="begin"/>
        </w:r>
        <w:r>
          <w:instrText xml:space="preserve"> PAGE   \* MERGEFORMAT </w:instrText>
        </w:r>
        <w:r>
          <w:fldChar w:fldCharType="separate"/>
        </w:r>
        <w:r w:rsidR="00263F0B">
          <w:rPr>
            <w:noProof/>
          </w:rPr>
          <w:t>1</w:t>
        </w:r>
        <w:r>
          <w:rPr>
            <w:noProof/>
          </w:rPr>
          <w:fldChar w:fldCharType="end"/>
        </w:r>
      </w:p>
    </w:sdtContent>
  </w:sdt>
  <w:p w14:paraId="7E051861" w14:textId="77777777" w:rsidR="00765D8E" w:rsidRDefault="00765D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F8FD" w14:textId="77777777" w:rsidR="002011FD" w:rsidRDefault="002011FD" w:rsidP="003529D1">
      <w:pPr>
        <w:spacing w:after="0" w:line="240" w:lineRule="auto"/>
      </w:pPr>
      <w:r>
        <w:separator/>
      </w:r>
    </w:p>
  </w:footnote>
  <w:footnote w:type="continuationSeparator" w:id="0">
    <w:p w14:paraId="09CAA5DA" w14:textId="77777777" w:rsidR="002011FD" w:rsidRDefault="002011FD" w:rsidP="003529D1">
      <w:pPr>
        <w:spacing w:after="0" w:line="240" w:lineRule="auto"/>
      </w:pPr>
      <w:r>
        <w:continuationSeparator/>
      </w:r>
    </w:p>
  </w:footnote>
  <w:footnote w:type="continuationNotice" w:id="1">
    <w:p w14:paraId="1E096515" w14:textId="77777777" w:rsidR="002011FD" w:rsidRDefault="002011FD">
      <w:pPr>
        <w:spacing w:after="0" w:line="240" w:lineRule="auto"/>
      </w:pPr>
    </w:p>
  </w:footnote>
  <w:footnote w:id="2">
    <w:p w14:paraId="327AB9AA" w14:textId="1FCD60E8" w:rsidR="00765D8E" w:rsidRPr="003529D1" w:rsidRDefault="00765D8E">
      <w:pPr>
        <w:pStyle w:val="FootnoteText"/>
        <w:rPr>
          <w:lang w:val="en-GB"/>
        </w:rPr>
      </w:pPr>
      <w:r>
        <w:rPr>
          <w:rStyle w:val="FootnoteReference"/>
        </w:rPr>
        <w:footnoteRef/>
      </w:r>
      <w:r>
        <w:t xml:space="preserve"> </w:t>
      </w:r>
      <w:r w:rsidRPr="007F121A">
        <w:rPr>
          <w:rFonts w:ascii="Arial" w:hAnsi="Arial" w:cs="Arial"/>
          <w:lang w:val="en-GB"/>
        </w:rPr>
        <w:t>See Jones (2016) for a detailed summary of the economic issues affecting the UK housing sector before and after the global financial crisis.</w:t>
      </w:r>
    </w:p>
  </w:footnote>
  <w:footnote w:id="3">
    <w:p w14:paraId="5B8088D4" w14:textId="1E70528A" w:rsidR="00765D8E" w:rsidRPr="004A0B6E" w:rsidRDefault="00765D8E">
      <w:pPr>
        <w:pStyle w:val="FootnoteText"/>
        <w:rPr>
          <w:lang w:val="en-GB"/>
        </w:rPr>
      </w:pPr>
      <w:r>
        <w:rPr>
          <w:rStyle w:val="FootnoteReference"/>
        </w:rPr>
        <w:footnoteRef/>
      </w:r>
      <w:r>
        <w:t xml:space="preserve"> This </w:t>
      </w:r>
      <w:r w:rsidRPr="004A0B6E">
        <w:t xml:space="preserve">also </w:t>
      </w:r>
      <w:r>
        <w:t>stems from</w:t>
      </w:r>
      <w:r w:rsidRPr="004A0B6E">
        <w:t xml:space="preserve"> psychological beliefs and the socialisation hypothesis.</w:t>
      </w:r>
    </w:p>
  </w:footnote>
  <w:footnote w:id="4">
    <w:p w14:paraId="437C185B" w14:textId="37809319" w:rsidR="00765D8E" w:rsidRPr="00571E2F" w:rsidRDefault="00765D8E">
      <w:pPr>
        <w:pStyle w:val="FootnoteText"/>
        <w:rPr>
          <w:lang w:val="en-GB"/>
        </w:rPr>
      </w:pPr>
      <w:r>
        <w:rPr>
          <w:rStyle w:val="FootnoteReference"/>
        </w:rPr>
        <w:footnoteRef/>
      </w:r>
      <w:r>
        <w:t xml:space="preserve"> </w:t>
      </w:r>
      <w:r>
        <w:rPr>
          <w:lang w:val="en-GB"/>
        </w:rPr>
        <w:t>See Pattison (2010)</w:t>
      </w:r>
    </w:p>
  </w:footnote>
  <w:footnote w:id="5">
    <w:p w14:paraId="697ECAC9" w14:textId="02664143" w:rsidR="00765D8E" w:rsidRPr="00670A58" w:rsidRDefault="00765D8E">
      <w:pPr>
        <w:pStyle w:val="FootnoteText"/>
        <w:rPr>
          <w:lang w:val="en-GB"/>
        </w:rPr>
      </w:pPr>
      <w:r>
        <w:rPr>
          <w:rStyle w:val="FootnoteReference"/>
        </w:rPr>
        <w:footnoteRef/>
      </w:r>
      <w:r>
        <w:t xml:space="preserve"> “</w:t>
      </w:r>
      <w:r w:rsidRPr="00670A58">
        <w:rPr>
          <w:rFonts w:ascii="Arial" w:hAnsi="Arial" w:cs="Arial"/>
          <w:i/>
        </w:rPr>
        <w:t>Eprosc</w:t>
      </w:r>
      <w:r>
        <w:rPr>
          <w:rFonts w:ascii="Arial" w:hAnsi="Arial" w:cs="Arial"/>
          <w:i/>
        </w:rPr>
        <w:t xml:space="preserve">” </w:t>
      </w:r>
      <w:r>
        <w:rPr>
          <w:rFonts w:ascii="Arial" w:hAnsi="Arial" w:cs="Arial"/>
        </w:rPr>
        <w:t>was collected only in waves 6 and 7 of the BHPS</w:t>
      </w:r>
    </w:p>
  </w:footnote>
  <w:footnote w:id="6">
    <w:p w14:paraId="10DFE4D7" w14:textId="17642C95" w:rsidR="00765D8E" w:rsidRPr="00670A58" w:rsidRDefault="00765D8E">
      <w:pPr>
        <w:pStyle w:val="FootnoteText"/>
        <w:rPr>
          <w:lang w:val="en-GB"/>
        </w:rPr>
      </w:pPr>
      <w:r>
        <w:rPr>
          <w:rStyle w:val="FootnoteReference"/>
        </w:rPr>
        <w:footnoteRef/>
      </w:r>
      <w:r>
        <w:t xml:space="preserve"> </w:t>
      </w:r>
      <w:r>
        <w:rPr>
          <w:lang w:val="en-GB"/>
        </w:rPr>
        <w:t xml:space="preserve">This reveals whether they have recently acquired a new job or moved into full time employment. </w:t>
      </w:r>
    </w:p>
  </w:footnote>
  <w:footnote w:id="7">
    <w:p w14:paraId="43FEB77C" w14:textId="169FDFF6" w:rsidR="00765D8E" w:rsidRPr="00C81EA6" w:rsidRDefault="00765D8E">
      <w:pPr>
        <w:pStyle w:val="FootnoteText"/>
        <w:rPr>
          <w:lang w:val="en-GB"/>
        </w:rPr>
      </w:pPr>
      <w:r>
        <w:rPr>
          <w:rStyle w:val="FootnoteReference"/>
        </w:rPr>
        <w:footnoteRef/>
      </w:r>
      <w:r>
        <w:t xml:space="preserve"> </w:t>
      </w:r>
      <w:r>
        <w:rPr>
          <w:lang w:val="en-GB"/>
        </w:rPr>
        <w:t xml:space="preserve">Those in private renting are independent heads of households or their partners. </w:t>
      </w:r>
    </w:p>
  </w:footnote>
  <w:footnote w:id="8">
    <w:p w14:paraId="19651C68" w14:textId="58E05441" w:rsidR="00765D8E" w:rsidRPr="00F4291F" w:rsidRDefault="00765D8E">
      <w:pPr>
        <w:pStyle w:val="FootnoteText"/>
        <w:rPr>
          <w:lang w:val="en-GB"/>
        </w:rPr>
      </w:pPr>
      <w:r>
        <w:rPr>
          <w:rStyle w:val="FootnoteReference"/>
        </w:rPr>
        <w:footnoteRef/>
      </w:r>
      <w:r>
        <w:t xml:space="preserve"> </w:t>
      </w:r>
      <w:r>
        <w:rPr>
          <w:lang w:val="en-GB"/>
        </w:rPr>
        <w:t xml:space="preserve">Fixed-effects approach, rather than random-effects, takes care of unobserved heterogeneity </w:t>
      </w:r>
      <w:r w:rsidRPr="00F4291F">
        <w:rPr>
          <w:lang w:val="en-GB"/>
        </w:rPr>
        <w:t>(Gormley and Matsa, 2013</w:t>
      </w:r>
      <w:r>
        <w:rPr>
          <w:lang w:val="en-GB"/>
        </w:rPr>
        <w:t>) and guides against bias due to reverse causality (</w:t>
      </w:r>
      <w:r w:rsidRPr="00F83ED7">
        <w:rPr>
          <w:lang w:val="en-GB"/>
        </w:rPr>
        <w:t>Leszczensky</w:t>
      </w:r>
      <w:r>
        <w:rPr>
          <w:lang w:val="en-GB"/>
        </w:rPr>
        <w:t xml:space="preserve"> a</w:t>
      </w:r>
      <w:r w:rsidRPr="00F83ED7">
        <w:rPr>
          <w:lang w:val="en-GB"/>
        </w:rPr>
        <w:t>nd Wolbring, 2018</w:t>
      </w:r>
      <w:r>
        <w:rPr>
          <w:lang w:val="en-GB"/>
        </w:rPr>
        <w:t>).</w:t>
      </w:r>
    </w:p>
  </w:footnote>
  <w:footnote w:id="9">
    <w:p w14:paraId="5EAE634B" w14:textId="2AC7B54B" w:rsidR="00765D8E" w:rsidRPr="00C92CE4" w:rsidRDefault="00765D8E">
      <w:pPr>
        <w:pStyle w:val="FootnoteText"/>
        <w:rPr>
          <w:lang w:val="en-GB"/>
        </w:rPr>
      </w:pPr>
      <w:r>
        <w:rPr>
          <w:rStyle w:val="FootnoteReference"/>
        </w:rPr>
        <w:footnoteRef/>
      </w:r>
      <w:r>
        <w:t xml:space="preserve"> </w:t>
      </w:r>
      <w:r>
        <w:rPr>
          <w:rFonts w:ascii="Arial" w:hAnsi="Arial" w:cs="Arial"/>
        </w:rPr>
        <w:t>In this study, average marginal effects are only applicable to</w:t>
      </w:r>
      <w:r w:rsidRPr="007F121A">
        <w:rPr>
          <w:rFonts w:ascii="Arial" w:hAnsi="Arial" w:cs="Arial"/>
        </w:rPr>
        <w:t xml:space="preserve"> the non-interaction terms, as it is not possible to estimate the marginal effects f</w:t>
      </w:r>
      <w:r>
        <w:rPr>
          <w:rFonts w:ascii="Arial" w:hAnsi="Arial" w:cs="Arial"/>
        </w:rPr>
        <w:t>or the interaction terms using S</w:t>
      </w:r>
      <w:r w:rsidRPr="007F121A">
        <w:rPr>
          <w:rFonts w:ascii="Arial" w:hAnsi="Arial" w:cs="Arial"/>
        </w:rPr>
        <w:t>tata</w:t>
      </w:r>
      <w:r>
        <w:rPr>
          <w:rFonts w:ascii="Arial" w:hAnsi="Arial" w:cs="Arial"/>
        </w:rPr>
        <w:t>.</w:t>
      </w:r>
    </w:p>
  </w:footnote>
  <w:footnote w:id="10">
    <w:p w14:paraId="51F04A0F" w14:textId="45B19D57" w:rsidR="009F0838" w:rsidRPr="009F0838" w:rsidRDefault="009F0838">
      <w:pPr>
        <w:pStyle w:val="FootnoteText"/>
        <w:rPr>
          <w:lang w:val="en-GB"/>
        </w:rPr>
      </w:pPr>
      <w:r>
        <w:rPr>
          <w:rStyle w:val="FootnoteReference"/>
        </w:rPr>
        <w:footnoteRef/>
      </w:r>
      <w:r>
        <w:t xml:space="preserve"> </w:t>
      </w:r>
      <w:r w:rsidRPr="000A2410">
        <w:rPr>
          <w:rFonts w:ascii="Arial" w:hAnsi="Arial" w:cs="Arial"/>
          <w:lang w:val="en-GB"/>
        </w:rPr>
        <w:t xml:space="preserve">Addition of the two observations used </w:t>
      </w:r>
      <w:r w:rsidR="00EA7D21" w:rsidRPr="000A2410">
        <w:rPr>
          <w:rFonts w:ascii="Arial" w:hAnsi="Arial" w:cs="Arial"/>
          <w:lang w:val="en-GB"/>
        </w:rPr>
        <w:t>may</w:t>
      </w:r>
      <w:r w:rsidRPr="000A2410">
        <w:rPr>
          <w:rFonts w:ascii="Arial" w:hAnsi="Arial" w:cs="Arial"/>
          <w:lang w:val="en-GB"/>
        </w:rPr>
        <w:t xml:space="preserve"> not equate to 31,</w:t>
      </w:r>
      <w:r w:rsidR="00EA7D21" w:rsidRPr="000A2410">
        <w:rPr>
          <w:rFonts w:ascii="Arial" w:hAnsi="Arial" w:cs="Arial"/>
          <w:lang w:val="en-GB"/>
        </w:rPr>
        <w:t xml:space="preserve">126. This is due to observations automatically dropped </w:t>
      </w:r>
      <w:r w:rsidR="001970D6">
        <w:rPr>
          <w:rFonts w:ascii="Arial" w:hAnsi="Arial" w:cs="Arial"/>
          <w:lang w:val="en-GB"/>
        </w:rPr>
        <w:t>because they never attained home ownership throughout the survey period</w:t>
      </w:r>
      <w:r w:rsidR="000A2410" w:rsidRPr="000A2410">
        <w:rPr>
          <w:rFonts w:ascii="Arial" w:hAnsi="Arial" w:cs="Arial"/>
        </w:rPr>
        <w:t xml:space="preserve"> (</w:t>
      </w:r>
      <w:r w:rsidR="000A2410" w:rsidRPr="000A2410">
        <w:rPr>
          <w:rFonts w:ascii="Arial" w:hAnsi="Arial" w:cs="Arial"/>
          <w:lang w:val="en-GB"/>
        </w:rPr>
        <w:t>Allison, 2009)</w:t>
      </w:r>
      <w:r w:rsidR="00EA7D21" w:rsidRPr="000A2410">
        <w:rPr>
          <w:rFonts w:ascii="Arial" w:hAnsi="Arial" w:cs="Arial"/>
          <w:lang w:val="en-GB"/>
        </w:rPr>
        <w:t>.</w:t>
      </w:r>
      <w:r w:rsidR="00EA7D21">
        <w:rPr>
          <w:lang w:val="en-GB"/>
        </w:rPr>
        <w:t xml:space="preserve"> </w:t>
      </w:r>
    </w:p>
  </w:footnote>
  <w:footnote w:id="11">
    <w:p w14:paraId="449740CA" w14:textId="63A79865" w:rsidR="00765D8E" w:rsidRPr="00EB5FE2" w:rsidRDefault="00765D8E">
      <w:pPr>
        <w:pStyle w:val="FootnoteText"/>
        <w:rPr>
          <w:lang w:val="en-GB"/>
        </w:rPr>
      </w:pPr>
      <w:r>
        <w:rPr>
          <w:rStyle w:val="FootnoteReference"/>
        </w:rPr>
        <w:footnoteRef/>
      </w:r>
      <w:r>
        <w:t xml:space="preserve"> </w:t>
      </w:r>
      <w:r>
        <w:rPr>
          <w:lang w:val="en-GB"/>
        </w:rPr>
        <w:t>Sex was automatically omitted in our (fixed-effects) regression due to no change in the variable for each individual throughout the survey period.</w:t>
      </w:r>
    </w:p>
  </w:footnote>
  <w:footnote w:id="12">
    <w:p w14:paraId="18393BA3" w14:textId="082FBB06" w:rsidR="00765D8E" w:rsidRPr="00EB5FE2" w:rsidRDefault="00765D8E">
      <w:pPr>
        <w:pStyle w:val="FootnoteText"/>
        <w:rPr>
          <w:lang w:val="en-GB"/>
        </w:rPr>
      </w:pPr>
      <w:r>
        <w:rPr>
          <w:rStyle w:val="FootnoteReference"/>
        </w:rPr>
        <w:footnoteRef/>
      </w:r>
      <w:r>
        <w:t xml:space="preserve"> </w:t>
      </w:r>
      <w:r>
        <w:rPr>
          <w:lang w:val="en-GB"/>
        </w:rPr>
        <w:t>The same applicable as above note.</w:t>
      </w:r>
    </w:p>
  </w:footnote>
  <w:footnote w:id="13">
    <w:p w14:paraId="1C3CB6A9" w14:textId="6D9EBDB8" w:rsidR="00765D8E" w:rsidRPr="00E1157A" w:rsidRDefault="00765D8E">
      <w:pPr>
        <w:pStyle w:val="FootnoteText"/>
        <w:rPr>
          <w:lang w:val="en-GB"/>
        </w:rPr>
      </w:pPr>
      <w:r>
        <w:rPr>
          <w:rStyle w:val="FootnoteReference"/>
        </w:rPr>
        <w:footnoteRef/>
      </w:r>
      <w:r>
        <w:t xml:space="preserve"> In order to avoid bias, t</w:t>
      </w:r>
      <w:r>
        <w:rPr>
          <w:lang w:val="en-GB"/>
        </w:rPr>
        <w:t>he predictor is omitted in model 2 as it is expected that PH stayers are likely to have very close contact with parents.</w:t>
      </w:r>
    </w:p>
  </w:footnote>
  <w:footnote w:id="14">
    <w:p w14:paraId="4849A1A2" w14:textId="68410317" w:rsidR="00765D8E" w:rsidRPr="00753161" w:rsidRDefault="00765D8E">
      <w:pPr>
        <w:pStyle w:val="FootnoteText"/>
        <w:rPr>
          <w:lang w:val="en-GB"/>
        </w:rPr>
      </w:pPr>
      <w:r>
        <w:rPr>
          <w:rStyle w:val="FootnoteReference"/>
        </w:rPr>
        <w:footnoteRef/>
      </w:r>
      <w:r>
        <w:t xml:space="preserve"> </w:t>
      </w:r>
      <w:r>
        <w:rPr>
          <w:lang w:val="en-GB"/>
        </w:rPr>
        <w:t xml:space="preserve">PH stayers need to move from a non-independent tenure to HO, unlike moving from PR, hence the bigger move.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0A12"/>
    <w:multiLevelType w:val="hybridMultilevel"/>
    <w:tmpl w:val="1840D70A"/>
    <w:lvl w:ilvl="0" w:tplc="57526D9A">
      <w:numFmt w:val="bullet"/>
      <w:lvlText w:val="•"/>
      <w:lvlJc w:val="left"/>
      <w:pPr>
        <w:ind w:left="648" w:hanging="540"/>
      </w:pPr>
      <w:rPr>
        <w:rFonts w:ascii="Arial" w:eastAsia="Arial" w:hAnsi="Arial" w:cs="Arial" w:hint="default"/>
        <w:color w:val="072328"/>
        <w:w w:val="100"/>
        <w:sz w:val="40"/>
        <w:szCs w:val="40"/>
        <w:lang w:val="en-GB" w:eastAsia="en-GB" w:bidi="en-GB"/>
      </w:rPr>
    </w:lvl>
    <w:lvl w:ilvl="1" w:tplc="3BC42B04">
      <w:numFmt w:val="bullet"/>
      <w:lvlText w:val="•"/>
      <w:lvlJc w:val="left"/>
      <w:pPr>
        <w:ind w:left="992" w:hanging="540"/>
      </w:pPr>
      <w:rPr>
        <w:rFonts w:hint="default"/>
        <w:lang w:val="en-GB" w:eastAsia="en-GB" w:bidi="en-GB"/>
      </w:rPr>
    </w:lvl>
    <w:lvl w:ilvl="2" w:tplc="B88440DC">
      <w:numFmt w:val="bullet"/>
      <w:lvlText w:val="•"/>
      <w:lvlJc w:val="left"/>
      <w:pPr>
        <w:ind w:left="1345" w:hanging="540"/>
      </w:pPr>
      <w:rPr>
        <w:rFonts w:hint="default"/>
        <w:lang w:val="en-GB" w:eastAsia="en-GB" w:bidi="en-GB"/>
      </w:rPr>
    </w:lvl>
    <w:lvl w:ilvl="3" w:tplc="9B186BD6">
      <w:numFmt w:val="bullet"/>
      <w:lvlText w:val="•"/>
      <w:lvlJc w:val="left"/>
      <w:pPr>
        <w:ind w:left="1698" w:hanging="540"/>
      </w:pPr>
      <w:rPr>
        <w:rFonts w:hint="default"/>
        <w:lang w:val="en-GB" w:eastAsia="en-GB" w:bidi="en-GB"/>
      </w:rPr>
    </w:lvl>
    <w:lvl w:ilvl="4" w:tplc="5DC251E2">
      <w:numFmt w:val="bullet"/>
      <w:lvlText w:val="•"/>
      <w:lvlJc w:val="left"/>
      <w:pPr>
        <w:ind w:left="2050" w:hanging="540"/>
      </w:pPr>
      <w:rPr>
        <w:rFonts w:hint="default"/>
        <w:lang w:val="en-GB" w:eastAsia="en-GB" w:bidi="en-GB"/>
      </w:rPr>
    </w:lvl>
    <w:lvl w:ilvl="5" w:tplc="CF7672DE">
      <w:numFmt w:val="bullet"/>
      <w:lvlText w:val="•"/>
      <w:lvlJc w:val="left"/>
      <w:pPr>
        <w:ind w:left="2403" w:hanging="540"/>
      </w:pPr>
      <w:rPr>
        <w:rFonts w:hint="default"/>
        <w:lang w:val="en-GB" w:eastAsia="en-GB" w:bidi="en-GB"/>
      </w:rPr>
    </w:lvl>
    <w:lvl w:ilvl="6" w:tplc="29A2A3C0">
      <w:numFmt w:val="bullet"/>
      <w:lvlText w:val="•"/>
      <w:lvlJc w:val="left"/>
      <w:pPr>
        <w:ind w:left="2756" w:hanging="540"/>
      </w:pPr>
      <w:rPr>
        <w:rFonts w:hint="default"/>
        <w:lang w:val="en-GB" w:eastAsia="en-GB" w:bidi="en-GB"/>
      </w:rPr>
    </w:lvl>
    <w:lvl w:ilvl="7" w:tplc="9EC8FC7E">
      <w:numFmt w:val="bullet"/>
      <w:lvlText w:val="•"/>
      <w:lvlJc w:val="left"/>
      <w:pPr>
        <w:ind w:left="3108" w:hanging="540"/>
      </w:pPr>
      <w:rPr>
        <w:rFonts w:hint="default"/>
        <w:lang w:val="en-GB" w:eastAsia="en-GB" w:bidi="en-GB"/>
      </w:rPr>
    </w:lvl>
    <w:lvl w:ilvl="8" w:tplc="2C58B0DC">
      <w:numFmt w:val="bullet"/>
      <w:lvlText w:val="•"/>
      <w:lvlJc w:val="left"/>
      <w:pPr>
        <w:ind w:left="3461" w:hanging="540"/>
      </w:pPr>
      <w:rPr>
        <w:rFonts w:hint="default"/>
        <w:lang w:val="en-GB" w:eastAsia="en-GB" w:bidi="en-GB"/>
      </w:rPr>
    </w:lvl>
  </w:abstractNum>
  <w:abstractNum w:abstractNumId="1" w15:restartNumberingAfterBreak="0">
    <w:nsid w:val="2DC177C0"/>
    <w:multiLevelType w:val="hybridMultilevel"/>
    <w:tmpl w:val="C26423CC"/>
    <w:lvl w:ilvl="0" w:tplc="9BAED112">
      <w:numFmt w:val="bullet"/>
      <w:lvlText w:val="•"/>
      <w:lvlJc w:val="left"/>
      <w:pPr>
        <w:ind w:left="648" w:hanging="540"/>
      </w:pPr>
      <w:rPr>
        <w:rFonts w:ascii="Arial" w:eastAsia="Arial" w:hAnsi="Arial" w:cs="Arial" w:hint="default"/>
        <w:color w:val="072328"/>
        <w:w w:val="100"/>
        <w:sz w:val="40"/>
        <w:szCs w:val="40"/>
        <w:lang w:val="en-GB" w:eastAsia="en-GB" w:bidi="en-GB"/>
      </w:rPr>
    </w:lvl>
    <w:lvl w:ilvl="1" w:tplc="56D6A0BC">
      <w:numFmt w:val="bullet"/>
      <w:lvlText w:val="•"/>
      <w:lvlJc w:val="left"/>
      <w:pPr>
        <w:ind w:left="992" w:hanging="540"/>
      </w:pPr>
      <w:rPr>
        <w:rFonts w:hint="default"/>
        <w:lang w:val="en-GB" w:eastAsia="en-GB" w:bidi="en-GB"/>
      </w:rPr>
    </w:lvl>
    <w:lvl w:ilvl="2" w:tplc="C37AA3E6">
      <w:numFmt w:val="bullet"/>
      <w:lvlText w:val="•"/>
      <w:lvlJc w:val="left"/>
      <w:pPr>
        <w:ind w:left="1345" w:hanging="540"/>
      </w:pPr>
      <w:rPr>
        <w:rFonts w:hint="default"/>
        <w:lang w:val="en-GB" w:eastAsia="en-GB" w:bidi="en-GB"/>
      </w:rPr>
    </w:lvl>
    <w:lvl w:ilvl="3" w:tplc="18F0FD5A">
      <w:numFmt w:val="bullet"/>
      <w:lvlText w:val="•"/>
      <w:lvlJc w:val="left"/>
      <w:pPr>
        <w:ind w:left="1698" w:hanging="540"/>
      </w:pPr>
      <w:rPr>
        <w:rFonts w:hint="default"/>
        <w:lang w:val="en-GB" w:eastAsia="en-GB" w:bidi="en-GB"/>
      </w:rPr>
    </w:lvl>
    <w:lvl w:ilvl="4" w:tplc="28A23536">
      <w:numFmt w:val="bullet"/>
      <w:lvlText w:val="•"/>
      <w:lvlJc w:val="left"/>
      <w:pPr>
        <w:ind w:left="2050" w:hanging="540"/>
      </w:pPr>
      <w:rPr>
        <w:rFonts w:hint="default"/>
        <w:lang w:val="en-GB" w:eastAsia="en-GB" w:bidi="en-GB"/>
      </w:rPr>
    </w:lvl>
    <w:lvl w:ilvl="5" w:tplc="D29429A0">
      <w:numFmt w:val="bullet"/>
      <w:lvlText w:val="•"/>
      <w:lvlJc w:val="left"/>
      <w:pPr>
        <w:ind w:left="2403" w:hanging="540"/>
      </w:pPr>
      <w:rPr>
        <w:rFonts w:hint="default"/>
        <w:lang w:val="en-GB" w:eastAsia="en-GB" w:bidi="en-GB"/>
      </w:rPr>
    </w:lvl>
    <w:lvl w:ilvl="6" w:tplc="386629FE">
      <w:numFmt w:val="bullet"/>
      <w:lvlText w:val="•"/>
      <w:lvlJc w:val="left"/>
      <w:pPr>
        <w:ind w:left="2756" w:hanging="540"/>
      </w:pPr>
      <w:rPr>
        <w:rFonts w:hint="default"/>
        <w:lang w:val="en-GB" w:eastAsia="en-GB" w:bidi="en-GB"/>
      </w:rPr>
    </w:lvl>
    <w:lvl w:ilvl="7" w:tplc="60925244">
      <w:numFmt w:val="bullet"/>
      <w:lvlText w:val="•"/>
      <w:lvlJc w:val="left"/>
      <w:pPr>
        <w:ind w:left="3108" w:hanging="540"/>
      </w:pPr>
      <w:rPr>
        <w:rFonts w:hint="default"/>
        <w:lang w:val="en-GB" w:eastAsia="en-GB" w:bidi="en-GB"/>
      </w:rPr>
    </w:lvl>
    <w:lvl w:ilvl="8" w:tplc="4E663046">
      <w:numFmt w:val="bullet"/>
      <w:lvlText w:val="•"/>
      <w:lvlJc w:val="left"/>
      <w:pPr>
        <w:ind w:left="3461" w:hanging="540"/>
      </w:pPr>
      <w:rPr>
        <w:rFonts w:hint="default"/>
        <w:lang w:val="en-GB" w:eastAsia="en-GB" w:bidi="en-GB"/>
      </w:rPr>
    </w:lvl>
  </w:abstractNum>
  <w:abstractNum w:abstractNumId="2" w15:restartNumberingAfterBreak="0">
    <w:nsid w:val="3EDF38C3"/>
    <w:multiLevelType w:val="hybridMultilevel"/>
    <w:tmpl w:val="9EA0CC4A"/>
    <w:lvl w:ilvl="0" w:tplc="B1906B3A">
      <w:numFmt w:val="bullet"/>
      <w:lvlText w:val="•"/>
      <w:lvlJc w:val="left"/>
      <w:pPr>
        <w:ind w:left="648" w:hanging="540"/>
      </w:pPr>
      <w:rPr>
        <w:rFonts w:ascii="Arial" w:eastAsia="Arial" w:hAnsi="Arial" w:cs="Arial" w:hint="default"/>
        <w:color w:val="072328"/>
        <w:w w:val="100"/>
        <w:sz w:val="40"/>
        <w:szCs w:val="40"/>
        <w:lang w:val="en-GB" w:eastAsia="en-GB" w:bidi="en-GB"/>
      </w:rPr>
    </w:lvl>
    <w:lvl w:ilvl="1" w:tplc="07D6F222">
      <w:numFmt w:val="bullet"/>
      <w:lvlText w:val="•"/>
      <w:lvlJc w:val="left"/>
      <w:pPr>
        <w:ind w:left="992" w:hanging="540"/>
      </w:pPr>
      <w:rPr>
        <w:rFonts w:hint="default"/>
        <w:lang w:val="en-GB" w:eastAsia="en-GB" w:bidi="en-GB"/>
      </w:rPr>
    </w:lvl>
    <w:lvl w:ilvl="2" w:tplc="9BAA6044">
      <w:numFmt w:val="bullet"/>
      <w:lvlText w:val="•"/>
      <w:lvlJc w:val="left"/>
      <w:pPr>
        <w:ind w:left="1345" w:hanging="540"/>
      </w:pPr>
      <w:rPr>
        <w:rFonts w:hint="default"/>
        <w:lang w:val="en-GB" w:eastAsia="en-GB" w:bidi="en-GB"/>
      </w:rPr>
    </w:lvl>
    <w:lvl w:ilvl="3" w:tplc="9DB23488">
      <w:numFmt w:val="bullet"/>
      <w:lvlText w:val="•"/>
      <w:lvlJc w:val="left"/>
      <w:pPr>
        <w:ind w:left="1698" w:hanging="540"/>
      </w:pPr>
      <w:rPr>
        <w:rFonts w:hint="default"/>
        <w:lang w:val="en-GB" w:eastAsia="en-GB" w:bidi="en-GB"/>
      </w:rPr>
    </w:lvl>
    <w:lvl w:ilvl="4" w:tplc="CE6E010C">
      <w:numFmt w:val="bullet"/>
      <w:lvlText w:val="•"/>
      <w:lvlJc w:val="left"/>
      <w:pPr>
        <w:ind w:left="2050" w:hanging="540"/>
      </w:pPr>
      <w:rPr>
        <w:rFonts w:hint="default"/>
        <w:lang w:val="en-GB" w:eastAsia="en-GB" w:bidi="en-GB"/>
      </w:rPr>
    </w:lvl>
    <w:lvl w:ilvl="5" w:tplc="89CCF860">
      <w:numFmt w:val="bullet"/>
      <w:lvlText w:val="•"/>
      <w:lvlJc w:val="left"/>
      <w:pPr>
        <w:ind w:left="2403" w:hanging="540"/>
      </w:pPr>
      <w:rPr>
        <w:rFonts w:hint="default"/>
        <w:lang w:val="en-GB" w:eastAsia="en-GB" w:bidi="en-GB"/>
      </w:rPr>
    </w:lvl>
    <w:lvl w:ilvl="6" w:tplc="09DA4754">
      <w:numFmt w:val="bullet"/>
      <w:lvlText w:val="•"/>
      <w:lvlJc w:val="left"/>
      <w:pPr>
        <w:ind w:left="2756" w:hanging="540"/>
      </w:pPr>
      <w:rPr>
        <w:rFonts w:hint="default"/>
        <w:lang w:val="en-GB" w:eastAsia="en-GB" w:bidi="en-GB"/>
      </w:rPr>
    </w:lvl>
    <w:lvl w:ilvl="7" w:tplc="CD1C3998">
      <w:numFmt w:val="bullet"/>
      <w:lvlText w:val="•"/>
      <w:lvlJc w:val="left"/>
      <w:pPr>
        <w:ind w:left="3108" w:hanging="540"/>
      </w:pPr>
      <w:rPr>
        <w:rFonts w:hint="default"/>
        <w:lang w:val="en-GB" w:eastAsia="en-GB" w:bidi="en-GB"/>
      </w:rPr>
    </w:lvl>
    <w:lvl w:ilvl="8" w:tplc="E132CBE2">
      <w:numFmt w:val="bullet"/>
      <w:lvlText w:val="•"/>
      <w:lvlJc w:val="left"/>
      <w:pPr>
        <w:ind w:left="3461" w:hanging="540"/>
      </w:pPr>
      <w:rPr>
        <w:rFonts w:hint="default"/>
        <w:lang w:val="en-GB" w:eastAsia="en-GB" w:bidi="en-GB"/>
      </w:rPr>
    </w:lvl>
  </w:abstractNum>
  <w:abstractNum w:abstractNumId="3" w15:restartNumberingAfterBreak="0">
    <w:nsid w:val="5D77789C"/>
    <w:multiLevelType w:val="hybridMultilevel"/>
    <w:tmpl w:val="7F124FB8"/>
    <w:lvl w:ilvl="0" w:tplc="D3E0D68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35FFD"/>
    <w:multiLevelType w:val="hybridMultilevel"/>
    <w:tmpl w:val="6734A212"/>
    <w:lvl w:ilvl="0" w:tplc="32009B06">
      <w:numFmt w:val="bullet"/>
      <w:lvlText w:val="•"/>
      <w:lvlJc w:val="left"/>
      <w:pPr>
        <w:ind w:left="647" w:hanging="540"/>
      </w:pPr>
      <w:rPr>
        <w:rFonts w:ascii="Arial" w:eastAsia="Arial" w:hAnsi="Arial" w:cs="Arial" w:hint="default"/>
        <w:color w:val="072328"/>
        <w:w w:val="100"/>
        <w:sz w:val="40"/>
        <w:szCs w:val="40"/>
        <w:lang w:val="en-GB" w:eastAsia="en-GB" w:bidi="en-GB"/>
      </w:rPr>
    </w:lvl>
    <w:lvl w:ilvl="1" w:tplc="E41C976A">
      <w:numFmt w:val="bullet"/>
      <w:lvlText w:val="•"/>
      <w:lvlJc w:val="left"/>
      <w:pPr>
        <w:ind w:left="1007" w:hanging="540"/>
      </w:pPr>
      <w:rPr>
        <w:rFonts w:hint="default"/>
        <w:lang w:val="en-GB" w:eastAsia="en-GB" w:bidi="en-GB"/>
      </w:rPr>
    </w:lvl>
    <w:lvl w:ilvl="2" w:tplc="28DA8C20">
      <w:numFmt w:val="bullet"/>
      <w:lvlText w:val="•"/>
      <w:lvlJc w:val="left"/>
      <w:pPr>
        <w:ind w:left="1375" w:hanging="540"/>
      </w:pPr>
      <w:rPr>
        <w:rFonts w:hint="default"/>
        <w:lang w:val="en-GB" w:eastAsia="en-GB" w:bidi="en-GB"/>
      </w:rPr>
    </w:lvl>
    <w:lvl w:ilvl="3" w:tplc="379496D2">
      <w:numFmt w:val="bullet"/>
      <w:lvlText w:val="•"/>
      <w:lvlJc w:val="left"/>
      <w:pPr>
        <w:ind w:left="1743" w:hanging="540"/>
      </w:pPr>
      <w:rPr>
        <w:rFonts w:hint="default"/>
        <w:lang w:val="en-GB" w:eastAsia="en-GB" w:bidi="en-GB"/>
      </w:rPr>
    </w:lvl>
    <w:lvl w:ilvl="4" w:tplc="9A3EBA98">
      <w:numFmt w:val="bullet"/>
      <w:lvlText w:val="•"/>
      <w:lvlJc w:val="left"/>
      <w:pPr>
        <w:ind w:left="2111" w:hanging="540"/>
      </w:pPr>
      <w:rPr>
        <w:rFonts w:hint="default"/>
        <w:lang w:val="en-GB" w:eastAsia="en-GB" w:bidi="en-GB"/>
      </w:rPr>
    </w:lvl>
    <w:lvl w:ilvl="5" w:tplc="F106297A">
      <w:numFmt w:val="bullet"/>
      <w:lvlText w:val="•"/>
      <w:lvlJc w:val="left"/>
      <w:pPr>
        <w:ind w:left="2479" w:hanging="540"/>
      </w:pPr>
      <w:rPr>
        <w:rFonts w:hint="default"/>
        <w:lang w:val="en-GB" w:eastAsia="en-GB" w:bidi="en-GB"/>
      </w:rPr>
    </w:lvl>
    <w:lvl w:ilvl="6" w:tplc="97B47A14">
      <w:numFmt w:val="bullet"/>
      <w:lvlText w:val="•"/>
      <w:lvlJc w:val="left"/>
      <w:pPr>
        <w:ind w:left="2847" w:hanging="540"/>
      </w:pPr>
      <w:rPr>
        <w:rFonts w:hint="default"/>
        <w:lang w:val="en-GB" w:eastAsia="en-GB" w:bidi="en-GB"/>
      </w:rPr>
    </w:lvl>
    <w:lvl w:ilvl="7" w:tplc="C048386C">
      <w:numFmt w:val="bullet"/>
      <w:lvlText w:val="•"/>
      <w:lvlJc w:val="left"/>
      <w:pPr>
        <w:ind w:left="3215" w:hanging="540"/>
      </w:pPr>
      <w:rPr>
        <w:rFonts w:hint="default"/>
        <w:lang w:val="en-GB" w:eastAsia="en-GB" w:bidi="en-GB"/>
      </w:rPr>
    </w:lvl>
    <w:lvl w:ilvl="8" w:tplc="F976AE74">
      <w:numFmt w:val="bullet"/>
      <w:lvlText w:val="•"/>
      <w:lvlJc w:val="left"/>
      <w:pPr>
        <w:ind w:left="3583" w:hanging="540"/>
      </w:pPr>
      <w:rPr>
        <w:rFonts w:hint="default"/>
        <w:lang w:val="en-GB" w:eastAsia="en-GB" w:bidi="en-GB"/>
      </w:rPr>
    </w:lvl>
  </w:abstractNum>
  <w:abstractNum w:abstractNumId="5" w15:restartNumberingAfterBreak="0">
    <w:nsid w:val="5EF80B9E"/>
    <w:multiLevelType w:val="multilevel"/>
    <w:tmpl w:val="DCAE8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4C"/>
    <w:rsid w:val="00010BF3"/>
    <w:rsid w:val="000178F1"/>
    <w:rsid w:val="00017AFD"/>
    <w:rsid w:val="00024B9F"/>
    <w:rsid w:val="000254DA"/>
    <w:rsid w:val="00026F2A"/>
    <w:rsid w:val="00034534"/>
    <w:rsid w:val="00035F6B"/>
    <w:rsid w:val="00037957"/>
    <w:rsid w:val="00041A7C"/>
    <w:rsid w:val="00044EB3"/>
    <w:rsid w:val="00051804"/>
    <w:rsid w:val="00053A14"/>
    <w:rsid w:val="00054EC2"/>
    <w:rsid w:val="000552C9"/>
    <w:rsid w:val="00061B94"/>
    <w:rsid w:val="00063DE7"/>
    <w:rsid w:val="00071A49"/>
    <w:rsid w:val="000739B5"/>
    <w:rsid w:val="0007746B"/>
    <w:rsid w:val="0008049B"/>
    <w:rsid w:val="00080F6B"/>
    <w:rsid w:val="0008531C"/>
    <w:rsid w:val="00086895"/>
    <w:rsid w:val="0009518F"/>
    <w:rsid w:val="000A23F5"/>
    <w:rsid w:val="000A2410"/>
    <w:rsid w:val="000A299D"/>
    <w:rsid w:val="000B53D6"/>
    <w:rsid w:val="000C04F3"/>
    <w:rsid w:val="000C1C82"/>
    <w:rsid w:val="000C217A"/>
    <w:rsid w:val="000C49C4"/>
    <w:rsid w:val="000C6515"/>
    <w:rsid w:val="000C7EEA"/>
    <w:rsid w:val="000D3E57"/>
    <w:rsid w:val="000D5141"/>
    <w:rsid w:val="000D61AC"/>
    <w:rsid w:val="000D7D43"/>
    <w:rsid w:val="000E6C4D"/>
    <w:rsid w:val="000F17F8"/>
    <w:rsid w:val="000F7655"/>
    <w:rsid w:val="000F7E6B"/>
    <w:rsid w:val="001006FA"/>
    <w:rsid w:val="00100956"/>
    <w:rsid w:val="00102691"/>
    <w:rsid w:val="0010348A"/>
    <w:rsid w:val="00103C65"/>
    <w:rsid w:val="001101F1"/>
    <w:rsid w:val="00111058"/>
    <w:rsid w:val="001119F1"/>
    <w:rsid w:val="001147F2"/>
    <w:rsid w:val="0012092E"/>
    <w:rsid w:val="00120FA4"/>
    <w:rsid w:val="00122253"/>
    <w:rsid w:val="00122CC4"/>
    <w:rsid w:val="0012367B"/>
    <w:rsid w:val="00125894"/>
    <w:rsid w:val="001300F6"/>
    <w:rsid w:val="001333FD"/>
    <w:rsid w:val="00135475"/>
    <w:rsid w:val="00136D35"/>
    <w:rsid w:val="00144EF2"/>
    <w:rsid w:val="00151065"/>
    <w:rsid w:val="00151B15"/>
    <w:rsid w:val="00152626"/>
    <w:rsid w:val="00154DA4"/>
    <w:rsid w:val="001552CF"/>
    <w:rsid w:val="00157DAD"/>
    <w:rsid w:val="00160610"/>
    <w:rsid w:val="00161DCC"/>
    <w:rsid w:val="001714FB"/>
    <w:rsid w:val="001740B8"/>
    <w:rsid w:val="001765ED"/>
    <w:rsid w:val="001809DD"/>
    <w:rsid w:val="0018329E"/>
    <w:rsid w:val="00186BF8"/>
    <w:rsid w:val="00192801"/>
    <w:rsid w:val="00192AAE"/>
    <w:rsid w:val="00193106"/>
    <w:rsid w:val="00195BDB"/>
    <w:rsid w:val="00195C35"/>
    <w:rsid w:val="001970D6"/>
    <w:rsid w:val="001A1B67"/>
    <w:rsid w:val="001A3262"/>
    <w:rsid w:val="001A36C4"/>
    <w:rsid w:val="001A7BC0"/>
    <w:rsid w:val="001B12BE"/>
    <w:rsid w:val="001B3F85"/>
    <w:rsid w:val="001B4116"/>
    <w:rsid w:val="001B464B"/>
    <w:rsid w:val="001B7A0E"/>
    <w:rsid w:val="001C4343"/>
    <w:rsid w:val="001D47CB"/>
    <w:rsid w:val="001D52B9"/>
    <w:rsid w:val="001D5D3E"/>
    <w:rsid w:val="001D6663"/>
    <w:rsid w:val="001D6F0E"/>
    <w:rsid w:val="001E0A52"/>
    <w:rsid w:val="001E19F1"/>
    <w:rsid w:val="001E60C9"/>
    <w:rsid w:val="001E66E4"/>
    <w:rsid w:val="001E68AB"/>
    <w:rsid w:val="001E7457"/>
    <w:rsid w:val="001F4663"/>
    <w:rsid w:val="001F52C3"/>
    <w:rsid w:val="002011FD"/>
    <w:rsid w:val="002012A5"/>
    <w:rsid w:val="00202E05"/>
    <w:rsid w:val="002034F7"/>
    <w:rsid w:val="002044D5"/>
    <w:rsid w:val="00206F93"/>
    <w:rsid w:val="00210285"/>
    <w:rsid w:val="002116B5"/>
    <w:rsid w:val="002116D6"/>
    <w:rsid w:val="00211DE4"/>
    <w:rsid w:val="002218D4"/>
    <w:rsid w:val="0022505B"/>
    <w:rsid w:val="00227C34"/>
    <w:rsid w:val="002326EC"/>
    <w:rsid w:val="0023438F"/>
    <w:rsid w:val="00235BAF"/>
    <w:rsid w:val="002431D3"/>
    <w:rsid w:val="002521B4"/>
    <w:rsid w:val="0025567E"/>
    <w:rsid w:val="00256F6C"/>
    <w:rsid w:val="00260EF6"/>
    <w:rsid w:val="00261890"/>
    <w:rsid w:val="0026238E"/>
    <w:rsid w:val="002627D2"/>
    <w:rsid w:val="002627D7"/>
    <w:rsid w:val="00263F0B"/>
    <w:rsid w:val="00264B7A"/>
    <w:rsid w:val="00266B63"/>
    <w:rsid w:val="002673B7"/>
    <w:rsid w:val="00267FE6"/>
    <w:rsid w:val="00270C21"/>
    <w:rsid w:val="00273962"/>
    <w:rsid w:val="002763D3"/>
    <w:rsid w:val="00277CAC"/>
    <w:rsid w:val="002937FD"/>
    <w:rsid w:val="00296848"/>
    <w:rsid w:val="00296917"/>
    <w:rsid w:val="002A1416"/>
    <w:rsid w:val="002A3459"/>
    <w:rsid w:val="002A4003"/>
    <w:rsid w:val="002A705F"/>
    <w:rsid w:val="002A79B7"/>
    <w:rsid w:val="002A7AF2"/>
    <w:rsid w:val="002B0487"/>
    <w:rsid w:val="002B5A58"/>
    <w:rsid w:val="002B650A"/>
    <w:rsid w:val="002B6996"/>
    <w:rsid w:val="002B6B65"/>
    <w:rsid w:val="002B6FC5"/>
    <w:rsid w:val="002B7E06"/>
    <w:rsid w:val="002C5EBF"/>
    <w:rsid w:val="002D4C33"/>
    <w:rsid w:val="002D5DE7"/>
    <w:rsid w:val="002D7041"/>
    <w:rsid w:val="002D7296"/>
    <w:rsid w:val="002E1BC3"/>
    <w:rsid w:val="002E3990"/>
    <w:rsid w:val="002E4F91"/>
    <w:rsid w:val="002F0997"/>
    <w:rsid w:val="002F11B2"/>
    <w:rsid w:val="002F29AA"/>
    <w:rsid w:val="002F4039"/>
    <w:rsid w:val="002F4EB9"/>
    <w:rsid w:val="0030127B"/>
    <w:rsid w:val="003079BD"/>
    <w:rsid w:val="00314BE4"/>
    <w:rsid w:val="00316424"/>
    <w:rsid w:val="0031765B"/>
    <w:rsid w:val="0032240B"/>
    <w:rsid w:val="00324391"/>
    <w:rsid w:val="003243C1"/>
    <w:rsid w:val="00332FDC"/>
    <w:rsid w:val="0033697C"/>
    <w:rsid w:val="003453B5"/>
    <w:rsid w:val="003529D1"/>
    <w:rsid w:val="00353607"/>
    <w:rsid w:val="00357FB2"/>
    <w:rsid w:val="00360610"/>
    <w:rsid w:val="003647B2"/>
    <w:rsid w:val="003710EE"/>
    <w:rsid w:val="00377F83"/>
    <w:rsid w:val="00381C19"/>
    <w:rsid w:val="00381C2D"/>
    <w:rsid w:val="00382C0B"/>
    <w:rsid w:val="00384D44"/>
    <w:rsid w:val="00387B41"/>
    <w:rsid w:val="003A10A4"/>
    <w:rsid w:val="003A4972"/>
    <w:rsid w:val="003A60F2"/>
    <w:rsid w:val="003A65B2"/>
    <w:rsid w:val="003A7F44"/>
    <w:rsid w:val="003B3336"/>
    <w:rsid w:val="003C13D4"/>
    <w:rsid w:val="003C3EA1"/>
    <w:rsid w:val="003D1C55"/>
    <w:rsid w:val="003D406A"/>
    <w:rsid w:val="003D6300"/>
    <w:rsid w:val="003D6967"/>
    <w:rsid w:val="003E084F"/>
    <w:rsid w:val="003E2A9A"/>
    <w:rsid w:val="003E524C"/>
    <w:rsid w:val="003E73E6"/>
    <w:rsid w:val="003F501E"/>
    <w:rsid w:val="003F5171"/>
    <w:rsid w:val="003F69FA"/>
    <w:rsid w:val="004026B2"/>
    <w:rsid w:val="004033A6"/>
    <w:rsid w:val="004046B9"/>
    <w:rsid w:val="004117F0"/>
    <w:rsid w:val="0041355A"/>
    <w:rsid w:val="00413FE9"/>
    <w:rsid w:val="004168D0"/>
    <w:rsid w:val="00424A84"/>
    <w:rsid w:val="004315C2"/>
    <w:rsid w:val="00434B50"/>
    <w:rsid w:val="00442838"/>
    <w:rsid w:val="004430CA"/>
    <w:rsid w:val="00456E82"/>
    <w:rsid w:val="0046026F"/>
    <w:rsid w:val="00463306"/>
    <w:rsid w:val="00465AA2"/>
    <w:rsid w:val="004820FE"/>
    <w:rsid w:val="00482D17"/>
    <w:rsid w:val="004834C0"/>
    <w:rsid w:val="00490ED0"/>
    <w:rsid w:val="00492856"/>
    <w:rsid w:val="00492A8F"/>
    <w:rsid w:val="00496C4D"/>
    <w:rsid w:val="004A0B6E"/>
    <w:rsid w:val="004A1ABC"/>
    <w:rsid w:val="004A25A6"/>
    <w:rsid w:val="004B1F99"/>
    <w:rsid w:val="004C064C"/>
    <w:rsid w:val="004C26AF"/>
    <w:rsid w:val="004C26CF"/>
    <w:rsid w:val="004C29B9"/>
    <w:rsid w:val="004C2DEA"/>
    <w:rsid w:val="004C6C4E"/>
    <w:rsid w:val="004D0A35"/>
    <w:rsid w:val="004D4E2A"/>
    <w:rsid w:val="004D5A18"/>
    <w:rsid w:val="004D6B48"/>
    <w:rsid w:val="004E4DC5"/>
    <w:rsid w:val="004E4E10"/>
    <w:rsid w:val="004E5A87"/>
    <w:rsid w:val="004F5923"/>
    <w:rsid w:val="004F5ACF"/>
    <w:rsid w:val="0050327D"/>
    <w:rsid w:val="00503F56"/>
    <w:rsid w:val="0051366A"/>
    <w:rsid w:val="00513D50"/>
    <w:rsid w:val="00521F08"/>
    <w:rsid w:val="00524D82"/>
    <w:rsid w:val="005273DA"/>
    <w:rsid w:val="0053007C"/>
    <w:rsid w:val="005327F4"/>
    <w:rsid w:val="00533AF9"/>
    <w:rsid w:val="00540792"/>
    <w:rsid w:val="0054783C"/>
    <w:rsid w:val="0055114A"/>
    <w:rsid w:val="00552A33"/>
    <w:rsid w:val="005570B8"/>
    <w:rsid w:val="005641D7"/>
    <w:rsid w:val="005668C9"/>
    <w:rsid w:val="00571355"/>
    <w:rsid w:val="00571E2F"/>
    <w:rsid w:val="00572BB9"/>
    <w:rsid w:val="00574466"/>
    <w:rsid w:val="005757B8"/>
    <w:rsid w:val="00582049"/>
    <w:rsid w:val="0058310A"/>
    <w:rsid w:val="00584284"/>
    <w:rsid w:val="005867B6"/>
    <w:rsid w:val="00586EF1"/>
    <w:rsid w:val="00591232"/>
    <w:rsid w:val="00591CE7"/>
    <w:rsid w:val="00596EF7"/>
    <w:rsid w:val="005A42F7"/>
    <w:rsid w:val="005A435E"/>
    <w:rsid w:val="005A6416"/>
    <w:rsid w:val="005C1FE1"/>
    <w:rsid w:val="005D2708"/>
    <w:rsid w:val="005D4212"/>
    <w:rsid w:val="005D4DE9"/>
    <w:rsid w:val="005D5160"/>
    <w:rsid w:val="005E1DC0"/>
    <w:rsid w:val="005E2BAB"/>
    <w:rsid w:val="005F1171"/>
    <w:rsid w:val="005F3992"/>
    <w:rsid w:val="005F4025"/>
    <w:rsid w:val="005F549E"/>
    <w:rsid w:val="00603638"/>
    <w:rsid w:val="0061626E"/>
    <w:rsid w:val="0061630E"/>
    <w:rsid w:val="00620782"/>
    <w:rsid w:val="00622777"/>
    <w:rsid w:val="006266DE"/>
    <w:rsid w:val="00631586"/>
    <w:rsid w:val="00631C50"/>
    <w:rsid w:val="00637146"/>
    <w:rsid w:val="00641355"/>
    <w:rsid w:val="00642D44"/>
    <w:rsid w:val="00650F34"/>
    <w:rsid w:val="00651EF9"/>
    <w:rsid w:val="0065505A"/>
    <w:rsid w:val="00655BE1"/>
    <w:rsid w:val="00657799"/>
    <w:rsid w:val="00663B89"/>
    <w:rsid w:val="006645E1"/>
    <w:rsid w:val="0066551C"/>
    <w:rsid w:val="00665983"/>
    <w:rsid w:val="00670A58"/>
    <w:rsid w:val="006754B0"/>
    <w:rsid w:val="006766B8"/>
    <w:rsid w:val="00676D53"/>
    <w:rsid w:val="00676F2E"/>
    <w:rsid w:val="006831E5"/>
    <w:rsid w:val="00683B7B"/>
    <w:rsid w:val="006947E7"/>
    <w:rsid w:val="006965F0"/>
    <w:rsid w:val="006A186D"/>
    <w:rsid w:val="006A429B"/>
    <w:rsid w:val="006A6B8A"/>
    <w:rsid w:val="006B1136"/>
    <w:rsid w:val="006B41A6"/>
    <w:rsid w:val="006B4C67"/>
    <w:rsid w:val="006B5085"/>
    <w:rsid w:val="006C2F6A"/>
    <w:rsid w:val="006C762D"/>
    <w:rsid w:val="006C773F"/>
    <w:rsid w:val="006D64A2"/>
    <w:rsid w:val="006E60B6"/>
    <w:rsid w:val="006E65C6"/>
    <w:rsid w:val="006E775B"/>
    <w:rsid w:val="006F020A"/>
    <w:rsid w:val="006F259A"/>
    <w:rsid w:val="006F56E5"/>
    <w:rsid w:val="006F6A6D"/>
    <w:rsid w:val="006F7570"/>
    <w:rsid w:val="006F7C78"/>
    <w:rsid w:val="0070199A"/>
    <w:rsid w:val="00720371"/>
    <w:rsid w:val="007255AF"/>
    <w:rsid w:val="00730D98"/>
    <w:rsid w:val="00731E0E"/>
    <w:rsid w:val="00733561"/>
    <w:rsid w:val="00736401"/>
    <w:rsid w:val="00736DDE"/>
    <w:rsid w:val="00743AC9"/>
    <w:rsid w:val="00746DBF"/>
    <w:rsid w:val="00753161"/>
    <w:rsid w:val="00763C1D"/>
    <w:rsid w:val="00765D8E"/>
    <w:rsid w:val="0076705E"/>
    <w:rsid w:val="00767DAB"/>
    <w:rsid w:val="00771BCC"/>
    <w:rsid w:val="00772826"/>
    <w:rsid w:val="007779E1"/>
    <w:rsid w:val="00780600"/>
    <w:rsid w:val="00782C92"/>
    <w:rsid w:val="00783043"/>
    <w:rsid w:val="00783C46"/>
    <w:rsid w:val="007840C0"/>
    <w:rsid w:val="00785958"/>
    <w:rsid w:val="00786ACF"/>
    <w:rsid w:val="00790487"/>
    <w:rsid w:val="00791256"/>
    <w:rsid w:val="00791830"/>
    <w:rsid w:val="00791B63"/>
    <w:rsid w:val="00792D31"/>
    <w:rsid w:val="007A34A9"/>
    <w:rsid w:val="007A3D70"/>
    <w:rsid w:val="007A7006"/>
    <w:rsid w:val="007B0881"/>
    <w:rsid w:val="007B44FC"/>
    <w:rsid w:val="007B71B7"/>
    <w:rsid w:val="007C052E"/>
    <w:rsid w:val="007C2549"/>
    <w:rsid w:val="007C5472"/>
    <w:rsid w:val="007C6394"/>
    <w:rsid w:val="007C7AF2"/>
    <w:rsid w:val="007D0269"/>
    <w:rsid w:val="007D0FC2"/>
    <w:rsid w:val="007D4A39"/>
    <w:rsid w:val="007D58F0"/>
    <w:rsid w:val="007D6F5F"/>
    <w:rsid w:val="007E0691"/>
    <w:rsid w:val="007E12FB"/>
    <w:rsid w:val="007E21D3"/>
    <w:rsid w:val="007E2F68"/>
    <w:rsid w:val="007E5ECF"/>
    <w:rsid w:val="007E769F"/>
    <w:rsid w:val="007F121A"/>
    <w:rsid w:val="007F310F"/>
    <w:rsid w:val="007F465B"/>
    <w:rsid w:val="007F59D8"/>
    <w:rsid w:val="0080386A"/>
    <w:rsid w:val="008100BB"/>
    <w:rsid w:val="0081438D"/>
    <w:rsid w:val="008170E0"/>
    <w:rsid w:val="00824E71"/>
    <w:rsid w:val="00826C72"/>
    <w:rsid w:val="008304E5"/>
    <w:rsid w:val="00834E3A"/>
    <w:rsid w:val="00835C23"/>
    <w:rsid w:val="00837D3B"/>
    <w:rsid w:val="0084036E"/>
    <w:rsid w:val="00840648"/>
    <w:rsid w:val="008446B7"/>
    <w:rsid w:val="00846A8C"/>
    <w:rsid w:val="00856A7A"/>
    <w:rsid w:val="008651E8"/>
    <w:rsid w:val="00865D21"/>
    <w:rsid w:val="0086637B"/>
    <w:rsid w:val="00867112"/>
    <w:rsid w:val="00872CA6"/>
    <w:rsid w:val="00873A96"/>
    <w:rsid w:val="0088267F"/>
    <w:rsid w:val="00885C32"/>
    <w:rsid w:val="00886D53"/>
    <w:rsid w:val="00895A97"/>
    <w:rsid w:val="008A198B"/>
    <w:rsid w:val="008A2B9E"/>
    <w:rsid w:val="008B45BF"/>
    <w:rsid w:val="008B4805"/>
    <w:rsid w:val="008C2385"/>
    <w:rsid w:val="008D28D5"/>
    <w:rsid w:val="008D3E43"/>
    <w:rsid w:val="008D5B01"/>
    <w:rsid w:val="008D6D01"/>
    <w:rsid w:val="008E32A4"/>
    <w:rsid w:val="008E64C9"/>
    <w:rsid w:val="008F659F"/>
    <w:rsid w:val="009104E1"/>
    <w:rsid w:val="00910962"/>
    <w:rsid w:val="009119FD"/>
    <w:rsid w:val="0091322C"/>
    <w:rsid w:val="00914053"/>
    <w:rsid w:val="009216A3"/>
    <w:rsid w:val="009222D1"/>
    <w:rsid w:val="00923E0B"/>
    <w:rsid w:val="00940249"/>
    <w:rsid w:val="00941DE4"/>
    <w:rsid w:val="00943905"/>
    <w:rsid w:val="0094438E"/>
    <w:rsid w:val="00945571"/>
    <w:rsid w:val="00953894"/>
    <w:rsid w:val="00953B85"/>
    <w:rsid w:val="0095542A"/>
    <w:rsid w:val="00955AD1"/>
    <w:rsid w:val="00956235"/>
    <w:rsid w:val="00957678"/>
    <w:rsid w:val="00963A5B"/>
    <w:rsid w:val="009646C3"/>
    <w:rsid w:val="00967272"/>
    <w:rsid w:val="009673FD"/>
    <w:rsid w:val="00967982"/>
    <w:rsid w:val="00967986"/>
    <w:rsid w:val="009759CF"/>
    <w:rsid w:val="00983E44"/>
    <w:rsid w:val="0098480E"/>
    <w:rsid w:val="0098769A"/>
    <w:rsid w:val="009907CE"/>
    <w:rsid w:val="009918EA"/>
    <w:rsid w:val="009956D2"/>
    <w:rsid w:val="009978A3"/>
    <w:rsid w:val="009A2993"/>
    <w:rsid w:val="009A3561"/>
    <w:rsid w:val="009A5153"/>
    <w:rsid w:val="009A7E22"/>
    <w:rsid w:val="009C03E4"/>
    <w:rsid w:val="009C197C"/>
    <w:rsid w:val="009D17BB"/>
    <w:rsid w:val="009E1514"/>
    <w:rsid w:val="009F0838"/>
    <w:rsid w:val="009F453D"/>
    <w:rsid w:val="009F4BA0"/>
    <w:rsid w:val="009F4EC4"/>
    <w:rsid w:val="009F4FC9"/>
    <w:rsid w:val="009F7D7C"/>
    <w:rsid w:val="00A01A8A"/>
    <w:rsid w:val="00A0540E"/>
    <w:rsid w:val="00A06188"/>
    <w:rsid w:val="00A12366"/>
    <w:rsid w:val="00A12476"/>
    <w:rsid w:val="00A20054"/>
    <w:rsid w:val="00A24FEA"/>
    <w:rsid w:val="00A3242B"/>
    <w:rsid w:val="00A35257"/>
    <w:rsid w:val="00A36BF3"/>
    <w:rsid w:val="00A37D70"/>
    <w:rsid w:val="00A42D8C"/>
    <w:rsid w:val="00A43797"/>
    <w:rsid w:val="00A45487"/>
    <w:rsid w:val="00A4593B"/>
    <w:rsid w:val="00A47A26"/>
    <w:rsid w:val="00A5196F"/>
    <w:rsid w:val="00A56AF8"/>
    <w:rsid w:val="00A62AAD"/>
    <w:rsid w:val="00A63653"/>
    <w:rsid w:val="00A66AD9"/>
    <w:rsid w:val="00A67329"/>
    <w:rsid w:val="00A71CDA"/>
    <w:rsid w:val="00A71EDE"/>
    <w:rsid w:val="00A71F37"/>
    <w:rsid w:val="00A812BB"/>
    <w:rsid w:val="00A90309"/>
    <w:rsid w:val="00A9310F"/>
    <w:rsid w:val="00AB0EAF"/>
    <w:rsid w:val="00AB4E92"/>
    <w:rsid w:val="00AB7B09"/>
    <w:rsid w:val="00AC69EC"/>
    <w:rsid w:val="00AC6A6A"/>
    <w:rsid w:val="00AD2EDD"/>
    <w:rsid w:val="00AD3C43"/>
    <w:rsid w:val="00AD4D68"/>
    <w:rsid w:val="00AF2642"/>
    <w:rsid w:val="00AF40DB"/>
    <w:rsid w:val="00AF719B"/>
    <w:rsid w:val="00B01201"/>
    <w:rsid w:val="00B0560D"/>
    <w:rsid w:val="00B06151"/>
    <w:rsid w:val="00B10C11"/>
    <w:rsid w:val="00B1269A"/>
    <w:rsid w:val="00B1344F"/>
    <w:rsid w:val="00B14721"/>
    <w:rsid w:val="00B16E29"/>
    <w:rsid w:val="00B17433"/>
    <w:rsid w:val="00B2085C"/>
    <w:rsid w:val="00B21C7F"/>
    <w:rsid w:val="00B27045"/>
    <w:rsid w:val="00B3068F"/>
    <w:rsid w:val="00B40C20"/>
    <w:rsid w:val="00B41651"/>
    <w:rsid w:val="00B437C5"/>
    <w:rsid w:val="00B54FCF"/>
    <w:rsid w:val="00B611F0"/>
    <w:rsid w:val="00B61FC6"/>
    <w:rsid w:val="00B626B3"/>
    <w:rsid w:val="00B65BDF"/>
    <w:rsid w:val="00B755F3"/>
    <w:rsid w:val="00B81441"/>
    <w:rsid w:val="00B85C2E"/>
    <w:rsid w:val="00B90EBE"/>
    <w:rsid w:val="00B942AD"/>
    <w:rsid w:val="00B9726B"/>
    <w:rsid w:val="00B97E1D"/>
    <w:rsid w:val="00BA0DF3"/>
    <w:rsid w:val="00BA2709"/>
    <w:rsid w:val="00BA47E2"/>
    <w:rsid w:val="00BA4D44"/>
    <w:rsid w:val="00BB3207"/>
    <w:rsid w:val="00BB46D9"/>
    <w:rsid w:val="00BD4A6E"/>
    <w:rsid w:val="00BF0A3D"/>
    <w:rsid w:val="00C00132"/>
    <w:rsid w:val="00C04ABE"/>
    <w:rsid w:val="00C119F0"/>
    <w:rsid w:val="00C26861"/>
    <w:rsid w:val="00C30E9E"/>
    <w:rsid w:val="00C3181B"/>
    <w:rsid w:val="00C33EA7"/>
    <w:rsid w:val="00C354E3"/>
    <w:rsid w:val="00C43AF8"/>
    <w:rsid w:val="00C51204"/>
    <w:rsid w:val="00C51707"/>
    <w:rsid w:val="00C51776"/>
    <w:rsid w:val="00C56F1C"/>
    <w:rsid w:val="00C578F5"/>
    <w:rsid w:val="00C61DFB"/>
    <w:rsid w:val="00C64D13"/>
    <w:rsid w:val="00C73BBD"/>
    <w:rsid w:val="00C81EA6"/>
    <w:rsid w:val="00C8373C"/>
    <w:rsid w:val="00C83FFE"/>
    <w:rsid w:val="00C84642"/>
    <w:rsid w:val="00C8674C"/>
    <w:rsid w:val="00C86CF6"/>
    <w:rsid w:val="00C92806"/>
    <w:rsid w:val="00C92CE4"/>
    <w:rsid w:val="00C9311C"/>
    <w:rsid w:val="00C93A93"/>
    <w:rsid w:val="00C95D69"/>
    <w:rsid w:val="00C9751C"/>
    <w:rsid w:val="00CA4E69"/>
    <w:rsid w:val="00CA52AE"/>
    <w:rsid w:val="00CB2CDA"/>
    <w:rsid w:val="00CB6F3F"/>
    <w:rsid w:val="00CC3D4A"/>
    <w:rsid w:val="00CC4004"/>
    <w:rsid w:val="00CC44EB"/>
    <w:rsid w:val="00CC471F"/>
    <w:rsid w:val="00CC5E52"/>
    <w:rsid w:val="00CD4DE1"/>
    <w:rsid w:val="00CD6085"/>
    <w:rsid w:val="00CD7087"/>
    <w:rsid w:val="00CD7828"/>
    <w:rsid w:val="00CE01A3"/>
    <w:rsid w:val="00CE132D"/>
    <w:rsid w:val="00CE5888"/>
    <w:rsid w:val="00CE5904"/>
    <w:rsid w:val="00CE5AB5"/>
    <w:rsid w:val="00CE64A4"/>
    <w:rsid w:val="00CE6CDE"/>
    <w:rsid w:val="00CF20E1"/>
    <w:rsid w:val="00CF2A6E"/>
    <w:rsid w:val="00CF3B55"/>
    <w:rsid w:val="00CF5719"/>
    <w:rsid w:val="00CF7AEF"/>
    <w:rsid w:val="00D00723"/>
    <w:rsid w:val="00D12C1C"/>
    <w:rsid w:val="00D131E0"/>
    <w:rsid w:val="00D13377"/>
    <w:rsid w:val="00D13AC5"/>
    <w:rsid w:val="00D1401C"/>
    <w:rsid w:val="00D16B17"/>
    <w:rsid w:val="00D175C8"/>
    <w:rsid w:val="00D20698"/>
    <w:rsid w:val="00D211FF"/>
    <w:rsid w:val="00D26116"/>
    <w:rsid w:val="00D27393"/>
    <w:rsid w:val="00D30A0E"/>
    <w:rsid w:val="00D31BD0"/>
    <w:rsid w:val="00D34DF5"/>
    <w:rsid w:val="00D5028C"/>
    <w:rsid w:val="00D513C2"/>
    <w:rsid w:val="00D55C21"/>
    <w:rsid w:val="00D62662"/>
    <w:rsid w:val="00D62D28"/>
    <w:rsid w:val="00D668E8"/>
    <w:rsid w:val="00D70694"/>
    <w:rsid w:val="00D71E5B"/>
    <w:rsid w:val="00D77C51"/>
    <w:rsid w:val="00D77F14"/>
    <w:rsid w:val="00D84546"/>
    <w:rsid w:val="00D84CD5"/>
    <w:rsid w:val="00D93A3B"/>
    <w:rsid w:val="00D961E2"/>
    <w:rsid w:val="00D96B0B"/>
    <w:rsid w:val="00DA1562"/>
    <w:rsid w:val="00DA1C25"/>
    <w:rsid w:val="00DA76B1"/>
    <w:rsid w:val="00DC1028"/>
    <w:rsid w:val="00DC3368"/>
    <w:rsid w:val="00DD0AB4"/>
    <w:rsid w:val="00DD2A45"/>
    <w:rsid w:val="00DD2B21"/>
    <w:rsid w:val="00DD4CB2"/>
    <w:rsid w:val="00DE347A"/>
    <w:rsid w:val="00DE7D52"/>
    <w:rsid w:val="00DF1D8A"/>
    <w:rsid w:val="00DF34D3"/>
    <w:rsid w:val="00E008F9"/>
    <w:rsid w:val="00E079CD"/>
    <w:rsid w:val="00E1157A"/>
    <w:rsid w:val="00E15E0C"/>
    <w:rsid w:val="00E3045A"/>
    <w:rsid w:val="00E34941"/>
    <w:rsid w:val="00E37CA1"/>
    <w:rsid w:val="00E40DCE"/>
    <w:rsid w:val="00E43C37"/>
    <w:rsid w:val="00E4413C"/>
    <w:rsid w:val="00E44ADC"/>
    <w:rsid w:val="00E5099A"/>
    <w:rsid w:val="00E520A4"/>
    <w:rsid w:val="00E5336F"/>
    <w:rsid w:val="00E5399B"/>
    <w:rsid w:val="00E53BC1"/>
    <w:rsid w:val="00E54D8F"/>
    <w:rsid w:val="00E55B9B"/>
    <w:rsid w:val="00E56438"/>
    <w:rsid w:val="00E727B4"/>
    <w:rsid w:val="00E762AB"/>
    <w:rsid w:val="00E91E12"/>
    <w:rsid w:val="00E93657"/>
    <w:rsid w:val="00E9504E"/>
    <w:rsid w:val="00E96545"/>
    <w:rsid w:val="00E967FC"/>
    <w:rsid w:val="00E97CFF"/>
    <w:rsid w:val="00E97DCD"/>
    <w:rsid w:val="00EA1A92"/>
    <w:rsid w:val="00EA732F"/>
    <w:rsid w:val="00EA7D21"/>
    <w:rsid w:val="00EB0BBB"/>
    <w:rsid w:val="00EB1C05"/>
    <w:rsid w:val="00EB42C7"/>
    <w:rsid w:val="00EB5FE2"/>
    <w:rsid w:val="00EC01AA"/>
    <w:rsid w:val="00EC1112"/>
    <w:rsid w:val="00EC1B58"/>
    <w:rsid w:val="00EC6030"/>
    <w:rsid w:val="00EC7A30"/>
    <w:rsid w:val="00ED16EE"/>
    <w:rsid w:val="00ED2A94"/>
    <w:rsid w:val="00ED773F"/>
    <w:rsid w:val="00ED7844"/>
    <w:rsid w:val="00EE691E"/>
    <w:rsid w:val="00EF445C"/>
    <w:rsid w:val="00EF5C01"/>
    <w:rsid w:val="00F0030F"/>
    <w:rsid w:val="00F0062B"/>
    <w:rsid w:val="00F0149E"/>
    <w:rsid w:val="00F0209D"/>
    <w:rsid w:val="00F059FB"/>
    <w:rsid w:val="00F102C1"/>
    <w:rsid w:val="00F11875"/>
    <w:rsid w:val="00F15F11"/>
    <w:rsid w:val="00F205EC"/>
    <w:rsid w:val="00F241AA"/>
    <w:rsid w:val="00F25F31"/>
    <w:rsid w:val="00F26061"/>
    <w:rsid w:val="00F31CE6"/>
    <w:rsid w:val="00F4291F"/>
    <w:rsid w:val="00F430B5"/>
    <w:rsid w:val="00F448BD"/>
    <w:rsid w:val="00F44FC5"/>
    <w:rsid w:val="00F452F6"/>
    <w:rsid w:val="00F45890"/>
    <w:rsid w:val="00F508FF"/>
    <w:rsid w:val="00F50FD6"/>
    <w:rsid w:val="00F51F15"/>
    <w:rsid w:val="00F57C44"/>
    <w:rsid w:val="00F607E1"/>
    <w:rsid w:val="00F60E78"/>
    <w:rsid w:val="00F6352B"/>
    <w:rsid w:val="00F65892"/>
    <w:rsid w:val="00F7046C"/>
    <w:rsid w:val="00F70EDC"/>
    <w:rsid w:val="00F7610A"/>
    <w:rsid w:val="00F76E6C"/>
    <w:rsid w:val="00F77C5E"/>
    <w:rsid w:val="00F83ED7"/>
    <w:rsid w:val="00F846A8"/>
    <w:rsid w:val="00F92C9D"/>
    <w:rsid w:val="00FA17C9"/>
    <w:rsid w:val="00FA5AC2"/>
    <w:rsid w:val="00FB0D95"/>
    <w:rsid w:val="00FB3CA0"/>
    <w:rsid w:val="00FB3E95"/>
    <w:rsid w:val="00FB5F94"/>
    <w:rsid w:val="00FB68A5"/>
    <w:rsid w:val="00FB7151"/>
    <w:rsid w:val="00FB73FE"/>
    <w:rsid w:val="00FC1F4D"/>
    <w:rsid w:val="00FC22CD"/>
    <w:rsid w:val="00FC486A"/>
    <w:rsid w:val="00FC4E58"/>
    <w:rsid w:val="00FC6538"/>
    <w:rsid w:val="00FC724C"/>
    <w:rsid w:val="00FD129A"/>
    <w:rsid w:val="00FE0B4C"/>
    <w:rsid w:val="00FE1810"/>
    <w:rsid w:val="00FE31F2"/>
    <w:rsid w:val="00FF2620"/>
    <w:rsid w:val="00FF348B"/>
    <w:rsid w:val="50F7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BCCE4"/>
  <w15:docId w15:val="{0BBCD72C-A9BA-43D4-804B-1C1954D4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77F14"/>
    <w:pPr>
      <w:keepNext/>
      <w:keepLines/>
      <w:spacing w:before="240" w:after="240"/>
      <w:outlineLvl w:val="0"/>
    </w:pPr>
    <w:rPr>
      <w:rFonts w:ascii="Arial" w:eastAsiaTheme="majorEastAsia" w:hAnsi="Arial" w:cstheme="majorBidi"/>
      <w:b/>
      <w:sz w:val="26"/>
      <w:szCs w:val="32"/>
    </w:rPr>
  </w:style>
  <w:style w:type="paragraph" w:styleId="Heading2">
    <w:name w:val="heading 2"/>
    <w:basedOn w:val="Normal"/>
    <w:next w:val="Normal"/>
    <w:link w:val="Heading2Char"/>
    <w:autoRedefine/>
    <w:uiPriority w:val="9"/>
    <w:unhideWhenUsed/>
    <w:qFormat/>
    <w:rsid w:val="00E01485"/>
    <w:pPr>
      <w:keepNext/>
      <w:keepLines/>
      <w:spacing w:before="40" w:after="0"/>
      <w:outlineLvl w:val="1"/>
    </w:pPr>
    <w:rPr>
      <w:rFonts w:ascii="Arial" w:eastAsiaTheme="majorEastAsia" w:hAnsi="Arial" w:cstheme="majorBidi"/>
      <w:i/>
      <w:sz w:val="24"/>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77F14"/>
    <w:rPr>
      <w:rFonts w:ascii="Arial" w:eastAsiaTheme="majorEastAsia" w:hAnsi="Arial" w:cstheme="majorBidi"/>
      <w:b/>
      <w:sz w:val="26"/>
      <w:szCs w:val="32"/>
    </w:rPr>
  </w:style>
  <w:style w:type="character" w:customStyle="1" w:styleId="Heading2Char">
    <w:name w:val="Heading 2 Char"/>
    <w:basedOn w:val="DefaultParagraphFont"/>
    <w:link w:val="Heading2"/>
    <w:uiPriority w:val="9"/>
    <w:rsid w:val="00E01485"/>
    <w:rPr>
      <w:rFonts w:ascii="Arial" w:eastAsiaTheme="majorEastAsia" w:hAnsi="Arial" w:cstheme="majorBidi"/>
      <w:i/>
      <w:sz w:val="24"/>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67B"/>
    <w:pPr>
      <w:ind w:left="720"/>
      <w:contextualSpacing/>
    </w:pPr>
  </w:style>
  <w:style w:type="paragraph" w:customStyle="1" w:styleId="Default">
    <w:name w:val="Default"/>
    <w:rsid w:val="00E9504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35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9D1"/>
    <w:rPr>
      <w:sz w:val="20"/>
      <w:szCs w:val="20"/>
    </w:rPr>
  </w:style>
  <w:style w:type="character" w:styleId="FootnoteReference">
    <w:name w:val="footnote reference"/>
    <w:basedOn w:val="DefaultParagraphFont"/>
    <w:uiPriority w:val="99"/>
    <w:semiHidden/>
    <w:unhideWhenUsed/>
    <w:rsid w:val="003529D1"/>
    <w:rPr>
      <w:vertAlign w:val="superscript"/>
    </w:rPr>
  </w:style>
  <w:style w:type="paragraph" w:styleId="Header">
    <w:name w:val="header"/>
    <w:basedOn w:val="Normal"/>
    <w:link w:val="HeaderChar"/>
    <w:uiPriority w:val="99"/>
    <w:unhideWhenUsed/>
    <w:rsid w:val="0025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F6C"/>
  </w:style>
  <w:style w:type="paragraph" w:styleId="Footer">
    <w:name w:val="footer"/>
    <w:basedOn w:val="Normal"/>
    <w:link w:val="FooterChar"/>
    <w:uiPriority w:val="99"/>
    <w:unhideWhenUsed/>
    <w:rsid w:val="0025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F6C"/>
  </w:style>
  <w:style w:type="character" w:styleId="Hyperlink">
    <w:name w:val="Hyperlink"/>
    <w:basedOn w:val="DefaultParagraphFont"/>
    <w:uiPriority w:val="99"/>
    <w:unhideWhenUsed/>
    <w:rsid w:val="00A24FEA"/>
    <w:rPr>
      <w:color w:val="0563C1" w:themeColor="hyperlink"/>
      <w:u w:val="single"/>
    </w:rPr>
  </w:style>
  <w:style w:type="table" w:styleId="TableGrid">
    <w:name w:val="Table Grid"/>
    <w:basedOn w:val="TableNormal"/>
    <w:uiPriority w:val="39"/>
    <w:rsid w:val="0078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3043"/>
    <w:pPr>
      <w:widowControl w:val="0"/>
      <w:autoSpaceDE w:val="0"/>
      <w:autoSpaceDN w:val="0"/>
      <w:spacing w:after="0" w:line="240" w:lineRule="auto"/>
    </w:pPr>
    <w:rPr>
      <w:rFonts w:ascii="Times New Roman" w:eastAsia="Times New Roman" w:hAnsi="Times New Roman" w:cs="Times New Roman"/>
      <w:lang w:val="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5422">
      <w:bodyDiv w:val="1"/>
      <w:marLeft w:val="0"/>
      <w:marRight w:val="0"/>
      <w:marTop w:val="0"/>
      <w:marBottom w:val="0"/>
      <w:divBdr>
        <w:top w:val="none" w:sz="0" w:space="0" w:color="auto"/>
        <w:left w:val="none" w:sz="0" w:space="0" w:color="auto"/>
        <w:bottom w:val="none" w:sz="0" w:space="0" w:color="auto"/>
        <w:right w:val="none" w:sz="0" w:space="0" w:color="auto"/>
      </w:divBdr>
    </w:div>
    <w:div w:id="433483481">
      <w:bodyDiv w:val="1"/>
      <w:marLeft w:val="0"/>
      <w:marRight w:val="0"/>
      <w:marTop w:val="0"/>
      <w:marBottom w:val="0"/>
      <w:divBdr>
        <w:top w:val="none" w:sz="0" w:space="0" w:color="auto"/>
        <w:left w:val="none" w:sz="0" w:space="0" w:color="auto"/>
        <w:bottom w:val="none" w:sz="0" w:space="0" w:color="auto"/>
        <w:right w:val="none" w:sz="0" w:space="0" w:color="auto"/>
      </w:divBdr>
    </w:div>
    <w:div w:id="517741963">
      <w:bodyDiv w:val="1"/>
      <w:marLeft w:val="0"/>
      <w:marRight w:val="0"/>
      <w:marTop w:val="0"/>
      <w:marBottom w:val="0"/>
      <w:divBdr>
        <w:top w:val="none" w:sz="0" w:space="0" w:color="auto"/>
        <w:left w:val="none" w:sz="0" w:space="0" w:color="auto"/>
        <w:bottom w:val="none" w:sz="0" w:space="0" w:color="auto"/>
        <w:right w:val="none" w:sz="0" w:space="0" w:color="auto"/>
      </w:divBdr>
    </w:div>
    <w:div w:id="529228378">
      <w:bodyDiv w:val="1"/>
      <w:marLeft w:val="0"/>
      <w:marRight w:val="0"/>
      <w:marTop w:val="0"/>
      <w:marBottom w:val="0"/>
      <w:divBdr>
        <w:top w:val="none" w:sz="0" w:space="0" w:color="auto"/>
        <w:left w:val="none" w:sz="0" w:space="0" w:color="auto"/>
        <w:bottom w:val="none" w:sz="0" w:space="0" w:color="auto"/>
        <w:right w:val="none" w:sz="0" w:space="0" w:color="auto"/>
      </w:divBdr>
    </w:div>
    <w:div w:id="704989682">
      <w:bodyDiv w:val="1"/>
      <w:marLeft w:val="0"/>
      <w:marRight w:val="0"/>
      <w:marTop w:val="0"/>
      <w:marBottom w:val="0"/>
      <w:divBdr>
        <w:top w:val="none" w:sz="0" w:space="0" w:color="auto"/>
        <w:left w:val="none" w:sz="0" w:space="0" w:color="auto"/>
        <w:bottom w:val="none" w:sz="0" w:space="0" w:color="auto"/>
        <w:right w:val="none" w:sz="0" w:space="0" w:color="auto"/>
      </w:divBdr>
    </w:div>
    <w:div w:id="1368946532">
      <w:bodyDiv w:val="1"/>
      <w:marLeft w:val="0"/>
      <w:marRight w:val="0"/>
      <w:marTop w:val="0"/>
      <w:marBottom w:val="0"/>
      <w:divBdr>
        <w:top w:val="none" w:sz="0" w:space="0" w:color="auto"/>
        <w:left w:val="none" w:sz="0" w:space="0" w:color="auto"/>
        <w:bottom w:val="none" w:sz="0" w:space="0" w:color="auto"/>
        <w:right w:val="none" w:sz="0" w:space="0" w:color="auto"/>
      </w:divBdr>
    </w:div>
    <w:div w:id="147502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a.com/manuals/r.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ns.gov.uk/employmentandlabourmarket/peopleinwork/employmentandemployeetypes/bulletins/uklabourmarket/july2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05821/2016-17_EHS_Headline_Repor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rdiff.ac.uk/__data/assets/pdf_file/0011/1309457/6_Insecurity_Minireport_Final.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2esUnVM2s8+HJSo8F0siGuJTMA==">AMUW2mW7z6l1dkSPW+Qkp8aOyIa/RK93IWgruun2mcbjv7X5D04aVScfzAawVZEtBWH/eG1feJUyoUi4Xk1FKHcDHBxkbbdgZzQb8PO00ILzkw9lRfhA2W6PhC5mlmm3ReblOHuEMA9V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441467-4222-4951-9427-AB4702FD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6311</Words>
  <Characters>35974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Aguda, Oluwadamilola</dc:creator>
  <cp:lastModifiedBy>Ebohon, Obas</cp:lastModifiedBy>
  <cp:revision>2</cp:revision>
  <dcterms:created xsi:type="dcterms:W3CDTF">2019-11-22T16:24:00Z</dcterms:created>
  <dcterms:modified xsi:type="dcterms:W3CDTF">2019-11-22T16:24:00Z</dcterms:modified>
</cp:coreProperties>
</file>