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2FC9" w14:textId="310369DF" w:rsidR="00B31780" w:rsidRDefault="00ED6F5D">
      <w:r>
        <w:rPr>
          <w:rFonts w:ascii="Arial" w:hAnsi="Arial" w:cs="Arial"/>
          <w:color w:val="777777"/>
          <w:sz w:val="18"/>
          <w:szCs w:val="18"/>
          <w:shd w:val="clear" w:color="auto" w:fill="FFFFFF"/>
        </w:rPr>
        <w:t>A VIRTUAL CHROMOENDOSCOPY ARTIFICIAL INTELLIGENCE SYSTEM TO DETECT ENDOSCOPIC AND HISTOLOGIC REMISSION IN ULCERATIVE COLITIS</w:t>
      </w:r>
      <w:r>
        <w:rPr>
          <w:rFonts w:ascii="Arial" w:hAnsi="Arial" w:cs="Arial"/>
          <w:color w:val="777777"/>
          <w:sz w:val="18"/>
          <w:szCs w:val="18"/>
        </w:rPr>
        <w:br/>
      </w:r>
      <w:r>
        <w:rPr>
          <w:rFonts w:ascii="Arial" w:hAnsi="Arial" w:cs="Arial"/>
          <w:color w:val="777777"/>
          <w:sz w:val="18"/>
          <w:szCs w:val="18"/>
        </w:rPr>
        <w:br/>
      </w:r>
      <w:r>
        <w:rPr>
          <w:rFonts w:ascii="Arial" w:hAnsi="Arial" w:cs="Arial"/>
          <w:b/>
          <w:bCs/>
          <w:color w:val="777777"/>
          <w:sz w:val="18"/>
          <w:szCs w:val="18"/>
          <w:shd w:val="clear" w:color="auto" w:fill="FFFFFF"/>
        </w:rPr>
        <w:t>Society:</w:t>
      </w:r>
      <w:r>
        <w:rPr>
          <w:rFonts w:ascii="Arial" w:hAnsi="Arial" w:cs="Arial"/>
          <w:color w:val="777777"/>
          <w:sz w:val="18"/>
          <w:szCs w:val="18"/>
          <w:shd w:val="clear" w:color="auto" w:fill="FFFFFF"/>
        </w:rPr>
        <w:t> ASGE</w:t>
      </w:r>
      <w:r>
        <w:rPr>
          <w:rFonts w:ascii="Arial" w:hAnsi="Arial" w:cs="Arial"/>
          <w:color w:val="777777"/>
          <w:sz w:val="18"/>
          <w:szCs w:val="18"/>
        </w:rPr>
        <w:br/>
      </w:r>
      <w:r>
        <w:rPr>
          <w:rFonts w:ascii="Arial" w:hAnsi="Arial" w:cs="Arial"/>
          <w:b/>
          <w:bCs/>
          <w:color w:val="777777"/>
          <w:sz w:val="18"/>
          <w:szCs w:val="18"/>
          <w:shd w:val="clear" w:color="auto" w:fill="FFFFFF"/>
        </w:rPr>
        <w:t>Track:</w:t>
      </w:r>
      <w:r>
        <w:rPr>
          <w:rFonts w:ascii="Arial" w:hAnsi="Arial" w:cs="Arial"/>
          <w:color w:val="777777"/>
          <w:sz w:val="18"/>
          <w:szCs w:val="18"/>
          <w:shd w:val="clear" w:color="auto" w:fill="FFFFFF"/>
        </w:rPr>
        <w:t> Technologies and Procedural Innovation</w:t>
      </w:r>
      <w:r>
        <w:rPr>
          <w:rFonts w:ascii="Arial" w:hAnsi="Arial" w:cs="Arial"/>
          <w:color w:val="777777"/>
          <w:sz w:val="18"/>
          <w:szCs w:val="18"/>
        </w:rPr>
        <w:br/>
      </w:r>
      <w:r>
        <w:rPr>
          <w:rFonts w:ascii="Arial" w:hAnsi="Arial" w:cs="Arial"/>
          <w:color w:val="777777"/>
          <w:sz w:val="18"/>
          <w:szCs w:val="18"/>
        </w:rPr>
        <w:br/>
      </w:r>
      <w:r>
        <w:rPr>
          <w:rFonts w:ascii="Arial" w:hAnsi="Arial" w:cs="Arial"/>
          <w:b/>
          <w:bCs/>
          <w:color w:val="777777"/>
          <w:sz w:val="18"/>
          <w:szCs w:val="18"/>
          <w:shd w:val="clear" w:color="auto" w:fill="FFFFFF"/>
        </w:rPr>
        <w:t>Author(s):</w:t>
      </w:r>
      <w:r>
        <w:rPr>
          <w:rFonts w:ascii="Arial" w:hAnsi="Arial" w:cs="Arial"/>
          <w:color w:val="777777"/>
          <w:sz w:val="18"/>
          <w:szCs w:val="18"/>
          <w:shd w:val="clear" w:color="auto" w:fill="FFFFFF"/>
        </w:rPr>
        <w:t> Marietta Iacucci</w:t>
      </w:r>
      <w:r>
        <w:rPr>
          <w:rFonts w:ascii="Arial" w:hAnsi="Arial" w:cs="Arial"/>
          <w:color w:val="777777"/>
          <w:sz w:val="14"/>
          <w:szCs w:val="14"/>
          <w:shd w:val="clear" w:color="auto" w:fill="FFFFFF"/>
          <w:vertAlign w:val="superscript"/>
        </w:rPr>
        <w:t>27, 11</w:t>
      </w:r>
      <w:r>
        <w:rPr>
          <w:rFonts w:ascii="Arial" w:hAnsi="Arial" w:cs="Arial"/>
          <w:color w:val="777777"/>
          <w:sz w:val="18"/>
          <w:szCs w:val="18"/>
          <w:shd w:val="clear" w:color="auto" w:fill="FFFFFF"/>
        </w:rPr>
        <w:t>, Rosanna Cannatelli</w:t>
      </w:r>
      <w:r>
        <w:rPr>
          <w:rFonts w:ascii="Arial" w:hAnsi="Arial" w:cs="Arial"/>
          <w:color w:val="777777"/>
          <w:sz w:val="14"/>
          <w:szCs w:val="14"/>
          <w:shd w:val="clear" w:color="auto" w:fill="FFFFFF"/>
          <w:vertAlign w:val="superscript"/>
        </w:rPr>
        <w:t>1, 27</w:t>
      </w:r>
      <w:r>
        <w:rPr>
          <w:rFonts w:ascii="Arial" w:hAnsi="Arial" w:cs="Arial"/>
          <w:color w:val="777777"/>
          <w:sz w:val="18"/>
          <w:szCs w:val="18"/>
          <w:shd w:val="clear" w:color="auto" w:fill="FFFFFF"/>
        </w:rPr>
        <w:t>, Tommaso Lorenzo Parigi</w:t>
      </w:r>
      <w:r>
        <w:rPr>
          <w:rFonts w:ascii="Arial" w:hAnsi="Arial" w:cs="Arial"/>
          <w:color w:val="777777"/>
          <w:sz w:val="14"/>
          <w:szCs w:val="14"/>
          <w:shd w:val="clear" w:color="auto" w:fill="FFFFFF"/>
          <w:vertAlign w:val="superscript"/>
        </w:rPr>
        <w:t>27, 2</w:t>
      </w:r>
      <w:r>
        <w:rPr>
          <w:rFonts w:ascii="Arial" w:hAnsi="Arial" w:cs="Arial"/>
          <w:color w:val="777777"/>
          <w:sz w:val="18"/>
          <w:szCs w:val="18"/>
          <w:shd w:val="clear" w:color="auto" w:fill="FFFFFF"/>
        </w:rPr>
        <w:t>, Andrea Buda</w:t>
      </w:r>
      <w:r>
        <w:rPr>
          <w:rFonts w:ascii="Arial" w:hAnsi="Arial" w:cs="Arial"/>
          <w:color w:val="777777"/>
          <w:sz w:val="14"/>
          <w:szCs w:val="14"/>
          <w:shd w:val="clear" w:color="auto" w:fill="FFFFFF"/>
          <w:vertAlign w:val="superscript"/>
        </w:rPr>
        <w:t>3</w:t>
      </w:r>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Nunzia</w:t>
      </w:r>
      <w:proofErr w:type="spellEnd"/>
      <w:r>
        <w:rPr>
          <w:rFonts w:ascii="Arial" w:hAnsi="Arial" w:cs="Arial"/>
          <w:color w:val="777777"/>
          <w:sz w:val="18"/>
          <w:szCs w:val="18"/>
          <w:shd w:val="clear" w:color="auto" w:fill="FFFFFF"/>
        </w:rPr>
        <w:t xml:space="preserve"> Labarile</w:t>
      </w:r>
      <w:r>
        <w:rPr>
          <w:rFonts w:ascii="Arial" w:hAnsi="Arial" w:cs="Arial"/>
          <w:color w:val="777777"/>
          <w:sz w:val="14"/>
          <w:szCs w:val="14"/>
          <w:shd w:val="clear" w:color="auto" w:fill="FFFFFF"/>
          <w:vertAlign w:val="superscript"/>
        </w:rPr>
        <w:t>4, 27</w:t>
      </w:r>
      <w:r>
        <w:rPr>
          <w:rFonts w:ascii="Arial" w:hAnsi="Arial" w:cs="Arial"/>
          <w:color w:val="777777"/>
          <w:sz w:val="18"/>
          <w:szCs w:val="18"/>
          <w:shd w:val="clear" w:color="auto" w:fill="FFFFFF"/>
        </w:rPr>
        <w:t>, Olga Maria Nardone</w:t>
      </w:r>
      <w:r>
        <w:rPr>
          <w:rFonts w:ascii="Arial" w:hAnsi="Arial" w:cs="Arial"/>
          <w:color w:val="777777"/>
          <w:sz w:val="14"/>
          <w:szCs w:val="14"/>
          <w:shd w:val="clear" w:color="auto" w:fill="FFFFFF"/>
          <w:vertAlign w:val="superscript"/>
        </w:rPr>
        <w:t>5, 27</w:t>
      </w:r>
      <w:r>
        <w:rPr>
          <w:rFonts w:ascii="Arial" w:hAnsi="Arial" w:cs="Arial"/>
          <w:color w:val="777777"/>
          <w:sz w:val="18"/>
          <w:szCs w:val="18"/>
          <w:shd w:val="clear" w:color="auto" w:fill="FFFFFF"/>
        </w:rPr>
        <w:t>, Gian Eugenio Tontini</w:t>
      </w:r>
      <w:r>
        <w:rPr>
          <w:rFonts w:ascii="Arial" w:hAnsi="Arial" w:cs="Arial"/>
          <w:color w:val="777777"/>
          <w:sz w:val="14"/>
          <w:szCs w:val="14"/>
          <w:shd w:val="clear" w:color="auto" w:fill="FFFFFF"/>
          <w:vertAlign w:val="superscript"/>
        </w:rPr>
        <w:t>6</w:t>
      </w:r>
      <w:r>
        <w:rPr>
          <w:rFonts w:ascii="Arial" w:hAnsi="Arial" w:cs="Arial"/>
          <w:color w:val="777777"/>
          <w:sz w:val="18"/>
          <w:szCs w:val="18"/>
          <w:shd w:val="clear" w:color="auto" w:fill="FFFFFF"/>
        </w:rPr>
        <w:t>, Alessandro Rimondi</w:t>
      </w:r>
      <w:r>
        <w:rPr>
          <w:rFonts w:ascii="Arial" w:hAnsi="Arial" w:cs="Arial"/>
          <w:color w:val="777777"/>
          <w:sz w:val="14"/>
          <w:szCs w:val="14"/>
          <w:shd w:val="clear" w:color="auto" w:fill="FFFFFF"/>
          <w:vertAlign w:val="superscript"/>
        </w:rPr>
        <w:t>6</w:t>
      </w:r>
      <w:r>
        <w:rPr>
          <w:rFonts w:ascii="Arial" w:hAnsi="Arial" w:cs="Arial"/>
          <w:color w:val="777777"/>
          <w:sz w:val="18"/>
          <w:szCs w:val="18"/>
          <w:shd w:val="clear" w:color="auto" w:fill="FFFFFF"/>
        </w:rPr>
        <w:t>, Alina Bazarova</w:t>
      </w:r>
      <w:r>
        <w:rPr>
          <w:rFonts w:ascii="Arial" w:hAnsi="Arial" w:cs="Arial"/>
          <w:color w:val="777777"/>
          <w:sz w:val="14"/>
          <w:szCs w:val="14"/>
          <w:shd w:val="clear" w:color="auto" w:fill="FFFFFF"/>
          <w:vertAlign w:val="superscript"/>
        </w:rPr>
        <w:t>7, 27</w:t>
      </w:r>
      <w:r>
        <w:rPr>
          <w:rFonts w:ascii="Arial" w:hAnsi="Arial" w:cs="Arial"/>
          <w:color w:val="777777"/>
          <w:sz w:val="18"/>
          <w:szCs w:val="18"/>
          <w:shd w:val="clear" w:color="auto" w:fill="FFFFFF"/>
        </w:rPr>
        <w:t>, Pradeep Bhandari</w:t>
      </w:r>
      <w:r>
        <w:rPr>
          <w:rFonts w:ascii="Arial" w:hAnsi="Arial" w:cs="Arial"/>
          <w:color w:val="777777"/>
          <w:sz w:val="14"/>
          <w:szCs w:val="14"/>
          <w:shd w:val="clear" w:color="auto" w:fill="FFFFFF"/>
          <w:vertAlign w:val="superscript"/>
        </w:rPr>
        <w:t>8</w:t>
      </w:r>
      <w:r>
        <w:rPr>
          <w:rFonts w:ascii="Arial" w:hAnsi="Arial" w:cs="Arial"/>
          <w:color w:val="777777"/>
          <w:sz w:val="18"/>
          <w:szCs w:val="18"/>
          <w:shd w:val="clear" w:color="auto" w:fill="FFFFFF"/>
        </w:rPr>
        <w:t>, Raf Bisschops</w:t>
      </w:r>
      <w:r>
        <w:rPr>
          <w:rFonts w:ascii="Arial" w:hAnsi="Arial" w:cs="Arial"/>
          <w:color w:val="777777"/>
          <w:sz w:val="14"/>
          <w:szCs w:val="14"/>
          <w:shd w:val="clear" w:color="auto" w:fill="FFFFFF"/>
          <w:vertAlign w:val="superscript"/>
        </w:rPr>
        <w:t>9</w:t>
      </w:r>
      <w:r>
        <w:rPr>
          <w:rFonts w:ascii="Arial" w:hAnsi="Arial" w:cs="Arial"/>
          <w:color w:val="777777"/>
          <w:sz w:val="18"/>
          <w:szCs w:val="18"/>
          <w:shd w:val="clear" w:color="auto" w:fill="FFFFFF"/>
        </w:rPr>
        <w:t>, Gert De Hertogh</w:t>
      </w:r>
      <w:r>
        <w:rPr>
          <w:rFonts w:ascii="Arial" w:hAnsi="Arial" w:cs="Arial"/>
          <w:color w:val="777777"/>
          <w:sz w:val="14"/>
          <w:szCs w:val="14"/>
          <w:shd w:val="clear" w:color="auto" w:fill="FFFFFF"/>
          <w:vertAlign w:val="superscript"/>
        </w:rPr>
        <w:t>9</w:t>
      </w:r>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Rocío</w:t>
      </w:r>
      <w:proofErr w:type="spellEnd"/>
      <w:r>
        <w:rPr>
          <w:rFonts w:ascii="Arial" w:hAnsi="Arial" w:cs="Arial"/>
          <w:color w:val="777777"/>
          <w:sz w:val="18"/>
          <w:szCs w:val="18"/>
          <w:shd w:val="clear" w:color="auto" w:fill="FFFFFF"/>
        </w:rPr>
        <w:t xml:space="preserve"> Del Amor</w:t>
      </w:r>
      <w:r>
        <w:rPr>
          <w:rFonts w:ascii="Arial" w:hAnsi="Arial" w:cs="Arial"/>
          <w:color w:val="777777"/>
          <w:sz w:val="14"/>
          <w:szCs w:val="14"/>
          <w:shd w:val="clear" w:color="auto" w:fill="FFFFFF"/>
          <w:vertAlign w:val="superscript"/>
        </w:rPr>
        <w:t>10</w:t>
      </w:r>
      <w:r>
        <w:rPr>
          <w:rFonts w:ascii="Arial" w:hAnsi="Arial" w:cs="Arial"/>
          <w:color w:val="777777"/>
          <w:sz w:val="18"/>
          <w:szCs w:val="18"/>
          <w:shd w:val="clear" w:color="auto" w:fill="FFFFFF"/>
        </w:rPr>
        <w:t>, Jose G. Ferraz</w:t>
      </w:r>
      <w:r>
        <w:rPr>
          <w:rFonts w:ascii="Arial" w:hAnsi="Arial" w:cs="Arial"/>
          <w:color w:val="777777"/>
          <w:sz w:val="14"/>
          <w:szCs w:val="14"/>
          <w:shd w:val="clear" w:color="auto" w:fill="FFFFFF"/>
          <w:vertAlign w:val="superscript"/>
        </w:rPr>
        <w:t>11</w:t>
      </w:r>
      <w:r>
        <w:rPr>
          <w:rFonts w:ascii="Arial" w:hAnsi="Arial" w:cs="Arial"/>
          <w:color w:val="777777"/>
          <w:sz w:val="18"/>
          <w:szCs w:val="18"/>
          <w:shd w:val="clear" w:color="auto" w:fill="FFFFFF"/>
        </w:rPr>
        <w:t>, Martin Goetz</w:t>
      </w:r>
      <w:r>
        <w:rPr>
          <w:rFonts w:ascii="Arial" w:hAnsi="Arial" w:cs="Arial"/>
          <w:color w:val="777777"/>
          <w:sz w:val="14"/>
          <w:szCs w:val="14"/>
          <w:shd w:val="clear" w:color="auto" w:fill="FFFFFF"/>
          <w:vertAlign w:val="superscript"/>
        </w:rPr>
        <w:t>12</w:t>
      </w:r>
      <w:r>
        <w:rPr>
          <w:rFonts w:ascii="Arial" w:hAnsi="Arial" w:cs="Arial"/>
          <w:color w:val="777777"/>
          <w:sz w:val="18"/>
          <w:szCs w:val="18"/>
          <w:shd w:val="clear" w:color="auto" w:fill="FFFFFF"/>
        </w:rPr>
        <w:t>, Sean X. Gui</w:t>
      </w:r>
      <w:r>
        <w:rPr>
          <w:rFonts w:ascii="Arial" w:hAnsi="Arial" w:cs="Arial"/>
          <w:color w:val="777777"/>
          <w:sz w:val="14"/>
          <w:szCs w:val="14"/>
          <w:shd w:val="clear" w:color="auto" w:fill="FFFFFF"/>
          <w:vertAlign w:val="superscript"/>
        </w:rPr>
        <w:t>13</w:t>
      </w:r>
      <w:r>
        <w:rPr>
          <w:rFonts w:ascii="Arial" w:hAnsi="Arial" w:cs="Arial"/>
          <w:color w:val="777777"/>
          <w:sz w:val="18"/>
          <w:szCs w:val="18"/>
          <w:shd w:val="clear" w:color="auto" w:fill="FFFFFF"/>
        </w:rPr>
        <w:t>, Bu Hayee</w:t>
      </w:r>
      <w:r>
        <w:rPr>
          <w:rFonts w:ascii="Arial" w:hAnsi="Arial" w:cs="Arial"/>
          <w:color w:val="777777"/>
          <w:sz w:val="14"/>
          <w:szCs w:val="14"/>
          <w:shd w:val="clear" w:color="auto" w:fill="FFFFFF"/>
          <w:vertAlign w:val="superscript"/>
        </w:rPr>
        <w:t>14</w:t>
      </w:r>
      <w:r>
        <w:rPr>
          <w:rFonts w:ascii="Arial" w:hAnsi="Arial" w:cs="Arial"/>
          <w:color w:val="777777"/>
          <w:sz w:val="18"/>
          <w:szCs w:val="18"/>
          <w:shd w:val="clear" w:color="auto" w:fill="FFFFFF"/>
        </w:rPr>
        <w:t>, Ralf Kiesslich</w:t>
      </w:r>
      <w:r>
        <w:rPr>
          <w:rFonts w:ascii="Arial" w:hAnsi="Arial" w:cs="Arial"/>
          <w:color w:val="777777"/>
          <w:sz w:val="14"/>
          <w:szCs w:val="14"/>
          <w:shd w:val="clear" w:color="auto" w:fill="FFFFFF"/>
          <w:vertAlign w:val="superscript"/>
        </w:rPr>
        <w:t>15</w:t>
      </w:r>
      <w:r>
        <w:rPr>
          <w:rFonts w:ascii="Arial" w:hAnsi="Arial" w:cs="Arial"/>
          <w:color w:val="777777"/>
          <w:sz w:val="18"/>
          <w:szCs w:val="18"/>
          <w:shd w:val="clear" w:color="auto" w:fill="FFFFFF"/>
        </w:rPr>
        <w:t>, Mark Lazarev</w:t>
      </w:r>
      <w:r>
        <w:rPr>
          <w:rFonts w:ascii="Arial" w:hAnsi="Arial" w:cs="Arial"/>
          <w:color w:val="777777"/>
          <w:sz w:val="14"/>
          <w:szCs w:val="14"/>
          <w:shd w:val="clear" w:color="auto" w:fill="FFFFFF"/>
          <w:vertAlign w:val="superscript"/>
        </w:rPr>
        <w:t>16</w:t>
      </w:r>
      <w:r>
        <w:rPr>
          <w:rFonts w:ascii="Arial" w:hAnsi="Arial" w:cs="Arial"/>
          <w:color w:val="777777"/>
          <w:sz w:val="18"/>
          <w:szCs w:val="18"/>
          <w:shd w:val="clear" w:color="auto" w:fill="FFFFFF"/>
        </w:rPr>
        <w:t>, Valery Naranjo</w:t>
      </w:r>
      <w:r>
        <w:rPr>
          <w:rFonts w:ascii="Arial" w:hAnsi="Arial" w:cs="Arial"/>
          <w:color w:val="777777"/>
          <w:sz w:val="14"/>
          <w:szCs w:val="14"/>
          <w:shd w:val="clear" w:color="auto" w:fill="FFFFFF"/>
          <w:vertAlign w:val="superscript"/>
        </w:rPr>
        <w:t>10</w:t>
      </w:r>
      <w:r>
        <w:rPr>
          <w:rFonts w:ascii="Arial" w:hAnsi="Arial" w:cs="Arial"/>
          <w:color w:val="777777"/>
          <w:sz w:val="18"/>
          <w:szCs w:val="18"/>
          <w:shd w:val="clear" w:color="auto" w:fill="FFFFFF"/>
        </w:rPr>
        <w:t>, Remo Panaccione</w:t>
      </w:r>
      <w:r>
        <w:rPr>
          <w:rFonts w:ascii="Arial" w:hAnsi="Arial" w:cs="Arial"/>
          <w:color w:val="777777"/>
          <w:sz w:val="14"/>
          <w:szCs w:val="14"/>
          <w:shd w:val="clear" w:color="auto" w:fill="FFFFFF"/>
          <w:vertAlign w:val="superscript"/>
        </w:rPr>
        <w:t>11</w:t>
      </w:r>
      <w:r>
        <w:rPr>
          <w:rFonts w:ascii="Arial" w:hAnsi="Arial" w:cs="Arial"/>
          <w:color w:val="777777"/>
          <w:sz w:val="18"/>
          <w:szCs w:val="18"/>
          <w:shd w:val="clear" w:color="auto" w:fill="FFFFFF"/>
        </w:rPr>
        <w:t>, Adolfo Parra-Blanco</w:t>
      </w:r>
      <w:r>
        <w:rPr>
          <w:rFonts w:ascii="Arial" w:hAnsi="Arial" w:cs="Arial"/>
          <w:color w:val="777777"/>
          <w:sz w:val="14"/>
          <w:szCs w:val="14"/>
          <w:shd w:val="clear" w:color="auto" w:fill="FFFFFF"/>
          <w:vertAlign w:val="superscript"/>
        </w:rPr>
        <w:t>17</w:t>
      </w:r>
      <w:r>
        <w:rPr>
          <w:rFonts w:ascii="Arial" w:hAnsi="Arial" w:cs="Arial"/>
          <w:color w:val="777777"/>
          <w:sz w:val="18"/>
          <w:szCs w:val="18"/>
          <w:shd w:val="clear" w:color="auto" w:fill="FFFFFF"/>
        </w:rPr>
        <w:t>, Luca Pastorelli</w:t>
      </w:r>
      <w:r>
        <w:rPr>
          <w:rFonts w:ascii="Arial" w:hAnsi="Arial" w:cs="Arial"/>
          <w:color w:val="777777"/>
          <w:sz w:val="14"/>
          <w:szCs w:val="14"/>
          <w:shd w:val="clear" w:color="auto" w:fill="FFFFFF"/>
          <w:vertAlign w:val="superscript"/>
        </w:rPr>
        <w:t>18, 6</w:t>
      </w:r>
      <w:r>
        <w:rPr>
          <w:rFonts w:ascii="Arial" w:hAnsi="Arial" w:cs="Arial"/>
          <w:color w:val="777777"/>
          <w:sz w:val="18"/>
          <w:szCs w:val="18"/>
          <w:shd w:val="clear" w:color="auto" w:fill="FFFFFF"/>
        </w:rPr>
        <w:t>, Timo Rath</w:t>
      </w:r>
      <w:r>
        <w:rPr>
          <w:rFonts w:ascii="Arial" w:hAnsi="Arial" w:cs="Arial"/>
          <w:color w:val="777777"/>
          <w:sz w:val="14"/>
          <w:szCs w:val="14"/>
          <w:shd w:val="clear" w:color="auto" w:fill="FFFFFF"/>
          <w:vertAlign w:val="superscript"/>
        </w:rPr>
        <w:t>19</w:t>
      </w:r>
      <w:r>
        <w:rPr>
          <w:rFonts w:ascii="Arial" w:hAnsi="Arial" w:cs="Arial"/>
          <w:color w:val="777777"/>
          <w:sz w:val="18"/>
          <w:szCs w:val="18"/>
          <w:shd w:val="clear" w:color="auto" w:fill="FFFFFF"/>
        </w:rPr>
        <w:t xml:space="preserve">, Elin </w:t>
      </w:r>
      <w:proofErr w:type="spellStart"/>
      <w:r>
        <w:rPr>
          <w:rFonts w:ascii="Arial" w:hAnsi="Arial" w:cs="Arial"/>
          <w:color w:val="777777"/>
          <w:sz w:val="18"/>
          <w:szCs w:val="18"/>
          <w:shd w:val="clear" w:color="auto" w:fill="FFFFFF"/>
        </w:rPr>
        <w:t>Synnøve</w:t>
      </w:r>
      <w:proofErr w:type="spellEnd"/>
      <w:r>
        <w:rPr>
          <w:rFonts w:ascii="Arial" w:hAnsi="Arial" w:cs="Arial"/>
          <w:color w:val="777777"/>
          <w:sz w:val="18"/>
          <w:szCs w:val="18"/>
          <w:shd w:val="clear" w:color="auto" w:fill="FFFFFF"/>
        </w:rPr>
        <w:t xml:space="preserve"> Røyset</w:t>
      </w:r>
      <w:r>
        <w:rPr>
          <w:rFonts w:ascii="Arial" w:hAnsi="Arial" w:cs="Arial"/>
          <w:color w:val="777777"/>
          <w:sz w:val="14"/>
          <w:szCs w:val="14"/>
          <w:shd w:val="clear" w:color="auto" w:fill="FFFFFF"/>
          <w:vertAlign w:val="superscript"/>
        </w:rPr>
        <w:t>20</w:t>
      </w:r>
      <w:r>
        <w:rPr>
          <w:rFonts w:ascii="Arial" w:hAnsi="Arial" w:cs="Arial"/>
          <w:color w:val="777777"/>
          <w:sz w:val="18"/>
          <w:szCs w:val="18"/>
          <w:shd w:val="clear" w:color="auto" w:fill="FFFFFF"/>
        </w:rPr>
        <w:t>, Michael Vieth</w:t>
      </w:r>
      <w:r>
        <w:rPr>
          <w:rFonts w:ascii="Arial" w:hAnsi="Arial" w:cs="Arial"/>
          <w:color w:val="777777"/>
          <w:sz w:val="14"/>
          <w:szCs w:val="14"/>
          <w:shd w:val="clear" w:color="auto" w:fill="FFFFFF"/>
          <w:vertAlign w:val="superscript"/>
        </w:rPr>
        <w:t>21</w:t>
      </w:r>
      <w:r>
        <w:rPr>
          <w:rFonts w:ascii="Arial" w:hAnsi="Arial" w:cs="Arial"/>
          <w:color w:val="777777"/>
          <w:sz w:val="18"/>
          <w:szCs w:val="18"/>
          <w:shd w:val="clear" w:color="auto" w:fill="FFFFFF"/>
        </w:rPr>
        <w:t>, Vincenzo Villanacci</w:t>
      </w:r>
      <w:r>
        <w:rPr>
          <w:rFonts w:ascii="Arial" w:hAnsi="Arial" w:cs="Arial"/>
          <w:color w:val="777777"/>
          <w:sz w:val="14"/>
          <w:szCs w:val="14"/>
          <w:shd w:val="clear" w:color="auto" w:fill="FFFFFF"/>
          <w:vertAlign w:val="superscript"/>
        </w:rPr>
        <w:t>22</w:t>
      </w:r>
      <w:r>
        <w:rPr>
          <w:rFonts w:ascii="Arial" w:hAnsi="Arial" w:cs="Arial"/>
          <w:color w:val="777777"/>
          <w:sz w:val="18"/>
          <w:szCs w:val="18"/>
          <w:shd w:val="clear" w:color="auto" w:fill="FFFFFF"/>
        </w:rPr>
        <w:t>, Davide Zardo</w:t>
      </w:r>
      <w:r>
        <w:rPr>
          <w:rFonts w:ascii="Arial" w:hAnsi="Arial" w:cs="Arial"/>
          <w:color w:val="777777"/>
          <w:sz w:val="14"/>
          <w:szCs w:val="14"/>
          <w:shd w:val="clear" w:color="auto" w:fill="FFFFFF"/>
          <w:vertAlign w:val="superscript"/>
        </w:rPr>
        <w:t>23</w:t>
      </w:r>
      <w:r>
        <w:rPr>
          <w:rFonts w:ascii="Arial" w:hAnsi="Arial" w:cs="Arial"/>
          <w:color w:val="777777"/>
          <w:sz w:val="18"/>
          <w:szCs w:val="18"/>
          <w:shd w:val="clear" w:color="auto" w:fill="FFFFFF"/>
        </w:rPr>
        <w:t>, Subrata Ghosh</w:t>
      </w:r>
      <w:r>
        <w:rPr>
          <w:rFonts w:ascii="Arial" w:hAnsi="Arial" w:cs="Arial"/>
          <w:color w:val="777777"/>
          <w:sz w:val="14"/>
          <w:szCs w:val="14"/>
          <w:shd w:val="clear" w:color="auto" w:fill="FFFFFF"/>
          <w:vertAlign w:val="superscript"/>
        </w:rPr>
        <w:t>24, 27</w:t>
      </w:r>
      <w:r>
        <w:rPr>
          <w:rFonts w:ascii="Arial" w:hAnsi="Arial" w:cs="Arial"/>
          <w:color w:val="777777"/>
          <w:sz w:val="18"/>
          <w:szCs w:val="18"/>
          <w:shd w:val="clear" w:color="auto" w:fill="FFFFFF"/>
        </w:rPr>
        <w:t>, Enrico Grisan</w:t>
      </w:r>
      <w:r>
        <w:rPr>
          <w:rFonts w:ascii="Arial" w:hAnsi="Arial" w:cs="Arial"/>
          <w:color w:val="777777"/>
          <w:sz w:val="14"/>
          <w:szCs w:val="14"/>
          <w:shd w:val="clear" w:color="auto" w:fill="FFFFFF"/>
          <w:vertAlign w:val="superscript"/>
        </w:rPr>
        <w:t>25, 26</w:t>
      </w:r>
      <w:r>
        <w:rPr>
          <w:rFonts w:ascii="Arial" w:hAnsi="Arial" w:cs="Arial"/>
          <w:color w:val="777777"/>
          <w:sz w:val="18"/>
          <w:szCs w:val="18"/>
        </w:rPr>
        <w:br/>
      </w:r>
      <w:r>
        <w:rPr>
          <w:rFonts w:ascii="Arial" w:hAnsi="Arial" w:cs="Arial"/>
          <w:color w:val="777777"/>
          <w:sz w:val="18"/>
          <w:szCs w:val="18"/>
        </w:rPr>
        <w:br/>
      </w:r>
      <w:r>
        <w:rPr>
          <w:rFonts w:ascii="Arial" w:hAnsi="Arial" w:cs="Arial"/>
          <w:b/>
          <w:bCs/>
          <w:color w:val="777777"/>
          <w:sz w:val="18"/>
          <w:szCs w:val="18"/>
          <w:shd w:val="clear" w:color="auto" w:fill="FFFFFF"/>
        </w:rPr>
        <w:t>Institution(s):</w:t>
      </w:r>
      <w:r>
        <w:rPr>
          <w:rFonts w:ascii="Arial" w:hAnsi="Arial" w:cs="Arial"/>
          <w:color w:val="777777"/>
          <w:sz w:val="18"/>
          <w:szCs w:val="18"/>
          <w:shd w:val="clear" w:color="auto" w:fill="FFFFFF"/>
        </w:rPr>
        <w:t xml:space="preserve"> 1. </w:t>
      </w:r>
      <w:r w:rsidRPr="00ED6F5D">
        <w:rPr>
          <w:rFonts w:ascii="Arial" w:hAnsi="Arial" w:cs="Arial"/>
          <w:color w:val="777777"/>
          <w:sz w:val="18"/>
          <w:szCs w:val="18"/>
          <w:shd w:val="clear" w:color="auto" w:fill="FFFFFF"/>
          <w:lang w:val="it-IT"/>
        </w:rPr>
        <w:t xml:space="preserve">Aziende Socio Sanitarie Territoriale Fatebenefratelli Sacco, Milano, Lombardia, Italy. 2. Humanitas University, Milan, Italy. 3. Ospedale di Feltre, Feltre, Veneto, Italy. 4. Ospedale Specializzato in Gastroenterologia Saverio de Bellis, Castellana Grotte, Puglia, Italy. 5. Universita degli Studi di Napoli Federico II, Napoli, Campania, Italy. 6. Universita degli Studi di Milano, Milano, Lombardia, Italy. 7. Universitat zu Koln, Koln, Nordrhein-Westfalen, Germany. </w:t>
      </w:r>
      <w:r>
        <w:rPr>
          <w:rFonts w:ascii="Arial" w:hAnsi="Arial" w:cs="Arial"/>
          <w:color w:val="777777"/>
          <w:sz w:val="18"/>
          <w:szCs w:val="18"/>
          <w:shd w:val="clear" w:color="auto" w:fill="FFFFFF"/>
        </w:rPr>
        <w:t xml:space="preserve">8. Queen Alexandra Hospital, Portsmouth, Portsmouth, United Kingdom. 9. </w:t>
      </w:r>
      <w:proofErr w:type="spellStart"/>
      <w:r>
        <w:rPr>
          <w:rFonts w:ascii="Arial" w:hAnsi="Arial" w:cs="Arial"/>
          <w:color w:val="777777"/>
          <w:sz w:val="18"/>
          <w:szCs w:val="18"/>
          <w:shd w:val="clear" w:color="auto" w:fill="FFFFFF"/>
        </w:rPr>
        <w:t>Katholieke</w:t>
      </w:r>
      <w:proofErr w:type="spellEnd"/>
      <w:r>
        <w:rPr>
          <w:rFonts w:ascii="Arial" w:hAnsi="Arial" w:cs="Arial"/>
          <w:color w:val="777777"/>
          <w:sz w:val="18"/>
          <w:szCs w:val="18"/>
          <w:shd w:val="clear" w:color="auto" w:fill="FFFFFF"/>
        </w:rPr>
        <w:t xml:space="preserve"> Universiteit Leuven </w:t>
      </w:r>
      <w:proofErr w:type="spellStart"/>
      <w:r>
        <w:rPr>
          <w:rFonts w:ascii="Arial" w:hAnsi="Arial" w:cs="Arial"/>
          <w:color w:val="777777"/>
          <w:sz w:val="18"/>
          <w:szCs w:val="18"/>
          <w:shd w:val="clear" w:color="auto" w:fill="FFFFFF"/>
        </w:rPr>
        <w:t>Universitaire</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Ziekenhuizen</w:t>
      </w:r>
      <w:proofErr w:type="spellEnd"/>
      <w:r>
        <w:rPr>
          <w:rFonts w:ascii="Arial" w:hAnsi="Arial" w:cs="Arial"/>
          <w:color w:val="777777"/>
          <w:sz w:val="18"/>
          <w:szCs w:val="18"/>
          <w:shd w:val="clear" w:color="auto" w:fill="FFFFFF"/>
        </w:rPr>
        <w:t xml:space="preserve"> Leuven, Leuven, Flanders, Belgium. 10. </w:t>
      </w:r>
      <w:proofErr w:type="spellStart"/>
      <w:r>
        <w:rPr>
          <w:rFonts w:ascii="Arial" w:hAnsi="Arial" w:cs="Arial"/>
          <w:color w:val="777777"/>
          <w:sz w:val="18"/>
          <w:szCs w:val="18"/>
          <w:shd w:val="clear" w:color="auto" w:fill="FFFFFF"/>
        </w:rPr>
        <w:t>Universitat</w:t>
      </w:r>
      <w:proofErr w:type="spellEnd"/>
      <w:r>
        <w:rPr>
          <w:rFonts w:ascii="Arial" w:hAnsi="Arial" w:cs="Arial"/>
          <w:color w:val="777777"/>
          <w:sz w:val="18"/>
          <w:szCs w:val="18"/>
          <w:shd w:val="clear" w:color="auto" w:fill="FFFFFF"/>
        </w:rPr>
        <w:t xml:space="preserve"> de Valencia, Valencia, </w:t>
      </w:r>
      <w:proofErr w:type="spellStart"/>
      <w:r>
        <w:rPr>
          <w:rFonts w:ascii="Arial" w:hAnsi="Arial" w:cs="Arial"/>
          <w:color w:val="777777"/>
          <w:sz w:val="18"/>
          <w:szCs w:val="18"/>
          <w:shd w:val="clear" w:color="auto" w:fill="FFFFFF"/>
        </w:rPr>
        <w:t>Comunitat</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Valenciana</w:t>
      </w:r>
      <w:proofErr w:type="spellEnd"/>
      <w:r>
        <w:rPr>
          <w:rFonts w:ascii="Arial" w:hAnsi="Arial" w:cs="Arial"/>
          <w:color w:val="777777"/>
          <w:sz w:val="18"/>
          <w:szCs w:val="18"/>
          <w:shd w:val="clear" w:color="auto" w:fill="FFFFFF"/>
        </w:rPr>
        <w:t xml:space="preserve">, Spain. 11. University of Calgary Cumming School of Medicine, Calgary, AB, Canada. </w:t>
      </w:r>
      <w:r w:rsidRPr="00ED6F5D">
        <w:rPr>
          <w:rFonts w:ascii="Arial" w:hAnsi="Arial" w:cs="Arial"/>
          <w:color w:val="777777"/>
          <w:sz w:val="18"/>
          <w:szCs w:val="18"/>
          <w:shd w:val="clear" w:color="auto" w:fill="FFFFFF"/>
          <w:lang w:val="de-DE"/>
        </w:rPr>
        <w:t xml:space="preserve">12. Klinikum Sindelfingen-Boblingen Kliniken Boblingen, Boblingen, Baden-Württemberg, Germany. 13. University of Washington, Seattle, WA, United States. 14. King's College Hospital, London, London, United Kingdom. 15. HELIOS Dr Horst Schmidt Kliniken Wiesbaden, Wiesbaden, Hessen, Germany. </w:t>
      </w:r>
      <w:r>
        <w:rPr>
          <w:rFonts w:ascii="Arial" w:hAnsi="Arial" w:cs="Arial"/>
          <w:color w:val="777777"/>
          <w:sz w:val="18"/>
          <w:szCs w:val="18"/>
          <w:shd w:val="clear" w:color="auto" w:fill="FFFFFF"/>
        </w:rPr>
        <w:t xml:space="preserve">16. The Johns Hopkins Hospital, Baltimore, MD, United States. 17. Nottingham University Hospitals NHS Trust, Nottingham, Nottingham, United Kingdom. 18. IRCCS </w:t>
      </w:r>
      <w:proofErr w:type="spellStart"/>
      <w:r>
        <w:rPr>
          <w:rFonts w:ascii="Arial" w:hAnsi="Arial" w:cs="Arial"/>
          <w:color w:val="777777"/>
          <w:sz w:val="18"/>
          <w:szCs w:val="18"/>
          <w:shd w:val="clear" w:color="auto" w:fill="FFFFFF"/>
        </w:rPr>
        <w:t>Policlinico</w:t>
      </w:r>
      <w:proofErr w:type="spellEnd"/>
      <w:r>
        <w:rPr>
          <w:rFonts w:ascii="Arial" w:hAnsi="Arial" w:cs="Arial"/>
          <w:color w:val="777777"/>
          <w:sz w:val="18"/>
          <w:szCs w:val="18"/>
          <w:shd w:val="clear" w:color="auto" w:fill="FFFFFF"/>
        </w:rPr>
        <w:t xml:space="preserve"> San </w:t>
      </w:r>
      <w:proofErr w:type="spellStart"/>
      <w:r>
        <w:rPr>
          <w:rFonts w:ascii="Arial" w:hAnsi="Arial" w:cs="Arial"/>
          <w:color w:val="777777"/>
          <w:sz w:val="18"/>
          <w:szCs w:val="18"/>
          <w:shd w:val="clear" w:color="auto" w:fill="FFFFFF"/>
        </w:rPr>
        <w:t>Danato</w:t>
      </w:r>
      <w:proofErr w:type="spellEnd"/>
      <w:r>
        <w:rPr>
          <w:rFonts w:ascii="Arial" w:hAnsi="Arial" w:cs="Arial"/>
          <w:color w:val="777777"/>
          <w:sz w:val="18"/>
          <w:szCs w:val="18"/>
          <w:shd w:val="clear" w:color="auto" w:fill="FFFFFF"/>
        </w:rPr>
        <w:t xml:space="preserve">, San Donato Milanese, </w:t>
      </w:r>
      <w:proofErr w:type="spellStart"/>
      <w:r>
        <w:rPr>
          <w:rFonts w:ascii="Arial" w:hAnsi="Arial" w:cs="Arial"/>
          <w:color w:val="777777"/>
          <w:sz w:val="18"/>
          <w:szCs w:val="18"/>
          <w:shd w:val="clear" w:color="auto" w:fill="FFFFFF"/>
        </w:rPr>
        <w:t>Lombardia</w:t>
      </w:r>
      <w:proofErr w:type="spellEnd"/>
      <w:r>
        <w:rPr>
          <w:rFonts w:ascii="Arial" w:hAnsi="Arial" w:cs="Arial"/>
          <w:color w:val="777777"/>
          <w:sz w:val="18"/>
          <w:szCs w:val="18"/>
          <w:shd w:val="clear" w:color="auto" w:fill="FFFFFF"/>
        </w:rPr>
        <w:t>, Italy. 19. Friedrich-Alexander-</w:t>
      </w:r>
      <w:proofErr w:type="spellStart"/>
      <w:r>
        <w:rPr>
          <w:rFonts w:ascii="Arial" w:hAnsi="Arial" w:cs="Arial"/>
          <w:color w:val="777777"/>
          <w:sz w:val="18"/>
          <w:szCs w:val="18"/>
          <w:shd w:val="clear" w:color="auto" w:fill="FFFFFF"/>
        </w:rPr>
        <w:t>Universitat</w:t>
      </w:r>
      <w:proofErr w:type="spellEnd"/>
      <w:r>
        <w:rPr>
          <w:rFonts w:ascii="Arial" w:hAnsi="Arial" w:cs="Arial"/>
          <w:color w:val="777777"/>
          <w:sz w:val="18"/>
          <w:szCs w:val="18"/>
          <w:shd w:val="clear" w:color="auto" w:fill="FFFFFF"/>
        </w:rPr>
        <w:t xml:space="preserve"> Erlangen-Nurnberg, Erlangen, Bayern, Germany. 20. </w:t>
      </w:r>
      <w:proofErr w:type="spellStart"/>
      <w:r>
        <w:rPr>
          <w:rFonts w:ascii="Arial" w:hAnsi="Arial" w:cs="Arial"/>
          <w:color w:val="777777"/>
          <w:sz w:val="18"/>
          <w:szCs w:val="18"/>
          <w:shd w:val="clear" w:color="auto" w:fill="FFFFFF"/>
        </w:rPr>
        <w:t>Norges</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teknisk-naturvitenskapelige</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universitet</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Fakultet</w:t>
      </w:r>
      <w:proofErr w:type="spellEnd"/>
      <w:r>
        <w:rPr>
          <w:rFonts w:ascii="Arial" w:hAnsi="Arial" w:cs="Arial"/>
          <w:color w:val="777777"/>
          <w:sz w:val="18"/>
          <w:szCs w:val="18"/>
          <w:shd w:val="clear" w:color="auto" w:fill="FFFFFF"/>
        </w:rPr>
        <w:t xml:space="preserve"> for </w:t>
      </w:r>
      <w:proofErr w:type="spellStart"/>
      <w:r>
        <w:rPr>
          <w:rFonts w:ascii="Arial" w:hAnsi="Arial" w:cs="Arial"/>
          <w:color w:val="777777"/>
          <w:sz w:val="18"/>
          <w:szCs w:val="18"/>
          <w:shd w:val="clear" w:color="auto" w:fill="FFFFFF"/>
        </w:rPr>
        <w:t>medisin</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og</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helsevitenskap</w:t>
      </w:r>
      <w:proofErr w:type="spellEnd"/>
      <w:r>
        <w:rPr>
          <w:rFonts w:ascii="Arial" w:hAnsi="Arial" w:cs="Arial"/>
          <w:color w:val="777777"/>
          <w:sz w:val="18"/>
          <w:szCs w:val="18"/>
          <w:shd w:val="clear" w:color="auto" w:fill="FFFFFF"/>
        </w:rPr>
        <w:t xml:space="preserve">, Trondheim, </w:t>
      </w:r>
      <w:proofErr w:type="spellStart"/>
      <w:r>
        <w:rPr>
          <w:rFonts w:ascii="Arial" w:hAnsi="Arial" w:cs="Arial"/>
          <w:color w:val="777777"/>
          <w:sz w:val="18"/>
          <w:szCs w:val="18"/>
          <w:shd w:val="clear" w:color="auto" w:fill="FFFFFF"/>
        </w:rPr>
        <w:t>Trøndelag</w:t>
      </w:r>
      <w:proofErr w:type="spellEnd"/>
      <w:r>
        <w:rPr>
          <w:rFonts w:ascii="Arial" w:hAnsi="Arial" w:cs="Arial"/>
          <w:color w:val="777777"/>
          <w:sz w:val="18"/>
          <w:szCs w:val="18"/>
          <w:shd w:val="clear" w:color="auto" w:fill="FFFFFF"/>
        </w:rPr>
        <w:t xml:space="preserve">, Norway. </w:t>
      </w:r>
      <w:r w:rsidRPr="00ED6F5D">
        <w:rPr>
          <w:rFonts w:ascii="Arial" w:hAnsi="Arial" w:cs="Arial"/>
          <w:color w:val="777777"/>
          <w:sz w:val="18"/>
          <w:szCs w:val="18"/>
          <w:shd w:val="clear" w:color="auto" w:fill="FFFFFF"/>
          <w:lang w:val="it-IT"/>
        </w:rPr>
        <w:t xml:space="preserve">21. Klinikum Bayreuth GmbH, Bayreuth, Bayern, Germany. 22. Azienda Socio Sanitaria Territoriale degli Spedali Civili di Brescia, Brescia, Lombardia, Italy. 23. Ospedale San Bortolo di Vicenza, Vicenza, Veneto, Italy. 24. University College Cork, Cork, Cork, Ireland. 25. London South Bank University, London, London, United Kingdom. 26. Universita degli Studi di Padova, Padova, Veneto, Italy. </w:t>
      </w:r>
      <w:r>
        <w:rPr>
          <w:rFonts w:ascii="Arial" w:hAnsi="Arial" w:cs="Arial"/>
          <w:color w:val="777777"/>
          <w:sz w:val="18"/>
          <w:szCs w:val="18"/>
          <w:shd w:val="clear" w:color="auto" w:fill="FFFFFF"/>
        </w:rPr>
        <w:t>27. University of Birmingham, Birmingham, Birmingham, United Kingdom.</w:t>
      </w:r>
      <w:r>
        <w:rPr>
          <w:rFonts w:ascii="Arial" w:hAnsi="Arial" w:cs="Arial"/>
          <w:color w:val="777777"/>
          <w:sz w:val="18"/>
          <w:szCs w:val="18"/>
        </w:rPr>
        <w:br/>
      </w:r>
      <w:r>
        <w:rPr>
          <w:rFonts w:ascii="Arial" w:hAnsi="Arial" w:cs="Arial"/>
          <w:color w:val="777777"/>
          <w:sz w:val="18"/>
          <w:szCs w:val="18"/>
        </w:rPr>
        <w:br/>
      </w:r>
      <w:r>
        <w:rPr>
          <w:rFonts w:ascii="Arial" w:hAnsi="Arial" w:cs="Arial"/>
          <w:b/>
          <w:bCs/>
          <w:color w:val="777777"/>
          <w:sz w:val="18"/>
          <w:szCs w:val="18"/>
          <w:shd w:val="clear" w:color="auto" w:fill="FFFFFF"/>
        </w:rPr>
        <w:t>Background</w:t>
      </w:r>
      <w:r>
        <w:rPr>
          <w:rFonts w:ascii="Arial" w:hAnsi="Arial" w:cs="Arial"/>
          <w:color w:val="777777"/>
          <w:sz w:val="18"/>
          <w:szCs w:val="18"/>
        </w:rPr>
        <w:br/>
      </w:r>
      <w:r>
        <w:rPr>
          <w:rFonts w:ascii="Arial" w:hAnsi="Arial" w:cs="Arial"/>
          <w:color w:val="777777"/>
          <w:sz w:val="18"/>
          <w:szCs w:val="18"/>
          <w:shd w:val="clear" w:color="auto" w:fill="FFFFFF"/>
        </w:rPr>
        <w:t xml:space="preserve">Endoscopic and histologic activity are important therapeutic targets in ulcerative colitis (UC). The Paddington International Virtual </w:t>
      </w:r>
      <w:proofErr w:type="spellStart"/>
      <w:r>
        <w:rPr>
          <w:rFonts w:ascii="Arial" w:hAnsi="Arial" w:cs="Arial"/>
          <w:color w:val="777777"/>
          <w:sz w:val="18"/>
          <w:szCs w:val="18"/>
          <w:shd w:val="clear" w:color="auto" w:fill="FFFFFF"/>
        </w:rPr>
        <w:t>ChromoendoScopy</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ScOre</w:t>
      </w:r>
      <w:proofErr w:type="spellEnd"/>
      <w:r>
        <w:rPr>
          <w:rFonts w:ascii="Arial" w:hAnsi="Arial" w:cs="Arial"/>
          <w:color w:val="777777"/>
          <w:sz w:val="18"/>
          <w:szCs w:val="18"/>
          <w:shd w:val="clear" w:color="auto" w:fill="FFFFFF"/>
        </w:rPr>
        <w:t xml:space="preserve"> (</w:t>
      </w:r>
      <w:proofErr w:type="spellStart"/>
      <w:r>
        <w:rPr>
          <w:rFonts w:ascii="Arial" w:hAnsi="Arial" w:cs="Arial"/>
          <w:color w:val="777777"/>
          <w:sz w:val="18"/>
          <w:szCs w:val="18"/>
          <w:shd w:val="clear" w:color="auto" w:fill="FFFFFF"/>
        </w:rPr>
        <w:t>PICaSSO</w:t>
      </w:r>
      <w:proofErr w:type="spellEnd"/>
      <w:r>
        <w:rPr>
          <w:rFonts w:ascii="Arial" w:hAnsi="Arial" w:cs="Arial"/>
          <w:color w:val="777777"/>
          <w:sz w:val="18"/>
          <w:szCs w:val="18"/>
          <w:shd w:val="clear" w:color="auto" w:fill="FFFFFF"/>
        </w:rPr>
        <w:t>)</w:t>
      </w:r>
      <w:r>
        <w:rPr>
          <w:rFonts w:ascii="Arial" w:hAnsi="Arial" w:cs="Arial"/>
          <w:color w:val="777777"/>
          <w:sz w:val="14"/>
          <w:szCs w:val="14"/>
          <w:shd w:val="clear" w:color="auto" w:fill="FFFFFF"/>
          <w:vertAlign w:val="superscript"/>
        </w:rPr>
        <w:t>1</w:t>
      </w:r>
      <w:r>
        <w:rPr>
          <w:rFonts w:ascii="Arial" w:hAnsi="Arial" w:cs="Arial"/>
          <w:color w:val="777777"/>
          <w:sz w:val="18"/>
          <w:szCs w:val="18"/>
          <w:shd w:val="clear" w:color="auto" w:fill="FFFFFF"/>
        </w:rPr>
        <w:t> demonstrated that enhanced visualization of subtle mucosal and vascular inflammatory changes correlated strongly with histology. However, without adequate training, the subjective evaluation of white light (WL) and VCE endoscopic scores varies between observers. We aimed to develop an artificial intelligence (AI) system for objective assessment of endoscopic disease activity and predict histology related to both white light and VCE videos.</w:t>
      </w:r>
      <w:r>
        <w:rPr>
          <w:rFonts w:ascii="Arial" w:hAnsi="Arial" w:cs="Arial"/>
          <w:color w:val="777777"/>
          <w:sz w:val="18"/>
          <w:szCs w:val="18"/>
        </w:rPr>
        <w:br/>
      </w:r>
      <w:r>
        <w:rPr>
          <w:rFonts w:ascii="Arial" w:hAnsi="Arial" w:cs="Arial"/>
          <w:color w:val="777777"/>
          <w:sz w:val="18"/>
          <w:szCs w:val="18"/>
        </w:rPr>
        <w:br/>
      </w:r>
      <w:r>
        <w:rPr>
          <w:rFonts w:ascii="Arial" w:hAnsi="Arial" w:cs="Arial"/>
          <w:b/>
          <w:bCs/>
          <w:color w:val="777777"/>
          <w:sz w:val="18"/>
          <w:szCs w:val="18"/>
          <w:shd w:val="clear" w:color="auto" w:fill="FFFFFF"/>
        </w:rPr>
        <w:t>Methods</w:t>
      </w:r>
      <w:r>
        <w:rPr>
          <w:rFonts w:ascii="Arial" w:hAnsi="Arial" w:cs="Arial"/>
          <w:color w:val="777777"/>
          <w:sz w:val="18"/>
          <w:szCs w:val="18"/>
        </w:rPr>
        <w:br/>
      </w:r>
      <w:r>
        <w:rPr>
          <w:rFonts w:ascii="Arial" w:hAnsi="Arial" w:cs="Arial"/>
          <w:color w:val="777777"/>
          <w:sz w:val="18"/>
          <w:szCs w:val="18"/>
          <w:shd w:val="clear" w:color="auto" w:fill="FFFFFF"/>
        </w:rPr>
        <w:t xml:space="preserve">559 endoscopy videos (67280 frames) from 302 </w:t>
      </w:r>
      <w:proofErr w:type="gramStart"/>
      <w:r>
        <w:rPr>
          <w:rFonts w:ascii="Arial" w:hAnsi="Arial" w:cs="Arial"/>
          <w:color w:val="777777"/>
          <w:sz w:val="18"/>
          <w:szCs w:val="18"/>
          <w:shd w:val="clear" w:color="auto" w:fill="FFFFFF"/>
        </w:rPr>
        <w:t>patients</w:t>
      </w:r>
      <w:proofErr w:type="gramEnd"/>
      <w:r>
        <w:rPr>
          <w:rFonts w:ascii="Arial" w:hAnsi="Arial" w:cs="Arial"/>
          <w:color w:val="777777"/>
          <w:sz w:val="18"/>
          <w:szCs w:val="18"/>
          <w:shd w:val="clear" w:color="auto" w:fill="FFFFFF"/>
        </w:rPr>
        <w:t xml:space="preserve"> representative of all grades of inflammation, from our prospective </w:t>
      </w:r>
      <w:proofErr w:type="spellStart"/>
      <w:r>
        <w:rPr>
          <w:rFonts w:ascii="Arial" w:hAnsi="Arial" w:cs="Arial"/>
          <w:color w:val="777777"/>
          <w:sz w:val="18"/>
          <w:szCs w:val="18"/>
          <w:shd w:val="clear" w:color="auto" w:fill="FFFFFF"/>
        </w:rPr>
        <w:t>PICaSSO</w:t>
      </w:r>
      <w:proofErr w:type="spellEnd"/>
      <w:r>
        <w:rPr>
          <w:rFonts w:ascii="Arial" w:hAnsi="Arial" w:cs="Arial"/>
          <w:color w:val="777777"/>
          <w:sz w:val="18"/>
          <w:szCs w:val="18"/>
          <w:shd w:val="clear" w:color="auto" w:fill="FFFFFF"/>
        </w:rPr>
        <w:t xml:space="preserve"> multicentre study</w:t>
      </w:r>
      <w:r>
        <w:rPr>
          <w:rFonts w:ascii="Arial" w:hAnsi="Arial" w:cs="Arial"/>
          <w:color w:val="777777"/>
          <w:sz w:val="14"/>
          <w:szCs w:val="14"/>
          <w:shd w:val="clear" w:color="auto" w:fill="FFFFFF"/>
          <w:vertAlign w:val="superscript"/>
        </w:rPr>
        <w:t>1</w:t>
      </w:r>
      <w:r>
        <w:rPr>
          <w:rFonts w:ascii="Arial" w:hAnsi="Arial" w:cs="Arial"/>
          <w:color w:val="777777"/>
          <w:sz w:val="18"/>
          <w:szCs w:val="18"/>
          <w:shd w:val="clear" w:color="auto" w:fill="FFFFFF"/>
        </w:rPr>
        <w:t xml:space="preserve"> were used to develop a convolutional neural network (CNN). 316 videos were divided into training (254) and validation (62) sets. 243 additional videos (122 patients) were used as test cohort. The videos were edited to separate clips with WL and with </w:t>
      </w:r>
      <w:proofErr w:type="gramStart"/>
      <w:r>
        <w:rPr>
          <w:rFonts w:ascii="Arial" w:hAnsi="Arial" w:cs="Arial"/>
          <w:color w:val="777777"/>
          <w:sz w:val="18"/>
          <w:szCs w:val="18"/>
          <w:shd w:val="clear" w:color="auto" w:fill="FFFFFF"/>
        </w:rPr>
        <w:t>VCE, and</w:t>
      </w:r>
      <w:proofErr w:type="gramEnd"/>
      <w:r>
        <w:rPr>
          <w:rFonts w:ascii="Arial" w:hAnsi="Arial" w:cs="Arial"/>
          <w:color w:val="777777"/>
          <w:sz w:val="18"/>
          <w:szCs w:val="18"/>
          <w:shd w:val="clear" w:color="auto" w:fill="FFFFFF"/>
        </w:rPr>
        <w:t xml:space="preserve"> assessed using Ulcerative Colitis Endoscopic Index of Severity (UCEIS) and </w:t>
      </w:r>
      <w:proofErr w:type="spellStart"/>
      <w:r>
        <w:rPr>
          <w:rFonts w:ascii="Arial" w:hAnsi="Arial" w:cs="Arial"/>
          <w:color w:val="777777"/>
          <w:sz w:val="18"/>
          <w:szCs w:val="18"/>
          <w:shd w:val="clear" w:color="auto" w:fill="FFFFFF"/>
        </w:rPr>
        <w:t>PICaSSO</w:t>
      </w:r>
      <w:proofErr w:type="spellEnd"/>
      <w:r>
        <w:rPr>
          <w:rFonts w:ascii="Arial" w:hAnsi="Arial" w:cs="Arial"/>
          <w:color w:val="777777"/>
          <w:sz w:val="18"/>
          <w:szCs w:val="18"/>
          <w:shd w:val="clear" w:color="auto" w:fill="FFFFFF"/>
        </w:rPr>
        <w:t xml:space="preserve">, respectively. The classification stage of a pre-trained ResNet50 CNN classifier was trained to predict the healing or active inflammation on video frames. One network was trained to predict endoscopic remission (ER) as UCEISÂ‰¤1 from WL frames, and a second network was trained to predict </w:t>
      </w:r>
      <w:proofErr w:type="spellStart"/>
      <w:r>
        <w:rPr>
          <w:rFonts w:ascii="Arial" w:hAnsi="Arial" w:cs="Arial"/>
          <w:color w:val="777777"/>
          <w:sz w:val="18"/>
          <w:szCs w:val="18"/>
          <w:shd w:val="clear" w:color="auto" w:fill="FFFFFF"/>
        </w:rPr>
        <w:t>PICaSSOÂ</w:t>
      </w:r>
      <w:proofErr w:type="spellEnd"/>
      <w:r>
        <w:rPr>
          <w:rFonts w:ascii="Arial" w:hAnsi="Arial" w:cs="Arial"/>
          <w:color w:val="777777"/>
          <w:sz w:val="18"/>
          <w:szCs w:val="18"/>
          <w:shd w:val="clear" w:color="auto" w:fill="FFFFFF"/>
        </w:rPr>
        <w:t>‰¤3 from VCE. Figure 1 Histological remission (HR) was defined as Robarts Histological Index (RHI) Â‰¤3 with no neutrophils in lamina propria or epithelium.</w:t>
      </w:r>
      <w:r>
        <w:rPr>
          <w:rFonts w:ascii="Arial" w:hAnsi="Arial" w:cs="Arial"/>
          <w:color w:val="777777"/>
          <w:sz w:val="18"/>
          <w:szCs w:val="18"/>
        </w:rPr>
        <w:br/>
      </w:r>
      <w:r>
        <w:rPr>
          <w:rFonts w:ascii="Arial" w:hAnsi="Arial" w:cs="Arial"/>
          <w:color w:val="777777"/>
          <w:sz w:val="18"/>
          <w:szCs w:val="18"/>
        </w:rPr>
        <w:br/>
      </w:r>
      <w:r>
        <w:rPr>
          <w:rFonts w:ascii="Arial" w:hAnsi="Arial" w:cs="Arial"/>
          <w:b/>
          <w:bCs/>
          <w:color w:val="777777"/>
          <w:sz w:val="18"/>
          <w:szCs w:val="18"/>
          <w:shd w:val="clear" w:color="auto" w:fill="FFFFFF"/>
        </w:rPr>
        <w:t>Results</w:t>
      </w:r>
      <w:r>
        <w:rPr>
          <w:rFonts w:ascii="Arial" w:hAnsi="Arial" w:cs="Arial"/>
          <w:color w:val="777777"/>
          <w:sz w:val="18"/>
          <w:szCs w:val="18"/>
        </w:rPr>
        <w:br/>
      </w:r>
      <w:r>
        <w:rPr>
          <w:rFonts w:ascii="Arial" w:hAnsi="Arial" w:cs="Arial"/>
          <w:color w:val="777777"/>
          <w:sz w:val="18"/>
          <w:szCs w:val="18"/>
          <w:shd w:val="clear" w:color="auto" w:fill="FFFFFF"/>
        </w:rPr>
        <w:t>In the validation cohort, our system predicted ER (UCEIS Â‰¤1) in WL videos with 82% sensitivity (Se), 94% specificity (</w:t>
      </w:r>
      <w:proofErr w:type="spellStart"/>
      <w:r>
        <w:rPr>
          <w:rFonts w:ascii="Arial" w:hAnsi="Arial" w:cs="Arial"/>
          <w:color w:val="777777"/>
          <w:sz w:val="18"/>
          <w:szCs w:val="18"/>
          <w:shd w:val="clear" w:color="auto" w:fill="FFFFFF"/>
        </w:rPr>
        <w:t>Sp</w:t>
      </w:r>
      <w:proofErr w:type="spellEnd"/>
      <w:r>
        <w:rPr>
          <w:rFonts w:ascii="Arial" w:hAnsi="Arial" w:cs="Arial"/>
          <w:color w:val="777777"/>
          <w:sz w:val="18"/>
          <w:szCs w:val="18"/>
          <w:shd w:val="clear" w:color="auto" w:fill="FFFFFF"/>
        </w:rPr>
        <w:t>), and an area under the ROC curve (AUROC) of 0.92. For the detection of remission in VCE videos (</w:t>
      </w:r>
      <w:proofErr w:type="spellStart"/>
      <w:r>
        <w:rPr>
          <w:rFonts w:ascii="Arial" w:hAnsi="Arial" w:cs="Arial"/>
          <w:color w:val="777777"/>
          <w:sz w:val="18"/>
          <w:szCs w:val="18"/>
          <w:shd w:val="clear" w:color="auto" w:fill="FFFFFF"/>
        </w:rPr>
        <w:t>PICaSSO</w:t>
      </w:r>
      <w:proofErr w:type="spellEnd"/>
      <w:r>
        <w:rPr>
          <w:rFonts w:ascii="Arial" w:hAnsi="Arial" w:cs="Arial"/>
          <w:color w:val="777777"/>
          <w:sz w:val="18"/>
          <w:szCs w:val="18"/>
          <w:shd w:val="clear" w:color="auto" w:fill="FFFFFF"/>
        </w:rPr>
        <w:t xml:space="preserve"> Â‰¤3) Se was 74%, </w:t>
      </w:r>
      <w:proofErr w:type="spellStart"/>
      <w:r>
        <w:rPr>
          <w:rFonts w:ascii="Arial" w:hAnsi="Arial" w:cs="Arial"/>
          <w:color w:val="777777"/>
          <w:sz w:val="18"/>
          <w:szCs w:val="18"/>
          <w:shd w:val="clear" w:color="auto" w:fill="FFFFFF"/>
        </w:rPr>
        <w:t>Sp</w:t>
      </w:r>
      <w:proofErr w:type="spellEnd"/>
      <w:r>
        <w:rPr>
          <w:rFonts w:ascii="Arial" w:hAnsi="Arial" w:cs="Arial"/>
          <w:color w:val="777777"/>
          <w:sz w:val="18"/>
          <w:szCs w:val="18"/>
          <w:shd w:val="clear" w:color="auto" w:fill="FFFFFF"/>
        </w:rPr>
        <w:t xml:space="preserve"> 95%, and AUROC 0.95. In the testing cohort of independent videos, the diagnostic performance for both cut offs of ER remained similar. Table 1</w:t>
      </w:r>
      <w:r>
        <w:rPr>
          <w:rFonts w:ascii="Arial" w:hAnsi="Arial" w:cs="Arial"/>
          <w:color w:val="777777"/>
          <w:sz w:val="18"/>
          <w:szCs w:val="18"/>
        </w:rPr>
        <w:br/>
      </w:r>
      <w:r>
        <w:rPr>
          <w:rFonts w:ascii="Arial" w:hAnsi="Arial" w:cs="Arial"/>
          <w:color w:val="777777"/>
          <w:sz w:val="18"/>
          <w:szCs w:val="18"/>
        </w:rPr>
        <w:br/>
      </w:r>
      <w:r>
        <w:rPr>
          <w:rFonts w:ascii="Arial" w:hAnsi="Arial" w:cs="Arial"/>
          <w:color w:val="777777"/>
          <w:sz w:val="18"/>
          <w:szCs w:val="18"/>
          <w:shd w:val="clear" w:color="auto" w:fill="FFFFFF"/>
        </w:rPr>
        <w:t xml:space="preserve">Our system also had an excellent diagnostic performance for the prediction of HR in the validation set, with Se, </w:t>
      </w:r>
      <w:proofErr w:type="spellStart"/>
      <w:r>
        <w:rPr>
          <w:rFonts w:ascii="Arial" w:hAnsi="Arial" w:cs="Arial"/>
          <w:color w:val="777777"/>
          <w:sz w:val="18"/>
          <w:szCs w:val="18"/>
          <w:shd w:val="clear" w:color="auto" w:fill="FFFFFF"/>
        </w:rPr>
        <w:t>Sp</w:t>
      </w:r>
      <w:proofErr w:type="spellEnd"/>
      <w:r>
        <w:rPr>
          <w:rFonts w:ascii="Arial" w:hAnsi="Arial" w:cs="Arial"/>
          <w:color w:val="777777"/>
          <w:sz w:val="18"/>
          <w:szCs w:val="18"/>
          <w:shd w:val="clear" w:color="auto" w:fill="FFFFFF"/>
        </w:rPr>
        <w:t>, and Accuracy of 92%, 83%, and 85% respectively, using VCE, and 83%, 87%, and 86% respectively, with WL. In the testing set performance declined modestly while remaining good. Of note, the algorithm's prediction of histology was similar in VCE and WL videos. Table 1</w:t>
      </w:r>
      <w:r>
        <w:rPr>
          <w:rFonts w:ascii="Arial" w:hAnsi="Arial" w:cs="Arial"/>
          <w:color w:val="777777"/>
          <w:sz w:val="18"/>
          <w:szCs w:val="18"/>
        </w:rPr>
        <w:br/>
      </w:r>
      <w:r>
        <w:rPr>
          <w:rFonts w:ascii="Arial" w:hAnsi="Arial" w:cs="Arial"/>
          <w:color w:val="777777"/>
          <w:sz w:val="18"/>
          <w:szCs w:val="18"/>
        </w:rPr>
        <w:lastRenderedPageBreak/>
        <w:br/>
      </w:r>
      <w:r>
        <w:rPr>
          <w:rFonts w:ascii="Arial" w:hAnsi="Arial" w:cs="Arial"/>
          <w:b/>
          <w:bCs/>
          <w:color w:val="777777"/>
          <w:sz w:val="18"/>
          <w:szCs w:val="18"/>
          <w:shd w:val="clear" w:color="auto" w:fill="FFFFFF"/>
        </w:rPr>
        <w:t>Conclusions</w:t>
      </w:r>
      <w:r>
        <w:rPr>
          <w:rFonts w:ascii="Arial" w:hAnsi="Arial" w:cs="Arial"/>
          <w:color w:val="777777"/>
          <w:sz w:val="18"/>
          <w:szCs w:val="18"/>
        </w:rPr>
        <w:br/>
      </w:r>
      <w:r>
        <w:rPr>
          <w:rFonts w:ascii="Arial" w:hAnsi="Arial" w:cs="Arial"/>
          <w:color w:val="777777"/>
          <w:sz w:val="18"/>
          <w:szCs w:val="18"/>
          <w:shd w:val="clear" w:color="auto" w:fill="FFFFFF"/>
        </w:rPr>
        <w:t xml:space="preserve">Our AI system accurately recognizes ER in videos and predicts HR equally well. This is the first AI model developed to </w:t>
      </w:r>
      <w:proofErr w:type="spellStart"/>
      <w:r>
        <w:rPr>
          <w:rFonts w:ascii="Arial" w:hAnsi="Arial" w:cs="Arial"/>
          <w:color w:val="777777"/>
          <w:sz w:val="18"/>
          <w:szCs w:val="18"/>
          <w:shd w:val="clear" w:color="auto" w:fill="FFFFFF"/>
        </w:rPr>
        <w:t>analyze</w:t>
      </w:r>
      <w:proofErr w:type="spellEnd"/>
      <w:r>
        <w:rPr>
          <w:rFonts w:ascii="Arial" w:hAnsi="Arial" w:cs="Arial"/>
          <w:color w:val="777777"/>
          <w:sz w:val="18"/>
          <w:szCs w:val="18"/>
          <w:shd w:val="clear" w:color="auto" w:fill="FFFFFF"/>
        </w:rPr>
        <w:t xml:space="preserve"> inflammation and ER in VCE through the </w:t>
      </w:r>
      <w:proofErr w:type="spellStart"/>
      <w:r>
        <w:rPr>
          <w:rFonts w:ascii="Arial" w:hAnsi="Arial" w:cs="Arial"/>
          <w:color w:val="777777"/>
          <w:sz w:val="18"/>
          <w:szCs w:val="18"/>
          <w:shd w:val="clear" w:color="auto" w:fill="FFFFFF"/>
        </w:rPr>
        <w:t>PICaSSO</w:t>
      </w:r>
      <w:proofErr w:type="spellEnd"/>
      <w:r>
        <w:rPr>
          <w:rFonts w:ascii="Arial" w:hAnsi="Arial" w:cs="Arial"/>
          <w:color w:val="777777"/>
          <w:sz w:val="18"/>
          <w:szCs w:val="18"/>
          <w:shd w:val="clear" w:color="auto" w:fill="FFFFFF"/>
        </w:rPr>
        <w:t xml:space="preserve"> score, and the first multi-domain system providing a complete endoscopic and histologic assessment.</w:t>
      </w:r>
      <w:r>
        <w:rPr>
          <w:rFonts w:ascii="Arial" w:hAnsi="Arial" w:cs="Arial"/>
          <w:color w:val="777777"/>
          <w:sz w:val="18"/>
          <w:szCs w:val="18"/>
        </w:rPr>
        <w:br/>
      </w:r>
      <w:r>
        <w:rPr>
          <w:rFonts w:ascii="Arial" w:hAnsi="Arial" w:cs="Arial"/>
          <w:color w:val="777777"/>
          <w:sz w:val="18"/>
          <w:szCs w:val="18"/>
        </w:rPr>
        <w:br/>
      </w:r>
      <w:r>
        <w:rPr>
          <w:rFonts w:ascii="Arial" w:hAnsi="Arial" w:cs="Arial"/>
          <w:b/>
          <w:bCs/>
          <w:color w:val="777777"/>
          <w:sz w:val="18"/>
          <w:szCs w:val="18"/>
          <w:shd w:val="clear" w:color="auto" w:fill="FFFFFF"/>
        </w:rPr>
        <w:t>Reference</w:t>
      </w:r>
      <w:r>
        <w:rPr>
          <w:rFonts w:ascii="Arial" w:hAnsi="Arial" w:cs="Arial"/>
          <w:color w:val="777777"/>
          <w:sz w:val="18"/>
          <w:szCs w:val="18"/>
        </w:rPr>
        <w:br/>
      </w:r>
      <w:r>
        <w:rPr>
          <w:rFonts w:ascii="Arial" w:hAnsi="Arial" w:cs="Arial"/>
          <w:color w:val="777777"/>
          <w:sz w:val="18"/>
          <w:szCs w:val="18"/>
          <w:shd w:val="clear" w:color="auto" w:fill="FFFFFF"/>
        </w:rPr>
        <w:t xml:space="preserve">1. </w:t>
      </w:r>
      <w:proofErr w:type="spellStart"/>
      <w:r>
        <w:rPr>
          <w:rFonts w:ascii="Arial" w:hAnsi="Arial" w:cs="Arial"/>
          <w:color w:val="777777"/>
          <w:sz w:val="18"/>
          <w:szCs w:val="18"/>
          <w:shd w:val="clear" w:color="auto" w:fill="FFFFFF"/>
        </w:rPr>
        <w:t>Iacucci</w:t>
      </w:r>
      <w:proofErr w:type="spellEnd"/>
      <w:r>
        <w:rPr>
          <w:rFonts w:ascii="Arial" w:hAnsi="Arial" w:cs="Arial"/>
          <w:color w:val="777777"/>
          <w:sz w:val="18"/>
          <w:szCs w:val="18"/>
          <w:shd w:val="clear" w:color="auto" w:fill="FFFFFF"/>
        </w:rPr>
        <w:t xml:space="preserve"> et al. Gastroenterology 2021</w:t>
      </w:r>
    </w:p>
    <w:sectPr w:rsidR="00B31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5D"/>
    <w:rsid w:val="00B31780"/>
    <w:rsid w:val="00ED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ECCE"/>
  <w15:chartTrackingRefBased/>
  <w15:docId w15:val="{116030D7-55FE-481E-A283-6D4DF617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Grisan, Enrico</dc:creator>
  <cp:keywords/>
  <dc:description/>
  <cp:lastModifiedBy>Grisan, Enrico</cp:lastModifiedBy>
  <cp:revision>1</cp:revision>
  <dcterms:created xsi:type="dcterms:W3CDTF">2022-05-30T10:55:00Z</dcterms:created>
  <dcterms:modified xsi:type="dcterms:W3CDTF">2022-05-30T10:55:00Z</dcterms:modified>
</cp:coreProperties>
</file>