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650B0" w14:textId="42E07A53" w:rsidR="00CC08AF" w:rsidRPr="000D1824" w:rsidRDefault="00CC08AF" w:rsidP="00FF0BB7">
      <w:pPr>
        <w:pStyle w:val="Articletitle"/>
        <w:jc w:val="both"/>
      </w:pPr>
      <w:r w:rsidRPr="00C66D09">
        <w:t>Digital</w:t>
      </w:r>
      <w:r>
        <w:t xml:space="preserve"> </w:t>
      </w:r>
      <w:r w:rsidRPr="00C66D09">
        <w:t>Disclosure:</w:t>
      </w:r>
      <w:r>
        <w:t xml:space="preserve"> HIV Status, Mobile </w:t>
      </w:r>
      <w:r w:rsidR="00476998">
        <w:t xml:space="preserve">Dating </w:t>
      </w:r>
      <w:r>
        <w:t xml:space="preserve">Application Design and Legal Responsibility </w:t>
      </w:r>
    </w:p>
    <w:p w14:paraId="0321DF83" w14:textId="77777777" w:rsidR="00D321FC" w:rsidRPr="00634C30" w:rsidRDefault="00D321FC" w:rsidP="00FF0BB7">
      <w:pPr>
        <w:pStyle w:val="Authornames"/>
        <w:jc w:val="both"/>
      </w:pPr>
      <w:r w:rsidRPr="00634C30">
        <w:t>Cameron Giles</w:t>
      </w:r>
    </w:p>
    <w:p w14:paraId="45884D80" w14:textId="77777777" w:rsidR="00D321FC" w:rsidRDefault="00D321FC" w:rsidP="00FF0BB7">
      <w:pPr>
        <w:pStyle w:val="Affiliation"/>
        <w:jc w:val="both"/>
      </w:pPr>
      <w:r w:rsidRPr="0061449D">
        <w:t>Postgraduate Researcher</w:t>
      </w:r>
    </w:p>
    <w:p w14:paraId="19120816" w14:textId="77777777" w:rsidR="00D321FC" w:rsidRPr="0061449D" w:rsidRDefault="00D321FC" w:rsidP="00FF0BB7">
      <w:pPr>
        <w:pStyle w:val="Affiliation"/>
        <w:jc w:val="both"/>
      </w:pPr>
      <w:r w:rsidRPr="0061449D">
        <w:t xml:space="preserve">School of Law, Northumbria University, Newcastle-Upon-Tyne, United Kingdom. </w:t>
      </w:r>
    </w:p>
    <w:p w14:paraId="63CD03A4" w14:textId="77777777" w:rsidR="00D321FC" w:rsidRPr="000D1824" w:rsidRDefault="00D321FC" w:rsidP="00FF0BB7">
      <w:pPr>
        <w:pStyle w:val="Header"/>
        <w:spacing w:line="360" w:lineRule="auto"/>
        <w:jc w:val="both"/>
        <w:rPr>
          <w:rFonts w:cstheme="minorHAnsi"/>
        </w:rPr>
      </w:pPr>
    </w:p>
    <w:p w14:paraId="4B1187A4" w14:textId="77777777" w:rsidR="00D321FC" w:rsidRPr="000D1824" w:rsidRDefault="00D321FC" w:rsidP="00FF0BB7">
      <w:pPr>
        <w:pStyle w:val="Correspondencedetails"/>
        <w:jc w:val="both"/>
      </w:pPr>
    </w:p>
    <w:p w14:paraId="7A8D68FB" w14:textId="057BF48D" w:rsidR="00D321FC" w:rsidRDefault="00D321FC" w:rsidP="00FF0BB7">
      <w:pPr>
        <w:pStyle w:val="Correspondencedetails"/>
        <w:jc w:val="both"/>
      </w:pPr>
      <w:r w:rsidRPr="00145981">
        <w:t xml:space="preserve">Email: </w:t>
      </w:r>
      <w:r w:rsidR="00D42C42" w:rsidRPr="00D42C42">
        <w:t>cameron.a.r.giles@northumbria.ac.uk</w:t>
      </w:r>
    </w:p>
    <w:p w14:paraId="52B88F66" w14:textId="1ACB6107" w:rsidR="00D42C42" w:rsidRDefault="00D42C42" w:rsidP="00FF0BB7">
      <w:pPr>
        <w:pStyle w:val="Correspondencedetails"/>
        <w:jc w:val="both"/>
        <w:rPr>
          <w:shd w:val="clear" w:color="auto" w:fill="FFFFFF"/>
        </w:rPr>
      </w:pPr>
      <w:r w:rsidRPr="00145981">
        <w:rPr>
          <w:shd w:val="clear" w:color="auto" w:fill="FFFFFF"/>
        </w:rPr>
        <w:t xml:space="preserve">OCRID: orcid.org/0000-0003-3019-9252 </w:t>
      </w:r>
    </w:p>
    <w:p w14:paraId="1E014D30" w14:textId="14B4157B" w:rsidR="00D321FC" w:rsidRPr="00FF0BB7" w:rsidRDefault="00B7103F" w:rsidP="00FF0BB7">
      <w:pPr>
        <w:pStyle w:val="Correspondencedetails"/>
        <w:jc w:val="both"/>
        <w:rPr>
          <w:rStyle w:val="vanity-namedisplay-name"/>
          <w:rFonts w:cstheme="minorHAnsi"/>
          <w:bdr w:val="none" w:sz="0" w:space="0" w:color="auto" w:frame="1"/>
          <w:shd w:val="clear" w:color="auto" w:fill="FFFFFF"/>
          <w:lang w:val="de-DE"/>
        </w:rPr>
      </w:pPr>
      <w:r w:rsidRPr="00FF0BB7">
        <w:rPr>
          <w:rStyle w:val="vanity-namedomain"/>
          <w:rFonts w:cstheme="minorHAnsi"/>
          <w:bdr w:val="none" w:sz="0" w:space="0" w:color="auto" w:frame="1"/>
          <w:shd w:val="clear" w:color="auto" w:fill="FFFFFF"/>
          <w:lang w:val="de-DE"/>
        </w:rPr>
        <w:t>LinkedIn</w:t>
      </w:r>
      <w:r w:rsidR="00D321FC" w:rsidRPr="00FF0BB7">
        <w:rPr>
          <w:rStyle w:val="vanity-namedomain"/>
          <w:rFonts w:cstheme="minorHAnsi"/>
          <w:bdr w:val="none" w:sz="0" w:space="0" w:color="auto" w:frame="1"/>
          <w:shd w:val="clear" w:color="auto" w:fill="FFFFFF"/>
          <w:lang w:val="de-DE"/>
        </w:rPr>
        <w:t>: www.linkedin.com/in/gilescameron</w:t>
      </w:r>
    </w:p>
    <w:p w14:paraId="794454CC" w14:textId="42330023" w:rsidR="007A6FEE" w:rsidRDefault="007A6FEE" w:rsidP="00FF0BB7">
      <w:pPr>
        <w:pStyle w:val="Correspondencedetails"/>
        <w:jc w:val="both"/>
        <w:rPr>
          <w:shd w:val="clear" w:color="auto" w:fill="FFFFFF"/>
        </w:rPr>
      </w:pPr>
      <w:r>
        <w:rPr>
          <w:shd w:val="clear" w:color="auto" w:fill="FFFFFF"/>
        </w:rPr>
        <w:t>Twitter</w:t>
      </w:r>
      <w:r w:rsidR="00D42C42">
        <w:rPr>
          <w:shd w:val="clear" w:color="auto" w:fill="FFFFFF"/>
        </w:rPr>
        <w:t>:</w:t>
      </w:r>
      <w:r>
        <w:rPr>
          <w:shd w:val="clear" w:color="auto" w:fill="FFFFFF"/>
        </w:rPr>
        <w:t xml:space="preserve"> @giles_cameron</w:t>
      </w:r>
    </w:p>
    <w:p w14:paraId="5DCCA3EB" w14:textId="77777777" w:rsidR="00D321FC" w:rsidRDefault="00D321FC" w:rsidP="00FF0BB7">
      <w:pPr>
        <w:pStyle w:val="Correspondencedetails"/>
        <w:jc w:val="both"/>
        <w:rPr>
          <w:shd w:val="clear" w:color="auto" w:fill="FFFFFF"/>
        </w:rPr>
      </w:pPr>
    </w:p>
    <w:p w14:paraId="0EB95D0B" w14:textId="32BC0E09" w:rsidR="00D321FC" w:rsidRPr="00145981" w:rsidRDefault="00D321FC" w:rsidP="00FF0BB7">
      <w:pPr>
        <w:pStyle w:val="Correspondencedetails"/>
        <w:jc w:val="both"/>
        <w:rPr>
          <w:sz w:val="28"/>
          <w:szCs w:val="28"/>
        </w:rPr>
      </w:pPr>
      <w:r w:rsidRPr="00145981">
        <w:t xml:space="preserve">Word Count: </w:t>
      </w:r>
      <w:r w:rsidR="00DE2C51">
        <w:t>7</w:t>
      </w:r>
      <w:r w:rsidR="00EB425F">
        <w:t>50</w:t>
      </w:r>
      <w:r w:rsidR="00F2328B">
        <w:t>4</w:t>
      </w:r>
    </w:p>
    <w:p w14:paraId="78332D55" w14:textId="77777777" w:rsidR="00D321FC" w:rsidRPr="000D1824" w:rsidRDefault="00D321FC" w:rsidP="00FF0BB7">
      <w:pPr>
        <w:pStyle w:val="Header"/>
        <w:spacing w:line="360" w:lineRule="auto"/>
        <w:jc w:val="both"/>
        <w:rPr>
          <w:rFonts w:cstheme="minorHAnsi"/>
        </w:rPr>
      </w:pPr>
    </w:p>
    <w:p w14:paraId="5E5F1AE0" w14:textId="77777777" w:rsidR="00D321FC" w:rsidRPr="000D1824" w:rsidRDefault="00D321FC" w:rsidP="00FF0BB7">
      <w:pPr>
        <w:spacing w:line="360" w:lineRule="auto"/>
        <w:contextualSpacing/>
        <w:jc w:val="both"/>
        <w:rPr>
          <w:rFonts w:cstheme="minorHAnsi"/>
        </w:rPr>
      </w:pPr>
      <w:r w:rsidRPr="000D1824">
        <w:rPr>
          <w:rFonts w:cstheme="minorHAnsi"/>
        </w:rPr>
        <w:br w:type="page"/>
      </w:r>
    </w:p>
    <w:p w14:paraId="0196ED1A" w14:textId="79B171D3" w:rsidR="00D321FC" w:rsidRPr="000D1824" w:rsidRDefault="00D321FC" w:rsidP="00FF0BB7">
      <w:pPr>
        <w:pStyle w:val="Articletitle"/>
        <w:jc w:val="both"/>
      </w:pPr>
      <w:r w:rsidRPr="00C66D09">
        <w:lastRenderedPageBreak/>
        <w:t>Digital</w:t>
      </w:r>
      <w:r w:rsidR="005B3DB1">
        <w:t xml:space="preserve"> </w:t>
      </w:r>
      <w:r w:rsidRPr="00C66D09">
        <w:t>Disclosure:</w:t>
      </w:r>
      <w:r w:rsidR="009F5561">
        <w:t xml:space="preserve"> </w:t>
      </w:r>
      <w:r w:rsidR="00F247C8">
        <w:t xml:space="preserve">HIV Status, Mobile </w:t>
      </w:r>
      <w:r w:rsidR="003276FB">
        <w:t xml:space="preserve">Dating </w:t>
      </w:r>
      <w:r w:rsidR="00F247C8">
        <w:t xml:space="preserve">Application Design and Legal Responsibility </w:t>
      </w:r>
    </w:p>
    <w:p w14:paraId="5E79FC29" w14:textId="6B0D385A" w:rsidR="00D321FC" w:rsidRPr="006F7B5B" w:rsidRDefault="00D321FC" w:rsidP="00FF0BB7">
      <w:pPr>
        <w:pStyle w:val="Abstract"/>
        <w:jc w:val="both"/>
      </w:pPr>
      <w:r w:rsidRPr="006F7B5B">
        <w:t>Location-based mobile dating applications are often one of the richest sources of personal information readily accessible to strangers on the internet and in many cases this information now extends to a user’s HIV status and the date of their most recent sexual health test. Drawing on qualitative data collected from dating application users, this article considers how these features construct sexual health in a manner which reinforces the uneven distribution of responsibility for preventing HIV transmission. Examining the current legal framework covering HIV transmission criminalisation in England and Wales, this piece aims to illustrate the importance of understanding how these applications are used in practice, if they are to be used</w:t>
      </w:r>
      <w:r w:rsidR="00BE467E">
        <w:t xml:space="preserve"> </w:t>
      </w:r>
      <w:r w:rsidR="006F724F">
        <w:t>at trial</w:t>
      </w:r>
      <w:r w:rsidRPr="006F7B5B">
        <w:t>.</w:t>
      </w:r>
    </w:p>
    <w:p w14:paraId="06C39B60" w14:textId="77777777" w:rsidR="00D321FC" w:rsidRPr="006F7B5B" w:rsidRDefault="00D321FC" w:rsidP="00FF0BB7">
      <w:pPr>
        <w:pStyle w:val="Abstract"/>
        <w:jc w:val="both"/>
      </w:pPr>
      <w:r w:rsidRPr="006F7B5B">
        <w:t>Keywords: HIV Disclosure; Criminal Law; Mobile Apps; Responsibility; Risk</w:t>
      </w:r>
    </w:p>
    <w:p w14:paraId="54DA7AA7" w14:textId="77777777" w:rsidR="00D321FC" w:rsidRPr="00D80B9A" w:rsidRDefault="00D321FC">
      <w:pPr>
        <w:pStyle w:val="Heading1"/>
        <w:jc w:val="both"/>
      </w:pPr>
      <w:r w:rsidRPr="00D80B9A">
        <w:t xml:space="preserve">Introduction </w:t>
      </w:r>
    </w:p>
    <w:p w14:paraId="0C816B94" w14:textId="6A6FACBE" w:rsidR="00D321FC" w:rsidRPr="00D80B9A" w:rsidRDefault="00D321FC">
      <w:pPr>
        <w:pStyle w:val="Newparagraph"/>
        <w:jc w:val="both"/>
      </w:pPr>
      <w:r w:rsidRPr="00D80B9A">
        <w:t xml:space="preserve">Both the technological world </w:t>
      </w:r>
      <w:r w:rsidR="00343458">
        <w:t>of</w:t>
      </w:r>
      <w:r w:rsidRPr="00D80B9A">
        <w:t xml:space="preserve"> smartphones, location-aware applications and mobile data</w:t>
      </w:r>
      <w:r w:rsidR="00795354">
        <w:t>;</w:t>
      </w:r>
      <w:r w:rsidRPr="00D80B9A">
        <w:t xml:space="preserve"> and the biomedical world of HIV </w:t>
      </w:r>
      <w:r w:rsidR="000D5771">
        <w:t>testing</w:t>
      </w:r>
      <w:r w:rsidRPr="00D80B9A">
        <w:t>, treatment and prevention, have seen significant developments over the past decade. Smartphones have come to be in the pockets of the majority of those living in the UK,</w:t>
      </w:r>
      <w:r w:rsidRPr="00F76894">
        <w:rPr>
          <w:rStyle w:val="FootnoteReference"/>
        </w:rPr>
        <w:footnoteReference w:id="2"/>
      </w:r>
      <w:r w:rsidRPr="00D80B9A">
        <w:t xml:space="preserve"> whilst over the same period scientific research has demonstrated the efficacy of treatment as a means of preventing the onward transmission of HIV.</w:t>
      </w:r>
      <w:r w:rsidRPr="00F76894">
        <w:rPr>
          <w:rStyle w:val="FootnoteReference"/>
        </w:rPr>
        <w:footnoteReference w:id="3"/>
      </w:r>
      <w:r w:rsidRPr="00D80B9A">
        <w:t xml:space="preserve"> These concurrent developments have overlapped in a number of areas, particularly in the realm of online dating</w:t>
      </w:r>
      <w:r w:rsidR="004176A3">
        <w:t>. Here</w:t>
      </w:r>
      <w:r w:rsidR="007F02A6">
        <w:t>,</w:t>
      </w:r>
      <w:r w:rsidRPr="00D80B9A">
        <w:t xml:space="preserve"> the influence that the internet </w:t>
      </w:r>
      <w:r w:rsidR="004176A3">
        <w:t xml:space="preserve">might </w:t>
      </w:r>
      <w:r w:rsidR="004176A3">
        <w:lastRenderedPageBreak/>
        <w:t>have</w:t>
      </w:r>
      <w:r w:rsidR="004176A3" w:rsidRPr="00D80B9A">
        <w:t xml:space="preserve"> </w:t>
      </w:r>
      <w:r w:rsidRPr="00D80B9A">
        <w:t xml:space="preserve">on sexual health, risk </w:t>
      </w:r>
      <w:r w:rsidR="0014152A" w:rsidRPr="00D80B9A">
        <w:t>taking,</w:t>
      </w:r>
      <w:r w:rsidRPr="00D80B9A">
        <w:t xml:space="preserve"> and responsibility has been a </w:t>
      </w:r>
      <w:r w:rsidR="00795354" w:rsidRPr="00D80B9A">
        <w:t>long-standing</w:t>
      </w:r>
      <w:r w:rsidRPr="00D80B9A">
        <w:t xml:space="preserve"> concern among healthcare practitioners and researchers,</w:t>
      </w:r>
      <w:r w:rsidRPr="00F76894">
        <w:rPr>
          <w:rStyle w:val="FootnoteReference"/>
        </w:rPr>
        <w:footnoteReference w:id="4"/>
      </w:r>
      <w:r w:rsidRPr="00D80B9A">
        <w:t xml:space="preserve"> as well as in public discourse.</w:t>
      </w:r>
      <w:r w:rsidRPr="00F76894">
        <w:rPr>
          <w:rStyle w:val="FootnoteReference"/>
        </w:rPr>
        <w:footnoteReference w:id="5"/>
      </w:r>
    </w:p>
    <w:p w14:paraId="5C08C051" w14:textId="2928B268" w:rsidR="00D321FC" w:rsidRPr="00D80B9A" w:rsidRDefault="00D321FC">
      <w:pPr>
        <w:pStyle w:val="Newparagraph"/>
        <w:jc w:val="both"/>
      </w:pPr>
      <w:r w:rsidRPr="00D80B9A">
        <w:t>Whilst mobile phones already meant that people were much more readily contactable in recent decades compared to</w:t>
      </w:r>
      <w:r w:rsidR="00283CFC">
        <w:t xml:space="preserve"> the</w:t>
      </w:r>
      <w:r w:rsidRPr="00D80B9A">
        <w:t xml:space="preserve"> decades prior; the increase</w:t>
      </w:r>
      <w:r w:rsidR="00795354">
        <w:t>s</w:t>
      </w:r>
      <w:r w:rsidRPr="00D80B9A">
        <w:t xml:space="preserve"> in speed and bandwidth available to</w:t>
      </w:r>
      <w:r w:rsidR="00283CFC">
        <w:t xml:space="preserve"> modern</w:t>
      </w:r>
      <w:r w:rsidRPr="00D80B9A">
        <w:t xml:space="preserve"> mobile data networks and the functionality of modern smartphone</w:t>
      </w:r>
      <w:r w:rsidR="003720A7">
        <w:t>s</w:t>
      </w:r>
      <w:r w:rsidRPr="00D80B9A">
        <w:t xml:space="preserve"> now mean that the ‘near</w:t>
      </w:r>
      <w:r w:rsidR="00701305">
        <w:t>-</w:t>
      </w:r>
      <w:r w:rsidRPr="00D80B9A">
        <w:rPr>
          <w:i/>
          <w:iCs/>
        </w:rPr>
        <w:t>instantaneous’</w:t>
      </w:r>
      <w:r w:rsidRPr="00D80B9A">
        <w:t xml:space="preserve"> transmission of information-rich content is now a mundanity of everyday life for many.</w:t>
      </w:r>
      <w:r w:rsidRPr="00F76894">
        <w:rPr>
          <w:rStyle w:val="FootnoteReference"/>
        </w:rPr>
        <w:footnoteReference w:id="6"/>
      </w:r>
      <w:r w:rsidRPr="00D80B9A">
        <w:t xml:space="preserve"> Mobile dating applications employ this capability, along with the location data that modern devices are able to provide, to broadcast </w:t>
      </w:r>
      <w:r w:rsidR="003720A7">
        <w:t xml:space="preserve">each user’s </w:t>
      </w:r>
      <w:r w:rsidRPr="00D80B9A">
        <w:t>profile to other users in a nearby proximity to them.</w:t>
      </w:r>
      <w:r w:rsidRPr="00F76894">
        <w:rPr>
          <w:rStyle w:val="FootnoteReference"/>
        </w:rPr>
        <w:footnoteReference w:id="7"/>
      </w:r>
      <w:r w:rsidRPr="00D80B9A">
        <w:t xml:space="preserve"> </w:t>
      </w:r>
    </w:p>
    <w:p w14:paraId="43C41EE5" w14:textId="1139D892" w:rsidR="004176A3" w:rsidRDefault="00D321FC">
      <w:pPr>
        <w:pStyle w:val="Newparagraph"/>
        <w:jc w:val="both"/>
      </w:pPr>
      <w:r w:rsidRPr="00D80B9A">
        <w:rPr>
          <w:i/>
          <w:iCs/>
        </w:rPr>
        <w:t xml:space="preserve">Grindr </w:t>
      </w:r>
      <w:r w:rsidRPr="00D80B9A">
        <w:t xml:space="preserve">was one of the earliest of these location-based mobile dating applications and has maintained a position as a (if not </w:t>
      </w:r>
      <w:r w:rsidRPr="00D80B9A">
        <w:rPr>
          <w:i/>
          <w:iCs/>
        </w:rPr>
        <w:t>the</w:t>
      </w:r>
      <w:r w:rsidRPr="00D80B9A">
        <w:t xml:space="preserve">) market leader, not only among apps aimed </w:t>
      </w:r>
      <w:r w:rsidRPr="00D80B9A">
        <w:lastRenderedPageBreak/>
        <w:t xml:space="preserve">at men who have sex with men, but </w:t>
      </w:r>
      <w:r w:rsidR="00B10840">
        <w:t xml:space="preserve">among </w:t>
      </w:r>
      <w:r w:rsidRPr="00D80B9A">
        <w:t>dating applications more generally.</w:t>
      </w:r>
      <w:r w:rsidRPr="00F76894">
        <w:rPr>
          <w:rStyle w:val="FootnoteReference"/>
        </w:rPr>
        <w:footnoteReference w:id="8"/>
      </w:r>
      <w:r w:rsidRPr="00D80B9A">
        <w:t xml:space="preserve"> It has been joined by a range of competition, including </w:t>
      </w:r>
      <w:r w:rsidR="0066597A">
        <w:t xml:space="preserve">other </w:t>
      </w:r>
      <w:r w:rsidRPr="00D80B9A">
        <w:t xml:space="preserve">apps </w:t>
      </w:r>
      <w:r w:rsidR="006B4E1D">
        <w:t xml:space="preserve">which </w:t>
      </w:r>
      <w:r w:rsidRPr="00D80B9A">
        <w:t>target men who have sex with men specifically</w:t>
      </w:r>
      <w:r w:rsidR="0071091D">
        <w:t>,</w:t>
      </w:r>
      <w:r w:rsidRPr="00F76894">
        <w:rPr>
          <w:rStyle w:val="FootnoteReference"/>
        </w:rPr>
        <w:footnoteReference w:id="9"/>
      </w:r>
      <w:r w:rsidRPr="00D80B9A">
        <w:t xml:space="preserve"> and </w:t>
      </w:r>
      <w:r w:rsidR="00FA34DD">
        <w:t xml:space="preserve">applications marketed at </w:t>
      </w:r>
      <w:r w:rsidR="00C456FB">
        <w:t>heterosexuals, other LGBT groups</w:t>
      </w:r>
      <w:r w:rsidR="00FB154E">
        <w:t>,</w:t>
      </w:r>
      <w:r w:rsidR="00C456FB">
        <w:t xml:space="preserve"> and those with a </w:t>
      </w:r>
      <w:r w:rsidR="004176A3">
        <w:t>general audience</w:t>
      </w:r>
      <w:r w:rsidRPr="00D80B9A">
        <w:t>.</w:t>
      </w:r>
      <w:r w:rsidRPr="00F76894">
        <w:rPr>
          <w:rStyle w:val="FootnoteReference"/>
        </w:rPr>
        <w:footnoteReference w:id="10"/>
      </w:r>
    </w:p>
    <w:p w14:paraId="56C6BC11" w14:textId="73360B63" w:rsidR="00D321FC" w:rsidRPr="00D80B9A" w:rsidRDefault="00D321FC">
      <w:pPr>
        <w:pStyle w:val="Newparagraph"/>
        <w:jc w:val="both"/>
      </w:pPr>
      <w:r w:rsidRPr="00D80B9A">
        <w:t>Since these applications came to market, it might be suggested that the pace of change and development has been slower and more conservative; particularly when contrasted to the rapid pace of change</w:t>
      </w:r>
      <w:r w:rsidR="00560055">
        <w:t xml:space="preserve"> and turnover</w:t>
      </w:r>
      <w:r w:rsidRPr="00D80B9A">
        <w:t xml:space="preserve"> seen with dating websites across the mid-2000s.</w:t>
      </w:r>
      <w:r w:rsidRPr="00F76894">
        <w:rPr>
          <w:rStyle w:val="FootnoteReference"/>
        </w:rPr>
        <w:footnoteReference w:id="11"/>
      </w:r>
      <w:r w:rsidR="00865E4D">
        <w:t xml:space="preserve"> </w:t>
      </w:r>
      <w:r w:rsidRPr="00D80B9A">
        <w:t xml:space="preserve">Similarly, there have been few major developments in the hardware that these applications rely on, </w:t>
      </w:r>
      <w:r w:rsidR="00200A7A">
        <w:t>the “smart” phone</w:t>
      </w:r>
      <w:r w:rsidRPr="00D80B9A">
        <w:t xml:space="preserve">. Save that the features that make smartphones distinct from their “dumb” counterparts - ease of internet access, cameras and their picture quality, and the ability to download software – have been gradually refined.  </w:t>
      </w:r>
    </w:p>
    <w:p w14:paraId="5F8C8715" w14:textId="7B5FD790" w:rsidR="00DF532B" w:rsidRDefault="00D321FC">
      <w:pPr>
        <w:pStyle w:val="Newparagraph"/>
        <w:jc w:val="both"/>
      </w:pPr>
      <w:r w:rsidRPr="00D80B9A">
        <w:lastRenderedPageBreak/>
        <w:t xml:space="preserve">Nevertheless, </w:t>
      </w:r>
      <w:r w:rsidR="00DF25A5">
        <w:t xml:space="preserve">dating </w:t>
      </w:r>
      <w:r w:rsidRPr="00D80B9A">
        <w:t>applications enjoy a continued popularity, both in general and particularly among young and LGBT people.</w:t>
      </w:r>
      <w:r w:rsidRPr="00F76894">
        <w:rPr>
          <w:rStyle w:val="FootnoteReference"/>
        </w:rPr>
        <w:footnoteReference w:id="12"/>
      </w:r>
      <w:r w:rsidRPr="00D80B9A">
        <w:t xml:space="preserve"> The endurance of many of these applications for, in some cases, up to and over a decade is perhaps an indication of how they, lik</w:t>
      </w:r>
      <w:r w:rsidR="0021075E">
        <w:t>e smartphones</w:t>
      </w:r>
      <w:r w:rsidRPr="00D80B9A">
        <w:t>, have incrementally refined themselves in light of changing market conditions, new technological innovations</w:t>
      </w:r>
      <w:r w:rsidR="0071091D">
        <w:t>,</w:t>
      </w:r>
      <w:r w:rsidRPr="00D80B9A">
        <w:t xml:space="preserve"> and the evolving social context surrounding their use</w:t>
      </w:r>
      <w:r w:rsidR="00DF532B">
        <w:t>.</w:t>
      </w:r>
    </w:p>
    <w:p w14:paraId="2129AD72" w14:textId="51495726" w:rsidR="00D321FC" w:rsidRPr="006106F0" w:rsidRDefault="00DF532B">
      <w:pPr>
        <w:pStyle w:val="Newparagraph"/>
        <w:jc w:val="both"/>
      </w:pPr>
      <w:r>
        <w:t>This</w:t>
      </w:r>
      <w:r w:rsidR="00D321FC" w:rsidRPr="00D80B9A">
        <w:t xml:space="preserve"> includ</w:t>
      </w:r>
      <w:r>
        <w:t xml:space="preserve">es </w:t>
      </w:r>
      <w:r w:rsidR="0071091D">
        <w:t>refinements in response to</w:t>
      </w:r>
      <w:r w:rsidR="00D321FC" w:rsidRPr="00D80B9A">
        <w:t xml:space="preserve"> the aforementioned developments in the treatment and prevention of HIV. From 2012 onwards,</w:t>
      </w:r>
      <w:r w:rsidR="001F7403">
        <w:t xml:space="preserve"> </w:t>
      </w:r>
      <w:r w:rsidR="00BC0A53">
        <w:t>many application deve</w:t>
      </w:r>
      <w:r w:rsidR="001F7403">
        <w:t xml:space="preserve">lopers began to include HIV disclosure features within applications. These, typically, introduced a dedicated section within a user’s profile where HIV and other sexual health information could be disclosed. </w:t>
      </w:r>
      <w:r w:rsidR="00D321FC" w:rsidRPr="00D80B9A">
        <w:t>Although</w:t>
      </w:r>
      <w:r w:rsidR="003D14B7">
        <w:t xml:space="preserve"> it should be noted that these</w:t>
      </w:r>
      <w:r w:rsidR="00635891">
        <w:t xml:space="preserve"> features</w:t>
      </w:r>
      <w:r w:rsidR="003D14B7">
        <w:t xml:space="preserve"> hav</w:t>
      </w:r>
      <w:r w:rsidR="00635891">
        <w:t>e, for the most part</w:t>
      </w:r>
      <w:r w:rsidR="00C6259E">
        <w:t>, been</w:t>
      </w:r>
      <w:r w:rsidR="00D321FC" w:rsidRPr="00D80B9A">
        <w:t xml:space="preserve"> </w:t>
      </w:r>
      <w:r w:rsidR="00635891">
        <w:t xml:space="preserve">introduced only on </w:t>
      </w:r>
      <w:r w:rsidR="00D321FC" w:rsidRPr="00D80B9A">
        <w:t xml:space="preserve">those applications </w:t>
      </w:r>
      <w:r w:rsidR="00DE5538">
        <w:t>marketed</w:t>
      </w:r>
      <w:r w:rsidR="000E6C45">
        <w:t xml:space="preserve"> exclusively</w:t>
      </w:r>
      <w:r w:rsidR="009744C4">
        <w:t>, or at least primarily,</w:t>
      </w:r>
      <w:r w:rsidR="00D321FC" w:rsidRPr="00D80B9A">
        <w:t xml:space="preserve"> </w:t>
      </w:r>
      <w:r w:rsidR="00DE5538">
        <w:t>a</w:t>
      </w:r>
      <w:r w:rsidR="00D321FC" w:rsidRPr="00D80B9A">
        <w:t>t men who have sex with men.</w:t>
      </w:r>
      <w:r w:rsidR="00D321FC" w:rsidRPr="00F76894">
        <w:rPr>
          <w:rStyle w:val="FootnoteReference"/>
        </w:rPr>
        <w:footnoteReference w:id="13"/>
      </w:r>
      <w:r w:rsidR="00F41FBE">
        <w:t xml:space="preserve"> Alongside HIV status, these features often promote regular </w:t>
      </w:r>
      <w:r w:rsidR="00F41FBE">
        <w:lastRenderedPageBreak/>
        <w:t xml:space="preserve">HIV testing by including </w:t>
      </w:r>
      <w:r w:rsidR="0002295C">
        <w:t>a section where users can disclose a date on which they were tested, with some applications i</w:t>
      </w:r>
      <w:r w:rsidR="00CB6333">
        <w:t>mplementing</w:t>
      </w:r>
      <w:r w:rsidR="0002295C">
        <w:t xml:space="preserve"> reminder features which prompt users to get tested at regular intervals. </w:t>
      </w:r>
      <w:r w:rsidR="004176A3">
        <w:t>T</w:t>
      </w:r>
      <w:r w:rsidR="00D321FC" w:rsidRPr="00D80B9A">
        <w:t xml:space="preserve">hese features have proved a source of controversy in recent years, following the revelation that </w:t>
      </w:r>
      <w:r w:rsidR="00D321FC" w:rsidRPr="00D80B9A">
        <w:rPr>
          <w:i/>
          <w:iCs/>
        </w:rPr>
        <w:t xml:space="preserve">Grindr </w:t>
      </w:r>
      <w:r w:rsidR="00D321FC" w:rsidRPr="00D80B9A">
        <w:t>was sharing this information with third parties</w:t>
      </w:r>
      <w:r w:rsidR="000C15E8">
        <w:t>.</w:t>
      </w:r>
      <w:r w:rsidR="00D321FC" w:rsidRPr="00F76894">
        <w:rPr>
          <w:rStyle w:val="FootnoteReference"/>
        </w:rPr>
        <w:footnoteReference w:id="14"/>
      </w:r>
      <w:r w:rsidR="00D321FC" w:rsidRPr="00D80B9A">
        <w:t xml:space="preserve"> </w:t>
      </w:r>
      <w:r w:rsidR="00AC27A3">
        <w:t xml:space="preserve"> However</w:t>
      </w:r>
      <w:r w:rsidR="00A978AE">
        <w:t>,</w:t>
      </w:r>
      <w:r w:rsidR="00AC27A3">
        <w:t xml:space="preserve"> these features continue to be used by many on </w:t>
      </w:r>
      <w:r w:rsidR="006106F0">
        <w:rPr>
          <w:i/>
          <w:iCs/>
        </w:rPr>
        <w:t>Grindr</w:t>
      </w:r>
      <w:r w:rsidR="00630CB8">
        <w:rPr>
          <w:i/>
          <w:iCs/>
        </w:rPr>
        <w:t xml:space="preserve">, Hornet, </w:t>
      </w:r>
      <w:r w:rsidR="006106F0">
        <w:t>and other</w:t>
      </w:r>
      <w:r w:rsidR="00C57E6B">
        <w:t xml:space="preserve"> dating</w:t>
      </w:r>
      <w:r w:rsidR="006106F0">
        <w:t xml:space="preserve"> app</w:t>
      </w:r>
      <w:r w:rsidR="00EB0BE4">
        <w:t>lication</w:t>
      </w:r>
      <w:r w:rsidR="006106F0">
        <w:t xml:space="preserve">s. </w:t>
      </w:r>
    </w:p>
    <w:p w14:paraId="56EFBD03" w14:textId="77777777" w:rsidR="00D321FC" w:rsidRPr="00D80B9A" w:rsidRDefault="00D321FC">
      <w:pPr>
        <w:pStyle w:val="Heading2"/>
        <w:jc w:val="both"/>
      </w:pPr>
      <w:r w:rsidRPr="00D80B9A">
        <w:t xml:space="preserve">Relevance and Significance </w:t>
      </w:r>
    </w:p>
    <w:p w14:paraId="46330AAF" w14:textId="43029A47" w:rsidR="00D321FC" w:rsidRPr="00D80B9A" w:rsidRDefault="00681DAE">
      <w:pPr>
        <w:pStyle w:val="Newparagraph"/>
        <w:jc w:val="both"/>
      </w:pPr>
      <w:r>
        <w:t>Several studies have considered how HIV disclosure takes place on the internet</w:t>
      </w:r>
      <w:r w:rsidR="00603D3A">
        <w:t>.</w:t>
      </w:r>
      <w:r w:rsidR="00D321FC" w:rsidRPr="00F76894">
        <w:rPr>
          <w:rStyle w:val="FootnoteReference"/>
        </w:rPr>
        <w:footnoteReference w:id="15"/>
      </w:r>
      <w:r w:rsidR="00B342EE">
        <w:t xml:space="preserve"> </w:t>
      </w:r>
      <w:r w:rsidR="00E45FC4">
        <w:t xml:space="preserve">Furthermore, </w:t>
      </w:r>
      <w:r w:rsidR="0065706F">
        <w:t xml:space="preserve">recent research has gone on to address how disclosure is taking place </w:t>
      </w:r>
      <w:r w:rsidR="00C511E2">
        <w:t>using dedicated disclosure features on dating website</w:t>
      </w:r>
      <w:r w:rsidR="009C4B55">
        <w:t>;</w:t>
      </w:r>
      <w:r w:rsidR="00C511E2">
        <w:t xml:space="preserve"> which are similar</w:t>
      </w:r>
      <w:r w:rsidR="00356F56">
        <w:t>,</w:t>
      </w:r>
      <w:r w:rsidR="00C511E2">
        <w:t xml:space="preserve"> </w:t>
      </w:r>
      <w:r w:rsidR="005431F4">
        <w:t>in some respects</w:t>
      </w:r>
      <w:r w:rsidR="00356F56">
        <w:t>,</w:t>
      </w:r>
      <w:r w:rsidR="005431F4">
        <w:t xml:space="preserve"> to the </w:t>
      </w:r>
      <w:r w:rsidR="00356F56">
        <w:t>features seen on da</w:t>
      </w:r>
      <w:r w:rsidR="009438F1">
        <w:t>ting application profiles</w:t>
      </w:r>
      <w:r w:rsidR="00D321FC" w:rsidRPr="00D80B9A">
        <w:t>.</w:t>
      </w:r>
      <w:r w:rsidR="00D321FC" w:rsidRPr="00F76894">
        <w:rPr>
          <w:rStyle w:val="FootnoteReference"/>
        </w:rPr>
        <w:footnoteReference w:id="16"/>
      </w:r>
      <w:r w:rsidR="00D321FC" w:rsidRPr="00D80B9A">
        <w:t xml:space="preserve"> However, there has been little research, to date, </w:t>
      </w:r>
      <w:r w:rsidR="00684F59">
        <w:t>which has addressed</w:t>
      </w:r>
      <w:r w:rsidR="00684F59" w:rsidRPr="00D80B9A">
        <w:t xml:space="preserve"> </w:t>
      </w:r>
      <w:r w:rsidR="00D321FC" w:rsidRPr="00D80B9A">
        <w:t xml:space="preserve">HIV disclosure within application profiles using these integrated disclosure features, particularly from a legal perspective. This article draws together technological and sociological discussion of online HIV disclosure and contributes to this discussion in two ways. Firstly, it brings a specifically legal perspective to these discussions by addressing how legal and social discourses on sexual </w:t>
      </w:r>
      <w:r w:rsidR="00D321FC" w:rsidRPr="00D80B9A">
        <w:lastRenderedPageBreak/>
        <w:t xml:space="preserve">responsibility might shape and be shaped by these new features. And second, it develops on existing research into website use by highlighting what is distinct about mobile applications; in particular, the impact of the content restrictions and limitations which app developers must conform to if their applications are to be listed on the leading application marketplaces. </w:t>
      </w:r>
    </w:p>
    <w:p w14:paraId="2F2DB950" w14:textId="3777D654" w:rsidR="00D321FC" w:rsidRPr="00D80B9A" w:rsidRDefault="00D321FC">
      <w:pPr>
        <w:pStyle w:val="Newparagraph"/>
        <w:jc w:val="both"/>
      </w:pPr>
      <w:r w:rsidRPr="00D80B9A">
        <w:t>I draw on qualitative survey responses from current application users in England and Wales and examine how the</w:t>
      </w:r>
      <w:r w:rsidR="00C65ECF">
        <w:t>se</w:t>
      </w:r>
      <w:r w:rsidRPr="00D80B9A">
        <w:t xml:space="preserve"> HIV status disclosure feature might shape discourses on risk and responsibility for preventing HIV transmission. Focusing on the current framework of</w:t>
      </w:r>
      <w:r w:rsidR="00C65ECF">
        <w:t xml:space="preserve"> HIV</w:t>
      </w:r>
      <w:r w:rsidRPr="00D80B9A">
        <w:t xml:space="preserve"> transmission criminalisation, I suggest that content restrictions create an environment where little can be said of </w:t>
      </w:r>
      <w:r w:rsidRPr="00D80B9A">
        <w:rPr>
          <w:i/>
          <w:iCs/>
        </w:rPr>
        <w:t xml:space="preserve">sex </w:t>
      </w:r>
      <w:r w:rsidRPr="00D80B9A">
        <w:t xml:space="preserve">and </w:t>
      </w:r>
      <w:r w:rsidRPr="00D80B9A">
        <w:rPr>
          <w:i/>
          <w:iCs/>
        </w:rPr>
        <w:t xml:space="preserve">desire </w:t>
      </w:r>
      <w:r w:rsidRPr="00D80B9A">
        <w:t>by developers and subsequently by</w:t>
      </w:r>
      <w:r w:rsidR="003C5B20">
        <w:t xml:space="preserve"> users.</w:t>
      </w:r>
      <w:r w:rsidRPr="00D80B9A">
        <w:t xml:space="preserve"> </w:t>
      </w:r>
      <w:r w:rsidR="003C5B20">
        <w:t>F</w:t>
      </w:r>
      <w:r w:rsidR="00F809FD">
        <w:t xml:space="preserve">urthermore, </w:t>
      </w:r>
      <w:r w:rsidR="003C5B20">
        <w:t xml:space="preserve">I suggest </w:t>
      </w:r>
      <w:r w:rsidR="00F809FD">
        <w:t>that</w:t>
      </w:r>
      <w:r w:rsidRPr="00D80B9A">
        <w:t xml:space="preserve"> this is contributing to a culture of exclusion and stigmatisation</w:t>
      </w:r>
      <w:r w:rsidR="003713CB">
        <w:t>,</w:t>
      </w:r>
      <w:r w:rsidRPr="00D80B9A">
        <w:t xml:space="preserve"> </w:t>
      </w:r>
      <w:r w:rsidR="00124D11">
        <w:t>as well as</w:t>
      </w:r>
      <w:r w:rsidR="00A54DEF">
        <w:t xml:space="preserve"> </w:t>
      </w:r>
      <w:r w:rsidRPr="00D80B9A">
        <w:t>to the unequal distribution of responsibility for preventing HIV transmission and promoting sexual health. I conclude by suggesting that, in this respect, applications may contribute to stereotypical, inaccurate and unhelpful narratives involving people living with HIV</w:t>
      </w:r>
      <w:r w:rsidR="00C819D8">
        <w:t xml:space="preserve"> (“PLWHIV”)</w:t>
      </w:r>
      <w:r w:rsidRPr="00D80B9A">
        <w:t xml:space="preserve"> which, coupled with the current legal framework which criminalises “reckless” HIV transmission in the absence of status disclosure, creates an environment where disclosure is seen as a straightforward and unambiguous concept, when in fact it is anything but</w:t>
      </w:r>
      <w:r w:rsidR="000D6FD4">
        <w:t xml:space="preserve"> this</w:t>
      </w:r>
      <w:r w:rsidR="00C819D8">
        <w:t>.</w:t>
      </w:r>
      <w:r w:rsidRPr="00D80B9A">
        <w:t xml:space="preserve"> </w:t>
      </w:r>
    </w:p>
    <w:p w14:paraId="082AEE75" w14:textId="0B6623F1" w:rsidR="00D321FC" w:rsidRPr="00D80B9A" w:rsidRDefault="000D6FD4">
      <w:pPr>
        <w:pStyle w:val="Heading1"/>
        <w:jc w:val="both"/>
      </w:pPr>
      <w:r>
        <w:t>Methodology</w:t>
      </w:r>
    </w:p>
    <w:p w14:paraId="720AC16A" w14:textId="4106ABA9" w:rsidR="00D321FC" w:rsidRPr="00D80B9A" w:rsidRDefault="00D321FC">
      <w:pPr>
        <w:pStyle w:val="Newparagraph"/>
        <w:jc w:val="both"/>
      </w:pPr>
      <w:r w:rsidRPr="00D80B9A">
        <w:t>The data presented in this article is taken from an ongoing doctoral project looking at the criminal law implications of dating application use</w:t>
      </w:r>
      <w:r w:rsidR="009F0738">
        <w:t xml:space="preserve"> and</w:t>
      </w:r>
      <w:r w:rsidRPr="00D80B9A">
        <w:t>, in particular</w:t>
      </w:r>
      <w:r w:rsidR="009F0738">
        <w:t>,</w:t>
      </w:r>
      <w:r w:rsidRPr="00D80B9A">
        <w:t xml:space="preserve"> the HIV disclosure feature</w:t>
      </w:r>
      <w:r w:rsidR="009A2475">
        <w:t>s</w:t>
      </w:r>
      <w:r w:rsidRPr="00D80B9A">
        <w:t xml:space="preserve"> discussed above. Data was collected over a seven-month period </w:t>
      </w:r>
      <w:r w:rsidR="009F18F3">
        <w:t xml:space="preserve">from </w:t>
      </w:r>
      <w:r w:rsidR="009F18F3" w:rsidRPr="00D80B9A">
        <w:t>late</w:t>
      </w:r>
      <w:r w:rsidRPr="00D80B9A">
        <w:t xml:space="preserve"> 2018 </w:t>
      </w:r>
      <w:r w:rsidR="005D5588">
        <w:t>to</w:t>
      </w:r>
      <w:r w:rsidRPr="00D80B9A">
        <w:t xml:space="preserve"> early 2019 using an online qualitative survey. Online survey methods have proved popular and effective at capturing accounts of everyday experiences, given that </w:t>
      </w:r>
      <w:r w:rsidRPr="00D80B9A">
        <w:lastRenderedPageBreak/>
        <w:t>internet usage is now part of the everyday life for many, including those who are LGBT.</w:t>
      </w:r>
      <w:r w:rsidRPr="00F76894">
        <w:rPr>
          <w:rStyle w:val="FootnoteReference"/>
        </w:rPr>
        <w:footnoteReference w:id="17"/>
      </w:r>
      <w:r w:rsidRPr="00D80B9A">
        <w:t xml:space="preserve"> When researching online issues such as dating application use, online methods have the potential to reduce privacy concerns and participant inhibitions</w:t>
      </w:r>
      <w:r w:rsidR="00BA5B59">
        <w:t>.</w:t>
      </w:r>
      <w:r w:rsidRPr="00F76894">
        <w:rPr>
          <w:rStyle w:val="FootnoteReference"/>
        </w:rPr>
        <w:footnoteReference w:id="18"/>
      </w:r>
      <w:r w:rsidRPr="00D80B9A">
        <w:t xml:space="preserve"> </w:t>
      </w:r>
      <w:r w:rsidR="00BA5B59">
        <w:t>Although online methods can introduce barriers</w:t>
      </w:r>
      <w:r w:rsidR="0062510D">
        <w:t xml:space="preserve"> to part</w:t>
      </w:r>
      <w:r w:rsidR="00A036E8">
        <w:t>icipation by requiring internet access, t</w:t>
      </w:r>
      <w:r w:rsidR="003A5B07">
        <w:t xml:space="preserve">his might be considered less of a concern when investigating behaviour which, itself, requires internet access, such as application use. </w:t>
      </w:r>
      <w:r w:rsidRPr="00D80B9A">
        <w:t xml:space="preserve"> </w:t>
      </w:r>
      <w:r w:rsidR="000E4C17">
        <w:t xml:space="preserve">Asynchronous online methods </w:t>
      </w:r>
      <w:r w:rsidRPr="00D80B9A">
        <w:t xml:space="preserve">also have the potential to reach harder to reach groups of participants </w:t>
      </w:r>
      <w:r w:rsidR="005B14D6">
        <w:t xml:space="preserve">by being accessible at a time and place convenient to the participant, </w:t>
      </w:r>
      <w:r w:rsidRPr="00D80B9A">
        <w:t>whilst not, inherently, presenting more ethical challenges that offline methods.</w:t>
      </w:r>
      <w:r w:rsidRPr="00F76894">
        <w:rPr>
          <w:rStyle w:val="FootnoteReference"/>
        </w:rPr>
        <w:footnoteReference w:id="19"/>
      </w:r>
      <w:r w:rsidRPr="00D80B9A">
        <w:t xml:space="preserve"> Importantly for this project, </w:t>
      </w:r>
      <w:r w:rsidR="00D20D5E">
        <w:t xml:space="preserve"> many of the readily available online </w:t>
      </w:r>
      <w:r w:rsidR="00D20D5E">
        <w:lastRenderedPageBreak/>
        <w:t xml:space="preserve">survey </w:t>
      </w:r>
      <w:r w:rsidR="00180BAD">
        <w:t>sites</w:t>
      </w:r>
      <w:r w:rsidRPr="00D80B9A">
        <w:t xml:space="preserve"> facilitate the inclusion of multimedia, including high quality visuals, in the data collection process. </w:t>
      </w:r>
    </w:p>
    <w:p w14:paraId="0180CC5C" w14:textId="3128F363" w:rsidR="005D3A60" w:rsidRDefault="00D321FC">
      <w:pPr>
        <w:pStyle w:val="Newparagraph"/>
        <w:jc w:val="both"/>
      </w:pPr>
      <w:r w:rsidRPr="00D80B9A">
        <w:t xml:space="preserve">Capitalising on this, the data collection survey used in </w:t>
      </w:r>
      <w:r w:rsidR="00296E81">
        <w:t>this</w:t>
      </w:r>
      <w:r w:rsidR="004A189E">
        <w:t xml:space="preserve"> project</w:t>
      </w:r>
      <w:r w:rsidR="00BF5413">
        <w:t xml:space="preserve"> </w:t>
      </w:r>
      <w:r w:rsidRPr="00D80B9A">
        <w:t>employed visual stimuli, in the form of mock application profiles created using Adobe Photoshop. These were used to elicit responses from participants in the form of narratives describing the fictitious users of these profiles</w:t>
      </w:r>
      <w:r w:rsidR="00D000F0">
        <w:t>, as well as to frame</w:t>
      </w:r>
      <w:r w:rsidR="0076046F">
        <w:t xml:space="preserve"> and contextualise</w:t>
      </w:r>
      <w:r w:rsidR="00D000F0">
        <w:t xml:space="preserve"> later, specific, questions</w:t>
      </w:r>
      <w:r w:rsidR="00986E39">
        <w:t xml:space="preserve">. Two of the images </w:t>
      </w:r>
      <w:r w:rsidR="00E201F6">
        <w:t xml:space="preserve">were accompanied by a </w:t>
      </w:r>
      <w:proofErr w:type="gramStart"/>
      <w:r w:rsidR="00E201F6">
        <w:t>short written</w:t>
      </w:r>
      <w:proofErr w:type="gramEnd"/>
      <w:r w:rsidR="00E201F6">
        <w:t xml:space="preserve"> scenario</w:t>
      </w:r>
      <w:r w:rsidR="008F0345">
        <w:t xml:space="preserve"> so that, together, they formed a more traditional</w:t>
      </w:r>
      <w:r w:rsidR="00704D58">
        <w:t xml:space="preserve"> style of vignette</w:t>
      </w:r>
      <w:r w:rsidRPr="00D80B9A">
        <w:t>.</w:t>
      </w:r>
      <w:r w:rsidRPr="00F76894">
        <w:rPr>
          <w:rStyle w:val="FootnoteReference"/>
        </w:rPr>
        <w:footnoteReference w:id="20"/>
      </w:r>
      <w:r w:rsidRPr="00D80B9A">
        <w:t xml:space="preserve"> </w:t>
      </w:r>
      <w:r w:rsidR="00704D58">
        <w:t>The</w:t>
      </w:r>
      <w:r w:rsidR="004D588E">
        <w:t xml:space="preserve"> five stimuli were designed to </w:t>
      </w:r>
      <w:r w:rsidR="00D629F9">
        <w:t xml:space="preserve">elicit broad discussion of different elements of </w:t>
      </w:r>
      <w:r w:rsidR="000A7886">
        <w:t xml:space="preserve">application use and HIV disclosure on </w:t>
      </w:r>
      <w:r w:rsidR="001361A4">
        <w:t>apps. This included:</w:t>
      </w:r>
      <w:r w:rsidR="00C60278">
        <w:t xml:space="preserve"> the impact of</w:t>
      </w:r>
      <w:r w:rsidR="001361A4">
        <w:t xml:space="preserve"> disclosure of an undetectable viral load;</w:t>
      </w:r>
      <w:r w:rsidR="00943378">
        <w:t xml:space="preserve"> </w:t>
      </w:r>
      <w:r w:rsidR="0007000E">
        <w:t xml:space="preserve">how profiles </w:t>
      </w:r>
      <w:r w:rsidR="007161E8">
        <w:t xml:space="preserve">purporting to represent more than one person </w:t>
      </w:r>
      <w:r w:rsidR="00FB2A0A">
        <w:t>were assessed; and,</w:t>
      </w:r>
      <w:r w:rsidR="00214B9B">
        <w:t xml:space="preserve"> </w:t>
      </w:r>
      <w:r w:rsidR="00085149">
        <w:t xml:space="preserve">in one of the two stimuli that were accompanied by a written vignette, </w:t>
      </w:r>
      <w:r w:rsidR="0065462A">
        <w:t>participants</w:t>
      </w:r>
      <w:r w:rsidR="004B02F2">
        <w:t xml:space="preserve">’ reactions to </w:t>
      </w:r>
      <w:r w:rsidR="008246BA">
        <w:t xml:space="preserve">non-disclosure of a positive HIV status. </w:t>
      </w:r>
      <w:r w:rsidR="00FB2A0A">
        <w:t xml:space="preserve"> </w:t>
      </w:r>
    </w:p>
    <w:p w14:paraId="21AAE137" w14:textId="2DE25B20" w:rsidR="00D321FC" w:rsidRPr="00D80B9A" w:rsidRDefault="00D321FC">
      <w:pPr>
        <w:pStyle w:val="Newparagraph"/>
        <w:jc w:val="both"/>
      </w:pPr>
      <w:r w:rsidRPr="00D80B9A">
        <w:t xml:space="preserve">One advantage of this kind of approach </w:t>
      </w:r>
      <w:r w:rsidR="007442A6">
        <w:t>when</w:t>
      </w:r>
      <w:r w:rsidRPr="00D80B9A">
        <w:t xml:space="preserve"> addressing potentially sensitive topics, such as application use and HIV disclosure, is the reduced chance that participants will provide what they consider to be the socially desirable response.</w:t>
      </w:r>
      <w:r w:rsidRPr="00F76894">
        <w:rPr>
          <w:rStyle w:val="FootnoteReference"/>
        </w:rPr>
        <w:footnoteReference w:id="21"/>
      </w:r>
      <w:r w:rsidRPr="00D80B9A">
        <w:t xml:space="preserve"> In this respect, there are some similarities between this</w:t>
      </w:r>
      <w:r w:rsidR="00A41454">
        <w:t xml:space="preserve"> vignette inspired</w:t>
      </w:r>
      <w:r w:rsidRPr="00D80B9A">
        <w:t xml:space="preserve"> approach and</w:t>
      </w:r>
      <w:r w:rsidR="00A41454">
        <w:t xml:space="preserve"> the more</w:t>
      </w:r>
      <w:r w:rsidRPr="00D80B9A">
        <w:t xml:space="preserve"> traditional </w:t>
      </w:r>
      <w:r w:rsidR="00A41454">
        <w:t xml:space="preserve">style of </w:t>
      </w:r>
      <w:r w:rsidRPr="00D80B9A">
        <w:t>vignette.</w:t>
      </w:r>
      <w:r w:rsidRPr="00F76894">
        <w:rPr>
          <w:rStyle w:val="FootnoteReference"/>
        </w:rPr>
        <w:footnoteReference w:id="22"/>
      </w:r>
      <w:r w:rsidRPr="00D80B9A">
        <w:t xml:space="preserve"> By being scenario driven, both facilitate discussion of the </w:t>
      </w:r>
      <w:r w:rsidRPr="00D80B9A">
        <w:lastRenderedPageBreak/>
        <w:t>practical experience of using applications whilst at the same time reducing the risk that participants will be concerned that their responses are embarrassing or controversial.</w:t>
      </w:r>
      <w:r w:rsidRPr="00F76894">
        <w:rPr>
          <w:rStyle w:val="FootnoteReference"/>
        </w:rPr>
        <w:footnoteReference w:id="23"/>
      </w:r>
      <w:r w:rsidRPr="00D80B9A">
        <w:t xml:space="preserve"> </w:t>
      </w:r>
    </w:p>
    <w:p w14:paraId="64463E1D" w14:textId="5FCEB656" w:rsidR="00CE3427" w:rsidRDefault="00D321FC">
      <w:pPr>
        <w:pStyle w:val="Newparagraph"/>
        <w:jc w:val="both"/>
      </w:pPr>
      <w:r w:rsidRPr="00D80B9A">
        <w:t>Using a combination of application-based and social media-based recruitment,</w:t>
      </w:r>
      <w:r w:rsidR="00E0627D">
        <w:t xml:space="preserve"> </w:t>
      </w:r>
      <w:r w:rsidR="00D433FD">
        <w:t>102 participants were re</w:t>
      </w:r>
      <w:r w:rsidR="00A8529F">
        <w:t xml:space="preserve">cruited to take part in the </w:t>
      </w:r>
      <w:proofErr w:type="gramStart"/>
      <w:r w:rsidR="00A8529F">
        <w:t>project.</w:t>
      </w:r>
      <w:r w:rsidRPr="00D80B9A">
        <w:t>.</w:t>
      </w:r>
      <w:proofErr w:type="gramEnd"/>
      <w:r w:rsidRPr="00D80B9A">
        <w:t xml:space="preserve"> Participants were all current or recent application users,</w:t>
      </w:r>
      <w:r w:rsidRPr="00F76894">
        <w:rPr>
          <w:rStyle w:val="FootnoteReference"/>
        </w:rPr>
        <w:footnoteReference w:id="24"/>
      </w:r>
      <w:r w:rsidRPr="00D80B9A">
        <w:t xml:space="preserve"> who had used apps in England </w:t>
      </w:r>
      <w:r w:rsidR="00BA0985">
        <w:t>and/</w:t>
      </w:r>
      <w:r w:rsidRPr="00D80B9A">
        <w:t>or Wales</w:t>
      </w:r>
      <w:r w:rsidR="00927044">
        <w:t xml:space="preserve">, </w:t>
      </w:r>
      <w:r w:rsidR="007C1A58">
        <w:t xml:space="preserve">and </w:t>
      </w:r>
      <w:r w:rsidR="00927044">
        <w:t>who were aged 18 or older at time of participation</w:t>
      </w:r>
      <w:r w:rsidRPr="00D80B9A">
        <w:t>.</w:t>
      </w:r>
      <w:r w:rsidR="00906B10" w:rsidRPr="00F76894">
        <w:rPr>
          <w:rStyle w:val="FootnoteReference"/>
        </w:rPr>
        <w:footnoteReference w:id="25"/>
      </w:r>
      <w:r w:rsidRPr="00D80B9A">
        <w:t xml:space="preserve"> Participants ranged from those who had used apps for a relatively limited period (the shortest being 3 months) to those who had used them and their precursors since their introduction (&gt;10 years). </w:t>
      </w:r>
    </w:p>
    <w:p w14:paraId="1CDB22F5" w14:textId="4E1EF3D5" w:rsidR="0025383D" w:rsidRDefault="005732C4">
      <w:pPr>
        <w:pStyle w:val="Newparagraph"/>
        <w:jc w:val="both"/>
      </w:pPr>
      <w:r>
        <w:t xml:space="preserve">Girard </w:t>
      </w:r>
      <w:r w:rsidR="0058286A">
        <w:t xml:space="preserve">and colleagues </w:t>
      </w:r>
      <w:r>
        <w:t xml:space="preserve">suggest that the </w:t>
      </w:r>
      <w:r w:rsidR="0058286A">
        <w:t xml:space="preserve">impact of the </w:t>
      </w:r>
      <w:r>
        <w:t>changing landscape of HIV treatment and prevention, including treatment as preve</w:t>
      </w:r>
      <w:r w:rsidR="0058286A">
        <w:t>ntion</w:t>
      </w:r>
      <w:r w:rsidR="00235387">
        <w:t xml:space="preserve"> (“</w:t>
      </w:r>
      <w:proofErr w:type="spellStart"/>
      <w:r w:rsidR="00235387">
        <w:t>TasP</w:t>
      </w:r>
      <w:proofErr w:type="spellEnd"/>
      <w:r w:rsidR="00235387">
        <w:t>”)</w:t>
      </w:r>
      <w:r w:rsidR="0058286A">
        <w:t xml:space="preserve">, is felt differently </w:t>
      </w:r>
      <w:r w:rsidR="0058286A">
        <w:lastRenderedPageBreak/>
        <w:t xml:space="preserve">across different </w:t>
      </w:r>
      <w:proofErr w:type="spellStart"/>
      <w:r w:rsidR="0070688D">
        <w:t>biosocialities</w:t>
      </w:r>
      <w:proofErr w:type="spellEnd"/>
      <w:r w:rsidR="0070688D">
        <w:t xml:space="preserve">, including generational </w:t>
      </w:r>
      <w:r w:rsidR="00825ADB">
        <w:t>groups of gay men.</w:t>
      </w:r>
      <w:r w:rsidR="0025383D" w:rsidRPr="00F76894">
        <w:rPr>
          <w:rStyle w:val="FootnoteReference"/>
        </w:rPr>
        <w:footnoteReference w:id="26"/>
      </w:r>
      <w:r w:rsidR="00825ADB">
        <w:t xml:space="preserve"> </w:t>
      </w:r>
      <w:r w:rsidR="00290226">
        <w:t xml:space="preserve">Whilst not an exact </w:t>
      </w:r>
      <w:r w:rsidR="008E4F67">
        <w:t>equivalent for generational status,</w:t>
      </w:r>
      <w:r w:rsidR="00A70204">
        <w:t xml:space="preserve"> the recruitment approach taken did </w:t>
      </w:r>
      <w:r w:rsidR="005C2D93">
        <w:t xml:space="preserve">produce </w:t>
      </w:r>
      <w:r w:rsidR="007A2647">
        <w:t xml:space="preserve">some diversity in the age of </w:t>
      </w:r>
      <w:r w:rsidR="005C2D93">
        <w:t>participants</w:t>
      </w:r>
      <w:r w:rsidR="00DF6514">
        <w:t xml:space="preserve">. </w:t>
      </w:r>
      <w:r w:rsidR="0049486F">
        <w:t xml:space="preserve">Participants ranged from the 18-24 </w:t>
      </w:r>
      <w:r w:rsidR="00C95A53">
        <w:t xml:space="preserve">age bracket </w:t>
      </w:r>
      <w:r w:rsidR="00A2040D">
        <w:t xml:space="preserve">to the 60 – 64 bracket, </w:t>
      </w:r>
      <w:r w:rsidR="00C95A53">
        <w:t xml:space="preserve">with the </w:t>
      </w:r>
      <w:r w:rsidR="00606FB3">
        <w:t>younger brackets generally more represented than older ones.</w:t>
      </w:r>
      <w:r w:rsidR="00224281" w:rsidRPr="00F76894">
        <w:rPr>
          <w:rStyle w:val="FootnoteReference"/>
        </w:rPr>
        <w:footnoteReference w:id="27"/>
      </w:r>
      <w:r w:rsidR="006D1C94">
        <w:t xml:space="preserve"> </w:t>
      </w:r>
      <w:r w:rsidR="00E27D0B">
        <w:t xml:space="preserve">Given this, it is notable that </w:t>
      </w:r>
      <w:r w:rsidR="00D321FC" w:rsidRPr="00D80B9A">
        <w:t>76% of participants (n=77) reported being aware that an undetectable viral load means HIV cannot be transmitted through sex</w:t>
      </w:r>
      <w:r w:rsidR="00BD1FE0">
        <w:t>,</w:t>
      </w:r>
      <w:r w:rsidR="009B72D4">
        <w:rPr>
          <w:rStyle w:val="FootnoteReference"/>
        </w:rPr>
        <w:footnoteReference w:id="28"/>
      </w:r>
      <w:r w:rsidR="00BD1FE0">
        <w:t xml:space="preserve"> </w:t>
      </w:r>
      <w:r w:rsidR="00D321FC" w:rsidRPr="00D80B9A">
        <w:t>prior to participating in the survey</w:t>
      </w:r>
      <w:r w:rsidR="00D85FF8">
        <w:t>;</w:t>
      </w:r>
      <w:r w:rsidR="00D321FC" w:rsidRPr="00D80B9A">
        <w:t xml:space="preserve"> which incorporated this information into one of the scenarios and provided additional information and links to further sources in the concluding questions and debrief. </w:t>
      </w:r>
      <w:r w:rsidR="00A23DD0">
        <w:t xml:space="preserve">Whilst the design of the research means that these results do not aim to be generalisable to all application users, the </w:t>
      </w:r>
      <w:r w:rsidR="009D16C1">
        <w:t xml:space="preserve">high </w:t>
      </w:r>
      <w:r w:rsidR="00A23DD0">
        <w:t xml:space="preserve">proportion of participants </w:t>
      </w:r>
      <w:r w:rsidR="00B533E7">
        <w:t xml:space="preserve">aware of </w:t>
      </w:r>
      <w:proofErr w:type="spellStart"/>
      <w:r w:rsidR="00B533E7">
        <w:t>TasP</w:t>
      </w:r>
      <w:proofErr w:type="spellEnd"/>
      <w:r w:rsidR="003F1272">
        <w:t xml:space="preserve"> across all age brackets</w:t>
      </w:r>
      <w:r w:rsidR="00B533E7">
        <w:t xml:space="preserve"> is </w:t>
      </w:r>
      <w:r w:rsidR="00054F9D">
        <w:t>notable given the</w:t>
      </w:r>
      <w:r w:rsidR="004A0210">
        <w:t xml:space="preserve"> behaviou</w:t>
      </w:r>
      <w:r w:rsidR="00426A33">
        <w:t xml:space="preserve">rs and attitudes </w:t>
      </w:r>
      <w:r w:rsidR="00506870">
        <w:t>towards HIV and people living with HIV discussed below.</w:t>
      </w:r>
      <w:r w:rsidR="003F1272" w:rsidRPr="003F1272">
        <w:rPr>
          <w:rStyle w:val="FootnoteReference"/>
        </w:rPr>
        <w:t xml:space="preserve"> </w:t>
      </w:r>
      <w:r w:rsidR="003F1272" w:rsidRPr="00F76894">
        <w:rPr>
          <w:rStyle w:val="FootnoteReference"/>
        </w:rPr>
        <w:footnoteReference w:id="29"/>
      </w:r>
      <w:r w:rsidR="00506870">
        <w:t xml:space="preserve"> </w:t>
      </w:r>
    </w:p>
    <w:p w14:paraId="338ECF6D" w14:textId="58F6164F" w:rsidR="00D321FC" w:rsidRPr="00D80B9A" w:rsidRDefault="00D321FC">
      <w:pPr>
        <w:pStyle w:val="Newparagraph"/>
        <w:jc w:val="both"/>
      </w:pPr>
      <w:r w:rsidRPr="00D80B9A">
        <w:lastRenderedPageBreak/>
        <w:t>As with many qualitative surveys, there was some variation in the length and depth of the responses,</w:t>
      </w:r>
      <w:r w:rsidRPr="00F76894">
        <w:rPr>
          <w:rStyle w:val="FootnoteReference"/>
        </w:rPr>
        <w:footnoteReference w:id="30"/>
      </w:r>
      <w:r w:rsidRPr="00D80B9A">
        <w:t xml:space="preserve"> however overall engagement with the visual stimuli task and the size of the sample provided a dataset from which I was able to generate several key insights. </w:t>
      </w:r>
      <w:r w:rsidR="005B3F47">
        <w:t>Responses were downloaded</w:t>
      </w:r>
      <w:r w:rsidR="00D719FD">
        <w:t>,</w:t>
      </w:r>
      <w:r w:rsidR="005B3F47">
        <w:t xml:space="preserve"> in full</w:t>
      </w:r>
      <w:r w:rsidR="00D719FD">
        <w:t>,</w:t>
      </w:r>
      <w:r w:rsidR="005B3F47">
        <w:t xml:space="preserve"> from the survey site and imported into N</w:t>
      </w:r>
      <w:r w:rsidR="0070363B">
        <w:t xml:space="preserve">Vivo where </w:t>
      </w:r>
      <w:r w:rsidR="0058317D">
        <w:t>they were coded and thematically analysed.</w:t>
      </w:r>
      <w:r w:rsidR="00C91641" w:rsidRPr="00F76894">
        <w:rPr>
          <w:rStyle w:val="FootnoteReference"/>
        </w:rPr>
        <w:footnoteReference w:id="31"/>
      </w:r>
      <w:r w:rsidR="0058317D">
        <w:t xml:space="preserve"> </w:t>
      </w:r>
      <w:r w:rsidR="00D719FD">
        <w:t>This paper focuse</w:t>
      </w:r>
      <w:r w:rsidR="006440A5">
        <w:t>s</w:t>
      </w:r>
      <w:r w:rsidR="00D719FD">
        <w:t xml:space="preserve"> on several specific </w:t>
      </w:r>
      <w:r w:rsidR="008F0079">
        <w:t xml:space="preserve">themes within the responses, relating to the </w:t>
      </w:r>
      <w:r w:rsidR="00DD5C10">
        <w:t xml:space="preserve">how these new features are used, the </w:t>
      </w:r>
      <w:r w:rsidR="008F0079">
        <w:t xml:space="preserve">design of dating applications and the </w:t>
      </w:r>
      <w:r w:rsidR="006440A5">
        <w:t>impact tha</w:t>
      </w:r>
      <w:r w:rsidR="00DD5C10">
        <w:t>t</w:t>
      </w:r>
      <w:r w:rsidR="006440A5">
        <w:t xml:space="preserve"> th</w:t>
      </w:r>
      <w:r w:rsidR="005B57C4">
        <w:t>is</w:t>
      </w:r>
      <w:r w:rsidR="006440A5">
        <w:t xml:space="preserve"> </w:t>
      </w:r>
      <w:r w:rsidR="00DD5C10">
        <w:t xml:space="preserve">might </w:t>
      </w:r>
      <w:r w:rsidR="006440A5">
        <w:t xml:space="preserve">have on HIV disclosure, </w:t>
      </w:r>
      <w:r w:rsidR="00ED2FC5">
        <w:t xml:space="preserve">and how applications encourage certain forms of sexual responsibility. </w:t>
      </w:r>
      <w:r w:rsidR="00826A32">
        <w:t>It</w:t>
      </w:r>
      <w:r w:rsidR="00232346">
        <w:t xml:space="preserve"> then go</w:t>
      </w:r>
      <w:r w:rsidR="00826A32">
        <w:t>es</w:t>
      </w:r>
      <w:r w:rsidR="00232346">
        <w:t xml:space="preserve"> on to discuss the implications that these new features might have within the content of HIV transmission criminalisation in England and Wales. </w:t>
      </w:r>
      <w:r w:rsidR="00586296">
        <w:t xml:space="preserve"> </w:t>
      </w:r>
    </w:p>
    <w:p w14:paraId="08B85747" w14:textId="77777777" w:rsidR="00D321FC" w:rsidRDefault="00D321FC">
      <w:pPr>
        <w:pStyle w:val="Heading1"/>
        <w:jc w:val="both"/>
      </w:pPr>
      <w:r w:rsidRPr="00D80B9A">
        <w:t>Application Use, Disclosure and Filtering Practices</w:t>
      </w:r>
    </w:p>
    <w:p w14:paraId="07367D09" w14:textId="4B0994BD" w:rsidR="00E061A8" w:rsidRDefault="00F00BC1" w:rsidP="00FF0BB7">
      <w:pPr>
        <w:pStyle w:val="Newparagraph"/>
        <w:jc w:val="both"/>
      </w:pPr>
      <w:r>
        <w:t xml:space="preserve">When discussing the impact </w:t>
      </w:r>
      <w:r w:rsidR="00AC449E">
        <w:t xml:space="preserve">of </w:t>
      </w:r>
      <w:r>
        <w:t xml:space="preserve">HIV disclosure </w:t>
      </w:r>
      <w:r w:rsidR="00A06300">
        <w:t>via application profile</w:t>
      </w:r>
      <w:r w:rsidR="00020C6B">
        <w:t>s</w:t>
      </w:r>
      <w:r>
        <w:t xml:space="preserve">, </w:t>
      </w:r>
      <w:r w:rsidR="00856351">
        <w:t xml:space="preserve">many </w:t>
      </w:r>
      <w:r>
        <w:t xml:space="preserve">participants indicated that disclosure did alter their perception of others and </w:t>
      </w:r>
      <w:r w:rsidR="003D1AEF">
        <w:t>would often lead them to change their behaviour towards them</w:t>
      </w:r>
      <w:r w:rsidR="00E061F6">
        <w:t xml:space="preserve">. The nature of this change </w:t>
      </w:r>
      <w:r w:rsidR="00B94C5B">
        <w:t>varied</w:t>
      </w:r>
      <w:r w:rsidR="00E061F6">
        <w:t xml:space="preserve">; from relatively minor changes to potentially </w:t>
      </w:r>
      <w:r w:rsidR="002463DD">
        <w:t>quite</w:t>
      </w:r>
      <w:r w:rsidR="00E061F6">
        <w:t xml:space="preserve"> stigmatising practices. A notable proportion of participants, although it should be emphasised not a majority, explicitly discussed avoiding contact with someone who </w:t>
      </w:r>
      <w:r w:rsidR="006E3E17">
        <w:t xml:space="preserve">disclosed that they were living with HIV: </w:t>
      </w:r>
    </w:p>
    <w:p w14:paraId="0CF465A3" w14:textId="04F14879" w:rsidR="00D321FC" w:rsidRDefault="00D321FC">
      <w:pPr>
        <w:pStyle w:val="Displayedquotation"/>
        <w:jc w:val="both"/>
      </w:pPr>
      <w:r w:rsidRPr="00D80B9A">
        <w:lastRenderedPageBreak/>
        <w:t xml:space="preserve">The undetected [sic] puts me off other than </w:t>
      </w:r>
      <w:proofErr w:type="spellStart"/>
      <w:r w:rsidRPr="00D80B9A">
        <w:t>than</w:t>
      </w:r>
      <w:proofErr w:type="spellEnd"/>
      <w:r w:rsidRPr="00D80B9A">
        <w:t xml:space="preserve"> [sic] I would meet this person, but </w:t>
      </w:r>
      <w:proofErr w:type="spellStart"/>
      <w:r w:rsidRPr="00D80B9A">
        <w:t>hiv</w:t>
      </w:r>
      <w:proofErr w:type="spellEnd"/>
      <w:r w:rsidRPr="00D80B9A">
        <w:t xml:space="preserve"> undetectable or positive is a no go.</w:t>
      </w:r>
      <w:r w:rsidRPr="00F76894">
        <w:rPr>
          <w:rStyle w:val="FootnoteReference"/>
        </w:rPr>
        <w:footnoteReference w:id="32"/>
      </w:r>
      <w:r w:rsidRPr="00D80B9A">
        <w:t xml:space="preserve"> </w:t>
      </w:r>
    </w:p>
    <w:p w14:paraId="37760F1E" w14:textId="7D8F933C" w:rsidR="006E3E17" w:rsidRDefault="005B0958" w:rsidP="00FF0BB7">
      <w:pPr>
        <w:pStyle w:val="Paragraph"/>
        <w:jc w:val="both"/>
      </w:pPr>
      <w:r>
        <w:t>In addition to outright avoidance, other participants dis</w:t>
      </w:r>
      <w:r w:rsidR="00944576">
        <w:t xml:space="preserve">cussing the same stimuli – </w:t>
      </w:r>
      <w:r w:rsidR="004176A3">
        <w:t>a profile which disclosed</w:t>
      </w:r>
      <w:r w:rsidR="00242022">
        <w:t xml:space="preserve"> an </w:t>
      </w:r>
      <w:r w:rsidR="00856351">
        <w:t>undetectable viral load – stated</w:t>
      </w:r>
      <w:r w:rsidR="00242022">
        <w:t xml:space="preserve"> t</w:t>
      </w:r>
      <w:r w:rsidR="00DB3C36">
        <w:t>hat they would</w:t>
      </w:r>
      <w:r w:rsidR="00783B59">
        <w:t xml:space="preserve">, in particular, avoid sexual contact with the character: </w:t>
      </w:r>
    </w:p>
    <w:p w14:paraId="16A26802" w14:textId="2481B544" w:rsidR="00783B59" w:rsidRDefault="006421EA">
      <w:pPr>
        <w:pStyle w:val="Displayedquotation"/>
        <w:jc w:val="both"/>
      </w:pPr>
      <w:r w:rsidRPr="006421EA">
        <w:t>Keen to make a new friend, looks like they won’t kill me. Won’t be going to the bedroom due to HIV status m</w:t>
      </w:r>
      <w:r>
        <w:t>[sic]</w:t>
      </w:r>
      <w:r w:rsidRPr="006421EA">
        <w:t xml:space="preserve">, glad he’s </w:t>
      </w:r>
      <w:proofErr w:type="spellStart"/>
      <w:r w:rsidRPr="006421EA">
        <w:t>homest</w:t>
      </w:r>
      <w:proofErr w:type="spellEnd"/>
      <w:r w:rsidR="00856351">
        <w:t>[sic]</w:t>
      </w:r>
      <w:r>
        <w:rPr>
          <w:rStyle w:val="FootnoteReference"/>
        </w:rPr>
        <w:footnoteReference w:id="33"/>
      </w:r>
    </w:p>
    <w:p w14:paraId="621C6A08" w14:textId="0B975120" w:rsidR="00224FF4" w:rsidRDefault="00E3779A">
      <w:pPr>
        <w:pStyle w:val="Paragraph"/>
        <w:jc w:val="both"/>
      </w:pPr>
      <w:r>
        <w:t xml:space="preserve">If awareness of </w:t>
      </w:r>
      <w:proofErr w:type="spellStart"/>
      <w:r>
        <w:t>TasP</w:t>
      </w:r>
      <w:proofErr w:type="spellEnd"/>
      <w:r>
        <w:t xml:space="preserve"> </w:t>
      </w:r>
      <w:r w:rsidR="006958D8">
        <w:t>had been</w:t>
      </w:r>
      <w:r>
        <w:t xml:space="preserve"> lower among participants, attitudes and behaviour of thi</w:t>
      </w:r>
      <w:r w:rsidR="00B94C5B">
        <w:t>s</w:t>
      </w:r>
      <w:r>
        <w:t xml:space="preserve"> kind might be explained through confusion over the risks involved in sexual encounters with people living with HIV. However, both of the participants above </w:t>
      </w:r>
      <w:r w:rsidR="00831B70">
        <w:t>were</w:t>
      </w:r>
      <w:r>
        <w:t xml:space="preserve"> aware of </w:t>
      </w:r>
      <w:proofErr w:type="spellStart"/>
      <w:r w:rsidR="00547D44">
        <w:t>TasP</w:t>
      </w:r>
      <w:proofErr w:type="spellEnd"/>
      <w:r w:rsidR="001D5361">
        <w:t xml:space="preserve"> and, f</w:t>
      </w:r>
      <w:r w:rsidR="007A5477">
        <w:t xml:space="preserve">urthermore, </w:t>
      </w:r>
      <w:r w:rsidR="001B5772">
        <w:t>the first</w:t>
      </w:r>
      <w:r w:rsidR="004176A3">
        <w:t xml:space="preserve"> participant in fact emphasised</w:t>
      </w:r>
      <w:r w:rsidR="001B5772">
        <w:t xml:space="preserve"> that </w:t>
      </w:r>
      <w:r w:rsidR="0002695F">
        <w:t>despite</w:t>
      </w:r>
      <w:r w:rsidR="007A5477">
        <w:t xml:space="preserve"> </w:t>
      </w:r>
      <w:r w:rsidR="0002695F">
        <w:t xml:space="preserve">‘undetectable’ being distinct from ‘positive’ their personal ‘no go’ strategy </w:t>
      </w:r>
      <w:r w:rsidR="00175FA0">
        <w:t>remained persistent.</w:t>
      </w:r>
      <w:r w:rsidR="00791F11">
        <w:t xml:space="preserve"> </w:t>
      </w:r>
    </w:p>
    <w:p w14:paraId="78203C15" w14:textId="02D168BC" w:rsidR="0006538D" w:rsidRDefault="006E23C9" w:rsidP="00FF0BB7">
      <w:pPr>
        <w:pStyle w:val="Newparagraph"/>
        <w:jc w:val="both"/>
      </w:pPr>
      <w:r>
        <w:t>Avoidance strategies suc</w:t>
      </w:r>
      <w:r w:rsidR="00AB2AA9">
        <w:t>h as these may have a limited impact on transmission risk</w:t>
      </w:r>
      <w:r w:rsidR="00F33E0A">
        <w:t xml:space="preserve"> and safety</w:t>
      </w:r>
      <w:r w:rsidR="00AB2AA9">
        <w:t>, but</w:t>
      </w:r>
      <w:r w:rsidR="0015287B">
        <w:t xml:space="preserve"> a much more significant impact upon an individual’s </w:t>
      </w:r>
      <w:r w:rsidR="002A201F">
        <w:t>sense of</w:t>
      </w:r>
      <w:r w:rsidR="00F33E0A">
        <w:rPr>
          <w:i/>
          <w:iCs/>
        </w:rPr>
        <w:t xml:space="preserve"> </w:t>
      </w:r>
      <w:r w:rsidR="00F33E0A">
        <w:t>safe</w:t>
      </w:r>
      <w:r w:rsidR="002A201F">
        <w:t>ty.</w:t>
      </w:r>
      <w:r w:rsidR="002A201F">
        <w:rPr>
          <w:rStyle w:val="FootnoteReference"/>
        </w:rPr>
        <w:footnoteReference w:id="34"/>
      </w:r>
      <w:r w:rsidR="002A201F">
        <w:t xml:space="preserve"> </w:t>
      </w:r>
      <w:r w:rsidR="00175FA0">
        <w:t>Such strategies draw on a legacy of association between PLWHIV and infection risk,</w:t>
      </w:r>
      <w:r w:rsidR="00175FA0" w:rsidRPr="00F76894">
        <w:rPr>
          <w:rStyle w:val="FootnoteReference"/>
        </w:rPr>
        <w:footnoteReference w:id="35"/>
      </w:r>
      <w:r w:rsidR="00131363">
        <w:t xml:space="preserve"> as well as individual anxieties</w:t>
      </w:r>
      <w:r w:rsidR="00794318">
        <w:t xml:space="preserve">. </w:t>
      </w:r>
      <w:r w:rsidR="00771E0A">
        <w:t xml:space="preserve">Many </w:t>
      </w:r>
      <w:r w:rsidR="007924DA">
        <w:t>such anxieties</w:t>
      </w:r>
      <w:r w:rsidR="004B36E4">
        <w:t xml:space="preserve"> were</w:t>
      </w:r>
      <w:r w:rsidR="00760D66">
        <w:t xml:space="preserve"> </w:t>
      </w:r>
      <w:r w:rsidR="007924DA">
        <w:t xml:space="preserve">discussed by participants </w:t>
      </w:r>
      <w:r w:rsidR="004B36E4">
        <w:t xml:space="preserve">and </w:t>
      </w:r>
      <w:r w:rsidR="007924DA">
        <w:t>d</w:t>
      </w:r>
      <w:r w:rsidR="00F7220E">
        <w:t xml:space="preserve">rew on the principle that people living with HIV were </w:t>
      </w:r>
      <w:r w:rsidR="00EA210C" w:rsidRPr="00D80B9A">
        <w:t>‘[n]</w:t>
      </w:r>
      <w:proofErr w:type="spellStart"/>
      <w:r w:rsidR="00EA210C" w:rsidRPr="00D80B9A">
        <w:t>ot</w:t>
      </w:r>
      <w:proofErr w:type="spellEnd"/>
      <w:r w:rsidR="00EA210C" w:rsidRPr="00D80B9A">
        <w:t xml:space="preserve"> good at prevention’</w:t>
      </w:r>
      <w:r w:rsidR="00EA210C">
        <w:t>.</w:t>
      </w:r>
      <w:r w:rsidR="00EA210C" w:rsidRPr="00F76894">
        <w:rPr>
          <w:rStyle w:val="FootnoteReference"/>
        </w:rPr>
        <w:footnoteReference w:id="36"/>
      </w:r>
      <w:r w:rsidR="00EA210C">
        <w:t xml:space="preserve"> This </w:t>
      </w:r>
      <w:r w:rsidR="00EA210C">
        <w:lastRenderedPageBreak/>
        <w:t xml:space="preserve">attitude </w:t>
      </w:r>
      <w:r w:rsidR="00737AD9">
        <w:t xml:space="preserve">ran throughout much of the data, even where stimuli </w:t>
      </w:r>
      <w:r w:rsidR="003B7FAC">
        <w:t xml:space="preserve">involved characters </w:t>
      </w:r>
      <w:r w:rsidR="00D75690">
        <w:t xml:space="preserve">who </w:t>
      </w:r>
      <w:r w:rsidR="00286A7A">
        <w:t xml:space="preserve">disclosed </w:t>
      </w:r>
      <w:r w:rsidR="00737AD9">
        <w:t>an undetectable viral load</w:t>
      </w:r>
      <w:r w:rsidR="00080B77">
        <w:t>. It</w:t>
      </w:r>
      <w:r w:rsidR="001D3DFA">
        <w:t xml:space="preserve"> often </w:t>
      </w:r>
      <w:r w:rsidR="00982388">
        <w:t xml:space="preserve">related to a perception that those living with HIV were more likely to engage in what was </w:t>
      </w:r>
      <w:r w:rsidR="0006538D">
        <w:t>perceived</w:t>
      </w:r>
      <w:r w:rsidR="00982388">
        <w:t xml:space="preserve"> as risky sexual behaviour:</w:t>
      </w:r>
    </w:p>
    <w:p w14:paraId="6F512B0C" w14:textId="5646F517" w:rsidR="00D321FC" w:rsidRDefault="00982388">
      <w:pPr>
        <w:pStyle w:val="Displayedquotation"/>
        <w:jc w:val="both"/>
      </w:pPr>
      <w:r>
        <w:t xml:space="preserve"> </w:t>
      </w:r>
      <w:r w:rsidR="00D321FC" w:rsidRPr="00D80B9A">
        <w:t xml:space="preserve">[The character in the profile </w:t>
      </w:r>
      <w:proofErr w:type="gramStart"/>
      <w:r w:rsidR="00D321FC" w:rsidRPr="00D80B9A">
        <w:t>l]</w:t>
      </w:r>
      <w:proofErr w:type="spellStart"/>
      <w:r w:rsidR="00D321FC" w:rsidRPr="00D80B9A">
        <w:t>oves</w:t>
      </w:r>
      <w:proofErr w:type="spellEnd"/>
      <w:proofErr w:type="gramEnd"/>
      <w:r w:rsidR="00D321FC" w:rsidRPr="00D80B9A">
        <w:t xml:space="preserve"> a load in them. Would be nervous to meet although I know what undetectable means.</w:t>
      </w:r>
      <w:r w:rsidR="00D321FC" w:rsidRPr="00FF0BB7">
        <w:rPr>
          <w:rStyle w:val="FootnoteReference"/>
        </w:rPr>
        <w:footnoteReference w:id="37"/>
      </w:r>
    </w:p>
    <w:p w14:paraId="310A254F" w14:textId="5C82426C" w:rsidR="009115C0" w:rsidRDefault="00982388" w:rsidP="00FF0BB7">
      <w:pPr>
        <w:pStyle w:val="Paragraph"/>
        <w:jc w:val="both"/>
      </w:pPr>
      <w:r w:rsidRPr="00982388">
        <w:t>The HIV</w:t>
      </w:r>
      <w:r w:rsidR="003E3B23">
        <w:t xml:space="preserve"> related </w:t>
      </w:r>
      <w:r w:rsidRPr="00982388">
        <w:t>anxiety</w:t>
      </w:r>
      <w:r w:rsidR="00B60DB4">
        <w:t xml:space="preserve"> this participant demonstrates and the extent to which it shapes the avoidance behaviours discussed above</w:t>
      </w:r>
      <w:r w:rsidR="00895ABF">
        <w:t xml:space="preserve"> also</w:t>
      </w:r>
      <w:r w:rsidR="006D35B6">
        <w:t xml:space="preserve"> emphasises the </w:t>
      </w:r>
      <w:r w:rsidR="00022ABA">
        <w:t>quasi-</w:t>
      </w:r>
      <w:r w:rsidR="006D35B6">
        <w:t>marketplace dynamic of</w:t>
      </w:r>
      <w:r w:rsidR="000C4CB7">
        <w:t xml:space="preserve"> dating</w:t>
      </w:r>
      <w:r w:rsidR="006D35B6">
        <w:t xml:space="preserve"> applications. </w:t>
      </w:r>
      <w:r w:rsidR="00B2617F">
        <w:t xml:space="preserve">Dating apps have </w:t>
      </w:r>
      <w:r w:rsidR="00B7298A">
        <w:t xml:space="preserve">been regularly described as </w:t>
      </w:r>
      <w:r w:rsidR="006E7661">
        <w:t xml:space="preserve">a form of </w:t>
      </w:r>
      <w:r w:rsidR="006E7661" w:rsidRPr="00D80B9A">
        <w:t>‘window shopping’</w:t>
      </w:r>
      <w:r w:rsidR="00F76894">
        <w:rPr>
          <w:rStyle w:val="FootnoteReference"/>
        </w:rPr>
        <w:footnoteReference w:id="38"/>
      </w:r>
      <w:r w:rsidR="006E7661" w:rsidRPr="00D80B9A">
        <w:t xml:space="preserve">, </w:t>
      </w:r>
      <w:r w:rsidR="0095667D">
        <w:t>“</w:t>
      </w:r>
      <w:r w:rsidR="006E7661" w:rsidRPr="00D80B9A">
        <w:t>online shopping</w:t>
      </w:r>
      <w:r w:rsidR="0095667D">
        <w:t>”</w:t>
      </w:r>
      <w:r w:rsidR="00430620">
        <w:t>,</w:t>
      </w:r>
      <w:r w:rsidR="00F76894">
        <w:rPr>
          <w:rStyle w:val="FootnoteReference"/>
        </w:rPr>
        <w:footnoteReference w:id="39"/>
      </w:r>
      <w:r w:rsidR="006E7661" w:rsidRPr="00D80B9A">
        <w:t xml:space="preserve"> and as akin to an ‘Argos catalogue’</w:t>
      </w:r>
      <w:r w:rsidR="00F76894">
        <w:rPr>
          <w:rStyle w:val="FootnoteReference"/>
        </w:rPr>
        <w:footnoteReference w:id="40"/>
      </w:r>
      <w:r w:rsidR="006E7661" w:rsidRPr="00D80B9A">
        <w:t xml:space="preserve"> of men</w:t>
      </w:r>
      <w:r w:rsidR="00F9448F">
        <w:t xml:space="preserve">. </w:t>
      </w:r>
      <w:r w:rsidR="00895ABF">
        <w:t>Such</w:t>
      </w:r>
      <w:r w:rsidR="00F9448F">
        <w:t xml:space="preserve"> conceptualisations may result, in part, from the ease with which users can browse, search and filter through those then encounter </w:t>
      </w:r>
      <w:r w:rsidR="008F4C2F">
        <w:t>whilst using apps.</w:t>
      </w:r>
      <w:r w:rsidR="00930650">
        <w:t xml:space="preserve"> </w:t>
      </w:r>
      <w:r w:rsidR="00106E8C">
        <w:t xml:space="preserve">In the same way that filtering through online retail sites has become central to </w:t>
      </w:r>
      <w:r w:rsidR="00B92FEB">
        <w:t>e-commerce</w:t>
      </w:r>
      <w:r w:rsidR="00930650">
        <w:t xml:space="preserve">, filtering </w:t>
      </w:r>
      <w:r w:rsidR="009845E5">
        <w:t xml:space="preserve">has been described as one the ‘central aspects of e-dating among </w:t>
      </w:r>
      <w:r w:rsidR="001E2F77">
        <w:t xml:space="preserve">gay men’ and </w:t>
      </w:r>
      <w:r w:rsidR="006F11A1">
        <w:t xml:space="preserve">reflects </w:t>
      </w:r>
      <w:r w:rsidR="00630AA0">
        <w:t>the extent to which online dating has been shaped by marketplace ideals</w:t>
      </w:r>
      <w:r w:rsidR="00BA2963">
        <w:t xml:space="preserve"> </w:t>
      </w:r>
      <w:r w:rsidR="004176A3">
        <w:t xml:space="preserve">including </w:t>
      </w:r>
      <w:r w:rsidR="003A40A4">
        <w:t>availability</w:t>
      </w:r>
      <w:r w:rsidR="00BA2963">
        <w:t xml:space="preserve">, </w:t>
      </w:r>
      <w:r w:rsidR="00BA2963">
        <w:lastRenderedPageBreak/>
        <w:t>competition</w:t>
      </w:r>
      <w:r w:rsidR="003A40A4">
        <w:t xml:space="preserve"> and choice.</w:t>
      </w:r>
      <w:r w:rsidR="00BA2963">
        <w:rPr>
          <w:rStyle w:val="FootnoteReference"/>
        </w:rPr>
        <w:footnoteReference w:id="41"/>
      </w:r>
      <w:r w:rsidR="001624CC">
        <w:t xml:space="preserve"> The capacity that applications afford users to filter through and choose </w:t>
      </w:r>
      <w:r w:rsidR="00E51624">
        <w:t>who to interact with and avoid</w:t>
      </w:r>
      <w:r w:rsidR="00E979DD">
        <w:t xml:space="preserve"> is exemplified in </w:t>
      </w:r>
      <w:r w:rsidR="001471B2">
        <w:t>the following</w:t>
      </w:r>
      <w:r w:rsidR="0073248A">
        <w:t xml:space="preserve"> excerpt</w:t>
      </w:r>
      <w:r w:rsidR="008154EA">
        <w:t>.</w:t>
      </w:r>
      <w:r w:rsidR="0073248A">
        <w:t xml:space="preserve"> </w:t>
      </w:r>
      <w:r w:rsidR="008154EA">
        <w:t>D</w:t>
      </w:r>
      <w:r w:rsidR="008F4C2F">
        <w:t xml:space="preserve">iscussing a vignette which </w:t>
      </w:r>
      <w:r w:rsidR="00706256">
        <w:t>centred on a character who had recently been diagnosed with gonorrhoea</w:t>
      </w:r>
      <w:r w:rsidR="008151A8">
        <w:t xml:space="preserve"> but who had received treatment and was awaiting an all-clear</w:t>
      </w:r>
      <w:r w:rsidR="00706256">
        <w:t>,</w:t>
      </w:r>
      <w:r w:rsidR="009115C0">
        <w:t xml:space="preserve"> </w:t>
      </w:r>
      <w:r w:rsidR="008154EA">
        <w:t>the</w:t>
      </w:r>
      <w:r w:rsidR="0073248A">
        <w:t xml:space="preserve"> participant </w:t>
      </w:r>
      <w:r w:rsidR="00F55A89">
        <w:t>queried:</w:t>
      </w:r>
      <w:r w:rsidR="00C669BF">
        <w:t xml:space="preserve"> </w:t>
      </w:r>
      <w:r w:rsidR="006B041C">
        <w:t>‘</w:t>
      </w:r>
      <w:r w:rsidR="009115C0">
        <w:t xml:space="preserve">why take a chance when the app is full of </w:t>
      </w:r>
      <w:r w:rsidR="003A73B5">
        <w:t>other available people</w:t>
      </w:r>
      <w:r w:rsidR="006421EA">
        <w:t xml:space="preserve"> too</w:t>
      </w:r>
      <w:r w:rsidR="006B041C">
        <w:t>’</w:t>
      </w:r>
      <w:r w:rsidR="003A73B5">
        <w:t>.</w:t>
      </w:r>
      <w:r w:rsidR="003A73B5" w:rsidRPr="00F76894">
        <w:rPr>
          <w:rStyle w:val="FootnoteReference"/>
        </w:rPr>
        <w:footnoteReference w:id="42"/>
      </w:r>
      <w:r w:rsidR="00C669BF">
        <w:t xml:space="preserve"> </w:t>
      </w:r>
    </w:p>
    <w:p w14:paraId="02143194" w14:textId="39C9CEA0" w:rsidR="00FF5824" w:rsidRDefault="00741D00">
      <w:pPr>
        <w:pStyle w:val="Newparagraph"/>
        <w:jc w:val="both"/>
      </w:pPr>
      <w:r>
        <w:t>At present,</w:t>
      </w:r>
      <w:r w:rsidR="00617D90">
        <w:t xml:space="preserve"> </w:t>
      </w:r>
      <w:r>
        <w:t xml:space="preserve">it is not possible to use the filtering features </w:t>
      </w:r>
      <w:r w:rsidR="005E3C39">
        <w:t>available</w:t>
      </w:r>
      <w:r w:rsidR="00535903">
        <w:t xml:space="preserve"> on</w:t>
      </w:r>
      <w:r w:rsidR="00674E6E">
        <w:t xml:space="preserve"> many of</w:t>
      </w:r>
      <w:r w:rsidR="00535903">
        <w:t xml:space="preserve"> the leading dating applications to filter based on HIV status.</w:t>
      </w:r>
      <w:r w:rsidR="00880DFB" w:rsidRPr="00F76894">
        <w:rPr>
          <w:rStyle w:val="FootnoteReference"/>
        </w:rPr>
        <w:footnoteReference w:id="43"/>
      </w:r>
      <w:r w:rsidR="0003443A">
        <w:t xml:space="preserve"> </w:t>
      </w:r>
      <w:r w:rsidR="00BE6281">
        <w:t xml:space="preserve">However, the design of dating applications </w:t>
      </w:r>
      <w:r w:rsidR="00200A06">
        <w:t>sti</w:t>
      </w:r>
      <w:r w:rsidR="00835AEB">
        <w:t>ll facilitates personal “filtering” behaviour</w:t>
      </w:r>
      <w:r w:rsidR="00784D0D">
        <w:t xml:space="preserve">s such as the ones seen above. </w:t>
      </w:r>
      <w:r w:rsidR="00AD7988">
        <w:t xml:space="preserve">As </w:t>
      </w:r>
      <w:proofErr w:type="spellStart"/>
      <w:r w:rsidR="00784D0D">
        <w:t>Ahlm</w:t>
      </w:r>
      <w:proofErr w:type="spellEnd"/>
      <w:r w:rsidR="00784D0D">
        <w:t xml:space="preserve"> argues</w:t>
      </w:r>
      <w:r w:rsidR="00AD7988">
        <w:t>,</w:t>
      </w:r>
      <w:r w:rsidR="00784D0D">
        <w:t xml:space="preserve"> </w:t>
      </w:r>
      <w:r w:rsidR="006E4786" w:rsidRPr="00D80B9A">
        <w:t xml:space="preserve">‘Grindr has a reputation as a </w:t>
      </w:r>
      <w:proofErr w:type="spellStart"/>
      <w:r w:rsidR="006E4786" w:rsidRPr="00D80B9A">
        <w:t>hookup</w:t>
      </w:r>
      <w:proofErr w:type="spellEnd"/>
      <w:r w:rsidR="006E4786" w:rsidRPr="00D80B9A">
        <w:t xml:space="preserve"> app in part because the design of the app facilitates this purpose’</w:t>
      </w:r>
      <w:r w:rsidR="00573767">
        <w:t>, even though the actual intentions reported by Grindr users are</w:t>
      </w:r>
      <w:r w:rsidR="00962421">
        <w:t xml:space="preserve"> </w:t>
      </w:r>
      <w:r w:rsidR="0018747B">
        <w:t>diverse and broader than this reputation suggests.</w:t>
      </w:r>
      <w:r w:rsidR="00D65171" w:rsidRPr="00F76894">
        <w:rPr>
          <w:rStyle w:val="FootnoteReference"/>
        </w:rPr>
        <w:footnoteReference w:id="44"/>
      </w:r>
      <w:r w:rsidR="002370F4">
        <w:t xml:space="preserve"> </w:t>
      </w:r>
      <w:r w:rsidR="00536ADF">
        <w:t xml:space="preserve">Similarly, </w:t>
      </w:r>
      <w:r w:rsidR="00F34DEB">
        <w:t>the design of profiles on these applications and how information is quickly and easily accessible to users</w:t>
      </w:r>
      <w:r w:rsidR="00605DB1">
        <w:t xml:space="preserve"> facilitates </w:t>
      </w:r>
      <w:r w:rsidR="00A969CF">
        <w:t xml:space="preserve">personal filtering strategies – such as the ‘no go’ </w:t>
      </w:r>
      <w:r w:rsidR="0006724C">
        <w:t>–</w:t>
      </w:r>
      <w:r w:rsidR="00A969CF">
        <w:t xml:space="preserve"> </w:t>
      </w:r>
      <w:r w:rsidR="0006724C">
        <w:t xml:space="preserve">even if the digital filters </w:t>
      </w:r>
      <w:r w:rsidR="002C7792">
        <w:t xml:space="preserve">that are central to application use continue </w:t>
      </w:r>
      <w:r w:rsidR="00B92FEB">
        <w:t>not to allow</w:t>
      </w:r>
      <w:r w:rsidR="002C7792">
        <w:t xml:space="preserve"> filtering based </w:t>
      </w:r>
      <w:r w:rsidR="002C4787">
        <w:t>up</w:t>
      </w:r>
      <w:r w:rsidR="002C7792">
        <w:t xml:space="preserve">on sexual health information. </w:t>
      </w:r>
      <w:r w:rsidR="0006724C">
        <w:t xml:space="preserve"> </w:t>
      </w:r>
    </w:p>
    <w:p w14:paraId="46C183F3" w14:textId="6E95FD59" w:rsidR="009B286C" w:rsidRDefault="007905B6" w:rsidP="00FF0BB7">
      <w:pPr>
        <w:pStyle w:val="Heading2"/>
        <w:jc w:val="both"/>
      </w:pPr>
      <w:r>
        <w:lastRenderedPageBreak/>
        <w:t>Identity v Behaviour</w:t>
      </w:r>
    </w:p>
    <w:p w14:paraId="0B254023" w14:textId="66A1868F" w:rsidR="007905B6" w:rsidRDefault="007905B6">
      <w:pPr>
        <w:pStyle w:val="Newparagraph"/>
        <w:jc w:val="both"/>
      </w:pPr>
      <w:r>
        <w:t>Although dating applications share many similarities with dating websites, there are noticea</w:t>
      </w:r>
      <w:r w:rsidR="00754AE9">
        <w:t>ble distinctions between the two</w:t>
      </w:r>
      <w:r>
        <w:t xml:space="preserve">. </w:t>
      </w:r>
      <w:r w:rsidR="00C8720C">
        <w:t>In contrast to apps, t</w:t>
      </w:r>
      <w:r>
        <w:t>he filtering tools on dating websites often do</w:t>
      </w:r>
      <w:r w:rsidR="003E711F">
        <w:t xml:space="preserve"> allow users to filter based on sexual health information, including based on HIV </w:t>
      </w:r>
      <w:r w:rsidR="002D348E">
        <w:t>status</w:t>
      </w:r>
      <w:r w:rsidR="003E711F">
        <w:t>.</w:t>
      </w:r>
      <w:r w:rsidR="003E711F" w:rsidRPr="00F76894">
        <w:rPr>
          <w:rStyle w:val="FootnoteReference"/>
        </w:rPr>
        <w:footnoteReference w:id="45"/>
      </w:r>
      <w:r w:rsidR="003005C4">
        <w:t xml:space="preserve"> </w:t>
      </w:r>
      <w:r w:rsidR="00754AE9">
        <w:t>In addition,</w:t>
      </w:r>
      <w:r w:rsidR="002D348E">
        <w:t xml:space="preserve"> t</w:t>
      </w:r>
      <w:r w:rsidR="003005C4">
        <w:t xml:space="preserve">here are </w:t>
      </w:r>
      <w:r w:rsidR="00641BF5">
        <w:t xml:space="preserve">differences in the </w:t>
      </w:r>
      <w:r w:rsidR="007F2BCE">
        <w:t>quantity</w:t>
      </w:r>
      <w:r w:rsidR="00371C7F">
        <w:t xml:space="preserve"> of information that can be included in an app profile, designed to be viewed on a mobile device, compared to</w:t>
      </w:r>
      <w:r w:rsidR="000C1535">
        <w:t xml:space="preserve"> many</w:t>
      </w:r>
      <w:r w:rsidR="007F2BCE">
        <w:t xml:space="preserve"> </w:t>
      </w:r>
      <w:r w:rsidR="00371C7F">
        <w:t>webpage</w:t>
      </w:r>
      <w:r w:rsidR="000C1535">
        <w:t>s, which are designed to be viewed on a much larger screen</w:t>
      </w:r>
      <w:r w:rsidR="00371C7F">
        <w:t>.</w:t>
      </w:r>
      <w:r w:rsidR="00371C7F" w:rsidRPr="00F76894">
        <w:rPr>
          <w:rStyle w:val="FootnoteReference"/>
        </w:rPr>
        <w:footnoteReference w:id="46"/>
      </w:r>
      <w:r w:rsidR="00371C7F">
        <w:t xml:space="preserve"> </w:t>
      </w:r>
      <w:r w:rsidR="00AA6A0C">
        <w:t xml:space="preserve">Dating websites also have fewer of the content restrictions of the kind </w:t>
      </w:r>
      <w:r w:rsidR="00144247">
        <w:t xml:space="preserve">discussed below. </w:t>
      </w:r>
      <w:r w:rsidR="001E694B">
        <w:t xml:space="preserve">Another key theme developed from participants’ responses relates to the potential impact that </w:t>
      </w:r>
      <w:r w:rsidR="00F10ABD">
        <w:t>the</w:t>
      </w:r>
      <w:r w:rsidR="006965C8">
        <w:t>se differences in quantity and content m</w:t>
      </w:r>
      <w:r w:rsidR="000722B7">
        <w:t xml:space="preserve">ight have on </w:t>
      </w:r>
      <w:r w:rsidR="00EF14FD">
        <w:t xml:space="preserve">participants’ assumptions and expectations around the behaviour of </w:t>
      </w:r>
      <w:r w:rsidR="00984D4B">
        <w:t xml:space="preserve">people living with HIV. </w:t>
      </w:r>
      <w:r w:rsidR="00EF14FD">
        <w:t xml:space="preserve"> </w:t>
      </w:r>
    </w:p>
    <w:p w14:paraId="05BBF2CA" w14:textId="70020FF3" w:rsidR="00982388" w:rsidRPr="00B60DB4" w:rsidRDefault="00984D4B" w:rsidP="00FF0BB7">
      <w:pPr>
        <w:pStyle w:val="Newparagraph"/>
        <w:jc w:val="both"/>
      </w:pPr>
      <w:r>
        <w:t xml:space="preserve">As noted above, </w:t>
      </w:r>
      <w:r w:rsidR="0040288B">
        <w:t xml:space="preserve">some participants referred to the idea that PLWHIV </w:t>
      </w:r>
      <w:r w:rsidR="00D006DA">
        <w:t xml:space="preserve">were ineffective at prevention or implied a belief that </w:t>
      </w:r>
      <w:r w:rsidR="007E37C4">
        <w:t xml:space="preserve">they were more likely to engage in riskier behaviour. Other participants were more explicit about their expectations </w:t>
      </w:r>
      <w:r w:rsidR="00E84C5B">
        <w:t xml:space="preserve">of </w:t>
      </w:r>
      <w:r w:rsidR="00F95920">
        <w:t>risk-taking</w:t>
      </w:r>
      <w:r w:rsidR="00E84C5B">
        <w:t xml:space="preserve"> behaviour and a lack of </w:t>
      </w:r>
      <w:r w:rsidR="00E12A17">
        <w:t>“safe” behaviour</w:t>
      </w:r>
      <w:r w:rsidR="002C3A73">
        <w:t xml:space="preserve"> by PLWHIV:</w:t>
      </w:r>
    </w:p>
    <w:p w14:paraId="0A7AE2AE" w14:textId="73FE3FCD" w:rsidR="00D321FC" w:rsidRDefault="006421EA">
      <w:pPr>
        <w:pStyle w:val="Displayedquotation"/>
        <w:jc w:val="both"/>
      </w:pPr>
      <w:r w:rsidRPr="006421EA">
        <w:t>The status to me shows that's he's unsafe and takes risks. It doesn't bother me to</w:t>
      </w:r>
      <w:r>
        <w:t>[sic]</w:t>
      </w:r>
      <w:r w:rsidRPr="006421EA">
        <w:t xml:space="preserve"> much that he has it but if he takes risks then that could put me off. Putting the date on when he last got tests is a good idea.</w:t>
      </w:r>
      <w:r w:rsidR="00D321FC" w:rsidRPr="00FF0BB7">
        <w:rPr>
          <w:rStyle w:val="FootnoteReference"/>
        </w:rPr>
        <w:footnoteReference w:id="47"/>
      </w:r>
    </w:p>
    <w:p w14:paraId="2A555403" w14:textId="5BCB4436" w:rsidR="006B722B" w:rsidRDefault="006D6840" w:rsidP="00FF0BB7">
      <w:pPr>
        <w:pStyle w:val="Newparagraph"/>
        <w:jc w:val="both"/>
      </w:pPr>
      <w:r>
        <w:lastRenderedPageBreak/>
        <w:t xml:space="preserve">Several </w:t>
      </w:r>
      <w:r w:rsidR="00606C08">
        <w:t>participants</w:t>
      </w:r>
      <w:r w:rsidR="006A21A9">
        <w:t xml:space="preserve"> did</w:t>
      </w:r>
      <w:r w:rsidR="00606C08">
        <w:t xml:space="preserve"> discuss HIV </w:t>
      </w:r>
      <w:r w:rsidR="005C5FD3">
        <w:t xml:space="preserve">treatment’s preventative effect, including some who specifically highlighted </w:t>
      </w:r>
      <w:r w:rsidR="0081523C">
        <w:t>how</w:t>
      </w:r>
      <w:r w:rsidR="00D321FC" w:rsidRPr="00D80B9A">
        <w:t xml:space="preserve"> ‘[t]</w:t>
      </w:r>
      <w:proofErr w:type="spellStart"/>
      <w:r w:rsidR="00D321FC" w:rsidRPr="00D80B9A">
        <w:t>reatment</w:t>
      </w:r>
      <w:proofErr w:type="spellEnd"/>
      <w:r w:rsidR="00D321FC" w:rsidRPr="00D80B9A">
        <w:t xml:space="preserve"> as Prevention</w:t>
      </w:r>
      <w:r w:rsidR="0081523C">
        <w:t xml:space="preserve"> [can be]</w:t>
      </w:r>
      <w:r w:rsidR="00D321FC" w:rsidRPr="00D80B9A">
        <w:t xml:space="preserve"> part of [an individual’s] safer sexual practices’</w:t>
      </w:r>
      <w:r w:rsidR="004F4B5F">
        <w:t>.</w:t>
      </w:r>
      <w:r w:rsidR="00D321FC" w:rsidRPr="00F76894">
        <w:rPr>
          <w:rStyle w:val="FootnoteReference"/>
        </w:rPr>
        <w:footnoteReference w:id="48"/>
      </w:r>
      <w:r w:rsidR="00B444E3">
        <w:t xml:space="preserve"> </w:t>
      </w:r>
      <w:r w:rsidR="006A21A9">
        <w:t>Whilst o</w:t>
      </w:r>
      <w:r w:rsidR="004F4B5F">
        <w:t>thers</w:t>
      </w:r>
      <w:r w:rsidR="00B444E3">
        <w:t xml:space="preserve"> </w:t>
      </w:r>
      <w:r w:rsidR="002425CB">
        <w:t>spoke of</w:t>
      </w:r>
      <w:r w:rsidR="0092212A">
        <w:t xml:space="preserve"> an undetectable status </w:t>
      </w:r>
      <w:r w:rsidR="000E1E22">
        <w:t>reflect</w:t>
      </w:r>
      <w:r w:rsidR="00FC7061">
        <w:t>ing</w:t>
      </w:r>
      <w:r w:rsidR="000E1E22">
        <w:t xml:space="preserve"> the fact that</w:t>
      </w:r>
      <w:r w:rsidR="0092212A">
        <w:t xml:space="preserve"> someone living with HIV </w:t>
      </w:r>
      <w:r w:rsidR="00153B85">
        <w:t>ha</w:t>
      </w:r>
      <w:r w:rsidR="00D61DBE">
        <w:t>d</w:t>
      </w:r>
      <w:r w:rsidR="007A317E">
        <w:t xml:space="preserve"> ‘tak</w:t>
      </w:r>
      <w:r w:rsidR="00153B85">
        <w:t>en</w:t>
      </w:r>
      <w:r w:rsidR="007A317E">
        <w:t xml:space="preserve"> steps to reduce the harm to himself and others to effective</w:t>
      </w:r>
      <w:r w:rsidR="006D57DA">
        <w:t>ly</w:t>
      </w:r>
      <w:r w:rsidR="00715111">
        <w:t xml:space="preserve"> zero.</w:t>
      </w:r>
      <w:r w:rsidR="000A0DAC">
        <w:t>’</w:t>
      </w:r>
      <w:r w:rsidR="00454971" w:rsidRPr="00F76894">
        <w:rPr>
          <w:rStyle w:val="FootnoteReference"/>
        </w:rPr>
        <w:footnoteReference w:id="49"/>
      </w:r>
      <w:r w:rsidR="00D321FC" w:rsidRPr="00D80B9A">
        <w:t xml:space="preserve"> </w:t>
      </w:r>
      <w:r w:rsidR="000719E7">
        <w:t>However, statements</w:t>
      </w:r>
      <w:r w:rsidR="00375826">
        <w:t xml:space="preserve"> such as the one above appear to indicate that </w:t>
      </w:r>
      <w:proofErr w:type="spellStart"/>
      <w:r w:rsidR="00375826">
        <w:t>TasP</w:t>
      </w:r>
      <w:proofErr w:type="spellEnd"/>
      <w:r w:rsidR="00375826">
        <w:t xml:space="preserve"> is not seen as a risk reduction strategy</w:t>
      </w:r>
      <w:r w:rsidR="006466F7">
        <w:t xml:space="preserve"> in this way</w:t>
      </w:r>
      <w:r w:rsidR="00375826">
        <w:t xml:space="preserve"> by al</w:t>
      </w:r>
      <w:r w:rsidR="006466F7">
        <w:t>l.</w:t>
      </w:r>
    </w:p>
    <w:p w14:paraId="4C1D0E1A" w14:textId="5BAA7B7F" w:rsidR="001E2102" w:rsidRDefault="00243013">
      <w:pPr>
        <w:pStyle w:val="Newparagraph"/>
        <w:jc w:val="both"/>
      </w:pPr>
      <w:r>
        <w:t xml:space="preserve">Another participant </w:t>
      </w:r>
      <w:r w:rsidR="006B722B">
        <w:t>suggested</w:t>
      </w:r>
      <w:r w:rsidR="004E5E84">
        <w:t xml:space="preserve"> </w:t>
      </w:r>
      <w:r w:rsidR="006B722B">
        <w:t xml:space="preserve">that </w:t>
      </w:r>
      <w:r w:rsidR="00570F57">
        <w:t xml:space="preserve">disclosure of an undetectable viral load in a profile showed that the person using the profile was </w:t>
      </w:r>
      <w:r w:rsidR="00427E3C">
        <w:t>‘</w:t>
      </w:r>
      <w:r w:rsidR="006421EA" w:rsidRPr="006421EA">
        <w:t xml:space="preserve">positive, </w:t>
      </w:r>
      <w:proofErr w:type="spellStart"/>
      <w:r w:rsidR="006421EA" w:rsidRPr="006421EA">
        <w:t>undectable</w:t>
      </w:r>
      <w:proofErr w:type="spellEnd"/>
      <w:r w:rsidR="006421EA">
        <w:t>[sic]</w:t>
      </w:r>
      <w:r w:rsidR="006421EA" w:rsidRPr="006421EA">
        <w:t xml:space="preserve"> and that he has recently had unprotected sex</w:t>
      </w:r>
      <w:r w:rsidR="00427E3C">
        <w:t>’</w:t>
      </w:r>
      <w:r w:rsidR="00191099">
        <w:t>.</w:t>
      </w:r>
      <w:r w:rsidR="00D321FC" w:rsidRPr="00F76894">
        <w:rPr>
          <w:rStyle w:val="FootnoteReference"/>
        </w:rPr>
        <w:footnoteReference w:id="50"/>
      </w:r>
      <w:r w:rsidR="00191099">
        <w:t xml:space="preserve"> </w:t>
      </w:r>
      <w:r w:rsidR="009346DE">
        <w:t xml:space="preserve">Whilst the protection that </w:t>
      </w:r>
      <w:proofErr w:type="spellStart"/>
      <w:r w:rsidR="009346DE">
        <w:t>TasP</w:t>
      </w:r>
      <w:proofErr w:type="spellEnd"/>
      <w:r w:rsidR="000946F8">
        <w:t xml:space="preserve"> provides is limited to HIV, there has been a shift away from </w:t>
      </w:r>
      <w:r w:rsidR="00DA7527">
        <w:t xml:space="preserve">equating </w:t>
      </w:r>
      <w:proofErr w:type="spellStart"/>
      <w:r w:rsidR="00DA7527">
        <w:t>condomless</w:t>
      </w:r>
      <w:proofErr w:type="spellEnd"/>
      <w:r w:rsidR="00DA7527">
        <w:t xml:space="preserve"> sex </w:t>
      </w:r>
      <w:r w:rsidR="00525322">
        <w:t>with unprotected sex</w:t>
      </w:r>
      <w:r w:rsidR="0038134C">
        <w:t>, due to</w:t>
      </w:r>
      <w:r w:rsidR="00525322">
        <w:t xml:space="preserve"> the protection that </w:t>
      </w:r>
      <w:proofErr w:type="spellStart"/>
      <w:r w:rsidR="00525322">
        <w:t>TasP</w:t>
      </w:r>
      <w:proofErr w:type="spellEnd"/>
      <w:r w:rsidR="00525322">
        <w:t xml:space="preserve"> and </w:t>
      </w:r>
      <w:proofErr w:type="spellStart"/>
      <w:r w:rsidR="00525322">
        <w:t>PrEP</w:t>
      </w:r>
      <w:proofErr w:type="spellEnd"/>
      <w:r w:rsidR="00525322">
        <w:t xml:space="preserve"> </w:t>
      </w:r>
      <w:r w:rsidR="00A36778">
        <w:t>can offer.</w:t>
      </w:r>
      <w:r w:rsidR="00A36778" w:rsidRPr="00F76894">
        <w:rPr>
          <w:rStyle w:val="FootnoteReference"/>
        </w:rPr>
        <w:footnoteReference w:id="51"/>
      </w:r>
      <w:r w:rsidR="00A36778">
        <w:t xml:space="preserve"> </w:t>
      </w:r>
      <w:r w:rsidR="007C2155">
        <w:t>Beliefs such as the one</w:t>
      </w:r>
      <w:r w:rsidR="00874275">
        <w:t>s</w:t>
      </w:r>
      <w:r w:rsidR="007C2155">
        <w:t xml:space="preserve"> seen here suggest that</w:t>
      </w:r>
      <w:r w:rsidR="00DE00EB">
        <w:t>,</w:t>
      </w:r>
      <w:r w:rsidR="007C2155">
        <w:t xml:space="preserve"> despite th</w:t>
      </w:r>
      <w:r w:rsidR="00DE00EB">
        <w:t>is</w:t>
      </w:r>
      <w:r w:rsidR="007C2155">
        <w:t xml:space="preserve"> shift in language, many of those using a</w:t>
      </w:r>
      <w:r w:rsidR="00DE00EB">
        <w:t>pplications continue to see sex through safe/unsafe binar</w:t>
      </w:r>
      <w:r w:rsidR="00234A4A">
        <w:t>ies dependent upon condom use.</w:t>
      </w:r>
      <w:r w:rsidR="00234A4A">
        <w:rPr>
          <w:rStyle w:val="FootnoteReference"/>
        </w:rPr>
        <w:footnoteReference w:id="52"/>
      </w:r>
    </w:p>
    <w:p w14:paraId="70C613AF" w14:textId="3DEC82D9" w:rsidR="0043308F" w:rsidRDefault="00A36778">
      <w:pPr>
        <w:pStyle w:val="Newparagraph"/>
        <w:jc w:val="both"/>
      </w:pPr>
      <w:r>
        <w:t>The notion that disclosing an undetectable status indicates particular behaviour</w:t>
      </w:r>
      <w:r w:rsidR="00A61D2E">
        <w:t>s</w:t>
      </w:r>
      <w:r w:rsidR="004438F2">
        <w:t xml:space="preserve">, such as </w:t>
      </w:r>
      <w:r w:rsidR="00801206">
        <w:t xml:space="preserve">the non-use of condoms, </w:t>
      </w:r>
      <w:r w:rsidR="00E16C87">
        <w:t xml:space="preserve">may be seen to reflect the limits of what can be included </w:t>
      </w:r>
      <w:r w:rsidR="00272E7C">
        <w:t xml:space="preserve">in profiles. It also highlights how interaction on applications can be </w:t>
      </w:r>
      <w:r w:rsidR="00221D77">
        <w:t xml:space="preserve">driven by culturally specific assumptions and expectations that may not be universally understood even </w:t>
      </w:r>
      <w:r w:rsidR="00221D77">
        <w:lastRenderedPageBreak/>
        <w:t xml:space="preserve">among application users. Whilst it </w:t>
      </w:r>
      <w:r w:rsidR="003B0093">
        <w:t>may be initially unsurprising that</w:t>
      </w:r>
      <w:r w:rsidR="0043308F">
        <w:t xml:space="preserve"> the participant above suggests that the character in the stimuli is sexually active – another participant explained that</w:t>
      </w:r>
      <w:r w:rsidR="00D321FC" w:rsidRPr="00D80B9A">
        <w:t xml:space="preserve"> ‘Grindr is very much a “hook up” app and </w:t>
      </w:r>
      <w:r w:rsidR="006421EA">
        <w:t xml:space="preserve">[it is] </w:t>
      </w:r>
      <w:r w:rsidR="00D321FC" w:rsidRPr="00D80B9A">
        <w:t>very difficult to meet guys for anything other than sex’</w:t>
      </w:r>
      <w:r w:rsidR="00D321FC" w:rsidRPr="00F76894">
        <w:rPr>
          <w:rStyle w:val="FootnoteReference"/>
        </w:rPr>
        <w:footnoteReference w:id="53"/>
      </w:r>
      <w:r w:rsidR="00D321FC" w:rsidRPr="00D80B9A">
        <w:t xml:space="preserve"> </w:t>
      </w:r>
      <w:r w:rsidR="0043308F">
        <w:t xml:space="preserve">– </w:t>
      </w:r>
      <w:r w:rsidR="00C46028">
        <w:t xml:space="preserve">it is notable because, to this participant, disclosing </w:t>
      </w:r>
      <w:r w:rsidR="002D1110">
        <w:t xml:space="preserve">the use of </w:t>
      </w:r>
      <w:proofErr w:type="spellStart"/>
      <w:r w:rsidR="002D1110">
        <w:t>TasP</w:t>
      </w:r>
      <w:proofErr w:type="spellEnd"/>
      <w:r w:rsidR="003B2F35">
        <w:t xml:space="preserve"> (which they do not consider to be </w:t>
      </w:r>
      <w:r w:rsidR="009C0492">
        <w:t>protection) implie</w:t>
      </w:r>
      <w:r w:rsidR="00F3475A">
        <w:t xml:space="preserve">d </w:t>
      </w:r>
      <w:r w:rsidR="00DA7807">
        <w:t xml:space="preserve">the user was sexually active </w:t>
      </w:r>
      <w:r w:rsidR="00F3475A">
        <w:t>and</w:t>
      </w:r>
      <w:r w:rsidR="009C0492">
        <w:t xml:space="preserve"> </w:t>
      </w:r>
      <w:r w:rsidR="00DA7807">
        <w:t>did not make use of</w:t>
      </w:r>
      <w:r w:rsidR="00644F02">
        <w:t xml:space="preserve"> </w:t>
      </w:r>
      <w:r w:rsidR="00B2545C">
        <w:t>other forms of pr</w:t>
      </w:r>
      <w:r w:rsidR="002D2FDF">
        <w:t>otection</w:t>
      </w:r>
      <w:r w:rsidR="006E7454">
        <w:t>, such as condoms</w:t>
      </w:r>
      <w:r w:rsidR="00B2545C">
        <w:t>.</w:t>
      </w:r>
    </w:p>
    <w:p w14:paraId="6D635A85" w14:textId="06FB1955" w:rsidR="003141A3" w:rsidRDefault="001756B7" w:rsidP="00E95B0D">
      <w:pPr>
        <w:pStyle w:val="Newparagraph"/>
        <w:jc w:val="both"/>
      </w:pPr>
      <w:r>
        <w:t xml:space="preserve">The extent to which </w:t>
      </w:r>
      <w:r w:rsidR="00DF6476">
        <w:t xml:space="preserve">the identities presented in profiles are read as indicating </w:t>
      </w:r>
      <w:r w:rsidR="005A249C">
        <w:t>particular behaviours and sexual practices appears</w:t>
      </w:r>
      <w:r w:rsidR="00616EC9">
        <w:t xml:space="preserve"> to </w:t>
      </w:r>
      <w:r w:rsidR="009D2D3B">
        <w:t>concord with</w:t>
      </w:r>
      <w:r w:rsidR="00616EC9">
        <w:t xml:space="preserve"> </w:t>
      </w:r>
      <w:proofErr w:type="spellStart"/>
      <w:r w:rsidR="00E75481" w:rsidRPr="00D80B9A">
        <w:t>Spieldenner</w:t>
      </w:r>
      <w:r w:rsidR="00616EC9">
        <w:t>’s</w:t>
      </w:r>
      <w:proofErr w:type="spellEnd"/>
      <w:r w:rsidR="00616EC9">
        <w:t xml:space="preserve"> </w:t>
      </w:r>
      <w:r w:rsidR="00CB2157">
        <w:t>claim</w:t>
      </w:r>
      <w:r w:rsidR="00616EC9">
        <w:t xml:space="preserve"> that </w:t>
      </w:r>
      <w:r w:rsidR="00E75481" w:rsidRPr="00D80B9A">
        <w:t>‘[g]ay men’s uses of online sex sites is often driven by identity markers’.</w:t>
      </w:r>
      <w:r w:rsidR="00E75481" w:rsidRPr="00F76894">
        <w:rPr>
          <w:rStyle w:val="FootnoteReference"/>
        </w:rPr>
        <w:footnoteReference w:id="54"/>
      </w:r>
      <w:r w:rsidR="00E75481" w:rsidRPr="00D80B9A">
        <w:t xml:space="preserve"> </w:t>
      </w:r>
      <w:r w:rsidR="008D4190">
        <w:t xml:space="preserve">These markers often focus on </w:t>
      </w:r>
      <w:r w:rsidR="00805154">
        <w:t>visual and aesthetic labels</w:t>
      </w:r>
      <w:r w:rsidR="00E75481" w:rsidRPr="00D80B9A">
        <w:t xml:space="preserve">, which some have noted can </w:t>
      </w:r>
      <w:r w:rsidR="006B041E">
        <w:t>result in</w:t>
      </w:r>
      <w:r w:rsidR="00E75481" w:rsidRPr="00D80B9A">
        <w:t xml:space="preserve"> </w:t>
      </w:r>
      <w:r w:rsidR="00575D27">
        <w:t xml:space="preserve">forms </w:t>
      </w:r>
      <w:r w:rsidR="00E75481" w:rsidRPr="00D80B9A">
        <w:t xml:space="preserve">of ‘aesthetic discrimination’ </w:t>
      </w:r>
      <w:r w:rsidR="002C38C4">
        <w:t xml:space="preserve">sharing some similarities with </w:t>
      </w:r>
      <w:r w:rsidR="00875DEB">
        <w:t xml:space="preserve">forms of racial, ageist and ableist </w:t>
      </w:r>
      <w:r w:rsidR="00300159">
        <w:t>discrimination.</w:t>
      </w:r>
      <w:r w:rsidR="006D74A8" w:rsidRPr="00F76894">
        <w:rPr>
          <w:rStyle w:val="FootnoteReference"/>
        </w:rPr>
        <w:footnoteReference w:id="55"/>
      </w:r>
      <w:r w:rsidR="006D74A8">
        <w:t xml:space="preserve"> </w:t>
      </w:r>
      <w:r w:rsidR="00720888">
        <w:t>But</w:t>
      </w:r>
      <w:r w:rsidR="00F67FE8">
        <w:t>,</w:t>
      </w:r>
      <w:r w:rsidR="00720888">
        <w:t xml:space="preserve"> also</w:t>
      </w:r>
      <w:r w:rsidR="00F67FE8">
        <w:t>,</w:t>
      </w:r>
      <w:r w:rsidR="00720888">
        <w:t xml:space="preserve"> include what might otherwise be non-visible identitie</w:t>
      </w:r>
      <w:r w:rsidR="00FE5E91">
        <w:t>s,</w:t>
      </w:r>
      <w:r w:rsidR="002D2FDF">
        <w:t xml:space="preserve"> as</w:t>
      </w:r>
      <w:r w:rsidR="00FE5E91">
        <w:t xml:space="preserve"> seen </w:t>
      </w:r>
      <w:r w:rsidR="002D2FDF">
        <w:t>in this instance</w:t>
      </w:r>
      <w:r w:rsidR="00FE5E91">
        <w:t xml:space="preserve"> with HIV status</w:t>
      </w:r>
      <w:r w:rsidR="00372B85">
        <w:t xml:space="preserve">. </w:t>
      </w:r>
    </w:p>
    <w:p w14:paraId="481D5B1A" w14:textId="71CB057E" w:rsidR="00404AEB" w:rsidRDefault="00A70CFF" w:rsidP="00404AEB">
      <w:pPr>
        <w:pStyle w:val="Newparagraph"/>
        <w:jc w:val="both"/>
      </w:pPr>
      <w:r>
        <w:t>The</w:t>
      </w:r>
      <w:r w:rsidR="006456CE">
        <w:t xml:space="preserve"> design of dating websites </w:t>
      </w:r>
      <w:r w:rsidR="004E1206">
        <w:t xml:space="preserve">and applications is predicated on </w:t>
      </w:r>
      <w:r w:rsidR="00192A59">
        <w:t xml:space="preserve">binaries based on </w:t>
      </w:r>
      <w:r w:rsidR="00DE5E24">
        <w:t xml:space="preserve">identity </w:t>
      </w:r>
      <w:r w:rsidR="00192A59">
        <w:t>labels</w:t>
      </w:r>
      <w:r w:rsidR="00DE5E24">
        <w:t xml:space="preserve"> such as these</w:t>
      </w:r>
      <w:r w:rsidR="00192A59">
        <w:t>. Labels are selected or rejected</w:t>
      </w:r>
      <w:r w:rsidR="00F94CAA">
        <w:t xml:space="preserve"> when creating a profile</w:t>
      </w:r>
      <w:r w:rsidR="00344287">
        <w:t>,</w:t>
      </w:r>
      <w:r w:rsidR="00F71392">
        <w:rPr>
          <w:rStyle w:val="FootnoteReference"/>
        </w:rPr>
        <w:footnoteReference w:id="56"/>
      </w:r>
      <w:r w:rsidR="00344287">
        <w:t xml:space="preserve"> and then</w:t>
      </w:r>
      <w:r w:rsidR="0005300E">
        <w:t xml:space="preserve"> can be</w:t>
      </w:r>
      <w:r w:rsidR="00344287">
        <w:t xml:space="preserve"> given effect through the filtering process</w:t>
      </w:r>
      <w:r w:rsidR="002D2FDF">
        <w:t>es</w:t>
      </w:r>
      <w:r w:rsidR="00344287">
        <w:t xml:space="preserve"> discussed above.</w:t>
      </w:r>
      <w:r w:rsidR="008B5048">
        <w:t xml:space="preserve"> </w:t>
      </w:r>
      <w:r w:rsidR="00E81851">
        <w:t>Although</w:t>
      </w:r>
      <w:r w:rsidR="00404AEB">
        <w:t xml:space="preserve"> HIV status is not reduced down to a single binary </w:t>
      </w:r>
      <w:r w:rsidR="00404AEB" w:rsidRPr="005857F7">
        <w:t xml:space="preserve">within </w:t>
      </w:r>
      <w:r w:rsidR="00404AEB" w:rsidRPr="00012636">
        <w:t>application profiles</w:t>
      </w:r>
      <w:r w:rsidR="00404AEB">
        <w:t>,</w:t>
      </w:r>
      <w:r w:rsidR="00C013E6">
        <w:t xml:space="preserve"> there are</w:t>
      </w:r>
      <w:r w:rsidR="001D3DD0">
        <w:t>,</w:t>
      </w:r>
      <w:r w:rsidR="00C013E6">
        <w:t xml:space="preserve"> </w:t>
      </w:r>
      <w:r w:rsidR="001D3DD0">
        <w:t xml:space="preserve">still, </w:t>
      </w:r>
      <w:r w:rsidR="00C013E6">
        <w:t xml:space="preserve">a </w:t>
      </w:r>
      <w:r w:rsidR="00C013E6">
        <w:lastRenderedPageBreak/>
        <w:t xml:space="preserve">limited range of </w:t>
      </w:r>
      <w:r w:rsidR="00F96538">
        <w:t>options available to choose from</w:t>
      </w:r>
      <w:r w:rsidR="00DE1849">
        <w:t>.</w:t>
      </w:r>
      <w:r w:rsidR="00404AEB" w:rsidRPr="00F76894">
        <w:rPr>
          <w:rStyle w:val="FootnoteReference"/>
        </w:rPr>
        <w:footnoteReference w:id="57"/>
      </w:r>
      <w:r w:rsidR="00DE1849">
        <w:t xml:space="preserve"> Moreover, it appears that these labels do not prevent the condom-centric safety binary discussed above but</w:t>
      </w:r>
      <w:r w:rsidR="00FF1D91">
        <w:t>,</w:t>
      </w:r>
      <w:r w:rsidR="00DE1849">
        <w:t xml:space="preserve"> rather, </w:t>
      </w:r>
      <w:r w:rsidR="00FF1D91">
        <w:t xml:space="preserve">feature within it. </w:t>
      </w:r>
    </w:p>
    <w:p w14:paraId="6DF8ABAD" w14:textId="1A39CE30" w:rsidR="00D321FC" w:rsidRPr="00D80B9A" w:rsidRDefault="00A32ED3">
      <w:pPr>
        <w:pStyle w:val="Newparagraph"/>
        <w:jc w:val="both"/>
      </w:pPr>
      <w:r>
        <w:t xml:space="preserve">As </w:t>
      </w:r>
      <w:proofErr w:type="spellStart"/>
      <w:r w:rsidR="0015549D">
        <w:t>Spieldenner</w:t>
      </w:r>
      <w:proofErr w:type="spellEnd"/>
      <w:r w:rsidR="0015549D">
        <w:t xml:space="preserve"> notes</w:t>
      </w:r>
      <w:r>
        <w:t xml:space="preserve">, </w:t>
      </w:r>
      <w:r w:rsidR="00172797">
        <w:t xml:space="preserve">binary thinking such as this </w:t>
      </w:r>
      <w:r w:rsidR="008179A1">
        <w:t>often has the effect of delineating</w:t>
      </w:r>
      <w:r w:rsidR="00E67E0C">
        <w:t xml:space="preserve"> what is desirable and what undesirable</w:t>
      </w:r>
      <w:r w:rsidR="0089159D">
        <w:t>:</w:t>
      </w:r>
      <w:r w:rsidR="00D24159">
        <w:t xml:space="preserve"> with sexual health this can be seen in the </w:t>
      </w:r>
      <w:r w:rsidR="00685BA5">
        <w:t>clean/dirty binar</w:t>
      </w:r>
      <w:r w:rsidR="00F75995">
        <w:t>y language</w:t>
      </w:r>
      <w:r w:rsidR="001509F1">
        <w:t xml:space="preserve"> </w:t>
      </w:r>
      <w:r w:rsidR="00B973CF">
        <w:t>often employed by</w:t>
      </w:r>
      <w:r w:rsidR="00E95B0D">
        <w:t xml:space="preserve"> dating website and application users</w:t>
      </w:r>
      <w:r w:rsidR="00970EAB">
        <w:t>.</w:t>
      </w:r>
      <w:r w:rsidR="00970EAB" w:rsidRPr="00F76894">
        <w:rPr>
          <w:rStyle w:val="FootnoteReference"/>
        </w:rPr>
        <w:footnoteReference w:id="58"/>
      </w:r>
      <w:r w:rsidR="00970EAB">
        <w:t xml:space="preserve"> </w:t>
      </w:r>
      <w:r w:rsidR="006B68B8">
        <w:t>In this respect, the design of application profiles does appear to reinforce the idea that some HIV statuses are more “desirable” and “attractive” than others</w:t>
      </w:r>
      <w:r w:rsidR="00D31D2E">
        <w:t>.</w:t>
      </w:r>
      <w:r w:rsidR="007740E9">
        <w:t xml:space="preserve"> </w:t>
      </w:r>
      <w:r w:rsidR="005605EE">
        <w:t>It, furthermore,</w:t>
      </w:r>
      <w:r w:rsidR="00CF1AC3">
        <w:t xml:space="preserve"> does little to </w:t>
      </w:r>
      <w:r w:rsidR="0007477C">
        <w:t xml:space="preserve">challenge those </w:t>
      </w:r>
      <w:r w:rsidR="00D321FC" w:rsidRPr="00D80B9A">
        <w:t xml:space="preserve">concerns </w:t>
      </w:r>
      <w:r w:rsidR="0007477C">
        <w:t xml:space="preserve">which </w:t>
      </w:r>
      <w:r w:rsidR="00D321FC" w:rsidRPr="00D80B9A">
        <w:t xml:space="preserve">are </w:t>
      </w:r>
      <w:r w:rsidR="006B5543">
        <w:t xml:space="preserve">centred around </w:t>
      </w:r>
      <w:r w:rsidR="00D321FC" w:rsidRPr="00D80B9A">
        <w:t>expectation</w:t>
      </w:r>
      <w:r w:rsidR="00460CEE">
        <w:t>s</w:t>
      </w:r>
      <w:r w:rsidR="00D321FC" w:rsidRPr="00D80B9A">
        <w:t xml:space="preserve"> that those living with HIV are poor at prevention</w:t>
      </w:r>
      <w:r w:rsidR="00B959E9">
        <w:t xml:space="preserve"> </w:t>
      </w:r>
      <w:r w:rsidR="00BD690B">
        <w:t xml:space="preserve">whilst, </w:t>
      </w:r>
      <w:r w:rsidR="00B959E9">
        <w:t>at the same time</w:t>
      </w:r>
      <w:r w:rsidR="00BD690B">
        <w:t>, suggesting</w:t>
      </w:r>
      <w:r w:rsidR="004A0A05">
        <w:t xml:space="preserve"> that </w:t>
      </w:r>
      <w:r w:rsidR="00365C60">
        <w:t xml:space="preserve">HIV </w:t>
      </w:r>
      <w:r w:rsidR="004A0A05">
        <w:t xml:space="preserve">disclosure is a straightforward </w:t>
      </w:r>
      <w:r w:rsidR="00F92A42">
        <w:t xml:space="preserve">process. </w:t>
      </w:r>
      <w:r w:rsidR="00D321FC" w:rsidRPr="00D80B9A">
        <w:t xml:space="preserve"> </w:t>
      </w:r>
      <w:r w:rsidR="003E46AF">
        <w:t xml:space="preserve">This ignores </w:t>
      </w:r>
      <w:r w:rsidR="00804A18">
        <w:t>the distinction</w:t>
      </w:r>
      <w:r w:rsidR="00B959E9">
        <w:t>s</w:t>
      </w:r>
      <w:r w:rsidR="00804A18">
        <w:t xml:space="preserve"> between o</w:t>
      </w:r>
      <w:r w:rsidR="00206E00">
        <w:t xml:space="preserve">ffline disclosure, which might be multifaceted, </w:t>
      </w:r>
      <w:r w:rsidR="00886E4F">
        <w:t xml:space="preserve">conversation and dynamic, and online disclosure </w:t>
      </w:r>
      <w:r w:rsidR="00651322">
        <w:t xml:space="preserve">which is more likely to be </w:t>
      </w:r>
      <w:r w:rsidR="006F3C9F">
        <w:t xml:space="preserve">standardised, indirect and </w:t>
      </w:r>
      <w:r w:rsidR="001E3671">
        <w:t xml:space="preserve">formatted according to </w:t>
      </w:r>
      <w:r w:rsidR="00783E1C">
        <w:t xml:space="preserve">the restricted, closed-list </w:t>
      </w:r>
      <w:r w:rsidR="000272E6">
        <w:t>approach taken by many application developers</w:t>
      </w:r>
      <w:r w:rsidR="00BE645C">
        <w:t>.</w:t>
      </w:r>
      <w:r w:rsidR="00D321FC" w:rsidRPr="00D80B9A">
        <w:t xml:space="preserve"> </w:t>
      </w:r>
      <w:r w:rsidR="00BE645C">
        <w:t>In this respect, disclosure via application requires app</w:t>
      </w:r>
      <w:r w:rsidR="00B959E9">
        <w:t>lication</w:t>
      </w:r>
      <w:r w:rsidR="00BE645C" w:rsidRPr="00D80B9A">
        <w:t xml:space="preserve"> </w:t>
      </w:r>
      <w:r w:rsidR="00D321FC" w:rsidRPr="00D80B9A">
        <w:t xml:space="preserve">users to conform to one form of sexual health, driven by disclosure and particular conceptions of </w:t>
      </w:r>
      <w:r w:rsidR="00D321FC" w:rsidRPr="00D80B9A">
        <w:rPr>
          <w:i/>
          <w:iCs/>
        </w:rPr>
        <w:t xml:space="preserve">responsibility. </w:t>
      </w:r>
      <w:r w:rsidR="00D321FC" w:rsidRPr="00D80B9A">
        <w:t xml:space="preserve"> </w:t>
      </w:r>
    </w:p>
    <w:p w14:paraId="77DEEF46" w14:textId="36A7CA33" w:rsidR="00D321FC" w:rsidRPr="00D321FC" w:rsidRDefault="00387B23">
      <w:pPr>
        <w:pStyle w:val="Heading2"/>
        <w:jc w:val="both"/>
      </w:pPr>
      <w:r>
        <w:lastRenderedPageBreak/>
        <w:t xml:space="preserve">Cultures of Viral Surveillance </w:t>
      </w:r>
    </w:p>
    <w:p w14:paraId="3E8E5222" w14:textId="77777777" w:rsidR="00D321FC" w:rsidRPr="00D80B9A" w:rsidRDefault="00D321FC">
      <w:pPr>
        <w:pStyle w:val="Displayedquotation"/>
        <w:jc w:val="both"/>
      </w:pPr>
      <w:r w:rsidRPr="00D80B9A">
        <w:t>We encourage you to share your HIV status in your Hornet profile, and to keep it current. Disclosing your status is nothing to be ashamed of and it’s good for your health and the community. We can all work together to prevent HIV and reduce stigma.</w:t>
      </w:r>
      <w:r w:rsidRPr="00FF0BB7">
        <w:rPr>
          <w:rStyle w:val="FootnoteReference"/>
        </w:rPr>
        <w:footnoteReference w:id="59"/>
      </w:r>
    </w:p>
    <w:p w14:paraId="74F1A602" w14:textId="0E9DE059" w:rsidR="00D321FC" w:rsidRDefault="00D321FC">
      <w:pPr>
        <w:pStyle w:val="Newparagraph"/>
        <w:jc w:val="both"/>
      </w:pPr>
      <w:r w:rsidRPr="00D80B9A">
        <w:t>As well as introducing disclosure feature</w:t>
      </w:r>
      <w:r w:rsidR="002B079D">
        <w:t>s</w:t>
      </w:r>
      <w:r w:rsidRPr="00D80B9A">
        <w:t xml:space="preserve">, </w:t>
      </w:r>
      <w:r w:rsidR="00505A83">
        <w:t xml:space="preserve">application </w:t>
      </w:r>
      <w:r w:rsidRPr="00D80B9A">
        <w:t>developers have proactively encouraged users to employ the</w:t>
      </w:r>
      <w:r w:rsidR="009022EF">
        <w:t>se</w:t>
      </w:r>
      <w:r w:rsidRPr="00D80B9A">
        <w:t xml:space="preserve"> feature</w:t>
      </w:r>
      <w:r w:rsidR="009022EF">
        <w:t>s</w:t>
      </w:r>
      <w:r w:rsidRPr="00D80B9A">
        <w:t>, through media releases,</w:t>
      </w:r>
      <w:r w:rsidRPr="00F76894">
        <w:rPr>
          <w:rStyle w:val="FootnoteReference"/>
        </w:rPr>
        <w:footnoteReference w:id="60"/>
      </w:r>
      <w:r w:rsidRPr="00D80B9A">
        <w:t xml:space="preserve"> notifications</w:t>
      </w:r>
      <w:r w:rsidR="009022EF">
        <w:t>,</w:t>
      </w:r>
      <w:r w:rsidRPr="00D80B9A">
        <w:t xml:space="preserve"> and reminders that tell users to update their</w:t>
      </w:r>
      <w:r w:rsidR="00505A83">
        <w:t xml:space="preserve"> own profile</w:t>
      </w:r>
      <w:r w:rsidR="000D6626">
        <w:t>s</w:t>
      </w:r>
      <w:r w:rsidRPr="00D80B9A">
        <w:t>. What stands out in the statement above, and others like it, is the extent to which it positions broadcasting one’s status as the method for maintaining health of both the user as an individual and the community of application users as a whole. That little distinction is made between what is good for the individual and what is good for the community is itself worthy of note. There is no ability within these applications as they currently operate to use the</w:t>
      </w:r>
      <w:r w:rsidR="005A0351">
        <w:t>se</w:t>
      </w:r>
      <w:r w:rsidRPr="00D80B9A">
        <w:t xml:space="preserve"> sexual health features</w:t>
      </w:r>
      <w:r w:rsidR="003246A3">
        <w:t xml:space="preserve">, </w:t>
      </w:r>
      <w:r w:rsidR="006F10DD">
        <w:t>including test history function</w:t>
      </w:r>
      <w:r w:rsidR="00E13393">
        <w:t>ality</w:t>
      </w:r>
      <w:r w:rsidR="003246A3">
        <w:t>,</w:t>
      </w:r>
      <w:r w:rsidRPr="00D80B9A">
        <w:t xml:space="preserve"> privately</w:t>
      </w:r>
      <w:r w:rsidR="003246A3">
        <w:t xml:space="preserve"> - that is,</w:t>
      </w:r>
      <w:r w:rsidRPr="00D80B9A">
        <w:t xml:space="preserve"> without disclosing </w:t>
      </w:r>
      <w:r w:rsidR="005A0351">
        <w:t>details</w:t>
      </w:r>
      <w:r w:rsidR="005A0351" w:rsidRPr="00D80B9A">
        <w:t xml:space="preserve"> </w:t>
      </w:r>
      <w:r w:rsidRPr="00D80B9A">
        <w:t xml:space="preserve">to others </w:t>
      </w:r>
      <w:r w:rsidR="003246A3">
        <w:t xml:space="preserve">- </w:t>
      </w:r>
      <w:r w:rsidRPr="00D80B9A">
        <w:t>and in this respect the applications place pressure on their users to look after themselves, for the communal good.</w:t>
      </w:r>
      <w:r w:rsidRPr="00F76894">
        <w:rPr>
          <w:rStyle w:val="FootnoteReference"/>
        </w:rPr>
        <w:footnoteReference w:id="61"/>
      </w:r>
      <w:r w:rsidRPr="00D80B9A">
        <w:t xml:space="preserve"> </w:t>
      </w:r>
    </w:p>
    <w:p w14:paraId="67684FF0" w14:textId="0C072426" w:rsidR="000344E4" w:rsidRPr="00D80B9A" w:rsidRDefault="002E733E">
      <w:pPr>
        <w:pStyle w:val="Newparagraph"/>
        <w:jc w:val="both"/>
      </w:pPr>
      <w:r>
        <w:t>Here it is important t</w:t>
      </w:r>
      <w:r w:rsidR="007A480B">
        <w:t>o note that HIV dis</w:t>
      </w:r>
      <w:r w:rsidR="00B153DC">
        <w:t>closure feature</w:t>
      </w:r>
      <w:r w:rsidR="009022EF">
        <w:t>s</w:t>
      </w:r>
      <w:r w:rsidR="00B153DC">
        <w:t xml:space="preserve"> and “test history” feature</w:t>
      </w:r>
      <w:r w:rsidR="009022EF">
        <w:t>s</w:t>
      </w:r>
      <w:r w:rsidR="00B153DC">
        <w:t xml:space="preserve"> were introduced concurrently on most applications</w:t>
      </w:r>
      <w:r w:rsidR="009022EF">
        <w:t xml:space="preserve"> that have them</w:t>
      </w:r>
      <w:r w:rsidR="00B153DC">
        <w:t xml:space="preserve">. </w:t>
      </w:r>
      <w:r w:rsidR="00C42CC3">
        <w:t xml:space="preserve">Although the filtering and avoidance strategies discussed by participants </w:t>
      </w:r>
      <w:r w:rsidR="006457BA">
        <w:t xml:space="preserve">were often centred around whether the profile disclosed being HIV positive or negative; </w:t>
      </w:r>
      <w:r w:rsidR="007D1211">
        <w:t xml:space="preserve">several participants highlighted </w:t>
      </w:r>
      <w:r w:rsidR="00A71CAC">
        <w:t xml:space="preserve">how this information was scrutinised in light of the </w:t>
      </w:r>
      <w:r w:rsidR="005E08F0">
        <w:t>(non-)</w:t>
      </w:r>
      <w:r w:rsidR="00A463B0">
        <w:t>recency</w:t>
      </w:r>
      <w:r w:rsidR="009E6671">
        <w:t xml:space="preserve"> of the </w:t>
      </w:r>
      <w:r w:rsidR="0004374B">
        <w:t>test date listed</w:t>
      </w:r>
      <w:r w:rsidR="004762FE">
        <w:t xml:space="preserve">: </w:t>
      </w:r>
    </w:p>
    <w:p w14:paraId="757A9BC0" w14:textId="102D61E6" w:rsidR="00D321FC" w:rsidRPr="00D80B9A" w:rsidRDefault="006952D1">
      <w:pPr>
        <w:pStyle w:val="Displayedquotation"/>
        <w:jc w:val="both"/>
      </w:pPr>
      <w:r w:rsidRPr="006952D1">
        <w:lastRenderedPageBreak/>
        <w:t>I think that the test history section is useful to have shown as HIV is a big topic of discussion in the current climate. It makes people aware that they are responsible for themselves and make sure they are repeatedly getting tested and looking after themselves. However, it is also very easy to lie about these tests and dates and so should be taken with a pinch of salt</w:t>
      </w:r>
      <w:r w:rsidR="00D321FC" w:rsidRPr="00D80B9A">
        <w:t>.</w:t>
      </w:r>
      <w:r w:rsidR="00D321FC" w:rsidRPr="00FF0BB7">
        <w:rPr>
          <w:rStyle w:val="FootnoteReference"/>
        </w:rPr>
        <w:footnoteReference w:id="62"/>
      </w:r>
    </w:p>
    <w:p w14:paraId="31315B91" w14:textId="77777777" w:rsidR="00D7022A" w:rsidRDefault="00D321FC" w:rsidP="00FF0BB7">
      <w:pPr>
        <w:pStyle w:val="Paragraph"/>
        <w:jc w:val="both"/>
      </w:pPr>
      <w:r w:rsidRPr="00111EBB">
        <w:t xml:space="preserve">The manner in which this participant discusses the test history section reflecting the sexual responsibility of those who use it highlights the extent to which being responsible is constructed as an identity which is temporary and constantly under scrutiny. For this participant, being responsible is not simply about knowledge regarding sexual health but about the process of ‘repeatedly getting tested’. </w:t>
      </w:r>
    </w:p>
    <w:p w14:paraId="7BB60CDB" w14:textId="3811603D" w:rsidR="00D321FC" w:rsidRPr="00111EBB" w:rsidRDefault="000542ED">
      <w:pPr>
        <w:pStyle w:val="Newparagraph"/>
        <w:jc w:val="both"/>
      </w:pPr>
      <w:r>
        <w:t xml:space="preserve">According to </w:t>
      </w:r>
      <w:r w:rsidR="00D321FC" w:rsidRPr="00111EBB">
        <w:t xml:space="preserve">Lee and </w:t>
      </w:r>
      <w:proofErr w:type="spellStart"/>
      <w:r w:rsidR="00D321FC" w:rsidRPr="00111EBB">
        <w:t>Sheon</w:t>
      </w:r>
      <w:proofErr w:type="spellEnd"/>
      <w:r w:rsidR="0071044D">
        <w:t>,</w:t>
      </w:r>
      <w:r w:rsidR="00D321FC" w:rsidRPr="00111EBB">
        <w:t xml:space="preserve"> gay men may using testing as part of their construction of themselves as ‘a reasonable and responsible person’, one who is not only more likely to get regularly tested but who avoids placing themselves at risk and takes care of their sexual health.</w:t>
      </w:r>
      <w:r w:rsidR="00D321FC" w:rsidRPr="00FF0BB7">
        <w:rPr>
          <w:rStyle w:val="FootnoteReference"/>
        </w:rPr>
        <w:footnoteReference w:id="63"/>
      </w:r>
      <w:r w:rsidR="00D321FC" w:rsidRPr="00C20166">
        <w:rPr>
          <w:vertAlign w:val="superscript"/>
        </w:rPr>
        <w:t xml:space="preserve"> </w:t>
      </w:r>
      <w:r w:rsidR="00D321FC" w:rsidRPr="00111EBB">
        <w:t>The participant’s final comment on the possibility that the test history date can easily be updated speaks to a degree of mistrust concerning both information listed in app profiles and communicated directly through messages on the application:</w:t>
      </w:r>
    </w:p>
    <w:p w14:paraId="1218345C" w14:textId="4F61EEAB" w:rsidR="00D321FC" w:rsidRDefault="00D321FC">
      <w:pPr>
        <w:pStyle w:val="Displayedquotation"/>
        <w:jc w:val="both"/>
      </w:pPr>
      <w:r w:rsidRPr="00D80B9A">
        <w:t xml:space="preserve">[T]he best </w:t>
      </w:r>
      <w:r w:rsidR="00D02DFA">
        <w:t>[the character in the vignette]</w:t>
      </w:r>
      <w:r w:rsidR="00D02DFA" w:rsidRPr="00D80B9A">
        <w:t xml:space="preserve"> </w:t>
      </w:r>
      <w:r w:rsidR="00D02DFA" w:rsidRPr="00D02DFA">
        <w:t xml:space="preserve">can do is make it clear he's undetectable, provide a screenshot of some official confirmation so it's clear, and hope </w:t>
      </w:r>
      <w:r w:rsidR="00D02DFA">
        <w:t>[the other character in the vignette]</w:t>
      </w:r>
      <w:r w:rsidR="00D02DFA" w:rsidRPr="00D02DFA">
        <w:t xml:space="preserve"> is knowledgeable enough to get that undetectable means no risk</w:t>
      </w:r>
      <w:r w:rsidR="001B2FFA">
        <w:t>;</w:t>
      </w:r>
      <w:r w:rsidRPr="00FF0BB7">
        <w:rPr>
          <w:rStyle w:val="FootnoteReference"/>
        </w:rPr>
        <w:footnoteReference w:id="64"/>
      </w:r>
    </w:p>
    <w:p w14:paraId="459D5835" w14:textId="77777777" w:rsidR="00D321FC" w:rsidRPr="00D80B9A" w:rsidRDefault="00D321FC" w:rsidP="00FF0BB7">
      <w:pPr>
        <w:pStyle w:val="Displayedquotation"/>
        <w:ind w:left="0"/>
        <w:jc w:val="both"/>
      </w:pPr>
    </w:p>
    <w:p w14:paraId="404DB83B" w14:textId="35C6A11D" w:rsidR="00D321FC" w:rsidRPr="00D80B9A" w:rsidRDefault="00D02DFA">
      <w:pPr>
        <w:pStyle w:val="Displayedquotation"/>
        <w:jc w:val="both"/>
      </w:pPr>
      <w:r w:rsidRPr="00D02DFA">
        <w:lastRenderedPageBreak/>
        <w:t>The men on dating apps seem to like playing games or lie a lot. So even if they said they’re all clear and tested I’d like to see a screenshot from their sexual health clinic test</w:t>
      </w:r>
      <w:r w:rsidR="0095544D">
        <w:t>.</w:t>
      </w:r>
      <w:r w:rsidR="00D321FC" w:rsidRPr="00FF0BB7">
        <w:rPr>
          <w:rStyle w:val="FootnoteReference"/>
        </w:rPr>
        <w:footnoteReference w:id="65"/>
      </w:r>
    </w:p>
    <w:p w14:paraId="0CDB405A" w14:textId="119B251F" w:rsidR="003B6811" w:rsidRPr="000D6D75" w:rsidRDefault="00D321FC" w:rsidP="00FF0BB7">
      <w:pPr>
        <w:pStyle w:val="Paragraph"/>
        <w:jc w:val="both"/>
      </w:pPr>
      <w:r w:rsidRPr="00D80B9A">
        <w:t>Although these participants</w:t>
      </w:r>
      <w:r w:rsidR="005C1D34">
        <w:t xml:space="preserve"> were not directly critical of the inclusion of testing information in profiles</w:t>
      </w:r>
      <w:r w:rsidR="00A552B8">
        <w:t xml:space="preserve">, their responses further emphasise how the design of applications </w:t>
      </w:r>
      <w:r w:rsidR="0099792E">
        <w:t>reinforces the desirability of certain forms of sexual health</w:t>
      </w:r>
      <w:r w:rsidR="0048028A">
        <w:t xml:space="preserve"> responsibility</w:t>
      </w:r>
      <w:r w:rsidR="0099792E">
        <w:t>.</w:t>
      </w:r>
      <w:r w:rsidR="00D5662A">
        <w:t xml:space="preserve"> </w:t>
      </w:r>
      <w:r w:rsidRPr="00D80B9A">
        <w:t xml:space="preserve">Their perception that the information was not always accurate perhaps speaks to the ways in which this information </w:t>
      </w:r>
      <w:r w:rsidR="00CD1A4E">
        <w:t xml:space="preserve">acts as an identity marker and interacts with the desirability binaries noted by </w:t>
      </w:r>
      <w:proofErr w:type="spellStart"/>
      <w:r w:rsidR="00CD1A4E">
        <w:t>Spieldenner</w:t>
      </w:r>
      <w:proofErr w:type="spellEnd"/>
      <w:r w:rsidR="00CD1A4E">
        <w:t>,</w:t>
      </w:r>
      <w:r w:rsidR="00CD1A4E" w:rsidRPr="00F76894">
        <w:rPr>
          <w:rStyle w:val="FootnoteReference"/>
        </w:rPr>
        <w:footnoteReference w:id="66"/>
      </w:r>
      <w:r w:rsidR="00CD1A4E">
        <w:t xml:space="preserve"> thus </w:t>
      </w:r>
      <w:r w:rsidRPr="00D80B9A">
        <w:t>creating the suspicion that dates are updated in order to attract others.</w:t>
      </w:r>
    </w:p>
    <w:p w14:paraId="66AB5DAB" w14:textId="393DDF27" w:rsidR="00D321FC" w:rsidRPr="00AA591D" w:rsidRDefault="00B61D82">
      <w:pPr>
        <w:pStyle w:val="Newparagraph"/>
        <w:jc w:val="both"/>
      </w:pPr>
      <w:r w:rsidRPr="00387B23">
        <w:t>Whilst</w:t>
      </w:r>
      <w:r w:rsidR="00D321FC" w:rsidRPr="00387B23">
        <w:t xml:space="preserve"> </w:t>
      </w:r>
      <w:r w:rsidR="00CA353D">
        <w:t>the</w:t>
      </w:r>
      <w:r w:rsidR="00D321FC" w:rsidRPr="00387B23">
        <w:t xml:space="preserve"> responses </w:t>
      </w:r>
      <w:r w:rsidR="001E07BE" w:rsidRPr="00387B23">
        <w:t xml:space="preserve">above </w:t>
      </w:r>
      <w:r w:rsidR="000D6D75" w:rsidRPr="00387B23">
        <w:t>highlight how the inclusion of sexual health</w:t>
      </w:r>
      <w:r w:rsidR="001E07BE" w:rsidRPr="00387B23">
        <w:t xml:space="preserve"> </w:t>
      </w:r>
      <w:r w:rsidR="00D321FC" w:rsidRPr="00387B23">
        <w:t xml:space="preserve">information </w:t>
      </w:r>
      <w:r w:rsidR="000D6D75" w:rsidRPr="00387B23">
        <w:t xml:space="preserve">in profiles can </w:t>
      </w:r>
      <w:r w:rsidR="00D321FC" w:rsidRPr="00387B23">
        <w:t>produc</w:t>
      </w:r>
      <w:r w:rsidR="000D6D75" w:rsidRPr="00387B23">
        <w:t>e</w:t>
      </w:r>
      <w:r w:rsidR="00D321FC" w:rsidRPr="00387B23">
        <w:t xml:space="preserve"> practical concerns over how </w:t>
      </w:r>
      <w:r w:rsidR="003D3C17" w:rsidRPr="00387B23">
        <w:t xml:space="preserve">such information </w:t>
      </w:r>
      <w:r w:rsidR="00D321FC" w:rsidRPr="00387B23">
        <w:t xml:space="preserve">can be checked and verified, the negative impact that these expectations can have was </w:t>
      </w:r>
      <w:r w:rsidR="00656F6E" w:rsidRPr="00387B23">
        <w:t xml:space="preserve">particularly emphasised </w:t>
      </w:r>
      <w:r w:rsidR="00D321FC" w:rsidRPr="00387B23">
        <w:t>by one</w:t>
      </w:r>
      <w:r w:rsidR="00656F6E" w:rsidRPr="00387B23">
        <w:t xml:space="preserve"> participant</w:t>
      </w:r>
      <w:r w:rsidR="00D321FC" w:rsidRPr="00387B23">
        <w:t xml:space="preserve"> who stated:</w:t>
      </w:r>
    </w:p>
    <w:p w14:paraId="361CDFF6" w14:textId="14CA8CD9" w:rsidR="00160EF4" w:rsidRPr="00D80B9A" w:rsidRDefault="00D02DFA">
      <w:pPr>
        <w:pStyle w:val="Displayedquotation"/>
        <w:jc w:val="both"/>
      </w:pPr>
      <w:r w:rsidRPr="00D02DFA">
        <w:t xml:space="preserve">Test history adds stigma to HIV sufferers by distinguishing those that have HIV and those that haven’t. A culture is created whereby people that are HIV+ are seen as disgusting and wrong and a </w:t>
      </w:r>
      <w:proofErr w:type="gramStart"/>
      <w:r w:rsidRPr="00D02DFA">
        <w:t>negative diagnoses</w:t>
      </w:r>
      <w:proofErr w:type="gramEnd"/>
      <w:r w:rsidRPr="00D02DFA">
        <w:t xml:space="preserve"> is worn as a badge of honour</w:t>
      </w:r>
      <w:r w:rsidR="00D321FC" w:rsidRPr="00D80B9A">
        <w:t>.</w:t>
      </w:r>
      <w:r w:rsidR="00D321FC" w:rsidRPr="00F76894">
        <w:rPr>
          <w:rStyle w:val="FootnoteReference"/>
        </w:rPr>
        <w:footnoteReference w:id="67"/>
      </w:r>
    </w:p>
    <w:p w14:paraId="40C13BC8" w14:textId="63BF2BD5" w:rsidR="00812CC7" w:rsidRDefault="00D321FC" w:rsidP="00FF0BB7">
      <w:pPr>
        <w:pStyle w:val="Newparagraph"/>
        <w:jc w:val="both"/>
      </w:pPr>
      <w:r w:rsidRPr="00D80B9A">
        <w:t>The link that th</w:t>
      </w:r>
      <w:r w:rsidR="0095544D">
        <w:t>e participant quoted above</w:t>
      </w:r>
      <w:r w:rsidRPr="00D80B9A">
        <w:t xml:space="preserve"> draws between the test history function and the emotive attitude of disgust that he finds directed toward people living with HIV is significant considering the manner in which regular testing, and disclosure of it, is presented as the </w:t>
      </w:r>
      <w:r w:rsidRPr="00D80B9A">
        <w:rPr>
          <w:i/>
          <w:iCs/>
        </w:rPr>
        <w:t xml:space="preserve">responsible </w:t>
      </w:r>
      <w:r w:rsidRPr="00D80B9A">
        <w:t>response to</w:t>
      </w:r>
      <w:r w:rsidR="00362279">
        <w:t xml:space="preserve"> the risk of</w:t>
      </w:r>
      <w:r w:rsidRPr="00D80B9A">
        <w:t xml:space="preserve"> HIV infection by application developers. The test history feature, </w:t>
      </w:r>
      <w:r w:rsidR="00236E69">
        <w:t xml:space="preserve">testing </w:t>
      </w:r>
      <w:r w:rsidRPr="00D80B9A">
        <w:t xml:space="preserve">reminders </w:t>
      </w:r>
      <w:r w:rsidR="00236E69">
        <w:t xml:space="preserve">built into </w:t>
      </w:r>
      <w:r w:rsidRPr="00D80B9A">
        <w:t xml:space="preserve">applications, and the </w:t>
      </w:r>
      <w:r w:rsidRPr="00D80B9A">
        <w:lastRenderedPageBreak/>
        <w:t xml:space="preserve">urging to </w:t>
      </w:r>
      <w:r w:rsidR="008605A3">
        <w:t>‘</w:t>
      </w:r>
      <w:r w:rsidRPr="00D80B9A">
        <w:t>keep it current</w:t>
      </w:r>
      <w:r w:rsidR="008605A3">
        <w:t>’</w:t>
      </w:r>
      <w:r w:rsidRPr="00D80B9A">
        <w:t xml:space="preserve"> present the need for ongoing management. </w:t>
      </w:r>
      <w:r w:rsidR="0087569E">
        <w:t xml:space="preserve">The culture of surveillance this produces can be seen applying both to HIV- application users, who must maintain their negative status through repeated testing, and also to HIV+ users, </w:t>
      </w:r>
      <w:r w:rsidR="00377AE3">
        <w:t>for whom viral load testing becomes a marker of responsi</w:t>
      </w:r>
      <w:r w:rsidR="00E75C16">
        <w:t>bility and health.</w:t>
      </w:r>
      <w:r w:rsidR="00995B8E">
        <w:rPr>
          <w:rStyle w:val="FootnoteReference"/>
        </w:rPr>
        <w:footnoteReference w:id="68"/>
      </w:r>
      <w:r w:rsidR="00E75C16">
        <w:t xml:space="preserve"> </w:t>
      </w:r>
      <w:r w:rsidR="00D7022A">
        <w:t>Given this, t</w:t>
      </w:r>
      <w:r w:rsidR="00D7022A" w:rsidRPr="00D80B9A">
        <w:t xml:space="preserve">he suggestion that a negative diagnosis acts as a </w:t>
      </w:r>
      <w:r w:rsidR="00D37041">
        <w:t>“</w:t>
      </w:r>
      <w:r w:rsidR="00D7022A" w:rsidRPr="00D80B9A">
        <w:t xml:space="preserve">badge of honour” is </w:t>
      </w:r>
      <w:r w:rsidR="00D7022A">
        <w:t>also notable</w:t>
      </w:r>
      <w:r w:rsidR="00D7022A" w:rsidRPr="00D80B9A">
        <w:t xml:space="preserve"> given that unreactive tests are only an indication of a negative status if the last risk exposure was outside the appropriate window period.</w:t>
      </w:r>
      <w:r w:rsidR="00D7022A" w:rsidRPr="00F76894">
        <w:rPr>
          <w:rStyle w:val="FootnoteReference"/>
        </w:rPr>
        <w:footnoteReference w:id="69"/>
      </w:r>
      <w:r w:rsidR="00D7022A" w:rsidRPr="00D80B9A">
        <w:t xml:space="preserve"> </w:t>
      </w:r>
      <w:r w:rsidR="00C60FA2">
        <w:t xml:space="preserve">As </w:t>
      </w:r>
      <w:r w:rsidR="00D7022A" w:rsidRPr="00D80B9A">
        <w:t>Race notes</w:t>
      </w:r>
      <w:r w:rsidR="00C60FA2">
        <w:t>,</w:t>
      </w:r>
      <w:r w:rsidR="00D7022A" w:rsidRPr="00D80B9A">
        <w:t xml:space="preserve"> ‘in the context of recent exposures, an HIV-negative antibody test result is not necessarily a reliable guide to infectivity – and may even be quite the opposite.’</w:t>
      </w:r>
      <w:r w:rsidR="00D7022A" w:rsidRPr="00F76894">
        <w:rPr>
          <w:rStyle w:val="FootnoteReference"/>
        </w:rPr>
        <w:footnoteReference w:id="70"/>
      </w:r>
      <w:r w:rsidR="00D7022A" w:rsidRPr="00D80B9A">
        <w:t xml:space="preserve"> </w:t>
      </w:r>
    </w:p>
    <w:p w14:paraId="7840938B" w14:textId="75CA58C6" w:rsidR="00D321FC" w:rsidRDefault="00D321FC" w:rsidP="00FF0BB7">
      <w:pPr>
        <w:pStyle w:val="Newparagraph"/>
        <w:jc w:val="both"/>
      </w:pPr>
      <w:proofErr w:type="spellStart"/>
      <w:r w:rsidRPr="00D80B9A">
        <w:t>Guta</w:t>
      </w:r>
      <w:proofErr w:type="spellEnd"/>
      <w:r w:rsidRPr="00D80B9A">
        <w:t xml:space="preserve"> </w:t>
      </w:r>
      <w:r w:rsidR="00A02741">
        <w:t xml:space="preserve">and colleagues </w:t>
      </w:r>
      <w:r w:rsidRPr="00D80B9A">
        <w:t>suggest that detectable and undetectable are not merely clinical markers but also produce narratives of living with HIV whilst being ‘healthy, happy, fulfilled and virile’.</w:t>
      </w:r>
      <w:r w:rsidRPr="00F76894">
        <w:rPr>
          <w:rStyle w:val="FootnoteReference"/>
        </w:rPr>
        <w:footnoteReference w:id="71"/>
      </w:r>
      <w:r w:rsidRPr="00D80B9A">
        <w:t xml:space="preserve"> An undetectable viral load is constructed as aspirational, feeding into a sense of empowerment and people living with HIV regaining freedom from the virus. However, it may also depersonalise people living with HIV to the role of vectors, in need of </w:t>
      </w:r>
      <w:r w:rsidR="00A76C51">
        <w:t xml:space="preserve">surveillance, </w:t>
      </w:r>
      <w:r w:rsidRPr="00D80B9A">
        <w:t xml:space="preserve">monitoring and control. Such narratives excerpt </w:t>
      </w:r>
      <w:r w:rsidRPr="00D80B9A">
        <w:lastRenderedPageBreak/>
        <w:t>significant social pressure on people living with HIV and</w:t>
      </w:r>
      <w:r w:rsidR="009D0001">
        <w:t xml:space="preserve"> tend to </w:t>
      </w:r>
      <w:r w:rsidRPr="00D80B9A">
        <w:t xml:space="preserve">place responsibility for preventing HIV transmission </w:t>
      </w:r>
      <w:r w:rsidR="009D0001">
        <w:t>primarily on the shoulders of people living with HIV</w:t>
      </w:r>
      <w:r w:rsidRPr="00D80B9A">
        <w:t>.</w:t>
      </w:r>
      <w:r w:rsidRPr="00F76894">
        <w:rPr>
          <w:rStyle w:val="FootnoteReference"/>
        </w:rPr>
        <w:footnoteReference w:id="72"/>
      </w:r>
      <w:r w:rsidRPr="00D80B9A">
        <w:t xml:space="preserve"> </w:t>
      </w:r>
    </w:p>
    <w:p w14:paraId="62BAEB31" w14:textId="6016A19C" w:rsidR="00812CC7" w:rsidRDefault="008873C3" w:rsidP="00FF0BB7">
      <w:pPr>
        <w:pStyle w:val="Newparagraph"/>
        <w:jc w:val="both"/>
      </w:pPr>
      <w:r>
        <w:t xml:space="preserve">As seen in the excerpts above, </w:t>
      </w:r>
      <w:r w:rsidR="00FE4D35">
        <w:t xml:space="preserve">the emphasis on </w:t>
      </w:r>
      <w:r w:rsidR="008C0963">
        <w:t xml:space="preserve">monitoring and maintaining </w:t>
      </w:r>
      <w:r w:rsidR="009F75B8">
        <w:t xml:space="preserve">viral states and viral load </w:t>
      </w:r>
      <w:r w:rsidR="00761A06">
        <w:t>builds on discourses of responsibilit</w:t>
      </w:r>
      <w:r w:rsidR="008D035B">
        <w:t xml:space="preserve">y </w:t>
      </w:r>
      <w:r w:rsidR="00D037F2">
        <w:t xml:space="preserve">and </w:t>
      </w:r>
      <w:r w:rsidR="00D23C07">
        <w:t>liberal individualism</w:t>
      </w:r>
      <w:r w:rsidR="00F2478A">
        <w:t>.</w:t>
      </w:r>
      <w:r w:rsidR="00AA591D" w:rsidRPr="00F76894">
        <w:rPr>
          <w:rStyle w:val="FootnoteReference"/>
        </w:rPr>
        <w:footnoteReference w:id="73"/>
      </w:r>
      <w:r w:rsidR="00B11808">
        <w:t xml:space="preserve"> </w:t>
      </w:r>
      <w:r w:rsidR="0013639E">
        <w:t xml:space="preserve">Screenshots of </w:t>
      </w:r>
      <w:r w:rsidR="004D4ABE">
        <w:t xml:space="preserve">texts from sexual health clinics, </w:t>
      </w:r>
      <w:r w:rsidR="001B28B7">
        <w:t>a</w:t>
      </w:r>
      <w:r w:rsidR="00560A0D">
        <w:t>s well as delaying sex until</w:t>
      </w:r>
      <w:r w:rsidR="00A32E21">
        <w:t xml:space="preserve"> after</w:t>
      </w:r>
      <w:r w:rsidR="00560A0D">
        <w:t xml:space="preserve"> </w:t>
      </w:r>
      <w:r w:rsidR="00FA1546">
        <w:t xml:space="preserve">a future viral load </w:t>
      </w:r>
      <w:r w:rsidR="00067BD9">
        <w:t>test</w:t>
      </w:r>
      <w:r w:rsidR="00FA1546">
        <w:t xml:space="preserve">, were some of the strategies </w:t>
      </w:r>
      <w:r w:rsidR="0086602C">
        <w:t xml:space="preserve">discussed by participants which capture how </w:t>
      </w:r>
      <w:r w:rsidR="00184785">
        <w:t xml:space="preserve">viral </w:t>
      </w:r>
      <w:r w:rsidR="008F7DDF">
        <w:t>surveillance</w:t>
      </w:r>
      <w:r w:rsidR="00184785">
        <w:t xml:space="preserve"> </w:t>
      </w:r>
      <w:r w:rsidR="00CE3F2E">
        <w:t xml:space="preserve">is pervasive </w:t>
      </w:r>
      <w:r w:rsidR="00DC0F74">
        <w:t>among dating application users</w:t>
      </w:r>
      <w:r w:rsidR="00A94B16">
        <w:t xml:space="preserve">. </w:t>
      </w:r>
      <w:r w:rsidR="005D048E">
        <w:t xml:space="preserve">It is notable that </w:t>
      </w:r>
      <w:r w:rsidR="000235DF">
        <w:t xml:space="preserve">this surveillance relies not only on the disclosure features in profiles, but also the </w:t>
      </w:r>
      <w:r w:rsidR="00A20BC9">
        <w:t xml:space="preserve">scrutiny of application users </w:t>
      </w:r>
      <w:r w:rsidR="00455C74">
        <w:t xml:space="preserve">questioning </w:t>
      </w:r>
      <w:r w:rsidR="00FA74F8">
        <w:t>and seeking evidence to support disclosed statuses</w:t>
      </w:r>
      <w:r w:rsidR="006A1D08">
        <w:t>, as part of the process which holds application users to account.</w:t>
      </w:r>
      <w:r w:rsidR="00067BD9">
        <w:rPr>
          <w:rStyle w:val="FootnoteReference"/>
        </w:rPr>
        <w:footnoteReference w:id="74"/>
      </w:r>
    </w:p>
    <w:p w14:paraId="62F639A1" w14:textId="77777777" w:rsidR="00F67C1B" w:rsidRDefault="00B31D0F">
      <w:pPr>
        <w:pStyle w:val="Newparagraph"/>
        <w:jc w:val="both"/>
      </w:pPr>
      <w:r>
        <w:t xml:space="preserve">The design of </w:t>
      </w:r>
      <w:r w:rsidR="00BB6B69">
        <w:t>the disclosure feature on applications can be seen contributing to</w:t>
      </w:r>
      <w:r w:rsidR="00D7022A">
        <w:t xml:space="preserve"> these practices of accountability and </w:t>
      </w:r>
      <w:r w:rsidR="00F77A03">
        <w:t>t</w:t>
      </w:r>
      <w:r w:rsidR="00691ACB">
        <w:t>he privatisation and</w:t>
      </w:r>
      <w:r w:rsidR="000A0A82">
        <w:t xml:space="preserve"> individualisation of responsibility for preventing HIV transmission.</w:t>
      </w:r>
      <w:r w:rsidR="007B2734">
        <w:t xml:space="preserve"> </w:t>
      </w:r>
      <w:r w:rsidR="00E1758F">
        <w:t xml:space="preserve">Casting disclosure as an imperative, these applications </w:t>
      </w:r>
      <w:r w:rsidR="00A17E70">
        <w:t>c</w:t>
      </w:r>
      <w:r w:rsidR="00374F5B">
        <w:t>onstruct</w:t>
      </w:r>
      <w:r w:rsidR="00A17E70">
        <w:t xml:space="preserve"> HIV prevention as something carried out between </w:t>
      </w:r>
      <w:r w:rsidR="00F578D6">
        <w:t>individuals</w:t>
      </w:r>
      <w:r w:rsidR="00057333">
        <w:t>.</w:t>
      </w:r>
      <w:r w:rsidR="00A17E70">
        <w:t xml:space="preserve"> </w:t>
      </w:r>
      <w:r w:rsidR="00057333">
        <w:t xml:space="preserve">Whilst this imperative might </w:t>
      </w:r>
      <w:r w:rsidR="00605032">
        <w:t>draw</w:t>
      </w:r>
      <w:r w:rsidR="00057333">
        <w:t xml:space="preserve"> on </w:t>
      </w:r>
      <w:r w:rsidR="005B74FA">
        <w:t xml:space="preserve">discourses of </w:t>
      </w:r>
      <w:r w:rsidR="00A17E70">
        <w:t>community</w:t>
      </w:r>
      <w:r w:rsidR="00605032">
        <w:t xml:space="preserve"> and community</w:t>
      </w:r>
      <w:r w:rsidR="00A17E70">
        <w:t xml:space="preserve"> obligations</w:t>
      </w:r>
      <w:r w:rsidR="00057333">
        <w:t xml:space="preserve">, </w:t>
      </w:r>
      <w:r w:rsidR="00605032">
        <w:t xml:space="preserve">it does so </w:t>
      </w:r>
      <w:r w:rsidR="00A17E70">
        <w:t xml:space="preserve">without consideration of the broader </w:t>
      </w:r>
      <w:r w:rsidR="003A10BC">
        <w:t>social and cultural factors which impact HIV transmission.</w:t>
      </w:r>
      <w:r w:rsidR="005857F7">
        <w:rPr>
          <w:rStyle w:val="FootnoteReference"/>
        </w:rPr>
        <w:footnoteReference w:id="75"/>
      </w:r>
      <w:r w:rsidR="00F11A7F">
        <w:t xml:space="preserve"> </w:t>
      </w:r>
      <w:r w:rsidR="003A10BC">
        <w:t xml:space="preserve"> </w:t>
      </w:r>
    </w:p>
    <w:p w14:paraId="3C41F75E" w14:textId="20140E03" w:rsidR="00B31D0F" w:rsidRPr="00227D23" w:rsidRDefault="00EB0000" w:rsidP="000E7637">
      <w:pPr>
        <w:pStyle w:val="Newparagraph"/>
        <w:jc w:val="both"/>
      </w:pPr>
      <w:r>
        <w:lastRenderedPageBreak/>
        <w:t>Additionally</w:t>
      </w:r>
      <w:r w:rsidR="003A10BC">
        <w:t xml:space="preserve">, </w:t>
      </w:r>
      <w:r w:rsidR="00C20686">
        <w:t xml:space="preserve">the disclosure that these applications enable </w:t>
      </w:r>
      <w:r w:rsidR="00F13ED4">
        <w:t xml:space="preserve">is limited </w:t>
      </w:r>
      <w:r w:rsidR="00AA3225">
        <w:t xml:space="preserve">to a particular conceptualisation of sexual responsibility. </w:t>
      </w:r>
      <w:r w:rsidR="000A0A82">
        <w:t xml:space="preserve">As </w:t>
      </w:r>
      <w:proofErr w:type="spellStart"/>
      <w:r w:rsidR="000A0A82">
        <w:t>Mowlabocus</w:t>
      </w:r>
      <w:proofErr w:type="spellEnd"/>
      <w:r w:rsidR="00BF544F">
        <w:t xml:space="preserve"> and Lovelock have</w:t>
      </w:r>
      <w:r w:rsidR="00246A1A">
        <w:t xml:space="preserve"> both</w:t>
      </w:r>
      <w:r w:rsidR="00BF544F">
        <w:t xml:space="preserve"> noted </w:t>
      </w:r>
      <w:r w:rsidR="00594EF9">
        <w:t>with</w:t>
      </w:r>
      <w:r w:rsidR="00BF544F">
        <w:t xml:space="preserve">in </w:t>
      </w:r>
      <w:r w:rsidR="00B51C51">
        <w:t xml:space="preserve">the context of </w:t>
      </w:r>
      <w:proofErr w:type="spellStart"/>
      <w:r w:rsidR="00B51C51">
        <w:t>PrEP</w:t>
      </w:r>
      <w:proofErr w:type="spellEnd"/>
      <w:r w:rsidR="00B51C51">
        <w:t xml:space="preserve"> provision by NHS England, </w:t>
      </w:r>
      <w:r w:rsidR="00142B14">
        <w:t xml:space="preserve">the sexual health of men who have sex with men is often constructed as </w:t>
      </w:r>
      <w:r w:rsidR="00917224">
        <w:t>a matt</w:t>
      </w:r>
      <w:r w:rsidR="001044BC">
        <w:t>er of individual, rather and public, concern</w:t>
      </w:r>
      <w:r w:rsidR="00B64664">
        <w:t>.</w:t>
      </w:r>
      <w:r w:rsidR="00CB291C" w:rsidRPr="00F76894">
        <w:rPr>
          <w:rStyle w:val="FootnoteReference"/>
        </w:rPr>
        <w:footnoteReference w:id="76"/>
      </w:r>
      <w:r w:rsidR="00CB291C">
        <w:t xml:space="preserve"> </w:t>
      </w:r>
      <w:r w:rsidR="00574C48">
        <w:t xml:space="preserve">This </w:t>
      </w:r>
      <w:r w:rsidR="00B96A67">
        <w:t>is</w:t>
      </w:r>
      <w:r w:rsidR="001F6DC6">
        <w:t xml:space="preserve"> particularly the case</w:t>
      </w:r>
      <w:r w:rsidR="00B96A67">
        <w:t xml:space="preserve"> </w:t>
      </w:r>
      <w:r w:rsidR="00574C48">
        <w:t xml:space="preserve">where these men </w:t>
      </w:r>
      <w:r w:rsidR="00383F73">
        <w:t xml:space="preserve">might be constructed as </w:t>
      </w:r>
      <w:r w:rsidR="003F35A1">
        <w:t xml:space="preserve">breaching </w:t>
      </w:r>
      <w:r w:rsidR="000803F2">
        <w:t xml:space="preserve">norms of “respectable” and </w:t>
      </w:r>
      <w:r w:rsidR="00F34D9C">
        <w:t>“safe” homosexuality.</w:t>
      </w:r>
      <w:r w:rsidR="00C15D33" w:rsidRPr="00F76894">
        <w:rPr>
          <w:rStyle w:val="FootnoteReference"/>
        </w:rPr>
        <w:footnoteReference w:id="77"/>
      </w:r>
      <w:r w:rsidR="00443E9D">
        <w:t xml:space="preserve"> </w:t>
      </w:r>
      <w:r w:rsidR="0087108C">
        <w:t>Through</w:t>
      </w:r>
      <w:r w:rsidR="00443E9D">
        <w:t xml:space="preserve"> </w:t>
      </w:r>
      <w:r w:rsidR="000E7637">
        <w:t xml:space="preserve">imposing content restrictions, application marketplaces shape the design of applications, </w:t>
      </w:r>
      <w:r w:rsidR="00942C91">
        <w:t xml:space="preserve">determining </w:t>
      </w:r>
      <w:r w:rsidR="00EB4E39">
        <w:t>what can be said and what must remain silent</w:t>
      </w:r>
      <w:r w:rsidR="00374F5B">
        <w:t>.</w:t>
      </w:r>
      <w:r w:rsidR="00186E31">
        <w:t xml:space="preserve"> </w:t>
      </w:r>
      <w:r w:rsidR="00374F5B">
        <w:t>W</w:t>
      </w:r>
      <w:r w:rsidR="00EB4E39">
        <w:t xml:space="preserve">hich </w:t>
      </w:r>
      <w:r w:rsidR="00A60501">
        <w:t>in some instances</w:t>
      </w:r>
      <w:r w:rsidR="005A6D8A">
        <w:t xml:space="preserve"> further</w:t>
      </w:r>
      <w:r w:rsidR="00A60501">
        <w:t xml:space="preserve"> impose</w:t>
      </w:r>
      <w:r w:rsidR="00191C36">
        <w:t xml:space="preserve"> and enforce</w:t>
      </w:r>
      <w:r w:rsidR="00A60501">
        <w:t xml:space="preserve"> these norms </w:t>
      </w:r>
      <w:r w:rsidR="000D043F">
        <w:t xml:space="preserve">of </w:t>
      </w:r>
      <w:r w:rsidR="000D043F" w:rsidRPr="00FF0BB7">
        <w:rPr>
          <w:i/>
          <w:iCs/>
        </w:rPr>
        <w:t xml:space="preserve">respectable </w:t>
      </w:r>
      <w:r w:rsidR="000D043F" w:rsidRPr="00395834">
        <w:t>and</w:t>
      </w:r>
      <w:r w:rsidR="000D043F" w:rsidRPr="00FF0BB7">
        <w:rPr>
          <w:i/>
          <w:iCs/>
        </w:rPr>
        <w:t xml:space="preserve"> responsible</w:t>
      </w:r>
      <w:r w:rsidR="00935DA5">
        <w:t xml:space="preserve"> </w:t>
      </w:r>
      <w:r w:rsidR="00752222">
        <w:t>“good”</w:t>
      </w:r>
      <w:r w:rsidR="00381F98">
        <w:t xml:space="preserve"> sex </w:t>
      </w:r>
      <w:r w:rsidR="00D0754B">
        <w:t xml:space="preserve">onto application users. </w:t>
      </w:r>
    </w:p>
    <w:p w14:paraId="6069454A" w14:textId="5E4BA758" w:rsidR="00D321FC" w:rsidRDefault="00842A04" w:rsidP="00FF0BB7">
      <w:pPr>
        <w:pStyle w:val="Heading1"/>
        <w:jc w:val="both"/>
      </w:pPr>
      <w:r>
        <w:t>Content Restriction</w:t>
      </w:r>
      <w:r w:rsidR="00837CD0">
        <w:t>s</w:t>
      </w:r>
      <w:r w:rsidR="00A943C0">
        <w:t xml:space="preserve"> and </w:t>
      </w:r>
      <w:r w:rsidR="00DE3E58">
        <w:t>Discussing</w:t>
      </w:r>
      <w:r w:rsidR="00A943C0">
        <w:t xml:space="preserve"> of Sex on Applications</w:t>
      </w:r>
      <w:r w:rsidR="00B25AB4">
        <w:t xml:space="preserve"> </w:t>
      </w:r>
    </w:p>
    <w:p w14:paraId="664C654A" w14:textId="15573B97" w:rsidR="00D321FC" w:rsidRPr="00D80B9A" w:rsidRDefault="004A2999">
      <w:pPr>
        <w:pStyle w:val="Newparagraph"/>
        <w:jc w:val="both"/>
      </w:pPr>
      <w:r>
        <w:t>As d</w:t>
      </w:r>
      <w:r w:rsidR="006F2B98">
        <w:t>emonstrated</w:t>
      </w:r>
      <w:r>
        <w:t xml:space="preserve"> above, several participants highlighted how the HIV disclosure features on applications are used by some as a means of navigating issues such as condom use or cessation, </w:t>
      </w:r>
      <w:r w:rsidR="006A575F">
        <w:t xml:space="preserve">preferences for particular types of sex, and other issues </w:t>
      </w:r>
      <w:r w:rsidR="00D9338F">
        <w:t>related to, but beyond, HIV status.</w:t>
      </w:r>
      <w:r w:rsidR="001E60FB">
        <w:t xml:space="preserve"> In this section, I discuss how s</w:t>
      </w:r>
      <w:r w:rsidR="003A6D68">
        <w:t xml:space="preserve">uch behaviour </w:t>
      </w:r>
      <w:r w:rsidR="00465479">
        <w:t>might be</w:t>
      </w:r>
      <w:r w:rsidR="0023316F">
        <w:t xml:space="preserve"> seen </w:t>
      </w:r>
      <w:r w:rsidR="00BE437D">
        <w:t>to be</w:t>
      </w:r>
      <w:r w:rsidR="00465479">
        <w:t xml:space="preserve"> a consequence of restrictions governing the content of applications</w:t>
      </w:r>
      <w:r w:rsidR="00D658A6">
        <w:t xml:space="preserve"> </w:t>
      </w:r>
      <w:r w:rsidR="00465479">
        <w:t>imposed on developers by many application marketplaces.</w:t>
      </w:r>
      <w:r w:rsidR="00E34EDD">
        <w:rPr>
          <w:rStyle w:val="FootnoteReference"/>
        </w:rPr>
        <w:footnoteReference w:id="78"/>
      </w:r>
      <w:r w:rsidR="00781F15">
        <w:t xml:space="preserve"> </w:t>
      </w:r>
      <w:r w:rsidR="008E0A24">
        <w:t xml:space="preserve">In contrast to dating websites, including </w:t>
      </w:r>
      <w:r w:rsidR="00610618">
        <w:t xml:space="preserve">websites </w:t>
      </w:r>
      <w:r w:rsidR="00610618">
        <w:lastRenderedPageBreak/>
        <w:t xml:space="preserve">which have mobile sites, these restrictions typically </w:t>
      </w:r>
      <w:r w:rsidR="00EA35D8">
        <w:t>prevent apps from including sexually explicit content</w:t>
      </w:r>
      <w:r w:rsidR="009D2A8B">
        <w:t>.</w:t>
      </w:r>
      <w:r w:rsidR="004214B9">
        <w:t xml:space="preserve"> In response to these restrictions, </w:t>
      </w:r>
      <w:r w:rsidR="008679E9">
        <w:t xml:space="preserve">many app developers include similarly phrased restrictions in their own terms of service. For </w:t>
      </w:r>
      <w:r w:rsidR="008A5A34">
        <w:t>example,</w:t>
      </w:r>
      <w:r w:rsidR="00D321FC" w:rsidRPr="00D80B9A">
        <w:t xml:space="preserve"> </w:t>
      </w:r>
      <w:r w:rsidR="00D321FC" w:rsidRPr="00D80B9A">
        <w:rPr>
          <w:i/>
          <w:iCs/>
        </w:rPr>
        <w:t>Grindr</w:t>
      </w:r>
      <w:r w:rsidR="00D321FC" w:rsidRPr="00D80B9A">
        <w:t>’s terms of service include restrictions on:</w:t>
      </w:r>
    </w:p>
    <w:p w14:paraId="1BD6C1F2" w14:textId="28999EFF" w:rsidR="00D321FC" w:rsidRDefault="00D321FC">
      <w:pPr>
        <w:pStyle w:val="Displayedquotation"/>
        <w:jc w:val="both"/>
      </w:pPr>
      <w:r w:rsidRPr="00D80B9A">
        <w:t xml:space="preserve">…any information or material which a reasonable person could deem to be objectionable, defamatory, </w:t>
      </w:r>
      <w:proofErr w:type="spellStart"/>
      <w:r w:rsidRPr="00D80B9A">
        <w:t>libelous</w:t>
      </w:r>
      <w:proofErr w:type="spellEnd"/>
      <w:r w:rsidRPr="00D80B9A">
        <w:t>[sic], offensive, obscene, indecent, pornographic, harassing, threatening, embarrassing, distressing, vulgar, hateful, racially or ethnically or otherwise offensive to any group or individual, intentionally misleading, false, or otherwise inappropriate, regardless of whether this material or its dissemination is unlawf</w:t>
      </w:r>
      <w:r w:rsidR="00A35D52">
        <w:t>ul</w:t>
      </w:r>
      <w:r w:rsidRPr="00FF0BB7">
        <w:rPr>
          <w:rStyle w:val="FootnoteReference"/>
        </w:rPr>
        <w:footnoteReference w:id="79"/>
      </w:r>
    </w:p>
    <w:p w14:paraId="2247CD27" w14:textId="2221AD84" w:rsidR="009046E9" w:rsidRPr="00D80B9A" w:rsidRDefault="009046E9">
      <w:pPr>
        <w:pStyle w:val="Newparagraph"/>
        <w:jc w:val="both"/>
      </w:pPr>
      <w:r w:rsidRPr="00D80B9A">
        <w:t>Whilst these restrictions have now been in place for several years, as Ashford has noted, they cannot reasonably be described as clear cut, nor do they seem to have eliminated the behaviour they seemingly target.</w:t>
      </w:r>
      <w:r w:rsidRPr="00F76894">
        <w:rPr>
          <w:rStyle w:val="FootnoteReference"/>
        </w:rPr>
        <w:footnoteReference w:id="80"/>
      </w:r>
      <w:r w:rsidRPr="00D80B9A">
        <w:t xml:space="preserve"> They do, however, contribute to an environment where little can be said of the actual sexual </w:t>
      </w:r>
      <w:r w:rsidRPr="00D80B9A">
        <w:rPr>
          <w:i/>
          <w:iCs/>
        </w:rPr>
        <w:t xml:space="preserve">desires </w:t>
      </w:r>
      <w:r w:rsidRPr="00D80B9A">
        <w:t xml:space="preserve">that a user </w:t>
      </w:r>
      <w:r w:rsidR="00835CAE">
        <w:t>may have</w:t>
      </w:r>
      <w:r w:rsidRPr="00D80B9A">
        <w:t>. It has been noted that the risk of public ostracization and other social pressures limit the extent to which users are explicit about their sexual desires</w:t>
      </w:r>
      <w:r w:rsidR="00835CAE">
        <w:t>.</w:t>
      </w:r>
      <w:r w:rsidRPr="00F76894">
        <w:rPr>
          <w:rStyle w:val="FootnoteReference"/>
        </w:rPr>
        <w:footnoteReference w:id="81"/>
      </w:r>
      <w:r w:rsidR="00DF35EA">
        <w:t xml:space="preserve"> </w:t>
      </w:r>
      <w:r w:rsidR="00835CAE">
        <w:t>B</w:t>
      </w:r>
      <w:r w:rsidRPr="00D80B9A">
        <w:t>ut these content restrictions</w:t>
      </w:r>
      <w:r w:rsidR="00A42173">
        <w:t xml:space="preserve"> also</w:t>
      </w:r>
      <w:r w:rsidRPr="00D80B9A">
        <w:t xml:space="preserve"> severely limit what can and cannot be said in a way which may contribute to the risk identities </w:t>
      </w:r>
      <w:r w:rsidR="00063B5A">
        <w:t>and</w:t>
      </w:r>
      <w:r w:rsidRPr="00D80B9A">
        <w:t xml:space="preserve"> the screening practices discussed above.</w:t>
      </w:r>
    </w:p>
    <w:p w14:paraId="0E900A38" w14:textId="2305EB22" w:rsidR="00033FDD" w:rsidRDefault="008F60B0">
      <w:pPr>
        <w:pStyle w:val="Newparagraph"/>
        <w:jc w:val="both"/>
      </w:pPr>
      <w:r>
        <w:lastRenderedPageBreak/>
        <w:t>Particularly notable is that, u</w:t>
      </w:r>
      <w:r w:rsidR="009046E9" w:rsidRPr="00D80B9A">
        <w:t xml:space="preserve">nlike dating websites, dating applications do not provide users with an adequate mechanism for discussing </w:t>
      </w:r>
      <w:r w:rsidR="009046E9" w:rsidRPr="00D80B9A">
        <w:rPr>
          <w:i/>
          <w:iCs/>
        </w:rPr>
        <w:t xml:space="preserve">how </w:t>
      </w:r>
      <w:r w:rsidR="009046E9" w:rsidRPr="00D80B9A">
        <w:t>they have sex. Ashford notes that even on older websites there were means for users to describe the type of sex that they were looking for, including whether they had safe(r) sex ‘always’, ‘sometimes’, or ‘never’, although there too the rise of the ‘</w:t>
      </w:r>
      <w:proofErr w:type="spellStart"/>
      <w:r w:rsidR="009046E9" w:rsidRPr="00D80B9A">
        <w:t>barebacker</w:t>
      </w:r>
      <w:proofErr w:type="spellEnd"/>
      <w:r w:rsidR="009046E9" w:rsidRPr="00D80B9A">
        <w:t xml:space="preserve"> identity’ has created socio-legal challenges concerning the distinction between act</w:t>
      </w:r>
      <w:r w:rsidR="006B0219">
        <w:t>s</w:t>
      </w:r>
      <w:r w:rsidR="009046E9" w:rsidRPr="00D80B9A">
        <w:t xml:space="preserve"> and identit</w:t>
      </w:r>
      <w:r w:rsidR="006B0219">
        <w:t>ies</w:t>
      </w:r>
      <w:r w:rsidR="009046E9" w:rsidRPr="00D80B9A">
        <w:t>.</w:t>
      </w:r>
      <w:r w:rsidR="009046E9" w:rsidRPr="00F76894">
        <w:rPr>
          <w:rStyle w:val="FootnoteReference"/>
        </w:rPr>
        <w:footnoteReference w:id="82"/>
      </w:r>
      <w:r w:rsidR="009046E9" w:rsidRPr="00D80B9A">
        <w:t xml:space="preserve">  Nevertheless, </w:t>
      </w:r>
      <w:r w:rsidR="009046E9">
        <w:t>a</w:t>
      </w:r>
      <w:r w:rsidR="009046E9" w:rsidRPr="00D80B9A">
        <w:t>pplications have not approached the issue of safe(r) sex in the same fashion</w:t>
      </w:r>
      <w:r w:rsidR="009D31BB">
        <w:t xml:space="preserve"> or </w:t>
      </w:r>
      <w:r w:rsidR="00E473EF">
        <w:t xml:space="preserve">addressed it </w:t>
      </w:r>
      <w:r w:rsidR="009D31BB">
        <w:t>to the same extent as</w:t>
      </w:r>
      <w:r w:rsidR="00B17EC3">
        <w:t xml:space="preserve"> </w:t>
      </w:r>
      <w:r w:rsidR="00E10D80">
        <w:t xml:space="preserve">dating </w:t>
      </w:r>
      <w:r w:rsidR="00B17EC3">
        <w:t>websites</w:t>
      </w:r>
      <w:r w:rsidR="009046E9" w:rsidRPr="00D80B9A">
        <w:t xml:space="preserve">. Profiles do not detail the </w:t>
      </w:r>
      <w:r w:rsidR="009046E9" w:rsidRPr="00D80B9A">
        <w:rPr>
          <w:i/>
          <w:iCs/>
        </w:rPr>
        <w:t>messy</w:t>
      </w:r>
      <w:r w:rsidR="009046E9" w:rsidRPr="00D80B9A">
        <w:t xml:space="preserve"> reality of users’ sexual motivations, which – on a sexual front – are packaged up in the nondescript realms of the phrase: ‘right now’, ‘top’ ‘bottom’ </w:t>
      </w:r>
      <w:proofErr w:type="spellStart"/>
      <w:r w:rsidR="009046E9" w:rsidRPr="00D80B9A">
        <w:t>ect</w:t>
      </w:r>
      <w:proofErr w:type="spellEnd"/>
      <w:r w:rsidR="009046E9" w:rsidRPr="00D80B9A">
        <w:t>.</w:t>
      </w:r>
      <w:r w:rsidR="009046E9" w:rsidRPr="00F76894">
        <w:rPr>
          <w:rStyle w:val="FootnoteReference"/>
        </w:rPr>
        <w:footnoteReference w:id="83"/>
      </w:r>
      <w:r w:rsidR="009046E9" w:rsidRPr="00D80B9A">
        <w:t xml:space="preserve"> </w:t>
      </w:r>
      <w:r w:rsidR="00BB6D07">
        <w:t>The only exception to this is the free-form section of profiles, although this</w:t>
      </w:r>
      <w:r w:rsidR="00BD24A2">
        <w:t xml:space="preserve"> remains subject to </w:t>
      </w:r>
      <w:r w:rsidR="00AB37BE">
        <w:t>similar</w:t>
      </w:r>
      <w:r w:rsidR="00033FDD">
        <w:t xml:space="preserve"> vague rules and to the scrutiny and regulation of application developer</w:t>
      </w:r>
      <w:r w:rsidR="00F81365">
        <w:t>s</w:t>
      </w:r>
      <w:r w:rsidR="00033FDD">
        <w:t xml:space="preserve">. </w:t>
      </w:r>
    </w:p>
    <w:p w14:paraId="37961547" w14:textId="71481711" w:rsidR="009046E9" w:rsidRPr="00D80B9A" w:rsidRDefault="00033FDD">
      <w:pPr>
        <w:pStyle w:val="Newparagraph"/>
        <w:jc w:val="both"/>
      </w:pPr>
      <w:r>
        <w:t>A</w:t>
      </w:r>
      <w:r w:rsidR="009046E9" w:rsidRPr="00D80B9A">
        <w:t xml:space="preserve">s such, sexual health can be seen </w:t>
      </w:r>
      <w:r w:rsidR="00BE62EF">
        <w:t>as</w:t>
      </w:r>
      <w:r w:rsidR="009046E9" w:rsidRPr="00D80B9A">
        <w:t xml:space="preserve"> a</w:t>
      </w:r>
      <w:r w:rsidR="00BE62EF">
        <w:t>n</w:t>
      </w:r>
      <w:r w:rsidR="00167F04">
        <w:t xml:space="preserve"> identity marker, reflecting </w:t>
      </w:r>
      <w:r w:rsidR="009046E9" w:rsidRPr="00D80B9A">
        <w:t xml:space="preserve">who the user is, rather than </w:t>
      </w:r>
      <w:r w:rsidR="00AA508E">
        <w:t>a behavioural marker</w:t>
      </w:r>
      <w:r w:rsidR="00530399">
        <w:t>,</w:t>
      </w:r>
      <w:r w:rsidR="00AA508E">
        <w:t xml:space="preserve"> </w:t>
      </w:r>
      <w:r w:rsidR="009046E9" w:rsidRPr="00D80B9A">
        <w:t>reflecting particular sex</w:t>
      </w:r>
      <w:r w:rsidR="00167F04">
        <w:t>ual</w:t>
      </w:r>
      <w:r w:rsidR="009046E9" w:rsidRPr="00D80B9A">
        <w:t xml:space="preserve"> acts and the risks associated with these. When participants, as discussed above, perceive of those with undetectable viral loads as ‘unsafe and [taking] risks’</w:t>
      </w:r>
      <w:r w:rsidR="009046E9" w:rsidRPr="00F76894">
        <w:rPr>
          <w:rStyle w:val="FootnoteReference"/>
        </w:rPr>
        <w:footnoteReference w:id="84"/>
      </w:r>
      <w:r w:rsidR="009046E9" w:rsidRPr="00D80B9A">
        <w:t xml:space="preserve"> this lack of ability to discuss sexual practices has a very real impact on the ability of those living with HIV to use these applications without stereotyping, ostracization and exclusion. </w:t>
      </w:r>
    </w:p>
    <w:p w14:paraId="10C1D79C" w14:textId="6119E749" w:rsidR="00007715" w:rsidRPr="00D80B9A" w:rsidRDefault="00007715" w:rsidP="00FF0BB7">
      <w:pPr>
        <w:pStyle w:val="Newparagraph"/>
        <w:jc w:val="both"/>
      </w:pPr>
      <w:r>
        <w:lastRenderedPageBreak/>
        <w:t xml:space="preserve">Robinson </w:t>
      </w:r>
      <w:r w:rsidR="00250E07">
        <w:t>has suggested</w:t>
      </w:r>
      <w:r w:rsidR="0021555A">
        <w:t xml:space="preserve"> that</w:t>
      </w:r>
      <w:r w:rsidR="00E76D7E">
        <w:t xml:space="preserve"> more attention needs to be give</w:t>
      </w:r>
      <w:r w:rsidR="0042637D">
        <w:t>n</w:t>
      </w:r>
      <w:r w:rsidR="00E76D7E">
        <w:t xml:space="preserve"> to </w:t>
      </w:r>
      <w:r w:rsidR="00E76D7E">
        <w:rPr>
          <w:i/>
          <w:iCs/>
        </w:rPr>
        <w:t xml:space="preserve">how </w:t>
      </w:r>
      <w:r w:rsidR="00E76D7E">
        <w:t xml:space="preserve">sexual risk taking and responsibility is carried out and, in particular, </w:t>
      </w:r>
      <w:r w:rsidR="00981479">
        <w:t>how the design of digital technolog</w:t>
      </w:r>
      <w:r w:rsidR="0011648A">
        <w:t>ies can shape discourses of safety and r</w:t>
      </w:r>
      <w:r w:rsidR="0042637D">
        <w:t>esponsibility.</w:t>
      </w:r>
      <w:r w:rsidR="0042637D" w:rsidRPr="00F76894">
        <w:rPr>
          <w:rStyle w:val="FootnoteReference"/>
        </w:rPr>
        <w:footnoteReference w:id="85"/>
      </w:r>
      <w:r w:rsidR="0042637D">
        <w:t xml:space="preserve"> </w:t>
      </w:r>
      <w:r w:rsidR="0021555A">
        <w:t xml:space="preserve">As he highlights, the design of dating websites </w:t>
      </w:r>
      <w:r w:rsidR="00444C43">
        <w:t>and the filtering tools on them</w:t>
      </w:r>
      <w:r w:rsidR="00F7474F">
        <w:t xml:space="preserve"> </w:t>
      </w:r>
      <w:r w:rsidR="00A11149">
        <w:t>‘marks HIV status and sexual practices as parts of a person, their profile, and how they are treated.</w:t>
      </w:r>
      <w:r w:rsidR="00A11149" w:rsidRPr="00F76894">
        <w:rPr>
          <w:rStyle w:val="FootnoteReference"/>
        </w:rPr>
        <w:footnoteReference w:id="86"/>
      </w:r>
      <w:r w:rsidR="003A7139">
        <w:t xml:space="preserve"> </w:t>
      </w:r>
      <w:r w:rsidR="00F2082D">
        <w:t>However, the additional content restrictions discussed here appear to</w:t>
      </w:r>
      <w:r w:rsidR="00A675C4">
        <w:t>, mo</w:t>
      </w:r>
      <w:r w:rsidR="00AA4169">
        <w:t>reover</w:t>
      </w:r>
      <w:r w:rsidR="00DC2C33">
        <w:t xml:space="preserve">, limit discussion of sexual practices and produce </w:t>
      </w:r>
      <w:r w:rsidR="00890DA2">
        <w:t xml:space="preserve">narrow </w:t>
      </w:r>
      <w:r w:rsidR="00D249E5">
        <w:t xml:space="preserve">conceptualisations </w:t>
      </w:r>
      <w:r w:rsidR="00890DA2">
        <w:t xml:space="preserve">of safety and responsibility. </w:t>
      </w:r>
      <w:r w:rsidR="000007DB">
        <w:t>By</w:t>
      </w:r>
      <w:r w:rsidR="002631A5">
        <w:t xml:space="preserve"> </w:t>
      </w:r>
      <w:r w:rsidR="009A076E">
        <w:t>preventing</w:t>
      </w:r>
      <w:r w:rsidR="003C6312">
        <w:t xml:space="preserve"> sexual practices from being discussed overtly within user profiles</w:t>
      </w:r>
      <w:r w:rsidR="00D31CAE">
        <w:t>,</w:t>
      </w:r>
      <w:r w:rsidR="003C6312">
        <w:t xml:space="preserve"> </w:t>
      </w:r>
      <w:r w:rsidR="00D33736">
        <w:t>it might be argued that, applications</w:t>
      </w:r>
      <w:r w:rsidR="00A650DF">
        <w:t xml:space="preserve"> further</w:t>
      </w:r>
      <w:r w:rsidR="00D33736">
        <w:t xml:space="preserve"> reduce risk to </w:t>
      </w:r>
      <w:r w:rsidR="00F52954">
        <w:t xml:space="preserve">an identity or label assigned to some users, and in so doing </w:t>
      </w:r>
      <w:r w:rsidR="00035F94">
        <w:t xml:space="preserve">produce narratives of </w:t>
      </w:r>
      <w:r w:rsidR="00035F94">
        <w:rPr>
          <w:i/>
          <w:iCs/>
        </w:rPr>
        <w:t xml:space="preserve">risky men </w:t>
      </w:r>
      <w:r w:rsidR="00035F94">
        <w:t xml:space="preserve">rather than </w:t>
      </w:r>
      <w:r w:rsidR="00035F94">
        <w:rPr>
          <w:i/>
          <w:iCs/>
        </w:rPr>
        <w:t>risky behaviours</w:t>
      </w:r>
      <w:r w:rsidR="00035F94">
        <w:t>.</w:t>
      </w:r>
      <w:r w:rsidR="00035F94" w:rsidRPr="00F76894">
        <w:rPr>
          <w:rStyle w:val="FootnoteReference"/>
        </w:rPr>
        <w:footnoteReference w:id="87"/>
      </w:r>
    </w:p>
    <w:p w14:paraId="1160A368" w14:textId="35A4F1D2" w:rsidR="00D321FC" w:rsidRPr="00D80B9A" w:rsidRDefault="00D321FC">
      <w:pPr>
        <w:pStyle w:val="Newparagraph"/>
        <w:jc w:val="both"/>
      </w:pPr>
      <w:r w:rsidRPr="00D80B9A">
        <w:t>It seems that, in contrast to the message promoted by many of these applications that disclosure is about combatting stigma and promoting community health, the design of many mobile dating applications contributes to the individualisation of sexual responsibility</w:t>
      </w:r>
      <w:r w:rsidR="00021E5F">
        <w:t xml:space="preserve"> and the Othering of people living with HIV</w:t>
      </w:r>
      <w:r w:rsidRPr="00D80B9A">
        <w:t xml:space="preserve">. This is perhaps unsurprising, as Flowers put it: ‘[w]hat appears to be happening is that with the advent of each new technological </w:t>
      </w:r>
      <w:r w:rsidR="00E10D80">
        <w:t>“</w:t>
      </w:r>
      <w:r w:rsidRPr="00D80B9A">
        <w:t>advance</w:t>
      </w:r>
      <w:r w:rsidR="00E10D80">
        <w:t>”</w:t>
      </w:r>
      <w:r w:rsidRPr="00D80B9A">
        <w:t>, the locations of “risk” multiply, and perhaps most importantly, the location of the “greatest risk” significantly shifts to smaller and smaller numbers of people.’</w:t>
      </w:r>
      <w:r w:rsidRPr="00F76894">
        <w:rPr>
          <w:rStyle w:val="FootnoteReference"/>
        </w:rPr>
        <w:footnoteReference w:id="88"/>
      </w:r>
      <w:r w:rsidRPr="00D80B9A">
        <w:t xml:space="preserve"> Whilst the technological advances Flowers spoke of were primarily biopharmaceutical, in the form of antibody testing, treatment and PEP, it might be </w:t>
      </w:r>
      <w:r w:rsidRPr="00D80B9A">
        <w:lastRenderedPageBreak/>
        <w:t>suggested that the digital advances which allow for the rapid dissemination of information-rich content are similarly likely to produce narrow conceptualisations of who is responsible and who isn’t.</w:t>
      </w:r>
      <w:r w:rsidR="00666EB6">
        <w:t xml:space="preserve"> Given that gay men report using </w:t>
      </w:r>
      <w:r w:rsidR="00AB0823">
        <w:t xml:space="preserve">newer </w:t>
      </w:r>
      <w:r w:rsidR="00796D8A">
        <w:t xml:space="preserve">technologies such as </w:t>
      </w:r>
      <w:proofErr w:type="spellStart"/>
      <w:r w:rsidR="00796D8A">
        <w:t>PrEP</w:t>
      </w:r>
      <w:proofErr w:type="spellEnd"/>
      <w:r w:rsidR="00796D8A">
        <w:t xml:space="preserve"> to achieve intimacy in different ways,</w:t>
      </w:r>
      <w:r w:rsidR="00796D8A" w:rsidRPr="00F76894">
        <w:rPr>
          <w:rStyle w:val="FootnoteReference"/>
        </w:rPr>
        <w:footnoteReference w:id="89"/>
      </w:r>
      <w:r w:rsidR="000B541C">
        <w:t xml:space="preserve"> that applications construct a particularly narrow </w:t>
      </w:r>
      <w:r w:rsidR="005E2252">
        <w:t xml:space="preserve">conceptualisation of how to have sex “responsibly” </w:t>
      </w:r>
      <w:r w:rsidR="00D73441">
        <w:t xml:space="preserve">is highly problematic. </w:t>
      </w:r>
    </w:p>
    <w:p w14:paraId="43698667" w14:textId="77777777" w:rsidR="00D321FC" w:rsidRPr="00D80B9A" w:rsidRDefault="00D321FC">
      <w:pPr>
        <w:pStyle w:val="Heading1"/>
        <w:jc w:val="both"/>
      </w:pPr>
      <w:r w:rsidRPr="00D80B9A">
        <w:t>Legal Constructions of Responsibility in HIV Transmission Cases</w:t>
      </w:r>
    </w:p>
    <w:p w14:paraId="38C7A64E" w14:textId="513F0DCD" w:rsidR="00F13878" w:rsidRDefault="00EF5824">
      <w:pPr>
        <w:pStyle w:val="Newparagraph"/>
        <w:jc w:val="both"/>
      </w:pPr>
      <w:r>
        <w:t>Having</w:t>
      </w:r>
      <w:r w:rsidR="001E60FB">
        <w:t xml:space="preserve"> highlighted </w:t>
      </w:r>
      <w:r w:rsidR="00A141D3">
        <w:t xml:space="preserve">above </w:t>
      </w:r>
      <w:r w:rsidR="001E60FB">
        <w:t>how many dating applications impose restrictions on the content that can be included in a user’</w:t>
      </w:r>
      <w:r w:rsidR="00A5115F">
        <w:t>s profile</w:t>
      </w:r>
      <w:r w:rsidR="001E60FB">
        <w:t xml:space="preserve"> and how some users report using this limited information as part of avoidance strategies</w:t>
      </w:r>
      <w:r w:rsidR="00A5115F">
        <w:t>,</w:t>
      </w:r>
      <w:r w:rsidR="001E60FB">
        <w:t xml:space="preserve"> </w:t>
      </w:r>
      <w:r w:rsidR="00AC1664">
        <w:t xml:space="preserve">in this section I discuss the implications that this might have under the current framework of HIV criminalisation. </w:t>
      </w:r>
      <w:r w:rsidR="001E60FB">
        <w:t>I argue that b</w:t>
      </w:r>
      <w:r w:rsidR="00D321FC" w:rsidRPr="00D80B9A">
        <w:t>y limiting the extent to which users are able to discuss sexual acts,</w:t>
      </w:r>
      <w:r w:rsidR="00D321FC" w:rsidRPr="00F76894">
        <w:rPr>
          <w:rStyle w:val="FootnoteReference"/>
        </w:rPr>
        <w:footnoteReference w:id="90"/>
      </w:r>
      <w:r w:rsidR="00D321FC" w:rsidRPr="00D80B9A">
        <w:t xml:space="preserve"> application </w:t>
      </w:r>
      <w:r w:rsidR="00413BE1">
        <w:t>marketplaces</w:t>
      </w:r>
      <w:r w:rsidR="00F31D1B">
        <w:t>,</w:t>
      </w:r>
      <w:r w:rsidR="00413BE1">
        <w:t xml:space="preserve"> and in turn</w:t>
      </w:r>
      <w:r w:rsidR="00F31D1B">
        <w:t>,</w:t>
      </w:r>
      <w:r w:rsidR="00413BE1">
        <w:t xml:space="preserve"> </w:t>
      </w:r>
      <w:r w:rsidR="00D321FC" w:rsidRPr="00D80B9A">
        <w:t>developers</w:t>
      </w:r>
      <w:r w:rsidR="00F31D1B">
        <w:t>,</w:t>
      </w:r>
      <w:r w:rsidR="00D321FC" w:rsidRPr="00D80B9A">
        <w:t xml:space="preserve"> limit the extent to which individual transmission risks </w:t>
      </w:r>
      <w:r w:rsidR="001E60FB">
        <w:t>can be</w:t>
      </w:r>
      <w:r w:rsidR="00D321FC" w:rsidRPr="00D80B9A">
        <w:t xml:space="preserve"> communicated on </w:t>
      </w:r>
      <w:r w:rsidR="001E60FB">
        <w:t>dating</w:t>
      </w:r>
      <w:r w:rsidR="00D321FC" w:rsidRPr="00D80B9A">
        <w:t xml:space="preserve"> application</w:t>
      </w:r>
      <w:r w:rsidR="001E60FB">
        <w:t>s</w:t>
      </w:r>
      <w:r w:rsidR="004630DB">
        <w:t>.</w:t>
      </w:r>
      <w:r w:rsidR="00D321FC" w:rsidRPr="00D80B9A">
        <w:t xml:space="preserve"> </w:t>
      </w:r>
      <w:r w:rsidR="001E60FB">
        <w:t>Rather than providing space for risks to be discussed,</w:t>
      </w:r>
      <w:r w:rsidR="00F13878">
        <w:t xml:space="preserve"> presenting risks a</w:t>
      </w:r>
      <w:r w:rsidR="00983CC6">
        <w:t>s</w:t>
      </w:r>
      <w:r w:rsidR="00F13878">
        <w:t xml:space="preserve"> things to be</w:t>
      </w:r>
      <w:r w:rsidR="001E60FB">
        <w:t xml:space="preserve"> negotiated and </w:t>
      </w:r>
      <w:r w:rsidR="00F13878">
        <w:t>taken (or not taken) by all those who are sexually active</w:t>
      </w:r>
      <w:r w:rsidR="00D321FC" w:rsidRPr="00D80B9A">
        <w:t xml:space="preserve">, this may contribute to the </w:t>
      </w:r>
      <w:r w:rsidR="00F13878">
        <w:t>perception</w:t>
      </w:r>
      <w:r w:rsidR="00F13878" w:rsidRPr="00D80B9A">
        <w:t xml:space="preserve"> </w:t>
      </w:r>
      <w:r w:rsidR="00D321FC" w:rsidRPr="00D80B9A">
        <w:t>that risk(</w:t>
      </w:r>
      <w:proofErr w:type="spellStart"/>
      <w:r w:rsidR="00D321FC" w:rsidRPr="00D80B9A">
        <w:t>iness</w:t>
      </w:r>
      <w:proofErr w:type="spellEnd"/>
      <w:r w:rsidR="00D321FC" w:rsidRPr="00D80B9A">
        <w:t xml:space="preserve">) is an inherent characteristic of some application users. </w:t>
      </w:r>
    </w:p>
    <w:p w14:paraId="45196375" w14:textId="69C7A9F4" w:rsidR="00A2215F" w:rsidRDefault="00D321FC">
      <w:pPr>
        <w:pStyle w:val="Newparagraph"/>
        <w:jc w:val="both"/>
      </w:pPr>
      <w:r w:rsidRPr="00D80B9A">
        <w:t>There may be</w:t>
      </w:r>
      <w:r w:rsidR="009A057F">
        <w:t xml:space="preserve"> some</w:t>
      </w:r>
      <w:r w:rsidRPr="00D80B9A">
        <w:t xml:space="preserve"> </w:t>
      </w:r>
      <w:r w:rsidR="00851F08">
        <w:t xml:space="preserve">potentially </w:t>
      </w:r>
      <w:r w:rsidRPr="00D80B9A">
        <w:t>positive outcomes to this</w:t>
      </w:r>
      <w:r w:rsidR="001A547E">
        <w:t>.</w:t>
      </w:r>
      <w:r w:rsidR="00B36DBE">
        <w:t xml:space="preserve"> </w:t>
      </w:r>
      <w:r w:rsidR="006E7E23">
        <w:t xml:space="preserve">Race notes that </w:t>
      </w:r>
      <w:proofErr w:type="spellStart"/>
      <w:r w:rsidR="006E7E23">
        <w:t>TasP</w:t>
      </w:r>
      <w:proofErr w:type="spellEnd"/>
      <w:r w:rsidR="006E7E23">
        <w:t xml:space="preserve"> can offer PLWHIV new ways to self-identify centred around viral load and non-</w:t>
      </w:r>
      <w:r w:rsidR="006E7E23">
        <w:lastRenderedPageBreak/>
        <w:t>infectivity</w:t>
      </w:r>
      <w:r w:rsidR="00D16205">
        <w:t>,</w:t>
      </w:r>
      <w:r w:rsidR="006E7E23">
        <w:t xml:space="preserve"> </w:t>
      </w:r>
      <w:r w:rsidR="00292709">
        <w:t>beyond the HIV-Positive/Negative binary</w:t>
      </w:r>
      <w:r w:rsidRPr="00D80B9A">
        <w:t>.</w:t>
      </w:r>
      <w:r w:rsidRPr="00F76894">
        <w:rPr>
          <w:rStyle w:val="FootnoteReference"/>
        </w:rPr>
        <w:footnoteReference w:id="91"/>
      </w:r>
      <w:r w:rsidR="00A2215F">
        <w:t xml:space="preserve"> However, the potentially unhelpful and significant impact that such a focus might have within the context of the criminal law must also be taken into consideration. </w:t>
      </w:r>
      <w:r w:rsidR="00F13878">
        <w:t xml:space="preserve"> </w:t>
      </w:r>
    </w:p>
    <w:p w14:paraId="4C3F9D8E" w14:textId="3BD8348D" w:rsidR="00A5115F" w:rsidRDefault="000A5D95">
      <w:pPr>
        <w:pStyle w:val="Newparagraph"/>
        <w:jc w:val="both"/>
      </w:pPr>
      <w:r>
        <w:t xml:space="preserve">The criminal law continues to unequally distribute responsibility </w:t>
      </w:r>
      <w:r w:rsidR="005734BC">
        <w:t>for preventing HIV transmission</w:t>
      </w:r>
      <w:r w:rsidR="002434D2">
        <w:t>. With</w:t>
      </w:r>
      <w:r w:rsidR="005734BC">
        <w:t xml:space="preserve"> the m</w:t>
      </w:r>
      <w:r w:rsidR="002434D2">
        <w:t xml:space="preserve">ost, if not all, </w:t>
      </w:r>
      <w:r w:rsidR="005734BC">
        <w:t>of this responsibility</w:t>
      </w:r>
      <w:r w:rsidR="00EA24D3">
        <w:t xml:space="preserve"> placed</w:t>
      </w:r>
      <w:r w:rsidR="005734BC">
        <w:t xml:space="preserve"> onto the shoulders of people living with HIV. Since </w:t>
      </w:r>
      <w:r w:rsidR="00D321FC" w:rsidRPr="00D80B9A">
        <w:rPr>
          <w:i/>
          <w:iCs/>
        </w:rPr>
        <w:t xml:space="preserve">Dica </w:t>
      </w:r>
      <w:r w:rsidR="00D321FC" w:rsidRPr="00D80B9A">
        <w:t>in 2004</w:t>
      </w:r>
      <w:r w:rsidR="005734BC">
        <w:t>,</w:t>
      </w:r>
      <w:r w:rsidR="00D321FC" w:rsidRPr="00D80B9A">
        <w:t xml:space="preserve"> </w:t>
      </w:r>
      <w:r w:rsidR="005734BC">
        <w:t>the criminal law’s response to HIV transmission</w:t>
      </w:r>
      <w:r w:rsidR="0092693F">
        <w:t xml:space="preserve"> has been centred </w:t>
      </w:r>
      <w:r w:rsidR="00F13878">
        <w:t>on</w:t>
      </w:r>
      <w:r w:rsidR="0092693F">
        <w:t xml:space="preserve"> the </w:t>
      </w:r>
      <w:r w:rsidR="00D321FC" w:rsidRPr="00D80B9A">
        <w:t>Offences Against the Person Act</w:t>
      </w:r>
      <w:r w:rsidR="0092693F">
        <w:t xml:space="preserve"> </w:t>
      </w:r>
      <w:r w:rsidR="00317D5F">
        <w:t xml:space="preserve">and has approached HIV transmission as a physical harm, </w:t>
      </w:r>
      <w:r w:rsidR="00D321FC" w:rsidRPr="00D80B9A">
        <w:t>rather than as a sexual offence.</w:t>
      </w:r>
      <w:r w:rsidR="00D321FC" w:rsidRPr="00F76894">
        <w:rPr>
          <w:rStyle w:val="FootnoteReference"/>
        </w:rPr>
        <w:footnoteReference w:id="92"/>
      </w:r>
      <w:r w:rsidR="00D321FC" w:rsidRPr="00D80B9A">
        <w:t xml:space="preserve"> Since that point, what constitutes sufficient awareness of transmission risk, on the part of the defendant, to give rise to liability; and what constitutes sufficient disclosure of that risk to eliminate liability has remained somewhat unclear.</w:t>
      </w:r>
      <w:r w:rsidR="00D321FC" w:rsidRPr="00F76894">
        <w:rPr>
          <w:rStyle w:val="FootnoteReference"/>
        </w:rPr>
        <w:footnoteReference w:id="93"/>
      </w:r>
      <w:r w:rsidR="00D321FC" w:rsidRPr="00D80B9A">
        <w:t xml:space="preserve"> </w:t>
      </w:r>
    </w:p>
    <w:p w14:paraId="7526E5BA" w14:textId="59269747" w:rsidR="00D321FC" w:rsidRPr="00D80B9A" w:rsidRDefault="00D321FC">
      <w:pPr>
        <w:pStyle w:val="Newparagraph"/>
        <w:jc w:val="both"/>
      </w:pPr>
      <w:r w:rsidRPr="00D80B9A">
        <w:t xml:space="preserve">The Court of Appeal established in </w:t>
      </w:r>
      <w:r w:rsidRPr="00D80B9A">
        <w:rPr>
          <w:i/>
          <w:iCs/>
        </w:rPr>
        <w:t>Konzani</w:t>
      </w:r>
      <w:r w:rsidRPr="00D80B9A">
        <w:t xml:space="preserve"> that there would be</w:t>
      </w:r>
      <w:r w:rsidR="00AA2B25">
        <w:t xml:space="preserve"> a limited range of</w:t>
      </w:r>
      <w:r w:rsidRPr="00D80B9A">
        <w:t xml:space="preserve"> </w:t>
      </w:r>
      <w:r w:rsidR="00B33C79">
        <w:t>situations</w:t>
      </w:r>
      <w:r w:rsidRPr="00D80B9A">
        <w:t xml:space="preserve"> where there would not need to be direct disclosure by the defendant to the complainant, whether verbally or non-verbally, for the consent to the risk of HIV transmission to nevertheless be genuine.</w:t>
      </w:r>
      <w:r w:rsidRPr="00F76894">
        <w:rPr>
          <w:rStyle w:val="FootnoteReference"/>
        </w:rPr>
        <w:footnoteReference w:id="94"/>
      </w:r>
      <w:r w:rsidRPr="00D80B9A">
        <w:t xml:space="preserve"> </w:t>
      </w:r>
      <w:r w:rsidR="00A5115F">
        <w:t xml:space="preserve">For instance, where the complainant and </w:t>
      </w:r>
      <w:r w:rsidR="00C4009C">
        <w:lastRenderedPageBreak/>
        <w:t>defendant</w:t>
      </w:r>
      <w:r w:rsidR="00B33C79">
        <w:t xml:space="preserve"> meet whilst the defendant is being treated for HIV. </w:t>
      </w:r>
      <w:r w:rsidRPr="00D80B9A">
        <w:t xml:space="preserve">The </w:t>
      </w:r>
      <w:r w:rsidR="00F5688A">
        <w:t>CoA’s</w:t>
      </w:r>
      <w:r w:rsidRPr="00D80B9A">
        <w:t xml:space="preserve"> recognition of </w:t>
      </w:r>
      <w:r w:rsidR="00BC71B2">
        <w:t>such</w:t>
      </w:r>
      <w:r w:rsidRPr="00D80B9A">
        <w:t xml:space="preserve"> circumstances has been overshadowed, however, by the ruling in the same case that ‘silence in these circumstances is incongruous with honesty, or with a genuine belief that there is informed consent.’</w:t>
      </w:r>
      <w:r w:rsidRPr="00F76894">
        <w:rPr>
          <w:rStyle w:val="FootnoteReference"/>
        </w:rPr>
        <w:footnoteReference w:id="95"/>
      </w:r>
      <w:r w:rsidRPr="00D80B9A">
        <w:t xml:space="preserve"> Although these two principles are presented as concordant within the judgement, as part of a broader expectation of informed consent, </w:t>
      </w:r>
      <w:r w:rsidR="00A5115F">
        <w:t>it can be argued</w:t>
      </w:r>
      <w:r w:rsidRPr="00D80B9A">
        <w:t xml:space="preserve"> that the former </w:t>
      </w:r>
      <w:r w:rsidR="00AE26D2">
        <w:t>is undermined</w:t>
      </w:r>
      <w:r w:rsidR="00AE26D2" w:rsidRPr="00D80B9A">
        <w:t xml:space="preserve"> </w:t>
      </w:r>
      <w:r w:rsidRPr="00D80B9A">
        <w:t>the latte</w:t>
      </w:r>
      <w:r w:rsidR="00A5115F">
        <w:t>r</w:t>
      </w:r>
      <w:r w:rsidR="0030373E">
        <w:t>.</w:t>
      </w:r>
      <w:r w:rsidR="00AA6F71">
        <w:rPr>
          <w:rStyle w:val="FootnoteReference"/>
        </w:rPr>
        <w:footnoteReference w:id="96"/>
      </w:r>
      <w:r w:rsidR="0030373E">
        <w:t xml:space="preserve"> By constructing silence as inherently dishonest, the courts are in fact limiting the defendant’s ability to discharge their </w:t>
      </w:r>
      <w:r w:rsidRPr="00D80B9A">
        <w:t xml:space="preserve">obligation to ensure that </w:t>
      </w:r>
      <w:r w:rsidR="0030373E">
        <w:t xml:space="preserve">their </w:t>
      </w:r>
      <w:r w:rsidRPr="00D80B9A">
        <w:t>sexual partners are properly informed of transmission risk</w:t>
      </w:r>
      <w:r w:rsidR="00057665">
        <w:t xml:space="preserve"> in</w:t>
      </w:r>
      <w:r w:rsidR="00395834">
        <w:t xml:space="preserve"> circumstances</w:t>
      </w:r>
      <w:r w:rsidR="00CF4EA0">
        <w:t xml:space="preserve"> where this is necessary</w:t>
      </w:r>
      <w:r w:rsidRPr="00D80B9A">
        <w:t xml:space="preserve">. </w:t>
      </w:r>
    </w:p>
    <w:p w14:paraId="1BF61DA4" w14:textId="0B3B1571" w:rsidR="00CE6353" w:rsidRDefault="00D321FC">
      <w:pPr>
        <w:pStyle w:val="Newparagraph"/>
        <w:jc w:val="both"/>
      </w:pPr>
      <w:r w:rsidRPr="00D80B9A">
        <w:t>Some have expressed concern that indirect form</w:t>
      </w:r>
      <w:r w:rsidR="00BD24B4">
        <w:t>s</w:t>
      </w:r>
      <w:r w:rsidRPr="00D80B9A">
        <w:t xml:space="preserve"> of informed consent</w:t>
      </w:r>
      <w:r w:rsidR="00BD24B4">
        <w:t xml:space="preserve"> such as this</w:t>
      </w:r>
      <w:r w:rsidRPr="00D80B9A">
        <w:t xml:space="preserve"> might lead to people living with HIV assuming that they need not disclose at all, </w:t>
      </w:r>
      <w:r w:rsidR="00BD24B4">
        <w:t xml:space="preserve">where, </w:t>
      </w:r>
      <w:r w:rsidRPr="00D80B9A">
        <w:t xml:space="preserve">for </w:t>
      </w:r>
      <w:r w:rsidR="00BD24B4">
        <w:t>example</w:t>
      </w:r>
      <w:r w:rsidRPr="00D80B9A">
        <w:t>, their status is generally</w:t>
      </w:r>
      <w:r w:rsidR="00BD24B4">
        <w:t xml:space="preserve"> and </w:t>
      </w:r>
      <w:r w:rsidR="00150EE1">
        <w:t>publicly</w:t>
      </w:r>
      <w:r w:rsidRPr="00D80B9A">
        <w:t xml:space="preserve"> known. In part</w:t>
      </w:r>
      <w:r w:rsidR="008B31AC">
        <w:t>,</w:t>
      </w:r>
      <w:r w:rsidRPr="00D80B9A">
        <w:t xml:space="preserve"> such concerns seem predicated on the desire not to place responsibility </w:t>
      </w:r>
      <w:r w:rsidR="00CE6353">
        <w:t xml:space="preserve">for preventing HIV transmission </w:t>
      </w:r>
      <w:r w:rsidRPr="00D80B9A">
        <w:t>on the shoulders of HIV- individuals.</w:t>
      </w:r>
      <w:r w:rsidRPr="00F76894">
        <w:rPr>
          <w:rStyle w:val="FootnoteReference"/>
        </w:rPr>
        <w:footnoteReference w:id="97"/>
      </w:r>
      <w:r w:rsidRPr="00D80B9A">
        <w:t xml:space="preserve"> The rationale behind this being that consent is undermined if ‘the victim must first have known to ask the right question’.</w:t>
      </w:r>
      <w:r w:rsidRPr="00F76894">
        <w:rPr>
          <w:rStyle w:val="FootnoteReference"/>
        </w:rPr>
        <w:footnoteReference w:id="98"/>
      </w:r>
      <w:r w:rsidRPr="00D80B9A">
        <w:t xml:space="preserve"> </w:t>
      </w:r>
    </w:p>
    <w:p w14:paraId="53E34C42" w14:textId="34CEBEAF" w:rsidR="00A17E19" w:rsidRDefault="00D321FC">
      <w:pPr>
        <w:pStyle w:val="Newparagraph"/>
        <w:jc w:val="both"/>
      </w:pPr>
      <w:r w:rsidRPr="00D80B9A">
        <w:t xml:space="preserve">However, as Ryan has pointed out, the exception provided in </w:t>
      </w:r>
      <w:r w:rsidRPr="00D80B9A">
        <w:rPr>
          <w:i/>
          <w:iCs/>
        </w:rPr>
        <w:t xml:space="preserve">Konzani </w:t>
      </w:r>
      <w:r w:rsidRPr="00D80B9A">
        <w:t xml:space="preserve">does little to remove the requirement for the defendant to ensure that their partners do have sufficient </w:t>
      </w:r>
      <w:r w:rsidRPr="00D80B9A">
        <w:lastRenderedPageBreak/>
        <w:t>knowledge.</w:t>
      </w:r>
      <w:r w:rsidRPr="00F76894">
        <w:rPr>
          <w:rStyle w:val="FootnoteReference"/>
        </w:rPr>
        <w:footnoteReference w:id="99"/>
      </w:r>
      <w:r w:rsidRPr="00D80B9A">
        <w:t xml:space="preserve"> Instead, the exception might be better described as a route to preventing wilful blindness on the part of HIV- people to disclosure which </w:t>
      </w:r>
      <w:r w:rsidRPr="00D80B9A">
        <w:rPr>
          <w:i/>
          <w:iCs/>
        </w:rPr>
        <w:t xml:space="preserve">has </w:t>
      </w:r>
      <w:r w:rsidRPr="00D80B9A">
        <w:t xml:space="preserve">taken place, albeit in perhaps an indirect manner. It is worth noting that, drawing on Sedgwick’s work, a similar ‘privilege of unknowing’ has been discussed in relation to the growing number of </w:t>
      </w:r>
      <w:r w:rsidR="00CB0D21">
        <w:t xml:space="preserve">sexual offence </w:t>
      </w:r>
      <w:r w:rsidRPr="00D80B9A">
        <w:t>cases involving allegations of gender identity deception.</w:t>
      </w:r>
      <w:r w:rsidRPr="00F76894">
        <w:rPr>
          <w:rStyle w:val="FootnoteReference"/>
        </w:rPr>
        <w:footnoteReference w:id="100"/>
      </w:r>
      <w:r w:rsidRPr="00D80B9A">
        <w:t xml:space="preserve"> Ignoring this imbalance of responsibility for sexual health and placing the majority</w:t>
      </w:r>
      <w:r w:rsidR="00150EE1">
        <w:t>,</w:t>
      </w:r>
      <w:r w:rsidRPr="00D80B9A">
        <w:t xml:space="preserve"> if not all</w:t>
      </w:r>
      <w:r w:rsidR="00150EE1">
        <w:t xml:space="preserve">, of the  </w:t>
      </w:r>
      <w:r w:rsidRPr="00D80B9A">
        <w:t>responsibility for preventing infections on the shoulders of people living with HIV assumes that disclosure takes place in a somewhat idealised setting.</w:t>
      </w:r>
      <w:r w:rsidRPr="00F76894">
        <w:rPr>
          <w:rStyle w:val="FootnoteReference"/>
        </w:rPr>
        <w:footnoteReference w:id="101"/>
      </w:r>
      <w:r w:rsidRPr="00D80B9A">
        <w:t xml:space="preserve"> </w:t>
      </w:r>
    </w:p>
    <w:p w14:paraId="14D58EFE" w14:textId="71043342" w:rsidR="00D321FC" w:rsidRPr="00D80B9A" w:rsidRDefault="00D321FC">
      <w:pPr>
        <w:pStyle w:val="Newparagraph"/>
        <w:jc w:val="both"/>
      </w:pPr>
      <w:proofErr w:type="spellStart"/>
      <w:r w:rsidRPr="00D80B9A">
        <w:t>Cherkassky</w:t>
      </w:r>
      <w:proofErr w:type="spellEnd"/>
      <w:r w:rsidRPr="00D80B9A">
        <w:t xml:space="preserve"> suggests that ‘it may be more logical to keep the burden on the defendant to check that the victim is aware of the situation’.</w:t>
      </w:r>
      <w:r w:rsidRPr="00F76894">
        <w:rPr>
          <w:rStyle w:val="FootnoteReference"/>
        </w:rPr>
        <w:footnoteReference w:id="102"/>
      </w:r>
      <w:r w:rsidRPr="00D80B9A">
        <w:t xml:space="preserve"> However, as Ryan points out, the sexual context within which this discussion takes place is hardly a site of </w:t>
      </w:r>
      <w:r w:rsidRPr="003C0EF5">
        <w:t>dispassion,</w:t>
      </w:r>
      <w:r w:rsidRPr="003C0EF5">
        <w:rPr>
          <w:rStyle w:val="FootnoteReference"/>
        </w:rPr>
        <w:footnoteReference w:id="103"/>
      </w:r>
      <w:r w:rsidRPr="00D80B9A">
        <w:t xml:space="preserve"> and the</w:t>
      </w:r>
      <w:r w:rsidR="00BA3C40">
        <w:t>re</w:t>
      </w:r>
      <w:r w:rsidRPr="00D80B9A">
        <w:t xml:space="preserve"> is clearly a need to acknowledge the </w:t>
      </w:r>
      <w:r w:rsidRPr="00D80B9A">
        <w:rPr>
          <w:i/>
          <w:iCs/>
        </w:rPr>
        <w:t xml:space="preserve">messy </w:t>
      </w:r>
      <w:r w:rsidRPr="00D80B9A">
        <w:t>reality of sexual encounters when the law becomes involved with them.</w:t>
      </w:r>
      <w:r w:rsidRPr="00F76894">
        <w:rPr>
          <w:rStyle w:val="FootnoteReference"/>
        </w:rPr>
        <w:footnoteReference w:id="104"/>
      </w:r>
      <w:r w:rsidRPr="00D80B9A">
        <w:t xml:space="preserve"> The suggestion that ‘the responsibility of those who are ill to inform their consorts that they differ from the norm in being HIV positive, … is their responsibility alone’</w:t>
      </w:r>
      <w:r w:rsidRPr="00F76894">
        <w:rPr>
          <w:rStyle w:val="FootnoteReference"/>
        </w:rPr>
        <w:footnoteReference w:id="105"/>
      </w:r>
      <w:r w:rsidRPr="00D80B9A">
        <w:t xml:space="preserve"> ignores the practicalities of having such discussions</w:t>
      </w:r>
      <w:r w:rsidR="00DC1567">
        <w:t>. This is</w:t>
      </w:r>
      <w:r w:rsidRPr="00D80B9A">
        <w:t xml:space="preserve"> particularly</w:t>
      </w:r>
      <w:r w:rsidR="00481E40">
        <w:t xml:space="preserve"> the case</w:t>
      </w:r>
      <w:r w:rsidRPr="00D80B9A">
        <w:t xml:space="preserve"> online</w:t>
      </w:r>
      <w:r w:rsidR="00DC1567">
        <w:t>,</w:t>
      </w:r>
      <w:r w:rsidRPr="00D80B9A">
        <w:t xml:space="preserve"> and on</w:t>
      </w:r>
      <w:r w:rsidR="00481E40">
        <w:t xml:space="preserve"> dating</w:t>
      </w:r>
      <w:r w:rsidRPr="00D80B9A">
        <w:t xml:space="preserve"> applications</w:t>
      </w:r>
      <w:r w:rsidR="00DC1567">
        <w:t>,</w:t>
      </w:r>
      <w:r w:rsidRPr="00D80B9A">
        <w:t xml:space="preserve"> </w:t>
      </w:r>
      <w:r w:rsidRPr="00D80B9A">
        <w:lastRenderedPageBreak/>
        <w:t xml:space="preserve">which come with their own </w:t>
      </w:r>
      <w:r w:rsidR="00DC1567">
        <w:t xml:space="preserve">norms, </w:t>
      </w:r>
      <w:r w:rsidRPr="00D80B9A">
        <w:t>practices and expectations</w:t>
      </w:r>
      <w:r w:rsidR="00EB302F">
        <w:t xml:space="preserve"> </w:t>
      </w:r>
      <w:r w:rsidR="004A139E">
        <w:t>such as the ones discussed above</w:t>
      </w:r>
      <w:r w:rsidRPr="00D80B9A">
        <w:t>.</w:t>
      </w:r>
    </w:p>
    <w:p w14:paraId="087D0339" w14:textId="725E04A8" w:rsidR="00AE63D2" w:rsidRDefault="00D321FC">
      <w:pPr>
        <w:pStyle w:val="Newparagraph"/>
        <w:jc w:val="both"/>
      </w:pPr>
      <w:r w:rsidRPr="00D80B9A">
        <w:t>There is little recognition that sexual interactions that carry the risk of HIV transmission are</w:t>
      </w:r>
      <w:r w:rsidR="004503D5">
        <w:t>,</w:t>
      </w:r>
      <w:r w:rsidRPr="00D80B9A">
        <w:t xml:space="preserve"> by their very nature</w:t>
      </w:r>
      <w:r w:rsidR="004503D5">
        <w:t>,</w:t>
      </w:r>
      <w:r w:rsidRPr="00D80B9A">
        <w:t xml:space="preserve"> dynamic interactions between two or more people</w:t>
      </w:r>
      <w:r w:rsidR="00705A65">
        <w:t>.</w:t>
      </w:r>
      <w:r w:rsidRPr="00F76894">
        <w:rPr>
          <w:rStyle w:val="FootnoteReference"/>
        </w:rPr>
        <w:footnoteReference w:id="106"/>
      </w:r>
      <w:r w:rsidR="00190B89">
        <w:t xml:space="preserve"> </w:t>
      </w:r>
      <w:r w:rsidRPr="00D80B9A">
        <w:t xml:space="preserve">The current law on HIV transmission pays little attention to </w:t>
      </w:r>
      <w:r w:rsidR="00613E7A">
        <w:t>issues of</w:t>
      </w:r>
      <w:r w:rsidRPr="00D80B9A">
        <w:t xml:space="preserve"> public health and constructs transmission predominantly as a legal concern,</w:t>
      </w:r>
      <w:r w:rsidRPr="00F76894">
        <w:rPr>
          <w:rStyle w:val="FootnoteReference"/>
        </w:rPr>
        <w:footnoteReference w:id="107"/>
      </w:r>
      <w:r w:rsidRPr="00D80B9A">
        <w:t xml:space="preserve"> it downplays the shared responsibility placed on those who are sexually active, individually and </w:t>
      </w:r>
      <w:r w:rsidRPr="00D80B9A">
        <w:rPr>
          <w:i/>
          <w:iCs/>
        </w:rPr>
        <w:t xml:space="preserve">as a body </w:t>
      </w:r>
      <w:r w:rsidRPr="00D80B9A">
        <w:t>to reduce HIV transmissions.</w:t>
      </w:r>
      <w:r w:rsidRPr="00F76894">
        <w:rPr>
          <w:rStyle w:val="FootnoteReference"/>
        </w:rPr>
        <w:footnoteReference w:id="108"/>
      </w:r>
      <w:r w:rsidRPr="00D80B9A">
        <w:t xml:space="preserve"> Dating applications play into this by constructing responsible sexual health as something that individuals must do </w:t>
      </w:r>
      <w:r w:rsidRPr="00D80B9A">
        <w:rPr>
          <w:i/>
          <w:iCs/>
        </w:rPr>
        <w:t xml:space="preserve">on their own </w:t>
      </w:r>
      <w:r w:rsidRPr="00D80B9A">
        <w:t xml:space="preserve">rather than </w:t>
      </w:r>
      <w:r w:rsidRPr="00D80B9A">
        <w:rPr>
          <w:i/>
          <w:iCs/>
        </w:rPr>
        <w:t>together</w:t>
      </w:r>
      <w:r w:rsidRPr="00D80B9A">
        <w:t xml:space="preserve">. </w:t>
      </w:r>
    </w:p>
    <w:p w14:paraId="5FDB5840" w14:textId="1E58337A" w:rsidR="00D321FC" w:rsidRPr="00D80B9A" w:rsidRDefault="00D321FC">
      <w:pPr>
        <w:pStyle w:val="Newparagraph"/>
        <w:jc w:val="both"/>
      </w:pPr>
      <w:r w:rsidRPr="00D80B9A">
        <w:t xml:space="preserve">The inequity </w:t>
      </w:r>
      <w:r w:rsidR="000909DF">
        <w:t>of the current law</w:t>
      </w:r>
      <w:r w:rsidR="00EF7B3A">
        <w:t>,</w:t>
      </w:r>
      <w:r w:rsidRPr="00D80B9A">
        <w:t xml:space="preserve"> placing all responsibility for transmission on the shoulders of people living with HIV</w:t>
      </w:r>
      <w:r w:rsidR="0035087C">
        <w:t>,</w:t>
      </w:r>
      <w:r w:rsidRPr="00D80B9A">
        <w:t xml:space="preserve"> has been widely noted.</w:t>
      </w:r>
      <w:r w:rsidRPr="00F76894">
        <w:rPr>
          <w:rStyle w:val="FootnoteReference"/>
        </w:rPr>
        <w:footnoteReference w:id="109"/>
      </w:r>
      <w:r w:rsidRPr="00D80B9A">
        <w:t xml:space="preserve"> </w:t>
      </w:r>
      <w:r w:rsidR="00EA3DF0">
        <w:t>With this in mind, w</w:t>
      </w:r>
      <w:r w:rsidRPr="00D80B9A">
        <w:t>hat applications might misrepresent if viewed in isolation</w:t>
      </w:r>
      <w:r w:rsidR="000953A4">
        <w:t>,</w:t>
      </w:r>
      <w:r w:rsidRPr="00D80B9A">
        <w:t xml:space="preserve"> at trial or by police subsequent to a complaint, is the quite static way that profiles on these applications convey what is </w:t>
      </w:r>
      <w:r w:rsidRPr="00D80B9A">
        <w:lastRenderedPageBreak/>
        <w:t>otherwise a fluctuating process.</w:t>
      </w:r>
      <w:r w:rsidR="00C04D09">
        <w:rPr>
          <w:rStyle w:val="FootnoteReference"/>
        </w:rPr>
        <w:footnoteReference w:id="110"/>
      </w:r>
      <w:r w:rsidRPr="00D80B9A">
        <w:t xml:space="preserve"> What constitutes risk takes on a different meaning in different contexts, the discourses surrounding sexual responsibility and HIV infection have the tendency to take qualitative assessments of risk and develop them into personalised characteristics, producing the </w:t>
      </w:r>
      <w:r w:rsidRPr="00D80B9A">
        <w:rPr>
          <w:i/>
          <w:iCs/>
        </w:rPr>
        <w:t xml:space="preserve">high-risk </w:t>
      </w:r>
      <w:r w:rsidRPr="00D80B9A">
        <w:t>individual. However, this language does little to help us communicate the risks incumbent in individual actions,</w:t>
      </w:r>
      <w:r w:rsidRPr="00F76894">
        <w:rPr>
          <w:rStyle w:val="FootnoteReference"/>
        </w:rPr>
        <w:footnoteReference w:id="111"/>
      </w:r>
      <w:r w:rsidRPr="00D80B9A">
        <w:t xml:space="preserve"> and may lead to gay men being misconstrued as </w:t>
      </w:r>
      <w:r w:rsidR="00CE7B11">
        <w:t>“</w:t>
      </w:r>
      <w:r w:rsidRPr="00D80B9A">
        <w:t>risky</w:t>
      </w:r>
      <w:r w:rsidR="00CE7B11">
        <w:t>”</w:t>
      </w:r>
      <w:r w:rsidRPr="00D80B9A">
        <w:t xml:space="preserve"> sexual actors on account of their application us</w:t>
      </w:r>
      <w:r w:rsidR="001E1E09">
        <w:t>e.</w:t>
      </w:r>
    </w:p>
    <w:p w14:paraId="07E7F7E1" w14:textId="606510F5" w:rsidR="00CE778A" w:rsidRDefault="00D321FC">
      <w:pPr>
        <w:pStyle w:val="Newparagraph"/>
        <w:jc w:val="both"/>
      </w:pPr>
      <w:r w:rsidRPr="00D80B9A">
        <w:t xml:space="preserve">It is also noteworthy that </w:t>
      </w:r>
      <w:r w:rsidR="00470285">
        <w:t>dating</w:t>
      </w:r>
      <w:r w:rsidR="00470285" w:rsidRPr="00D80B9A">
        <w:t xml:space="preserve"> </w:t>
      </w:r>
      <w:r w:rsidRPr="00D80B9A">
        <w:t xml:space="preserve">applications continue to engage in HIV exceptionalism, picking out the risk of HIV transmission above and beyond other sexually transmitted infections, some of which may be less readily </w:t>
      </w:r>
      <w:r w:rsidR="004A4285" w:rsidRPr="00D80B9A">
        <w:t>treated,</w:t>
      </w:r>
      <w:r w:rsidRPr="00D80B9A">
        <w:t xml:space="preserve"> and which may have </w:t>
      </w:r>
      <w:r w:rsidR="00324C2A">
        <w:t>q</w:t>
      </w:r>
      <w:r w:rsidRPr="00D80B9A">
        <w:t>uite serious consequence</w:t>
      </w:r>
      <w:r w:rsidR="00E97B2A">
        <w:t>s.</w:t>
      </w:r>
      <w:r w:rsidR="000A756E">
        <w:rPr>
          <w:rStyle w:val="FootnoteReference"/>
        </w:rPr>
        <w:footnoteReference w:id="112"/>
      </w:r>
      <w:r w:rsidR="00EB148B">
        <w:t xml:space="preserve"> </w:t>
      </w:r>
      <w:r w:rsidR="004A4285">
        <w:t>Similarly</w:t>
      </w:r>
      <w:r w:rsidR="005471D5">
        <w:t>,</w:t>
      </w:r>
      <w:r w:rsidR="004A4285">
        <w:t xml:space="preserve"> </w:t>
      </w:r>
      <w:r w:rsidR="00EB148B">
        <w:t>the law also continue</w:t>
      </w:r>
      <w:r w:rsidR="004A4285">
        <w:t>s</w:t>
      </w:r>
      <w:r w:rsidR="00EB148B">
        <w:t xml:space="preserve"> to focus</w:t>
      </w:r>
      <w:r w:rsidR="00216112">
        <w:t>,</w:t>
      </w:r>
      <w:r w:rsidR="00EB148B">
        <w:t xml:space="preserve"> primarily</w:t>
      </w:r>
      <w:r w:rsidR="00216112">
        <w:t>,</w:t>
      </w:r>
      <w:r w:rsidR="00EB148B">
        <w:t xml:space="preserve"> on </w:t>
      </w:r>
      <w:r w:rsidR="004A4285">
        <w:t xml:space="preserve">the </w:t>
      </w:r>
      <w:r w:rsidR="00C36042">
        <w:t>ris</w:t>
      </w:r>
      <w:r w:rsidR="0006605E">
        <w:t xml:space="preserve">ks relating to </w:t>
      </w:r>
      <w:r w:rsidR="00EB148B">
        <w:t>HIV</w:t>
      </w:r>
      <w:r w:rsidR="00216112">
        <w:t>.</w:t>
      </w:r>
      <w:r w:rsidRPr="00F76894">
        <w:rPr>
          <w:rStyle w:val="FootnoteReference"/>
        </w:rPr>
        <w:footnoteReference w:id="113"/>
      </w:r>
      <w:r w:rsidRPr="00D80B9A">
        <w:t xml:space="preserve"> </w:t>
      </w:r>
      <w:r w:rsidR="004F38AF">
        <w:t>Even then, t</w:t>
      </w:r>
      <w:r w:rsidRPr="00D80B9A">
        <w:t xml:space="preserve">he </w:t>
      </w:r>
      <w:r w:rsidR="0035731E">
        <w:t>limited range</w:t>
      </w:r>
      <w:r w:rsidR="0035731E" w:rsidRPr="00D80B9A">
        <w:t xml:space="preserve"> </w:t>
      </w:r>
      <w:r w:rsidRPr="00D80B9A">
        <w:t>of case law on reckless HIV transmission</w:t>
      </w:r>
      <w:r w:rsidRPr="00F76894">
        <w:rPr>
          <w:rStyle w:val="FootnoteReference"/>
        </w:rPr>
        <w:footnoteReference w:id="114"/>
      </w:r>
      <w:r w:rsidRPr="00D80B9A">
        <w:t xml:space="preserve"> means that the law is still rooted in an understanding of HIV that predates </w:t>
      </w:r>
      <w:r w:rsidRPr="00D80B9A">
        <w:lastRenderedPageBreak/>
        <w:t xml:space="preserve">awareness </w:t>
      </w:r>
      <w:r w:rsidR="00F964D4">
        <w:t xml:space="preserve">that </w:t>
      </w:r>
      <w:r w:rsidRPr="00D80B9A">
        <w:t>U</w:t>
      </w:r>
      <w:r w:rsidR="00F964D4">
        <w:t>=U</w:t>
      </w:r>
      <w:r w:rsidRPr="00D80B9A">
        <w:t xml:space="preserve"> and arguably was still relatively early into the age of HIV as a lifelong, rather than life limiting, condition.</w:t>
      </w:r>
      <w:r w:rsidRPr="00F76894">
        <w:rPr>
          <w:rStyle w:val="FootnoteReference"/>
        </w:rPr>
        <w:footnoteReference w:id="115"/>
      </w:r>
      <w:r w:rsidRPr="00D80B9A">
        <w:t xml:space="preserve"> </w:t>
      </w:r>
    </w:p>
    <w:p w14:paraId="7CD56F01" w14:textId="2E9792D0" w:rsidR="00D321FC" w:rsidRPr="00D80B9A" w:rsidRDefault="00D321FC">
      <w:pPr>
        <w:pStyle w:val="Newparagraph"/>
        <w:jc w:val="both"/>
      </w:pPr>
      <w:r w:rsidRPr="00D80B9A">
        <w:t xml:space="preserve">Within this context, the overall design and architecture of the applications, particularly the design of user profiles, leaves much to be desired. In particular, there is a need to overcome the </w:t>
      </w:r>
      <w:r w:rsidRPr="00D80B9A">
        <w:rPr>
          <w:i/>
          <w:iCs/>
        </w:rPr>
        <w:t xml:space="preserve">responsible/irresponsible </w:t>
      </w:r>
      <w:r w:rsidRPr="00D80B9A">
        <w:t>framing of users</w:t>
      </w:r>
      <w:r w:rsidR="00F63649">
        <w:t>,</w:t>
      </w:r>
      <w:r w:rsidRPr="00D80B9A">
        <w:t xml:space="preserve"> as well as a need to address this changing medical/sexual health context.</w:t>
      </w:r>
      <w:r w:rsidRPr="00F76894">
        <w:rPr>
          <w:rStyle w:val="FootnoteReference"/>
        </w:rPr>
        <w:footnoteReference w:id="116"/>
      </w:r>
      <w:r w:rsidRPr="00D80B9A">
        <w:t xml:space="preserve"> But most importantly, from a legal standpoint, if applications are becoming more open to sexualised content, as the introduction of sexual labels such as “top” and “</w:t>
      </w:r>
      <w:proofErr w:type="spellStart"/>
      <w:r w:rsidRPr="00D80B9A">
        <w:t>vers</w:t>
      </w:r>
      <w:proofErr w:type="spellEnd"/>
      <w:r w:rsidRPr="00D80B9A">
        <w:t xml:space="preserve">” in a recent update seems to indicate, there needs to be greater recognition of the differing ways that users seek pleasure with one another and consequently take risks. </w:t>
      </w:r>
    </w:p>
    <w:p w14:paraId="23107ED0" w14:textId="77777777" w:rsidR="00D321FC" w:rsidRPr="00D80B9A" w:rsidRDefault="00D321FC">
      <w:pPr>
        <w:pStyle w:val="Newparagraph"/>
        <w:jc w:val="both"/>
      </w:pPr>
      <w:r w:rsidRPr="00D80B9A">
        <w:t>Criminalisation of reckless transmission in England and Wales is limited to instances where transmission has actually occurred, meaning that where individuals have an undetectable viral load and are therefore unable to transmit the virus no offence is committed in instances of non-disclosure or deception regarding HIV status.</w:t>
      </w:r>
      <w:r w:rsidRPr="00F76894">
        <w:rPr>
          <w:rStyle w:val="FootnoteReference"/>
        </w:rPr>
        <w:footnoteReference w:id="117"/>
      </w:r>
      <w:r w:rsidRPr="00D80B9A">
        <w:t xml:space="preserve"> Although </w:t>
      </w:r>
      <w:r w:rsidRPr="00D80B9A">
        <w:lastRenderedPageBreak/>
        <w:t xml:space="preserve">few participants made reference to the legal implications of non-disclosure, one response which did might indicate that the legal framework covering HIV is poorly understood: </w:t>
      </w:r>
    </w:p>
    <w:p w14:paraId="693E83F9" w14:textId="181EE8E9" w:rsidR="00D11DE9" w:rsidRDefault="00D321FC" w:rsidP="00D11DE9">
      <w:pPr>
        <w:pStyle w:val="Displayedquotation"/>
        <w:jc w:val="both"/>
      </w:pPr>
      <w:r w:rsidRPr="00D80B9A">
        <w:t>[</w:t>
      </w:r>
      <w:r w:rsidR="004176A3">
        <w:t>The character in the vignette] has a legal obligation to disclose his status if he knows what it is I understand his reasons not wanting to publish it due to the stigma surrounding HIV but not disclosing it would be worse for the stigma I know undetectable means it cannot be spread however he still has the legal obligation to disclose it</w:t>
      </w:r>
      <w:r w:rsidRPr="00F76894">
        <w:rPr>
          <w:rStyle w:val="FootnoteReference"/>
        </w:rPr>
        <w:footnoteReference w:id="118"/>
      </w:r>
      <w:r w:rsidRPr="00D80B9A">
        <w:t xml:space="preserve"> </w:t>
      </w:r>
    </w:p>
    <w:p w14:paraId="0FB9514D" w14:textId="67EFB6B4" w:rsidR="00D11DE9" w:rsidRPr="00F41B79" w:rsidRDefault="00D11DE9" w:rsidP="00FF0BB7">
      <w:pPr>
        <w:pStyle w:val="Paragraph"/>
        <w:jc w:val="both"/>
      </w:pPr>
      <w:r>
        <w:t xml:space="preserve">Such misunderstandings may be seen </w:t>
      </w:r>
      <w:r w:rsidR="00B06BB5">
        <w:t xml:space="preserve">as the product of an environment, as seen here across many dating applications, where </w:t>
      </w:r>
      <w:r w:rsidR="002C2E98">
        <w:t xml:space="preserve">there is a focus on disclosure as </w:t>
      </w:r>
      <w:r w:rsidR="002C2E98">
        <w:rPr>
          <w:i/>
          <w:iCs/>
        </w:rPr>
        <w:t>the</w:t>
      </w:r>
      <w:r w:rsidR="002C2E98">
        <w:t xml:space="preserve"> means of sexual responsibility. Rather than one where disclosure is one potential tool in the </w:t>
      </w:r>
      <w:r w:rsidR="00D244CB">
        <w:t xml:space="preserve">sexual actor’s repertoire. </w:t>
      </w:r>
    </w:p>
    <w:p w14:paraId="36F6E0F1" w14:textId="50B7681A" w:rsidR="00D321FC" w:rsidRDefault="00D244CB">
      <w:pPr>
        <w:pStyle w:val="Newparagraph"/>
        <w:jc w:val="both"/>
      </w:pPr>
      <w:r>
        <w:t xml:space="preserve">Furthermore, </w:t>
      </w:r>
      <w:r w:rsidR="00D321FC" w:rsidRPr="00D80B9A">
        <w:t xml:space="preserve">although the majority of participants in this project </w:t>
      </w:r>
      <w:r w:rsidR="004176A3">
        <w:t xml:space="preserve">were aware of </w:t>
      </w:r>
      <w:proofErr w:type="spellStart"/>
      <w:r w:rsidR="004176A3">
        <w:t>TasP</w:t>
      </w:r>
      <w:proofErr w:type="spellEnd"/>
      <w:r w:rsidR="004176A3">
        <w:t xml:space="preserve">, it should be noted </w:t>
      </w:r>
      <w:r w:rsidR="00D321FC" w:rsidRPr="00D80B9A">
        <w:t xml:space="preserve">a </w:t>
      </w:r>
      <w:r w:rsidR="004176A3">
        <w:t xml:space="preserve">significant </w:t>
      </w:r>
      <w:r w:rsidR="00D321FC" w:rsidRPr="00D80B9A">
        <w:t xml:space="preserve">minority </w:t>
      </w:r>
      <w:r w:rsidR="004176A3">
        <w:t>were</w:t>
      </w:r>
      <w:r w:rsidR="00D321FC" w:rsidRPr="00D80B9A">
        <w:t xml:space="preserve"> not. </w:t>
      </w:r>
      <w:r w:rsidR="00ED699B">
        <w:t>Additionally</w:t>
      </w:r>
      <w:r w:rsidR="004176A3">
        <w:t xml:space="preserve">, some reported being aware, but remained doubtful or uncertain about </w:t>
      </w:r>
      <w:proofErr w:type="spellStart"/>
      <w:r w:rsidR="004176A3">
        <w:t>TasP’s</w:t>
      </w:r>
      <w:proofErr w:type="spellEnd"/>
      <w:r w:rsidR="004176A3">
        <w:t xml:space="preserve"> effectiveness. Several also emphasised that they felt under</w:t>
      </w:r>
      <w:r w:rsidR="00F85145">
        <w:t>-</w:t>
      </w:r>
      <w:r w:rsidR="004176A3">
        <w:t>informed</w:t>
      </w:r>
      <w:r w:rsidR="002A2B29">
        <w:t xml:space="preserve"> about these issues</w:t>
      </w:r>
      <w:r w:rsidR="004176A3">
        <w:t xml:space="preserve"> and suggested that </w:t>
      </w:r>
      <w:r w:rsidR="00F85145">
        <w:t xml:space="preserve">additional </w:t>
      </w:r>
      <w:r w:rsidR="002A2B29">
        <w:t>educational material a</w:t>
      </w:r>
      <w:r w:rsidR="00C93599">
        <w:t>ddressing</w:t>
      </w:r>
      <w:r w:rsidR="002A2B29">
        <w:t xml:space="preserve"> </w:t>
      </w:r>
      <w:proofErr w:type="spellStart"/>
      <w:r w:rsidR="002A2B29">
        <w:t>TasP</w:t>
      </w:r>
      <w:proofErr w:type="spellEnd"/>
      <w:r w:rsidR="002A2B29">
        <w:t xml:space="preserve"> and U=U was needed</w:t>
      </w:r>
      <w:r w:rsidR="004176A3">
        <w:t xml:space="preserve">. </w:t>
      </w:r>
      <w:r w:rsidR="00C93599">
        <w:t xml:space="preserve">Further research may wish to consider </w:t>
      </w:r>
      <w:r w:rsidR="00704786">
        <w:t xml:space="preserve">how confusion over </w:t>
      </w:r>
      <w:proofErr w:type="spellStart"/>
      <w:r w:rsidR="00704786">
        <w:t>TasP</w:t>
      </w:r>
      <w:proofErr w:type="spellEnd"/>
      <w:r w:rsidR="00704786">
        <w:t xml:space="preserve"> influences </w:t>
      </w:r>
      <w:r w:rsidR="006060B0">
        <w:t>beliefs about the criminal law among gay men</w:t>
      </w:r>
      <w:r w:rsidR="00EC3810">
        <w:t xml:space="preserve">, and </w:t>
      </w:r>
      <w:r w:rsidR="00487186">
        <w:t xml:space="preserve">how widespread misunderstandings over both are. </w:t>
      </w:r>
      <w:r w:rsidR="009C50E1">
        <w:t>Even if limited in scope, such beliefs might significantly alter behaviour on an individual scale</w:t>
      </w:r>
      <w:r w:rsidR="00E317C5">
        <w:t xml:space="preserve"> and might lead</w:t>
      </w:r>
      <w:r w:rsidR="00564169">
        <w:t xml:space="preserve"> to misunderstandings abo</w:t>
      </w:r>
      <w:r w:rsidR="004B5AD7">
        <w:t>ut the exact nature of obligations under the law.</w:t>
      </w:r>
      <w:r w:rsidR="00D321FC" w:rsidRPr="00F76894">
        <w:rPr>
          <w:rStyle w:val="FootnoteReference"/>
        </w:rPr>
        <w:footnoteReference w:id="119"/>
      </w:r>
      <w:r w:rsidR="00D321FC" w:rsidRPr="00D80B9A">
        <w:t xml:space="preserve"> It is also possible that, should people in such circumstances discover their partner’s HIV status subsequently and still continue to hold these beliefs around criminal responsibility, then </w:t>
      </w:r>
      <w:r w:rsidR="00D321FC" w:rsidRPr="00D80B9A">
        <w:lastRenderedPageBreak/>
        <w:t xml:space="preserve">silence and non-disclosure by users who are undetectable may </w:t>
      </w:r>
      <w:r w:rsidR="00AF473C">
        <w:t xml:space="preserve">continue to result in complaints to </w:t>
      </w:r>
      <w:r w:rsidR="00D321FC" w:rsidRPr="00D80B9A">
        <w:t>the police, further contributing to the stigma directed toward people living with HIV that the law plays a part in.</w:t>
      </w:r>
      <w:r w:rsidR="00D321FC" w:rsidRPr="00F76894">
        <w:rPr>
          <w:rStyle w:val="FootnoteReference"/>
        </w:rPr>
        <w:footnoteReference w:id="120"/>
      </w:r>
    </w:p>
    <w:p w14:paraId="38203B84" w14:textId="77777777" w:rsidR="00D321FC" w:rsidRPr="00D80B9A" w:rsidRDefault="00D321FC">
      <w:pPr>
        <w:pStyle w:val="Heading1"/>
        <w:jc w:val="both"/>
      </w:pPr>
      <w:r w:rsidRPr="00D80B9A">
        <w:t>Conclusions</w:t>
      </w:r>
    </w:p>
    <w:p w14:paraId="36B0F485" w14:textId="7DF7982B" w:rsidR="00242309" w:rsidRDefault="00D321FC">
      <w:pPr>
        <w:pStyle w:val="Newparagraph"/>
        <w:jc w:val="both"/>
      </w:pPr>
      <w:r w:rsidRPr="00D80B9A">
        <w:t xml:space="preserve">Kane Race notes that, ‘the infrastructures of urban gay life have traditionally been predicated on encounters with </w:t>
      </w:r>
      <w:proofErr w:type="gramStart"/>
      <w:r w:rsidRPr="00D80B9A">
        <w:t>strangers’</w:t>
      </w:r>
      <w:proofErr w:type="gramEnd"/>
      <w:r w:rsidRPr="00D80B9A">
        <w:t>.</w:t>
      </w:r>
      <w:r w:rsidRPr="00F76894">
        <w:rPr>
          <w:rStyle w:val="FootnoteReference"/>
        </w:rPr>
        <w:footnoteReference w:id="121"/>
      </w:r>
      <w:r w:rsidRPr="00D80B9A">
        <w:t xml:space="preserve"> If true then we have perhaps never before had the potential to access as much information on these strangers as we do today. Whether stood waiting for a bus or in a queue at a coffee shop,</w:t>
      </w:r>
      <w:r w:rsidRPr="00F76894">
        <w:rPr>
          <w:rStyle w:val="FootnoteReference"/>
        </w:rPr>
        <w:footnoteReference w:id="122"/>
      </w:r>
      <w:r w:rsidRPr="00D80B9A">
        <w:t xml:space="preserve"> we can access a library of information on others; including, where listed, their HIV status and their reported last sexual health check</w:t>
      </w:r>
      <w:r w:rsidR="003014B1">
        <w:t>,</w:t>
      </w:r>
      <w:r w:rsidRPr="00D80B9A">
        <w:t xml:space="preserve"> nearly instantaneously, silently and without them ever knowing that we did.  </w:t>
      </w:r>
    </w:p>
    <w:p w14:paraId="4798191C" w14:textId="27219646" w:rsidR="00D321FC" w:rsidRPr="00D80B9A" w:rsidRDefault="00D321FC">
      <w:pPr>
        <w:pStyle w:val="Newparagraph"/>
        <w:jc w:val="both"/>
      </w:pPr>
      <w:r w:rsidRPr="00D80B9A">
        <w:t>Whilst this may provide an opportunity to develop a more trusting and supportive environment within which to discuss sexual health,</w:t>
      </w:r>
      <w:r w:rsidRPr="00F76894">
        <w:rPr>
          <w:rStyle w:val="FootnoteReference"/>
        </w:rPr>
        <w:footnoteReference w:id="123"/>
      </w:r>
      <w:r w:rsidRPr="00D80B9A">
        <w:t xml:space="preserve"> it is clear that this is not always the case and that applications contribute towards a specific understanding of sexual </w:t>
      </w:r>
      <w:r w:rsidRPr="00D80B9A">
        <w:lastRenderedPageBreak/>
        <w:t xml:space="preserve">responsibility which is individualistic, potentially ineffective, and </w:t>
      </w:r>
      <w:r w:rsidR="00242309">
        <w:t>quite</w:t>
      </w:r>
      <w:r w:rsidRPr="00D80B9A">
        <w:t xml:space="preserve"> probably highly stigmatising. </w:t>
      </w:r>
    </w:p>
    <w:p w14:paraId="31081F10" w14:textId="37179682" w:rsidR="00D321FC" w:rsidRPr="00D80B9A" w:rsidRDefault="00D321FC">
      <w:pPr>
        <w:pStyle w:val="Newparagraph"/>
        <w:jc w:val="both"/>
      </w:pPr>
      <w:r w:rsidRPr="00D80B9A">
        <w:t xml:space="preserve">The relationship between mobile dating application use and our understanding of HIV risk and responsibility is complex, shaped by the concurrent development of both over the past decade. What I have attempted to draw out in this article is how the conceptualisation of responsibility that applications appear to be developing is poorly suited to the aim of preventing HIV transmission. Instead of descriptions of </w:t>
      </w:r>
      <w:r w:rsidRPr="00D80B9A">
        <w:rPr>
          <w:i/>
          <w:iCs/>
        </w:rPr>
        <w:t xml:space="preserve">behaviour, </w:t>
      </w:r>
      <w:r w:rsidRPr="00D80B9A">
        <w:t xml:space="preserve">as seen on </w:t>
      </w:r>
      <w:r w:rsidR="00C02A90">
        <w:t>some</w:t>
      </w:r>
      <w:r w:rsidRPr="00D80B9A">
        <w:t xml:space="preserve"> dating websites</w:t>
      </w:r>
      <w:r w:rsidRPr="00D80B9A">
        <w:rPr>
          <w:i/>
          <w:iCs/>
        </w:rPr>
        <w:t>,</w:t>
      </w:r>
      <w:r w:rsidRPr="00D80B9A">
        <w:t xml:space="preserve"> the status disclosure feature on dating applications appears to </w:t>
      </w:r>
      <w:r w:rsidR="009925BB">
        <w:t xml:space="preserve">further </w:t>
      </w:r>
      <w:r w:rsidRPr="00D80B9A">
        <w:t xml:space="preserve">construct sexual health as part of a user’s </w:t>
      </w:r>
      <w:r w:rsidRPr="00D80B9A">
        <w:rPr>
          <w:i/>
          <w:iCs/>
        </w:rPr>
        <w:t xml:space="preserve">identity. </w:t>
      </w:r>
      <w:r w:rsidR="000C1C5D">
        <w:t>Moreover, t</w:t>
      </w:r>
      <w:r w:rsidRPr="00D80B9A">
        <w:t xml:space="preserve">he design of applications and avoidance of sexually explicit materials in publicly visible profiles contributes to sharp distinctions between those who are acting responsibly in service to their own and the community good and those who are irresponsible, undesirable and reckless. </w:t>
      </w:r>
      <w:r w:rsidR="00245D08">
        <w:t>Therefore, a</w:t>
      </w:r>
      <w:r w:rsidRPr="00D80B9A">
        <w:t>lthough applications might continue to be described as ‘window shopping’</w:t>
      </w:r>
      <w:r w:rsidRPr="00F76894">
        <w:rPr>
          <w:rStyle w:val="FootnoteReference"/>
        </w:rPr>
        <w:footnoteReference w:id="124"/>
      </w:r>
      <w:r w:rsidRPr="00D80B9A">
        <w:t xml:space="preserve">, </w:t>
      </w:r>
      <w:r w:rsidR="0095667D">
        <w:t>“</w:t>
      </w:r>
      <w:r w:rsidRPr="00D80B9A">
        <w:t>online shopping</w:t>
      </w:r>
      <w:r w:rsidR="0095667D">
        <w:t>”</w:t>
      </w:r>
      <w:r w:rsidR="00245D08">
        <w:t>,</w:t>
      </w:r>
      <w:r w:rsidRPr="00F76894">
        <w:rPr>
          <w:rStyle w:val="FootnoteReference"/>
        </w:rPr>
        <w:footnoteReference w:id="125"/>
      </w:r>
      <w:r w:rsidRPr="00D80B9A">
        <w:t xml:space="preserve"> or </w:t>
      </w:r>
      <w:r w:rsidR="004536DF">
        <w:t xml:space="preserve">as an </w:t>
      </w:r>
      <w:r w:rsidRPr="00D80B9A">
        <w:t>‘Argos catalogue’</w:t>
      </w:r>
      <w:r w:rsidRPr="00F76894">
        <w:rPr>
          <w:rStyle w:val="FootnoteReference"/>
        </w:rPr>
        <w:footnoteReference w:id="126"/>
      </w:r>
      <w:r w:rsidRPr="00D80B9A">
        <w:t xml:space="preserve"> </w:t>
      </w:r>
      <w:r w:rsidRPr="00D80B9A">
        <w:rPr>
          <w:i/>
          <w:iCs/>
        </w:rPr>
        <w:t>of men</w:t>
      </w:r>
      <w:r w:rsidRPr="00D80B9A">
        <w:t xml:space="preserve">; the complex, disorderly and sometimes illogical realities of </w:t>
      </w:r>
      <w:r w:rsidRPr="00D80B9A">
        <w:rPr>
          <w:i/>
          <w:iCs/>
        </w:rPr>
        <w:t xml:space="preserve">sex </w:t>
      </w:r>
      <w:r w:rsidRPr="00D80B9A">
        <w:t xml:space="preserve">and </w:t>
      </w:r>
      <w:r w:rsidRPr="00D80B9A">
        <w:rPr>
          <w:i/>
          <w:iCs/>
        </w:rPr>
        <w:t xml:space="preserve">desire </w:t>
      </w:r>
      <w:r w:rsidRPr="00D80B9A">
        <w:t>are subsumed within identity, contributing to sharp distinctions between those who are acting responsibly in service to their own and the community good and those who are irresponsible, undesirable and reckless.</w:t>
      </w:r>
    </w:p>
    <w:p w14:paraId="1F9C8520" w14:textId="0A075E8B" w:rsidR="00D321FC" w:rsidRPr="00D80B9A" w:rsidRDefault="00D321FC">
      <w:pPr>
        <w:pStyle w:val="Newparagraph"/>
        <w:jc w:val="both"/>
      </w:pPr>
      <w:r w:rsidRPr="00D80B9A">
        <w:t>As discussed</w:t>
      </w:r>
      <w:r w:rsidR="005D72A5">
        <w:t xml:space="preserve"> above</w:t>
      </w:r>
      <w:r w:rsidRPr="00D80B9A">
        <w:t xml:space="preserve">, there is longstanding disagreement, too, </w:t>
      </w:r>
      <w:r w:rsidR="00F8597B">
        <w:t>with</w:t>
      </w:r>
      <w:r w:rsidRPr="00D80B9A">
        <w:t xml:space="preserve">in legal commentary surrounding the meaning of sexual responsibility and how it should be distributed between those who are labelled as complainant and defendant should cases come to trial. The manner in which dating applications fail to account for the different </w:t>
      </w:r>
      <w:r w:rsidRPr="00D80B9A">
        <w:lastRenderedPageBreak/>
        <w:t xml:space="preserve">ways users might seek pleasure and engage in erotic acts may further misrepresent the meaning of responsibility, as well as the nature and extent of the necessary disclosure practices required by the criminal law’s response to HIV, and in so doing may shape legal conceptualisations of risk, responsibility and culpability in counterproductive ways. At a time when public health discourse surrounding responsibility </w:t>
      </w:r>
      <w:r w:rsidR="009F6C22">
        <w:t>developing in a new</w:t>
      </w:r>
      <w:r w:rsidRPr="00D80B9A">
        <w:t xml:space="preserve"> direction, with campaigns such as the </w:t>
      </w:r>
      <w:r w:rsidR="00FA23E7">
        <w:t>“</w:t>
      </w:r>
      <w:r w:rsidRPr="00D80B9A">
        <w:t>It Starts with Me</w:t>
      </w:r>
      <w:r w:rsidR="00FA23E7">
        <w:t>”</w:t>
      </w:r>
      <w:r w:rsidRPr="00D80B9A">
        <w:t xml:space="preserve"> campaign shifting away from language which places the majority of responsibility on those living with the virus, applications </w:t>
      </w:r>
      <w:r w:rsidR="00093BF7">
        <w:t xml:space="preserve">may also </w:t>
      </w:r>
      <w:r w:rsidR="007249DB">
        <w:t>require an update</w:t>
      </w:r>
      <w:r w:rsidRPr="00D80B9A">
        <w:t xml:space="preserve">.  </w:t>
      </w:r>
    </w:p>
    <w:p w14:paraId="52ABEE12" w14:textId="77777777" w:rsidR="00D321FC" w:rsidRPr="00D80B9A" w:rsidRDefault="00D321FC">
      <w:pPr>
        <w:pStyle w:val="Newparagraph"/>
        <w:jc w:val="both"/>
      </w:pPr>
      <w:r w:rsidRPr="00D80B9A">
        <w:br w:type="page"/>
      </w:r>
    </w:p>
    <w:p w14:paraId="23255B01" w14:textId="10691D7E" w:rsidR="00F74A46" w:rsidRPr="000D1824" w:rsidRDefault="00F74A46">
      <w:pPr>
        <w:pStyle w:val="Acknowledgements"/>
        <w:jc w:val="both"/>
      </w:pPr>
      <w:r w:rsidRPr="000D1824">
        <w:rPr>
          <w:b/>
          <w:bCs/>
        </w:rPr>
        <w:lastRenderedPageBreak/>
        <w:t>Acknowledgements</w:t>
      </w:r>
      <w:r w:rsidRPr="000D1824">
        <w:t xml:space="preserve">: I would like to thank Prof Chris Ashford for comments on multiple drafts of this paper and to many colleagues at Northumbria University for allowing me to bounce ideas off of them. I am also grateful to the editors for compiling this special edition, </w:t>
      </w:r>
      <w:r w:rsidR="00EC1EE3">
        <w:t>and to a reviewer for their feedback</w:t>
      </w:r>
      <w:r w:rsidR="00104A6F">
        <w:t xml:space="preserve">, </w:t>
      </w:r>
      <w:r w:rsidRPr="000D1824">
        <w:t xml:space="preserve">as well as those who attended the 2019 Socio-Legal Studies Association Conference and commented on an earlier paper presented there. </w:t>
      </w:r>
    </w:p>
    <w:p w14:paraId="6B21077B" w14:textId="77777777" w:rsidR="00F74A46" w:rsidRPr="000D1824" w:rsidRDefault="00F74A46">
      <w:pPr>
        <w:pStyle w:val="Acknowledgements"/>
        <w:jc w:val="both"/>
      </w:pPr>
      <w:r w:rsidRPr="000D1824">
        <w:rPr>
          <w:b/>
          <w:bCs/>
        </w:rPr>
        <w:t>Declaration of Interests</w:t>
      </w:r>
      <w:r w:rsidRPr="000D1824">
        <w:t>: No potential conflict of interest was reported by the authors.</w:t>
      </w:r>
    </w:p>
    <w:p w14:paraId="28D91363" w14:textId="2525499E" w:rsidR="00D321FC" w:rsidRPr="00D321FC" w:rsidRDefault="00D321FC" w:rsidP="00FF0BB7">
      <w:pPr>
        <w:pStyle w:val="Heading1"/>
        <w:jc w:val="both"/>
      </w:pPr>
      <w:r w:rsidRPr="00D321FC">
        <w:t>References</w:t>
      </w:r>
    </w:p>
    <w:p w14:paraId="2AC9978E" w14:textId="77777777" w:rsidR="00D321FC" w:rsidRPr="00D321FC" w:rsidRDefault="00D321FC" w:rsidP="00FF0BB7">
      <w:pPr>
        <w:pStyle w:val="Heading2"/>
        <w:jc w:val="both"/>
      </w:pPr>
      <w:r w:rsidRPr="00D321FC">
        <w:t>Primary Source</w:t>
      </w:r>
    </w:p>
    <w:p w14:paraId="1DAB328F" w14:textId="77777777" w:rsidR="00AD1669" w:rsidRPr="00452A7A" w:rsidRDefault="00AD1669" w:rsidP="00AD1669">
      <w:pPr>
        <w:widowControl w:val="0"/>
        <w:autoSpaceDE w:val="0"/>
        <w:autoSpaceDN w:val="0"/>
        <w:adjustRightInd w:val="0"/>
        <w:spacing w:before="120" w:after="0" w:line="360" w:lineRule="auto"/>
        <w:rPr>
          <w:rFonts w:ascii="Times New Roman" w:hAnsi="Times New Roman" w:cs="Times New Roman"/>
          <w:noProof/>
          <w:sz w:val="24"/>
          <w:szCs w:val="24"/>
        </w:rPr>
      </w:pPr>
      <w:r w:rsidRPr="00452A7A">
        <w:rPr>
          <w:rFonts w:ascii="Times New Roman" w:hAnsi="Times New Roman" w:cs="Times New Roman"/>
          <w:i/>
          <w:iCs/>
          <w:noProof/>
          <w:sz w:val="24"/>
          <w:szCs w:val="24"/>
        </w:rPr>
        <w:t>R v Golding (David)</w:t>
      </w:r>
      <w:r w:rsidRPr="00452A7A">
        <w:rPr>
          <w:rFonts w:ascii="Times New Roman" w:hAnsi="Times New Roman" w:cs="Times New Roman"/>
          <w:noProof/>
          <w:sz w:val="24"/>
          <w:szCs w:val="24"/>
        </w:rPr>
        <w:t xml:space="preserve"> [2014] EWCA Crim 889</w:t>
      </w:r>
    </w:p>
    <w:p w14:paraId="4BBF6A5F" w14:textId="77777777" w:rsidR="00AD1669" w:rsidRPr="00452A7A" w:rsidRDefault="00AD1669" w:rsidP="00AD1669">
      <w:pPr>
        <w:widowControl w:val="0"/>
        <w:autoSpaceDE w:val="0"/>
        <w:autoSpaceDN w:val="0"/>
        <w:adjustRightInd w:val="0"/>
        <w:spacing w:before="120" w:after="0" w:line="360" w:lineRule="auto"/>
        <w:rPr>
          <w:rFonts w:ascii="Times New Roman" w:hAnsi="Times New Roman" w:cs="Times New Roman"/>
          <w:noProof/>
          <w:sz w:val="24"/>
          <w:szCs w:val="24"/>
        </w:rPr>
      </w:pPr>
      <w:r w:rsidRPr="00452A7A">
        <w:rPr>
          <w:rFonts w:ascii="Times New Roman" w:hAnsi="Times New Roman" w:cs="Times New Roman"/>
          <w:i/>
          <w:iCs/>
          <w:noProof/>
          <w:sz w:val="24"/>
          <w:szCs w:val="24"/>
        </w:rPr>
        <w:t>R v Konzani (Feston)</w:t>
      </w:r>
      <w:r w:rsidRPr="00452A7A">
        <w:rPr>
          <w:rFonts w:ascii="Times New Roman" w:hAnsi="Times New Roman" w:cs="Times New Roman"/>
          <w:noProof/>
          <w:sz w:val="24"/>
          <w:szCs w:val="24"/>
        </w:rPr>
        <w:t xml:space="preserve"> [2005] EWCA Crim 706</w:t>
      </w:r>
    </w:p>
    <w:p w14:paraId="096090DD" w14:textId="77777777" w:rsidR="00AD1669" w:rsidRPr="00452A7A" w:rsidRDefault="00AD1669" w:rsidP="00AD1669">
      <w:pPr>
        <w:widowControl w:val="0"/>
        <w:autoSpaceDE w:val="0"/>
        <w:autoSpaceDN w:val="0"/>
        <w:adjustRightInd w:val="0"/>
        <w:spacing w:before="120" w:after="0" w:line="360" w:lineRule="auto"/>
        <w:rPr>
          <w:rFonts w:ascii="Times New Roman" w:hAnsi="Times New Roman" w:cs="Times New Roman"/>
          <w:noProof/>
          <w:sz w:val="24"/>
          <w:szCs w:val="24"/>
        </w:rPr>
      </w:pPr>
      <w:r w:rsidRPr="00452A7A">
        <w:rPr>
          <w:rFonts w:ascii="Times New Roman" w:hAnsi="Times New Roman" w:cs="Times New Roman"/>
          <w:i/>
          <w:iCs/>
          <w:noProof/>
          <w:sz w:val="24"/>
          <w:szCs w:val="24"/>
        </w:rPr>
        <w:t>R v Dica</w:t>
      </w:r>
      <w:r w:rsidRPr="00452A7A">
        <w:rPr>
          <w:rFonts w:ascii="Times New Roman" w:hAnsi="Times New Roman" w:cs="Times New Roman"/>
          <w:noProof/>
          <w:sz w:val="24"/>
          <w:szCs w:val="24"/>
        </w:rPr>
        <w:t xml:space="preserve"> [2004] EWCA Crim 1103</w:t>
      </w:r>
    </w:p>
    <w:p w14:paraId="58A2134C" w14:textId="77777777" w:rsidR="00AD1669" w:rsidRPr="00452A7A" w:rsidRDefault="00AD1669" w:rsidP="00AD1669">
      <w:pPr>
        <w:widowControl w:val="0"/>
        <w:autoSpaceDE w:val="0"/>
        <w:autoSpaceDN w:val="0"/>
        <w:adjustRightInd w:val="0"/>
        <w:spacing w:before="120" w:after="0" w:line="360" w:lineRule="auto"/>
        <w:rPr>
          <w:rFonts w:ascii="Times New Roman" w:hAnsi="Times New Roman" w:cs="Times New Roman"/>
          <w:noProof/>
          <w:sz w:val="24"/>
          <w:szCs w:val="24"/>
        </w:rPr>
      </w:pPr>
      <w:r w:rsidRPr="00452A7A">
        <w:rPr>
          <w:rFonts w:ascii="Times New Roman" w:hAnsi="Times New Roman" w:cs="Times New Roman"/>
          <w:i/>
          <w:iCs/>
          <w:noProof/>
          <w:sz w:val="24"/>
          <w:szCs w:val="24"/>
        </w:rPr>
        <w:t>R v Marangwanda (Peace)</w:t>
      </w:r>
      <w:r w:rsidRPr="00452A7A">
        <w:rPr>
          <w:rFonts w:ascii="Times New Roman" w:hAnsi="Times New Roman" w:cs="Times New Roman"/>
          <w:noProof/>
          <w:sz w:val="24"/>
          <w:szCs w:val="24"/>
        </w:rPr>
        <w:t xml:space="preserve"> [2009] EWCA Crim 60</w:t>
      </w:r>
    </w:p>
    <w:p w14:paraId="5CCB4078" w14:textId="77777777" w:rsidR="00AD1669" w:rsidRPr="00452A7A" w:rsidRDefault="00AD1669" w:rsidP="00AD1669">
      <w:pPr>
        <w:widowControl w:val="0"/>
        <w:autoSpaceDE w:val="0"/>
        <w:autoSpaceDN w:val="0"/>
        <w:adjustRightInd w:val="0"/>
        <w:spacing w:before="120" w:after="0" w:line="360" w:lineRule="auto"/>
        <w:rPr>
          <w:rFonts w:ascii="Times New Roman" w:hAnsi="Times New Roman" w:cs="Times New Roman"/>
          <w:noProof/>
          <w:sz w:val="24"/>
          <w:szCs w:val="24"/>
        </w:rPr>
      </w:pPr>
      <w:r w:rsidRPr="00452A7A">
        <w:rPr>
          <w:rFonts w:ascii="Times New Roman" w:hAnsi="Times New Roman" w:cs="Times New Roman"/>
          <w:i/>
          <w:iCs/>
          <w:noProof/>
          <w:sz w:val="24"/>
          <w:szCs w:val="24"/>
        </w:rPr>
        <w:t>R v Rowe</w:t>
      </w:r>
      <w:r w:rsidRPr="00452A7A">
        <w:rPr>
          <w:rFonts w:ascii="Times New Roman" w:hAnsi="Times New Roman" w:cs="Times New Roman"/>
          <w:noProof/>
          <w:sz w:val="24"/>
          <w:szCs w:val="24"/>
        </w:rPr>
        <w:t xml:space="preserve"> [2018] EWCA Crim 2688</w:t>
      </w:r>
    </w:p>
    <w:p w14:paraId="7C753114" w14:textId="77777777" w:rsidR="00AD1669" w:rsidRPr="00452A7A" w:rsidRDefault="00AD1669" w:rsidP="00AD1669">
      <w:pPr>
        <w:widowControl w:val="0"/>
        <w:autoSpaceDE w:val="0"/>
        <w:autoSpaceDN w:val="0"/>
        <w:adjustRightInd w:val="0"/>
        <w:spacing w:before="120" w:after="0" w:line="360" w:lineRule="auto"/>
        <w:rPr>
          <w:rFonts w:ascii="Times New Roman" w:hAnsi="Times New Roman" w:cs="Times New Roman"/>
          <w:noProof/>
          <w:sz w:val="24"/>
        </w:rPr>
      </w:pPr>
      <w:r w:rsidRPr="00452A7A">
        <w:rPr>
          <w:rFonts w:ascii="Times New Roman" w:hAnsi="Times New Roman" w:cs="Times New Roman"/>
          <w:noProof/>
          <w:sz w:val="24"/>
          <w:szCs w:val="24"/>
        </w:rPr>
        <w:t>Offences Against the Person Act 1861</w:t>
      </w:r>
    </w:p>
    <w:p w14:paraId="73DFA3E8" w14:textId="77777777" w:rsidR="00D321FC" w:rsidRPr="00D321FC" w:rsidRDefault="00D321FC" w:rsidP="00FF0BB7">
      <w:pPr>
        <w:pStyle w:val="Heading2"/>
        <w:jc w:val="both"/>
      </w:pPr>
      <w:r w:rsidRPr="00D321FC">
        <w:t>Secondary Sources</w:t>
      </w:r>
    </w:p>
    <w:p w14:paraId="3F428FFD" w14:textId="39A9411B" w:rsidR="004448D8" w:rsidRPr="004448D8" w:rsidRDefault="00D321FC"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D80B9A">
        <w:fldChar w:fldCharType="begin" w:fldLock="1"/>
      </w:r>
      <w:r w:rsidRPr="00D80B9A">
        <w:instrText xml:space="preserve">ADDIN Mendeley Bibliography CSL_BIBLIOGRAPHY </w:instrText>
      </w:r>
      <w:r w:rsidRPr="00D80B9A">
        <w:fldChar w:fldCharType="separate"/>
      </w:r>
      <w:r w:rsidR="004448D8" w:rsidRPr="004448D8">
        <w:rPr>
          <w:rFonts w:ascii="Times New Roman" w:hAnsi="Times New Roman" w:cs="Times New Roman"/>
          <w:noProof/>
          <w:sz w:val="24"/>
          <w:szCs w:val="24"/>
        </w:rPr>
        <w:t>Adam BD, ‘Constructing the Neoliberal Sexual Actor: Responsibility and Care of the Self in the Discourse of Barebackers’ (2005) 7 Culture, Health and Sexuality 333</w:t>
      </w:r>
    </w:p>
    <w:p w14:paraId="779ABE8A"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Ahlm J, ‘Respectable Promiscuity: Digital Cruising in an Era of Queer Liberalism’ (2017) 20 Sexualities 364</w:t>
      </w:r>
    </w:p>
    <w:p w14:paraId="068CA7FA"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Albury K and Byron P, ‘Safe on My Phone? Same-Sex Attracted Young People’s Negotiations of Intimacy, Visibility, and Risk on Digital Hook-Up Apps’ (2016) 2 Social Media and Society</w:t>
      </w:r>
    </w:p>
    <w:p w14:paraId="5D14CE67"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Almeida M, Gibbs J and Estcourt C, ‘Are Geosocial Networking (GSN) Apps Associated with Increased Risk of STIs &amp; HIV: A Systematic Review’ (2016) 92 Sexually Transmitted Infections A19</w:t>
      </w:r>
    </w:p>
    <w:p w14:paraId="023F222F"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Ashford C, ‘Queer Theory, Cyber-Ethnographies and Researching Online Sex Environments’ (2009) 18 Information and Communications Technology Law 297</w:t>
      </w:r>
    </w:p>
    <w:p w14:paraId="4B0F139B"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‘(Homo)Normative Legal Discourse’ [2011] Durham Law Review 77</w:t>
      </w:r>
    </w:p>
    <w:p w14:paraId="1C6FF36F"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lastRenderedPageBreak/>
        <w:t>——, ‘Bareback Sex, Queer Legal Theory, and Evolving Socio-Legal Contexts’ (2015) 18 Sexualities 195</w:t>
      </w:r>
    </w:p>
    <w:p w14:paraId="0DDAB6CE"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‘Bareback, Grindr and a New Censorship?’ (</w:t>
      </w:r>
      <w:r w:rsidRPr="004448D8">
        <w:rPr>
          <w:rFonts w:ascii="Times New Roman" w:hAnsi="Times New Roman" w:cs="Times New Roman"/>
          <w:i/>
          <w:iCs/>
          <w:noProof/>
          <w:sz w:val="24"/>
          <w:szCs w:val="24"/>
        </w:rPr>
        <w:t>Law and Sexuality</w:t>
      </w:r>
      <w:r w:rsidRPr="004448D8">
        <w:rPr>
          <w:rFonts w:ascii="Times New Roman" w:hAnsi="Times New Roman" w:cs="Times New Roman"/>
          <w:noProof/>
          <w:sz w:val="24"/>
          <w:szCs w:val="24"/>
        </w:rPr>
        <w:t>, 5 June 2016) &lt;https://lawandsexuality.wordpress.com/2016/06/05/bareback-grindr-and-a-new-censorship/&gt; accessed 26 August 2019</w:t>
      </w:r>
    </w:p>
    <w:p w14:paraId="1AA3A945"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Barter C and Renold E, ‘The Use of Vignettes in Qualitative Research’ [1999] Social Research Update</w:t>
      </w:r>
    </w:p>
    <w:p w14:paraId="13A18AE5"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Belluz J, ‘Grindr Is Revealing Its Users’ HIV Status to Third-Party Companies’ (</w:t>
      </w:r>
      <w:r w:rsidRPr="004448D8">
        <w:rPr>
          <w:rFonts w:ascii="Times New Roman" w:hAnsi="Times New Roman" w:cs="Times New Roman"/>
          <w:i/>
          <w:iCs/>
          <w:noProof/>
          <w:sz w:val="24"/>
          <w:szCs w:val="24"/>
        </w:rPr>
        <w:t>Vox</w:t>
      </w:r>
      <w:r w:rsidRPr="004448D8">
        <w:rPr>
          <w:rFonts w:ascii="Times New Roman" w:hAnsi="Times New Roman" w:cs="Times New Roman"/>
          <w:noProof/>
          <w:sz w:val="24"/>
          <w:szCs w:val="24"/>
        </w:rPr>
        <w:t>, 3 April 2018) &lt;https://www.vox.com/2018/4/2/17189078/grindr-hiv-status-data-sharing-privacy&gt; accessed 26 August 2019</w:t>
      </w:r>
    </w:p>
    <w:p w14:paraId="375A29F7"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Blackwell C, Birnholtz J and Abbott C, ‘Seeing and Being Seen: Co-Situation and Impression Formation Using Grindr, a Location-Aware Gay Dating App’ (2015) 17 New Media &amp; Society 1117</w:t>
      </w:r>
    </w:p>
    <w:p w14:paraId="1908BA1B"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Blank G and Reisdorf BC, ‘The Participatory Web: A User Perspective on Web 2.0’ (2012) 15 Information Communication and Society 537</w:t>
      </w:r>
    </w:p>
    <w:p w14:paraId="7ED85B52"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Bloodworth A, ‘What Is Gaydar? Does It Work like Other Gay Dating Apps, and Can I Join for Free?’ (</w:t>
      </w:r>
      <w:r w:rsidRPr="004448D8">
        <w:rPr>
          <w:rFonts w:ascii="Times New Roman" w:hAnsi="Times New Roman" w:cs="Times New Roman"/>
          <w:i/>
          <w:iCs/>
          <w:noProof/>
          <w:sz w:val="24"/>
          <w:szCs w:val="24"/>
        </w:rPr>
        <w:t>Pink News</w:t>
      </w:r>
      <w:r w:rsidRPr="004448D8">
        <w:rPr>
          <w:rFonts w:ascii="Times New Roman" w:hAnsi="Times New Roman" w:cs="Times New Roman"/>
          <w:noProof/>
          <w:sz w:val="24"/>
          <w:szCs w:val="24"/>
        </w:rPr>
        <w:t>, 9 March 2018) &lt;www.pinknews.co.uk/2018/03/09/gaydar-gay-dating-app/&gt; accessed 26 August 2019</w:t>
      </w:r>
    </w:p>
    <w:p w14:paraId="4D345DDC"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Bourne AH and Robson MA, ‘Perceiving Risk and (Re)Constructing Safety: The Lived Experience of Having “safe” Sex’ (2009) 11 Health, Risk and Society 283</w:t>
      </w:r>
    </w:p>
    <w:p w14:paraId="6D01B189"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Braun V and Clarke V, </w:t>
      </w:r>
      <w:r w:rsidRPr="004448D8">
        <w:rPr>
          <w:rFonts w:ascii="Times New Roman" w:hAnsi="Times New Roman" w:cs="Times New Roman"/>
          <w:i/>
          <w:iCs/>
          <w:noProof/>
          <w:sz w:val="24"/>
          <w:szCs w:val="24"/>
        </w:rPr>
        <w:t>Successful Qualitative Research</w:t>
      </w:r>
      <w:r w:rsidRPr="004448D8">
        <w:rPr>
          <w:rFonts w:ascii="Times New Roman" w:hAnsi="Times New Roman" w:cs="Times New Roman"/>
          <w:noProof/>
          <w:sz w:val="24"/>
          <w:szCs w:val="24"/>
        </w:rPr>
        <w:t xml:space="preserve"> (Sage 2013)</w:t>
      </w:r>
    </w:p>
    <w:p w14:paraId="7504D532"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Braun V and Victoria C, ‘Using Thematic Analysis in Psychology’ (2006) 3 Qualitative Research in Psychology 77</w:t>
      </w:r>
    </w:p>
    <w:p w14:paraId="5573C5E4"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British Association for Sexual Health and HIV (BASHH); Expert Advisory Group on AIDS (EAGA), ‘Time Period for HIV Testing (HIV Window Period)’ (</w:t>
      </w:r>
      <w:r w:rsidRPr="004448D8">
        <w:rPr>
          <w:rFonts w:ascii="Times New Roman" w:hAnsi="Times New Roman" w:cs="Times New Roman"/>
          <w:i/>
          <w:iCs/>
          <w:noProof/>
          <w:sz w:val="24"/>
          <w:szCs w:val="24"/>
        </w:rPr>
        <w:t>Department of Health and Social Care (gov.uk)</w:t>
      </w:r>
      <w:r w:rsidRPr="004448D8">
        <w:rPr>
          <w:rFonts w:ascii="Times New Roman" w:hAnsi="Times New Roman" w:cs="Times New Roman"/>
          <w:noProof/>
          <w:sz w:val="24"/>
          <w:szCs w:val="24"/>
        </w:rPr>
        <w:t>, 21 October 2014) &lt;www.gov.uk/government/publications/time-period-for-hiv-testing-position-statement&gt; accessed 26 August 2019</w:t>
      </w:r>
    </w:p>
    <w:p w14:paraId="557B96DD"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Brooks V and Thompson JC, ‘Dude Looks Like a Lady: Gender Deception, Consent and Ethics’ (2019) 83 The Journal of Criminal Law 258</w:t>
      </w:r>
    </w:p>
    <w:p w14:paraId="015790BA"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lastRenderedPageBreak/>
        <w:t>Brubaker JR, Ananny M and Crawford K, ‘Departing Glances: A Sociotechnical Account of “Leaving” Grindr’ (2016) 18 New Media &amp; Society 373</w:t>
      </w:r>
    </w:p>
    <w:p w14:paraId="1757ED64"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Bryman A, </w:t>
      </w:r>
      <w:r w:rsidRPr="004448D8">
        <w:rPr>
          <w:rFonts w:ascii="Times New Roman" w:hAnsi="Times New Roman" w:cs="Times New Roman"/>
          <w:i/>
          <w:iCs/>
          <w:noProof/>
          <w:sz w:val="24"/>
          <w:szCs w:val="24"/>
        </w:rPr>
        <w:t>Social Research Methods</w:t>
      </w:r>
      <w:r w:rsidRPr="004448D8">
        <w:rPr>
          <w:rFonts w:ascii="Times New Roman" w:hAnsi="Times New Roman" w:cs="Times New Roman"/>
          <w:noProof/>
          <w:sz w:val="24"/>
          <w:szCs w:val="24"/>
        </w:rPr>
        <w:t xml:space="preserve"> (5th edn, Oxford University Press 2016)</w:t>
      </w:r>
    </w:p>
    <w:p w14:paraId="233AC330"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Burris S and Weait M, ‘Criminalisation and the Moral Responsibility for Sexual Transmission of HIV’, </w:t>
      </w:r>
      <w:r w:rsidRPr="004448D8">
        <w:rPr>
          <w:rFonts w:ascii="Times New Roman" w:hAnsi="Times New Roman" w:cs="Times New Roman"/>
          <w:i/>
          <w:iCs/>
          <w:noProof/>
          <w:sz w:val="24"/>
          <w:szCs w:val="24"/>
        </w:rPr>
        <w:t>Third Meeting of the Technical Advisory Group on the Global Commission on HIV and the Law</w:t>
      </w:r>
      <w:r w:rsidRPr="004448D8">
        <w:rPr>
          <w:rFonts w:ascii="Times New Roman" w:hAnsi="Times New Roman" w:cs="Times New Roman"/>
          <w:noProof/>
          <w:sz w:val="24"/>
          <w:szCs w:val="24"/>
        </w:rPr>
        <w:t xml:space="preserve"> (2012)</w:t>
      </w:r>
    </w:p>
    <w:p w14:paraId="205ECDB6"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Cabecinha M and others, ‘Finding Sexual Partners Online: Prevalence and Associations with Sexual Behaviour, STI Diagnoses and Other Sexual Health Outcomes in the British Population’ [2017] Sexually Transmitted Infections 1</w:t>
      </w:r>
    </w:p>
    <w:p w14:paraId="700682F6"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Cherkassky L, ‘Being Informed: The Complexities of Knowledge, Deception and Consent When Transmitting HIV’ (2010) 74 The Journal of Criminal Law 242</w:t>
      </w:r>
    </w:p>
    <w:p w14:paraId="44DB16A2"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Chiasson MA and others, ‘HIV Behavioral Research Online’ (2006) 83 Journal of Urban Health 73</w:t>
      </w:r>
    </w:p>
    <w:p w14:paraId="24001F71"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Clarke V and others, ‘Editorial Introduction to the Special Issue: Using Story Completion Methods in Qualitative Research’ (2019) 16 Qualitative Research in Psychology 1</w:t>
      </w:r>
    </w:p>
    <w:p w14:paraId="33C2FCAE"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Clough A, ‘Conditional Consent and Purposeful Deception’ (2018) 82 The Journal of Criminal Law 178</w:t>
      </w:r>
    </w:p>
    <w:p w14:paraId="5A6475C0"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Davis M and others, ‘Sex and the Internet: Gay Men, Risk Reduction and Serostatus’ (2006) 8 Culture, Health &amp; Sexuality 2</w:t>
      </w:r>
    </w:p>
    <w:p w14:paraId="5B063F15"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‘E-Dating, Identity and HIV Prevention: Theorising Sexualities, Risk and Network Society’ (2006) 28 Sociology of Health and Illness 457</w:t>
      </w:r>
    </w:p>
    <w:p w14:paraId="19AEFDE5"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‘Location, Safety and (Non) Strangers in Gay Men’s Narratives on “Hook-up” Apps’ (2016) 19 Sexualities 836</w:t>
      </w:r>
    </w:p>
    <w:p w14:paraId="694EF7EE"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Dodds C, Bourne A and Weait M, ‘Responses to Criminal Prosecutions for HIV Transmission among Gay Men with HIV in England and Wales’ (2009) 17 Reproductive Health Matters 135</w:t>
      </w:r>
    </w:p>
    <w:p w14:paraId="158A5914"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Donnelly L, ‘Dating Apps Such as Tinder and Grindr Should Advertise Condoms to Prevent STIs, NHS Advise’ (</w:t>
      </w:r>
      <w:r w:rsidRPr="004448D8">
        <w:rPr>
          <w:rFonts w:ascii="Times New Roman" w:hAnsi="Times New Roman" w:cs="Times New Roman"/>
          <w:i/>
          <w:iCs/>
          <w:noProof/>
          <w:sz w:val="24"/>
          <w:szCs w:val="24"/>
        </w:rPr>
        <w:t>The Telegraph</w:t>
      </w:r>
      <w:r w:rsidRPr="004448D8">
        <w:rPr>
          <w:rFonts w:ascii="Times New Roman" w:hAnsi="Times New Roman" w:cs="Times New Roman"/>
          <w:noProof/>
          <w:sz w:val="24"/>
          <w:szCs w:val="24"/>
        </w:rPr>
        <w:t>, 6 April 2017) &lt;www.telegraph.co.uk/news/2017/04/05/dating-apps-tinder-grindr-should-advertise-</w:t>
      </w:r>
      <w:r w:rsidRPr="004448D8">
        <w:rPr>
          <w:rFonts w:ascii="Times New Roman" w:hAnsi="Times New Roman" w:cs="Times New Roman"/>
          <w:noProof/>
          <w:sz w:val="24"/>
          <w:szCs w:val="24"/>
        </w:rPr>
        <w:lastRenderedPageBreak/>
        <w:t>condoms-prevent-stis/&gt; accessed 26 August 2019</w:t>
      </w:r>
    </w:p>
    <w:p w14:paraId="77881227"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Flowers P, ‘Gay Men and HIV/AIDS Risk Management’ (2001) 5 Health 50</w:t>
      </w:r>
    </w:p>
    <w:p w14:paraId="3A2D63B8"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Flowers P, Duncan B and Frankis J, ‘Community, Responsibility and Culpability: HIV Risk-Management amongst Scottish Gay Men’ (2000) 10 Journal of Community and Applied Social Psychology 285</w:t>
      </w:r>
    </w:p>
    <w:p w14:paraId="7A5765ED"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Fox C, ‘10 Years of Grindr: A Rocky Relationship’ (</w:t>
      </w:r>
      <w:r w:rsidRPr="004448D8">
        <w:rPr>
          <w:rFonts w:ascii="Times New Roman" w:hAnsi="Times New Roman" w:cs="Times New Roman"/>
          <w:i/>
          <w:iCs/>
          <w:noProof/>
          <w:sz w:val="24"/>
          <w:szCs w:val="24"/>
        </w:rPr>
        <w:t>BBC News</w:t>
      </w:r>
      <w:r w:rsidRPr="004448D8">
        <w:rPr>
          <w:rFonts w:ascii="Times New Roman" w:hAnsi="Times New Roman" w:cs="Times New Roman"/>
          <w:noProof/>
          <w:sz w:val="24"/>
          <w:szCs w:val="24"/>
        </w:rPr>
        <w:t>, 25 March 2019) &lt;www.bbc.co.uk/news/technology-47668951&gt; accessed 26 August 2019</w:t>
      </w:r>
    </w:p>
    <w:p w14:paraId="05EE3E5F"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Francis JG and Francis LP, ‘HIV Treatment as Prevention: Not an Argument for Continuing Criminalisation of HIV Transmission’ (2013) 9 International Journal of Law in Context 520</w:t>
      </w:r>
    </w:p>
    <w:p w14:paraId="1FDB6D00"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Francis LP and Francis JG, ‘Criminalizing Health-Related Behaviors Dangerous to Others? Disease Transmission, Transmission-Facilitation, and the Importance of Trust’ (2012) 6 Criminal Law and Philosophy 47</w:t>
      </w:r>
    </w:p>
    <w:p w14:paraId="3FF14C1A"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Gigerenzer G, </w:t>
      </w:r>
      <w:r w:rsidRPr="004448D8">
        <w:rPr>
          <w:rFonts w:ascii="Times New Roman" w:hAnsi="Times New Roman" w:cs="Times New Roman"/>
          <w:i/>
          <w:iCs/>
          <w:noProof/>
          <w:sz w:val="24"/>
          <w:szCs w:val="24"/>
        </w:rPr>
        <w:t>Reckoning with Risk : Learning to Live with Uncertainty</w:t>
      </w:r>
      <w:r w:rsidRPr="004448D8">
        <w:rPr>
          <w:rFonts w:ascii="Times New Roman" w:hAnsi="Times New Roman" w:cs="Times New Roman"/>
          <w:noProof/>
          <w:sz w:val="24"/>
          <w:szCs w:val="24"/>
        </w:rPr>
        <w:t xml:space="preserve"> (Penguin 2003)</w:t>
      </w:r>
    </w:p>
    <w:p w14:paraId="270156A4"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Giles C, ‘Daryll Rowe’s Sentence Could Change the Law’s Approach to HIV Transmission’ (</w:t>
      </w:r>
      <w:r w:rsidRPr="004448D8">
        <w:rPr>
          <w:rFonts w:ascii="Times New Roman" w:hAnsi="Times New Roman" w:cs="Times New Roman"/>
          <w:i/>
          <w:iCs/>
          <w:noProof/>
          <w:sz w:val="24"/>
          <w:szCs w:val="24"/>
        </w:rPr>
        <w:t>The Conversation</w:t>
      </w:r>
      <w:r w:rsidRPr="004448D8">
        <w:rPr>
          <w:rFonts w:ascii="Times New Roman" w:hAnsi="Times New Roman" w:cs="Times New Roman"/>
          <w:noProof/>
          <w:sz w:val="24"/>
          <w:szCs w:val="24"/>
        </w:rPr>
        <w:t>, 19 April 2018) &lt;https://theconversation.com/daryll-rowes-sentence-could-change-the-laws-approach-to-hiv-transmission-95307&gt; accessed 15 August 2018</w:t>
      </w:r>
    </w:p>
    <w:p w14:paraId="79659935"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Girard G and others, ‘Is HIV Prevention Creating New Biosocialities among Gay Men? Treatment as Prevention and Pre-Exposure Prophylaxis in Canada’ (2019) 41 Sociology of Health and Illness 484</w:t>
      </w:r>
    </w:p>
    <w:p w14:paraId="49B378F8"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Grace D and others, ‘Becoming “Undetectable”: Longitudinal Narratives of Gay Men’s Sex Lives After a Recent HIV Diagnosis’ (2015) 27 AIDS Education and Prevention 333</w:t>
      </w:r>
    </w:p>
    <w:p w14:paraId="05349F89"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Grindr LLC, ‘New to Grindr Profiles: HIV Status and Last Test Date Fields’ (9 November 2016) &lt;web.archive.org/web/20161115044007/www.grindr.com/blog/new-grindr-profiles-hiv-status-last-test-date/&gt; accessed 26 August 2019</w:t>
      </w:r>
    </w:p>
    <w:p w14:paraId="4ED8EB4A"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‘Grindr Terms and Conditions of Service’ (2018) &lt;www.grindr.com/terms-of-service/&gt; accessed 26 August 2019</w:t>
      </w:r>
    </w:p>
    <w:p w14:paraId="72C74946"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Grov C and others, ‘Gay and Bisexual Men’s Use of the Internet: Research from the </w:t>
      </w:r>
      <w:r w:rsidRPr="004448D8">
        <w:rPr>
          <w:rFonts w:ascii="Times New Roman" w:hAnsi="Times New Roman" w:cs="Times New Roman"/>
          <w:noProof/>
          <w:sz w:val="24"/>
          <w:szCs w:val="24"/>
        </w:rPr>
        <w:lastRenderedPageBreak/>
        <w:t>1990s through 2013’ (2014) 51 Journal of Sex Research 390</w:t>
      </w:r>
    </w:p>
    <w:p w14:paraId="62530900"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Gunter B, ‘The Study of Online Relationships and Dating’ in William H Dutton (ed), </w:t>
      </w:r>
      <w:r w:rsidRPr="004448D8">
        <w:rPr>
          <w:rFonts w:ascii="Times New Roman" w:hAnsi="Times New Roman" w:cs="Times New Roman"/>
          <w:i/>
          <w:iCs/>
          <w:noProof/>
          <w:sz w:val="24"/>
          <w:szCs w:val="24"/>
        </w:rPr>
        <w:t>The Oxford Handbook of Internet Studies</w:t>
      </w:r>
      <w:r w:rsidRPr="004448D8">
        <w:rPr>
          <w:rFonts w:ascii="Times New Roman" w:hAnsi="Times New Roman" w:cs="Times New Roman"/>
          <w:noProof/>
          <w:sz w:val="24"/>
          <w:szCs w:val="24"/>
        </w:rPr>
        <w:t xml:space="preserve"> (Oxford University Press 2013)</w:t>
      </w:r>
    </w:p>
    <w:p w14:paraId="268D2788"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Guta A, Murray SJ and Gagnon M, ‘HIV, Viral Suppression and New Technologies of Surveillance and Control’ (2016) 22 Body &amp; Society 82</w:t>
      </w:r>
    </w:p>
    <w:p w14:paraId="103260C7"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Haire B and Kaldor J, ‘HIV Transmission Law in the Age of Treatment-as-Prevention’ (2015) 41 Journal of Medical Ethics 982</w:t>
      </w:r>
    </w:p>
    <w:p w14:paraId="77B779FF"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Hansson SO, ‘Risk and Ethics’ in Tim Lewens (ed) (ed), </w:t>
      </w:r>
      <w:r w:rsidRPr="004448D8">
        <w:rPr>
          <w:rFonts w:ascii="Times New Roman" w:hAnsi="Times New Roman" w:cs="Times New Roman"/>
          <w:i/>
          <w:iCs/>
          <w:noProof/>
          <w:sz w:val="24"/>
          <w:szCs w:val="24"/>
        </w:rPr>
        <w:t>Risk: Philosophical Perspectives</w:t>
      </w:r>
      <w:r w:rsidRPr="004448D8">
        <w:rPr>
          <w:rFonts w:ascii="Times New Roman" w:hAnsi="Times New Roman" w:cs="Times New Roman"/>
          <w:noProof/>
          <w:sz w:val="24"/>
          <w:szCs w:val="24"/>
        </w:rPr>
        <w:t xml:space="preserve"> (Routledge 2007)</w:t>
      </w:r>
    </w:p>
    <w:p w14:paraId="54D02552"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Harding R and Peel E, ‘Surveying Sexualities: Internet Research with Non-Heterosexuals’ (2007) 17 Feminism and Psychology 277</w:t>
      </w:r>
    </w:p>
    <w:p w14:paraId="50349407"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Heywood T, ‘CDC to Stop Using “Unprotected Sex” for “Condomless Sex”’ (</w:t>
      </w:r>
      <w:r w:rsidRPr="004448D8">
        <w:rPr>
          <w:rFonts w:ascii="Times New Roman" w:hAnsi="Times New Roman" w:cs="Times New Roman"/>
          <w:i/>
          <w:iCs/>
          <w:noProof/>
          <w:sz w:val="24"/>
          <w:szCs w:val="24"/>
        </w:rPr>
        <w:t>Plus</w:t>
      </w:r>
      <w:r w:rsidRPr="004448D8">
        <w:rPr>
          <w:rFonts w:ascii="Times New Roman" w:hAnsi="Times New Roman" w:cs="Times New Roman"/>
          <w:noProof/>
          <w:sz w:val="24"/>
          <w:szCs w:val="24"/>
        </w:rPr>
        <w:t>, 13 February 2014) &lt;www.hivplusmag.com/research/2014/02/13/cdc-stop-using-unprotected-sex-condomless-sex&gt; accessed 26 August 2019</w:t>
      </w:r>
    </w:p>
    <w:p w14:paraId="0C1FB733"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Hornet Networks, ‘With Hornet, Gays Can Now Play Safe on Gay Mobile Social Networks’ (</w:t>
      </w:r>
      <w:r w:rsidRPr="004448D8">
        <w:rPr>
          <w:rFonts w:ascii="Times New Roman" w:hAnsi="Times New Roman" w:cs="Times New Roman"/>
          <w:i/>
          <w:iCs/>
          <w:noProof/>
          <w:sz w:val="24"/>
          <w:szCs w:val="24"/>
        </w:rPr>
        <w:t>PR Newswire</w:t>
      </w:r>
      <w:r w:rsidRPr="004448D8">
        <w:rPr>
          <w:rFonts w:ascii="Times New Roman" w:hAnsi="Times New Roman" w:cs="Times New Roman"/>
          <w:noProof/>
          <w:sz w:val="24"/>
          <w:szCs w:val="24"/>
        </w:rPr>
        <w:t>, 20 January 2012) &lt;www.prnewswire.com/news-releases/with-hornet-gays-can-now-play-safe-on-gay-mobile-social-networks-137800183.html&gt; accessed 26 August 2019</w:t>
      </w:r>
    </w:p>
    <w:p w14:paraId="37C3CD29"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Hughes D, ‘The Criminal Transmission of HIV: Issues with Condom Use and Viral Load’ (2014) 54 Medicine, Science and the Law 187</w:t>
      </w:r>
    </w:p>
    <w:p w14:paraId="6DA2691F"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Hughes R and Huby M, ‘The Construction and Interpretation of Vignettes in Social Research’ (2004) 11 Social Work &amp; Social Sciences Review 36</w:t>
      </w:r>
    </w:p>
    <w:p w14:paraId="0AA7B231"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Joshi Y, ‘Respectable Queerness’ (2012) 43 Columbia Human Rights Law Review 415</w:t>
      </w:r>
    </w:p>
    <w:p w14:paraId="5E6BB2E1"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‘Know Your Status: What Do the Different KYS Options Mean?’ (</w:t>
      </w:r>
      <w:r w:rsidRPr="004448D8">
        <w:rPr>
          <w:rFonts w:ascii="Times New Roman" w:hAnsi="Times New Roman" w:cs="Times New Roman"/>
          <w:i/>
          <w:iCs/>
          <w:noProof/>
          <w:sz w:val="24"/>
          <w:szCs w:val="24"/>
        </w:rPr>
        <w:t>Hornet</w:t>
      </w:r>
      <w:r w:rsidRPr="004448D8">
        <w:rPr>
          <w:rFonts w:ascii="Times New Roman" w:hAnsi="Times New Roman" w:cs="Times New Roman"/>
          <w:noProof/>
          <w:sz w:val="24"/>
          <w:szCs w:val="24"/>
        </w:rPr>
        <w:t>) &lt;https://hornet.com/about/know-your-status/&gt; accessed 15 August 2019</w:t>
      </w:r>
    </w:p>
    <w:p w14:paraId="64BA3A9A"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Lee SH and Sheon N, ‘Responsibility and Risk: Accounts of Reasons for Seeking an HIV Test’ (2008) 30 Sociology of Health and Illness 167</w:t>
      </w:r>
    </w:p>
    <w:p w14:paraId="5767101E"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Lloyd C, ‘The Crime of Sexting: A Deconstructive Approach’ (2018) 27 Information and Communications Technology Law 55</w:t>
      </w:r>
    </w:p>
    <w:p w14:paraId="27E23780"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Lovelock M, ‘Sex, Death and Austerity: Resurgent Homophobia in the British Tabloid </w:t>
      </w:r>
      <w:r w:rsidRPr="004448D8">
        <w:rPr>
          <w:rFonts w:ascii="Times New Roman" w:hAnsi="Times New Roman" w:cs="Times New Roman"/>
          <w:noProof/>
          <w:sz w:val="24"/>
          <w:szCs w:val="24"/>
        </w:rPr>
        <w:lastRenderedPageBreak/>
        <w:t>Press’ (2018) 35 Critical Studies in Media Communication 225</w:t>
      </w:r>
    </w:p>
    <w:p w14:paraId="2C77F2DB"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Maguire N and others, ‘Using Vignette Methodology to Research the Process of Breach Comparatively’ (2015) 7 European Journal of Probation 241</w:t>
      </w:r>
    </w:p>
    <w:p w14:paraId="10AC8EBB"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Maine A, ‘Bareback Sex, PrEP, National AIDS Trust v NHS England and the Reality of Gay Sex’ [2019] Sexualities</w:t>
      </w:r>
    </w:p>
    <w:p w14:paraId="46EC673D"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Markham A and Buchanan E, ‘Ethical Decision-Making and Internet Research’ (Association of Internet Researchers Working Committee 2012)</w:t>
      </w:r>
    </w:p>
    <w:p w14:paraId="764157B0"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Mastroiannis A, ‘Gay Dating Apps: A Comprehensive Guide to Jack’d, Grindr, Hornet, Scruff and the Rest’ (</w:t>
      </w:r>
      <w:r w:rsidRPr="004448D8">
        <w:rPr>
          <w:rFonts w:ascii="Times New Roman" w:hAnsi="Times New Roman" w:cs="Times New Roman"/>
          <w:i/>
          <w:iCs/>
          <w:noProof/>
          <w:sz w:val="24"/>
          <w:szCs w:val="24"/>
        </w:rPr>
        <w:t>Pink News</w:t>
      </w:r>
      <w:r w:rsidRPr="004448D8">
        <w:rPr>
          <w:rFonts w:ascii="Times New Roman" w:hAnsi="Times New Roman" w:cs="Times New Roman"/>
          <w:noProof/>
          <w:sz w:val="24"/>
          <w:szCs w:val="24"/>
        </w:rPr>
        <w:t>, 5 March 2018) &lt;www.pinknews.co.uk/2018/03/05/best-gay-dating-apps-jackd-grindr-hornet-scruff/&gt; accessed 26 August 2019</w:t>
      </w:r>
    </w:p>
    <w:p w14:paraId="43CDF48C"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Mawhinney GR, ‘To Be Ill or to Kill: The Criminality of Contagion’ (2013) 77 The Journal of Criminal Law 202</w:t>
      </w:r>
    </w:p>
    <w:p w14:paraId="4F2B7134"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McCormack M, ‘The Role of Smartphones and Technology in Sexual and Romantic Lives’ (2015)</w:t>
      </w:r>
    </w:p>
    <w:p w14:paraId="50A2C9A2"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Mowlabocus S, </w:t>
      </w:r>
      <w:r w:rsidRPr="004448D8">
        <w:rPr>
          <w:rFonts w:ascii="Times New Roman" w:hAnsi="Times New Roman" w:cs="Times New Roman"/>
          <w:i/>
          <w:iCs/>
          <w:noProof/>
          <w:sz w:val="24"/>
          <w:szCs w:val="24"/>
        </w:rPr>
        <w:t>Gaydar Culture : Gay Men Technology and Embodiment in the Digital Age</w:t>
      </w:r>
      <w:r w:rsidRPr="004448D8">
        <w:rPr>
          <w:rFonts w:ascii="Times New Roman" w:hAnsi="Times New Roman" w:cs="Times New Roman"/>
          <w:noProof/>
          <w:sz w:val="24"/>
          <w:szCs w:val="24"/>
        </w:rPr>
        <w:t xml:space="preserve"> (Ashgate 2010)</w:t>
      </w:r>
    </w:p>
    <w:p w14:paraId="101E1B5B"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 ‘Horny at the Bus Stop , Paranoid in the Cul-de-Sac: Sex, Technology and Public Space’ in Gavin Brown and Kath Browne (eds), </w:t>
      </w:r>
      <w:r w:rsidRPr="004448D8">
        <w:rPr>
          <w:rFonts w:ascii="Times New Roman" w:hAnsi="Times New Roman" w:cs="Times New Roman"/>
          <w:i/>
          <w:iCs/>
          <w:noProof/>
          <w:sz w:val="24"/>
          <w:szCs w:val="24"/>
        </w:rPr>
        <w:t>The Routledge Research Companion to Geographies of Sex and Sexualities</w:t>
      </w:r>
      <w:r w:rsidRPr="004448D8">
        <w:rPr>
          <w:rFonts w:ascii="Times New Roman" w:hAnsi="Times New Roman" w:cs="Times New Roman"/>
          <w:noProof/>
          <w:sz w:val="24"/>
          <w:szCs w:val="24"/>
        </w:rPr>
        <w:t xml:space="preserve"> (Routledge 2016)</w:t>
      </w:r>
    </w:p>
    <w:p w14:paraId="6E0C1AD1"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‘“What a Skewed Sense of Values”: Discussing PreP in the British Press’ [2019] Sexualities</w:t>
      </w:r>
    </w:p>
    <w:p w14:paraId="616DBCEF"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Nicholls EJ and Rosengarten M (eds), ‘Witness Seminar: The Criminalisation of HIV Transmission in the UK’, </w:t>
      </w:r>
      <w:r w:rsidRPr="004448D8">
        <w:rPr>
          <w:rFonts w:ascii="Times New Roman" w:hAnsi="Times New Roman" w:cs="Times New Roman"/>
          <w:i/>
          <w:iCs/>
          <w:noProof/>
          <w:sz w:val="24"/>
          <w:szCs w:val="24"/>
        </w:rPr>
        <w:t>Disentangling European HIV/AIDS Policies: Activism, Citizenship and Health (EUROPACH)</w:t>
      </w:r>
      <w:r w:rsidRPr="004448D8">
        <w:rPr>
          <w:rFonts w:ascii="Times New Roman" w:hAnsi="Times New Roman" w:cs="Times New Roman"/>
          <w:noProof/>
          <w:sz w:val="24"/>
          <w:szCs w:val="24"/>
        </w:rPr>
        <w:t xml:space="preserve"> (2019)</w:t>
      </w:r>
    </w:p>
    <w:p w14:paraId="49F60426"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Noto La Diega G, ‘Grinding Privacy in the Internet of Bodies’ in Ronald Leenes and others (eds), </w:t>
      </w:r>
      <w:r w:rsidRPr="004448D8">
        <w:rPr>
          <w:rFonts w:ascii="Times New Roman" w:hAnsi="Times New Roman" w:cs="Times New Roman"/>
          <w:i/>
          <w:iCs/>
          <w:noProof/>
          <w:sz w:val="24"/>
          <w:szCs w:val="24"/>
        </w:rPr>
        <w:t>Data Protection and Privacy</w:t>
      </w:r>
      <w:r w:rsidRPr="004448D8">
        <w:rPr>
          <w:rFonts w:ascii="Times New Roman" w:hAnsi="Times New Roman" w:cs="Times New Roman"/>
          <w:noProof/>
          <w:sz w:val="24"/>
          <w:szCs w:val="24"/>
        </w:rPr>
        <w:t xml:space="preserve"> (Hart Publishing 2019)</w:t>
      </w:r>
    </w:p>
    <w:p w14:paraId="7E0A1226"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Ofcom, ‘Communications Market Report 2018’ (2 August 2018) &lt;www.ofcom.org.uk/__data/assets/pdf_file/0022/117256/CMR-2018-narrative-report.pdf&gt; accessed 26 August 2019</w:t>
      </w:r>
    </w:p>
    <w:p w14:paraId="63672EAB"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lastRenderedPageBreak/>
        <w:t>Persson A, ‘Non/Infectious Corporealities: Tensions in the Biomedical Era of “HIV Normalisation”’ (2013) 35 Sociology of Health and Illness 1065</w:t>
      </w:r>
    </w:p>
    <w:p w14:paraId="0876417F"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Race K, ‘Click Here for HIV Status: Shifting Templates of Sexual Negotiation’ (2010) 3 Emotion, Space and Society 7</w:t>
      </w:r>
    </w:p>
    <w:p w14:paraId="3BBB63C7"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‘Framing Responsibility: HIV, Biomedical Prevention, and the Performativity of the Law’ (2012) 9 Journal of Bioethical Inquiry 327</w:t>
      </w:r>
    </w:p>
    <w:p w14:paraId="1EEF9D71"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‘“Party and Play”: Online Hook-up Devices and the Emergence of PNP Practices among Gay Men’ (2015) 18 Sexualities 253</w:t>
      </w:r>
    </w:p>
    <w:p w14:paraId="6977AADA"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 </w:t>
      </w:r>
      <w:r w:rsidRPr="004448D8">
        <w:rPr>
          <w:rFonts w:ascii="Times New Roman" w:hAnsi="Times New Roman" w:cs="Times New Roman"/>
          <w:i/>
          <w:iCs/>
          <w:noProof/>
          <w:sz w:val="24"/>
          <w:szCs w:val="24"/>
        </w:rPr>
        <w:t>The Gay Science: Intimate Experiments with the Problem of HIV</w:t>
      </w:r>
      <w:r w:rsidRPr="004448D8">
        <w:rPr>
          <w:rFonts w:ascii="Times New Roman" w:hAnsi="Times New Roman" w:cs="Times New Roman"/>
          <w:noProof/>
          <w:sz w:val="24"/>
          <w:szCs w:val="24"/>
        </w:rPr>
        <w:t xml:space="preserve"> (Routledge 2017)</w:t>
      </w:r>
    </w:p>
    <w:p w14:paraId="2EE24CE1"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Rae B, ‘Is Grindr about to Introduce a HIV Filter?’ (</w:t>
      </w:r>
      <w:r w:rsidRPr="004448D8">
        <w:rPr>
          <w:rFonts w:ascii="Times New Roman" w:hAnsi="Times New Roman" w:cs="Times New Roman"/>
          <w:i/>
          <w:iCs/>
          <w:noProof/>
          <w:sz w:val="24"/>
          <w:szCs w:val="24"/>
        </w:rPr>
        <w:t>Pink News</w:t>
      </w:r>
      <w:r w:rsidRPr="004448D8">
        <w:rPr>
          <w:rFonts w:ascii="Times New Roman" w:hAnsi="Times New Roman" w:cs="Times New Roman"/>
          <w:noProof/>
          <w:sz w:val="24"/>
          <w:szCs w:val="24"/>
        </w:rPr>
        <w:t>, 11 July 2016) &lt;https://www.pinknews.co.uk/2016/07/11/is-grindr-about-to-introduce-a-hiv-filter/&gt; accessed 5 December 2019</w:t>
      </w:r>
    </w:p>
    <w:p w14:paraId="3AAC2BDB"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Raj S, ‘Grindring Justice’, </w:t>
      </w:r>
      <w:r w:rsidRPr="004448D8">
        <w:rPr>
          <w:rFonts w:ascii="Times New Roman" w:hAnsi="Times New Roman" w:cs="Times New Roman"/>
          <w:i/>
          <w:iCs/>
          <w:noProof/>
          <w:sz w:val="24"/>
          <w:szCs w:val="24"/>
        </w:rPr>
        <w:t>Northumbria University LGBT History Month Series</w:t>
      </w:r>
      <w:r w:rsidRPr="004448D8">
        <w:rPr>
          <w:rFonts w:ascii="Times New Roman" w:hAnsi="Times New Roman" w:cs="Times New Roman"/>
          <w:noProof/>
          <w:sz w:val="24"/>
          <w:szCs w:val="24"/>
        </w:rPr>
        <w:t xml:space="preserve"> (2019)</w:t>
      </w:r>
    </w:p>
    <w:p w14:paraId="7A1B3B69"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Riggle EDB, Rostosky SS and Reedy CS, ‘Online Surveys for BGLT Research: Issues and Techniques.’ (2005) 49 Journal of Homosexuality 1</w:t>
      </w:r>
    </w:p>
    <w:p w14:paraId="01C31699"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Robinson BA, ‘Doing Sexual Responsibility: HIV, Risk Discourses, Trust, and Gay Men Interacting Online’ (2018) 61 Sociological Perspectives 383</w:t>
      </w:r>
    </w:p>
    <w:p w14:paraId="34468AFA"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Roebuck J, ‘Criminal Liability for Transmission of Herpes Simplex Virus.’ (2014) 78 Journal of Criminal Law 294</w:t>
      </w:r>
    </w:p>
    <w:p w14:paraId="114E76C9"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Rosenfeld M, ‘Are Tinder and Dating Apps Changing Dating and Mating in the USA?’ in Jennifer Van Hook, Susan M McHale and Valarie King (eds), </w:t>
      </w:r>
      <w:r w:rsidRPr="004448D8">
        <w:rPr>
          <w:rFonts w:ascii="Times New Roman" w:hAnsi="Times New Roman" w:cs="Times New Roman"/>
          <w:i/>
          <w:iCs/>
          <w:noProof/>
          <w:sz w:val="24"/>
          <w:szCs w:val="24"/>
        </w:rPr>
        <w:t>Families and Technology</w:t>
      </w:r>
      <w:r w:rsidRPr="004448D8">
        <w:rPr>
          <w:rFonts w:ascii="Times New Roman" w:hAnsi="Times New Roman" w:cs="Times New Roman"/>
          <w:noProof/>
          <w:sz w:val="24"/>
          <w:szCs w:val="24"/>
        </w:rPr>
        <w:t xml:space="preserve"> (Springer 2018)</w:t>
      </w:r>
    </w:p>
    <w:p w14:paraId="0A2FBEF6"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Ryan S, ‘Risk-Taking, Recklessness and HIV Transmission: Accommodating the Reality of Sexual Transmission of HIV within a Justifiable Approach to Criminal Liability’ (2007) 28 Liverpool Law Review 215</w:t>
      </w:r>
    </w:p>
    <w:p w14:paraId="64BD90D9"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‘Disclosure and HIV Transmission’ (2015) 79 The Journal of Criminal Law 395</w:t>
      </w:r>
    </w:p>
    <w:p w14:paraId="576AB87C"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Sharpe A, ‘The Ethicality of the Demand for (Trans)Parency in Sexual Relations’ (2017) 43 Australian Feminist Law Journal 161</w:t>
      </w:r>
    </w:p>
    <w:p w14:paraId="34345D37"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Shield AD, ‘Grindr Culture: Intersectional and Socio-Sexual’ (2018) 18 Ephemera 149</w:t>
      </w:r>
    </w:p>
    <w:p w14:paraId="57E8DD99"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lastRenderedPageBreak/>
        <w:t>Smith A and Anderson M, ‘5 Facts about Online Dating’ (</w:t>
      </w:r>
      <w:r w:rsidRPr="004448D8">
        <w:rPr>
          <w:rFonts w:ascii="Times New Roman" w:hAnsi="Times New Roman" w:cs="Times New Roman"/>
          <w:i/>
          <w:iCs/>
          <w:noProof/>
          <w:sz w:val="24"/>
          <w:szCs w:val="24"/>
        </w:rPr>
        <w:t>Pew Research</w:t>
      </w:r>
      <w:r w:rsidRPr="004448D8">
        <w:rPr>
          <w:rFonts w:ascii="Times New Roman" w:hAnsi="Times New Roman" w:cs="Times New Roman"/>
          <w:noProof/>
          <w:sz w:val="24"/>
          <w:szCs w:val="24"/>
        </w:rPr>
        <w:t>, 29 February 2016) &lt;http://www.pewresearch.org/fact-tank/2016/02/29/5-facts-about-online-dating/&gt; accessed 30 November 2019</w:t>
      </w:r>
    </w:p>
    <w:p w14:paraId="1B8A0F86"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Snee H and others, ‘Digital Methods as Mainstream Methodology’ in Helene Snee and others (eds), </w:t>
      </w:r>
      <w:r w:rsidRPr="004448D8">
        <w:rPr>
          <w:rFonts w:ascii="Times New Roman" w:hAnsi="Times New Roman" w:cs="Times New Roman"/>
          <w:i/>
          <w:iCs/>
          <w:noProof/>
          <w:sz w:val="24"/>
          <w:szCs w:val="24"/>
        </w:rPr>
        <w:t>Digital methods for social science : an interdisciplinary guide to research innovation</w:t>
      </w:r>
      <w:r w:rsidRPr="004448D8">
        <w:rPr>
          <w:rFonts w:ascii="Times New Roman" w:hAnsi="Times New Roman" w:cs="Times New Roman"/>
          <w:noProof/>
          <w:sz w:val="24"/>
          <w:szCs w:val="24"/>
        </w:rPr>
        <w:t xml:space="preserve"> (Palgrave Macmillan 2016)</w:t>
      </w:r>
    </w:p>
    <w:p w14:paraId="1A825276"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Spieldenner A, ‘PrEP Whores and HIV Prevention: The Queer Communication of HIV Pre-Exposure Prophylaxis (PrEP)’ (2016) 63 Journal of Homosexuality 1685</w:t>
      </w:r>
    </w:p>
    <w:p w14:paraId="14A236FC"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St. de Lore J and others, ‘HIV Disclosure and Subsequent Sexual Behaviors Among Men Who Have Sex with Men Who Meet Online’ (2012) 59 Journal of Homosexuality 592</w:t>
      </w:r>
    </w:p>
    <w:p w14:paraId="2E242B47"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Suler J, ‘The Online Disinhibition Effect’ (2004) 7 CyberPsychology &amp; Behavior 321</w:t>
      </w:r>
    </w:p>
    <w:p w14:paraId="3C9D1271"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Terry G and Braun V, ‘Short but Often Sweet’ in Virginia Braun, Victoria Clarke and Debra Grey (eds), </w:t>
      </w:r>
      <w:r w:rsidRPr="004448D8">
        <w:rPr>
          <w:rFonts w:ascii="Times New Roman" w:hAnsi="Times New Roman" w:cs="Times New Roman"/>
          <w:i/>
          <w:iCs/>
          <w:noProof/>
          <w:sz w:val="24"/>
          <w:szCs w:val="24"/>
        </w:rPr>
        <w:t>Collecting qualitative data : a practical guide to textual, media and virtual techniques</w:t>
      </w:r>
      <w:r w:rsidRPr="004448D8">
        <w:rPr>
          <w:rFonts w:ascii="Times New Roman" w:hAnsi="Times New Roman" w:cs="Times New Roman"/>
          <w:noProof/>
          <w:sz w:val="24"/>
          <w:szCs w:val="24"/>
        </w:rPr>
        <w:t xml:space="preserve"> (Cambridge University Press 2016)</w:t>
      </w:r>
    </w:p>
    <w:p w14:paraId="70D9561C"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The Lancet HIV, ‘U=U Taking off in 2017’ (2017) 4 The Lancet HIV e475</w:t>
      </w:r>
    </w:p>
    <w:p w14:paraId="5CC960F0"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Turner DC, </w:t>
      </w:r>
      <w:r w:rsidRPr="004448D8">
        <w:rPr>
          <w:rFonts w:ascii="Times New Roman" w:hAnsi="Times New Roman" w:cs="Times New Roman"/>
          <w:i/>
          <w:iCs/>
          <w:noProof/>
          <w:sz w:val="24"/>
          <w:szCs w:val="24"/>
        </w:rPr>
        <w:t>Risky Sex</w:t>
      </w:r>
      <w:r w:rsidRPr="004448D8">
        <w:rPr>
          <w:rFonts w:ascii="Times New Roman" w:hAnsi="Times New Roman" w:cs="Times New Roman"/>
          <w:noProof/>
          <w:sz w:val="24"/>
          <w:szCs w:val="24"/>
        </w:rPr>
        <w:t xml:space="preserve"> (Columbia University Press 1997)</w:t>
      </w:r>
    </w:p>
    <w:p w14:paraId="3498BF44"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Van De Wiele C and Tong ST, ‘Breaking Boundaries : The Uses &amp; Gratifications of Grindr’ [2014] 2014 ACM International Joint Conference on Pervasive and Ubiquitous Computing 619</w:t>
      </w:r>
    </w:p>
    <w:p w14:paraId="62EE52A4"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van Doorn N, ‘Treatment Is Prevention: HIV, Emergency and the Biopolitics of Viral Containment’ (2013) 27 Cultural Studies 901</w:t>
      </w:r>
    </w:p>
    <w:p w14:paraId="6BE54D98"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Watt H, ‘Man Found Guilty of Trying to Infect 10 Grindr Dates with HIV’ </w:t>
      </w:r>
      <w:r w:rsidRPr="004448D8">
        <w:rPr>
          <w:rFonts w:ascii="Times New Roman" w:hAnsi="Times New Roman" w:cs="Times New Roman"/>
          <w:i/>
          <w:iCs/>
          <w:noProof/>
          <w:sz w:val="24"/>
          <w:szCs w:val="24"/>
        </w:rPr>
        <w:t>The Guardian</w:t>
      </w:r>
      <w:r w:rsidRPr="004448D8">
        <w:rPr>
          <w:rFonts w:ascii="Times New Roman" w:hAnsi="Times New Roman" w:cs="Times New Roman"/>
          <w:noProof/>
          <w:sz w:val="24"/>
          <w:szCs w:val="24"/>
        </w:rPr>
        <w:t xml:space="preserve"> (London, 15 November 2017)</w:t>
      </w:r>
    </w:p>
    <w:p w14:paraId="56DEAF43"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Weait M, ‘Knowledge, Autonomy and Consent: R v Konzani’ [2005] Criminal Law Review 763</w:t>
      </w:r>
    </w:p>
    <w:p w14:paraId="37F67EAC"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Weait M, </w:t>
      </w:r>
      <w:r w:rsidRPr="004448D8">
        <w:rPr>
          <w:rFonts w:ascii="Times New Roman" w:hAnsi="Times New Roman" w:cs="Times New Roman"/>
          <w:i/>
          <w:iCs/>
          <w:noProof/>
          <w:sz w:val="24"/>
          <w:szCs w:val="24"/>
        </w:rPr>
        <w:t>Intimacy and Responsibility: The Criminalisation of HIV Transmission</w:t>
      </w:r>
      <w:r w:rsidRPr="004448D8">
        <w:rPr>
          <w:rFonts w:ascii="Times New Roman" w:hAnsi="Times New Roman" w:cs="Times New Roman"/>
          <w:noProof/>
          <w:sz w:val="24"/>
          <w:szCs w:val="24"/>
        </w:rPr>
        <w:t xml:space="preserve"> (Routledge-Cavendish 2007)</w:t>
      </w:r>
    </w:p>
    <w:p w14:paraId="06666474"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Weait M, ‘Unsafe Law: Health, Rights and the Legal Response to HIV’ (2013) 9 International Journal of Law in Context 535</w:t>
      </w:r>
    </w:p>
    <w:p w14:paraId="2128730F"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lastRenderedPageBreak/>
        <w:t>Weait M and Azad Y, ‘The Criminalization of HIV Transmission in England and Wales: Questions of Law and Policy’ (2005) 10 HIV AIDS Policy Law Rev 1</w:t>
      </w:r>
    </w:p>
    <w:p w14:paraId="27D2D3C7"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Wooller S, ‘SWIPE LEFT Dating Apps like Tinder Are “Fuelling a Rise in Cancer-Causing STI – and It’s All Linked to Oral Sex”’ (</w:t>
      </w:r>
      <w:r w:rsidRPr="004448D8">
        <w:rPr>
          <w:rFonts w:ascii="Times New Roman" w:hAnsi="Times New Roman" w:cs="Times New Roman"/>
          <w:i/>
          <w:iCs/>
          <w:noProof/>
          <w:sz w:val="24"/>
          <w:szCs w:val="24"/>
        </w:rPr>
        <w:t>The Sun</w:t>
      </w:r>
      <w:r w:rsidRPr="004448D8">
        <w:rPr>
          <w:rFonts w:ascii="Times New Roman" w:hAnsi="Times New Roman" w:cs="Times New Roman"/>
          <w:noProof/>
          <w:sz w:val="24"/>
          <w:szCs w:val="24"/>
        </w:rPr>
        <w:t>, 31 August 2017) &lt;www.thesun.co.uk/living/4360340/dating-apps-like-tinder-are-fuelling-a-rise-in-cancer-causing-sti-and-its-all-linked-to-oral-sex/&gt; accessed 26 August 2019</w:t>
      </w:r>
    </w:p>
    <w:p w14:paraId="5E133E27" w14:textId="77777777" w:rsidR="004448D8" w:rsidRPr="004448D8" w:rsidRDefault="004448D8" w:rsidP="004448D8">
      <w:pPr>
        <w:widowControl w:val="0"/>
        <w:autoSpaceDE w:val="0"/>
        <w:autoSpaceDN w:val="0"/>
        <w:adjustRightInd w:val="0"/>
        <w:spacing w:before="120" w:after="0" w:line="360" w:lineRule="auto"/>
        <w:rPr>
          <w:rFonts w:ascii="Times New Roman" w:hAnsi="Times New Roman" w:cs="Times New Roman"/>
          <w:noProof/>
          <w:sz w:val="24"/>
          <w:szCs w:val="24"/>
        </w:rPr>
      </w:pPr>
      <w:r w:rsidRPr="004448D8">
        <w:rPr>
          <w:rFonts w:ascii="Times New Roman" w:hAnsi="Times New Roman" w:cs="Times New Roman"/>
          <w:noProof/>
          <w:sz w:val="24"/>
          <w:szCs w:val="24"/>
        </w:rPr>
        <w:t xml:space="preserve">Wortham J, ‘Apple Bans Some Apps for Sex-Tinged Content’ </w:t>
      </w:r>
      <w:r w:rsidRPr="004448D8">
        <w:rPr>
          <w:rFonts w:ascii="Times New Roman" w:hAnsi="Times New Roman" w:cs="Times New Roman"/>
          <w:i/>
          <w:iCs/>
          <w:noProof/>
          <w:sz w:val="24"/>
          <w:szCs w:val="24"/>
        </w:rPr>
        <w:t>The New York Times</w:t>
      </w:r>
      <w:r w:rsidRPr="004448D8">
        <w:rPr>
          <w:rFonts w:ascii="Times New Roman" w:hAnsi="Times New Roman" w:cs="Times New Roman"/>
          <w:noProof/>
          <w:sz w:val="24"/>
          <w:szCs w:val="24"/>
        </w:rPr>
        <w:t xml:space="preserve"> (New York, 22 February 2010)</w:t>
      </w:r>
    </w:p>
    <w:p w14:paraId="6F7947C4" w14:textId="798F4518" w:rsidR="00FE4713" w:rsidRPr="00D321FC" w:rsidRDefault="00D321FC" w:rsidP="004448D8">
      <w:pPr>
        <w:widowControl w:val="0"/>
        <w:autoSpaceDE w:val="0"/>
        <w:autoSpaceDN w:val="0"/>
        <w:adjustRightInd w:val="0"/>
        <w:spacing w:before="120" w:after="0" w:line="360" w:lineRule="auto"/>
      </w:pPr>
      <w:r w:rsidRPr="00D80B9A">
        <w:fldChar w:fldCharType="end"/>
      </w:r>
    </w:p>
    <w:sectPr w:rsidR="00FE4713" w:rsidRPr="00D321FC"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6C027" w14:textId="77777777" w:rsidR="00192D0E" w:rsidRDefault="00192D0E" w:rsidP="00AF2C92">
      <w:r>
        <w:separator/>
      </w:r>
    </w:p>
  </w:endnote>
  <w:endnote w:type="continuationSeparator" w:id="0">
    <w:p w14:paraId="22B2399A" w14:textId="77777777" w:rsidR="00192D0E" w:rsidRDefault="00192D0E" w:rsidP="00AF2C92">
      <w:r>
        <w:continuationSeparator/>
      </w:r>
    </w:p>
  </w:endnote>
  <w:endnote w:type="continuationNotice" w:id="1">
    <w:p w14:paraId="21423A8B" w14:textId="77777777" w:rsidR="00192D0E" w:rsidRDefault="00192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0064D" w14:textId="77777777" w:rsidR="00192D0E" w:rsidRDefault="00192D0E" w:rsidP="00AF2C92">
      <w:r>
        <w:separator/>
      </w:r>
    </w:p>
  </w:footnote>
  <w:footnote w:type="continuationSeparator" w:id="0">
    <w:p w14:paraId="7D39D083" w14:textId="77777777" w:rsidR="00192D0E" w:rsidRDefault="00192D0E" w:rsidP="00AF2C92">
      <w:r>
        <w:continuationSeparator/>
      </w:r>
    </w:p>
  </w:footnote>
  <w:footnote w:type="continuationNotice" w:id="1">
    <w:p w14:paraId="7DA3D8B7" w14:textId="77777777" w:rsidR="00192D0E" w:rsidRDefault="00192D0E">
      <w:pPr>
        <w:spacing w:after="0" w:line="240" w:lineRule="auto"/>
      </w:pPr>
    </w:p>
  </w:footnote>
  <w:footnote w:id="2">
    <w:p w14:paraId="0C483ED5" w14:textId="090B4525"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URL":"www.ofcom.org.uk/__data/assets/pdf_file/0022/117256/CMR-2018-narrative-report.pdf","accessed":{"date-parts":[["2019","8","26"]]},"author":[{"dropping-particle":"","family":"Ofcom","given":"","non-dropping-particle":"","parse-names":false,"suffix":""}],"id":"ITEM-1","issued":{"date-parts":[["2018","8","2"]]},"title":"Communications Market Report 2018","type":"webpage"},"uris":["http://www.mendeley.com/documents/?uuid=91ca0181-6180-39c4-91ab-e64e9fe88ddc"]}],"mendeley":{"formattedCitation":"Ofcom, ‘Communications Market Report 2018’ (2 August 2018) &lt;www.ofcom.org.uk/__data/assets/pdf_file/0022/117256/CMR-2018-narrative-report.pdf&gt; accessed 26 August 2019.","plainTextFormattedCitation":"Ofcom, ‘Communications Market Report 2018’ (2 August 2018)  accessed 26 August 2019.","previouslyFormattedCitation":"Ofcom, ‘Communications Market Report 2018’ (2 August 2018) &lt;www.ofcom.org.uk/__data/assets/pdf_file/0022/117256/CMR-2018-narrative-report.pdf&gt; accessed 26 August 2019."},"properties":{"noteIndex":1},"schema":"https://github.com/citation-style-language/schema/raw/master/csl-citation.json"}</w:instrText>
      </w:r>
      <w:r>
        <w:fldChar w:fldCharType="separate"/>
      </w:r>
      <w:r w:rsidRPr="004448D8">
        <w:rPr>
          <w:noProof/>
        </w:rPr>
        <w:t>Ofcom, ‘Communications Market Report 2018’ (2 August 2018) &lt;www.ofcom.org.uk/__data/assets/pdf_file/0022/117256/CMR-2018-narrative-report.pdf&gt; accessed 26 August 2019.</w:t>
      </w:r>
      <w:r>
        <w:fldChar w:fldCharType="end"/>
      </w:r>
    </w:p>
  </w:footnote>
  <w:footnote w:id="3">
    <w:p w14:paraId="4A9F206F" w14:textId="4B524380"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{"citationItems":[{"id":"ITEM-1","itemData":{"DOI":"10.1016/S2352-3018(17)30183-2","ISSN":"23523018","PMID":"29096785","author":[{"dropping-particle":"","family":"The Lancet HIV","given":"","non-dropping-particle":"","parse-names":false,"suffix":""}],"container-title":"The Lancet HIV","id":"ITEM-1","issue":"11","issued":{"date-parts":[["2017","11","1"]]},"page":"e475","publisher":"Elsevier","title":"U=U taking off in 2017","type":"article-journal","volume":"4"},"uris":["http://www.mendeley.com/documents/?uuid=69ed8e70-36e1-338d-b15c-5bb357b30a50"]}],"mendeley":{"formattedCitation":"The Lancet HIV, ‘U=U Taking off in 2017’ (2017) 4 The Lancet HIV e475.","plainTextFormattedCitation":"The Lancet HIV, ‘U=U Taking off in 2017’ (2017) 4 The Lancet HIV e475.","previouslyFormattedCitation":"The Lancet HIV, ‘U=U Taking off in 2017’ (2017) 4 The Lancet HIV e475."},"properties":{"noteIndex":2},"schema":"https://github.com/citation-style-language/schema/raw/master/csl-citation.json"}</w:instrText>
      </w:r>
      <w:r>
        <w:fldChar w:fldCharType="separate"/>
      </w:r>
      <w:r w:rsidRPr="00DF35EA">
        <w:rPr>
          <w:noProof/>
        </w:rPr>
        <w:t>The Lancet HIV, ‘U=U Taking off in 2017’ (2017) 4 The Lancet HIV e475.</w:t>
      </w:r>
      <w:r>
        <w:fldChar w:fldCharType="end"/>
      </w:r>
    </w:p>
  </w:footnote>
  <w:footnote w:id="4">
    <w:p w14:paraId="55AC1EDC" w14:textId="500B3390"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{"citationItems":[{"id":"ITEM-1","itemData":{"DOI":"10.1136/sextrans-2016-052718.52","ISSN":"1472-3263","abstract":"Background/introduction Geosocial networking (GSN) apps such as Tinder and Grindr provide new ways of finding sex partners. It is suggested that usage could be responsible for increased STI &amp; HIV transmission. Aim(s)/objectives To systematically review published literature to determine whether geosocial app use is associated with increased sexual risk behaviours, current and/or previous STIs &amp; HIV. Methods Search of PubMed, EMBASE and Google Scholar for studies involving women, men, men who have sex with men (MSM) and use of GSN apps for sex-seeking which reported risk factors for STIs &amp; HIV transmission, published from 2009 to March 2016, in English. Search terms were associated using at least one regarding GSN apps and a second regarding STIs or sexual risk behaviours. Quality was assessed using Critical Appraisal Skills Programme criteria. Results 13 studies met inclusion criteria: 12 cross-sectional studies, 1 review. All were in MSM from urban USA, China, Taiwan, UK and Ireland. In total there were 11924 subjects (range 92- 7184). 7 studies reported app use to be associated with increased unprotected anal intercourse (UAI); 2 studies showed no association. 3 studies showed association with previous STI diagnoses, although association with HIV diagnoses had mixed results. 4 studies reported high response rate for app-based recruitment. Discussion/conclusion Use of GSN apps is associated with factors known to facilitate STI &amp; HIV transmission in MSM. Studies in heterosexuals are much needed. High uptake of some apprecruited studies suggests GSN apps could be useful platforms for sexual health promotion and targeted risk reduction strategies.","author":[{"dropping-particle":"","family":"Almeida","given":"Matheus","non-dropping-particle":"","parse-names":false,"suffix":""},{"dropping-particle":"","family":"Gibbs","given":"Jo","non-dropping-particle":"","parse-names":false,"suffix":""},{"dropping-particle":"","family":"Estcourt","given":"Claudia","non-dropping-particle":"","parse-names":false,"suffix":""}],"container-title":"Sexually Transmitted Infections","id":"ITEM-1","issued":{"date-parts":[["2016"]]},"page":"A19","title":"Are geosocial networking (GSN) apps associated with increased risk of STIs &amp; HIV: A systematic review","type":"article-journal","volume":"92"},"prefix":"See, generally, ","uris":["http://www.mendeley.com/documents/?uuid=4a4cb83a-8e7f-3fca-b805-e035c2065926"]},{"id":"ITEM-2","itemData":{"DOI":"10.1136/sextrans-2016-052994","ISSN":"1368-4973","abstract":"© 2017. Produced by BMJ Publishing Group Ltd under licence. Objectives Online venues might facilitate sexual encounters, but the extent to which finding partners online is associated with sexual risk behaviour and sexual health outcomes is unclear. We describe use of the internet to find sexual partners in a representative sample in Britain. Methods The third National Survey of Sexual Attitudes and Lifestyles (Natsal-3) was a cross-sectional probability survey of 15 162 adults (aged 16-74 years) undertaken 2010-2012. We estimated prevalence of, and identified factors associated with, finding sexual partners online among those reporting =1 new sexual partners in the past year. Results Finding sexual partners online in the past year was reported by 17.6% (95% CI 15.6 to 19.9) of men and 10.1% (8.5-11.9) of women, and most common among those aged 35-44 years. After age-adjustment, those reporting a non-heterosexual identity were more likely to report this. Finding partners online was also associated with reporting sexual risk behaviours: condomless sex with =2 partners (adjusted OR (aOR) men: 1.52 (1.03 to 2.23); women: 1.62 (1.06 to 2.49)), concurrent partnerships (aOR men: 2.33 (1.62 to 3.35); women: 2.41 (1.49 to 3.87)) and higher partner numbers (reporting =5 partners aOR men: 5.95 (3.78 to 9.36); women: 7.00 (3.77 to 13.00)) (all past year). STI diagnoses and HIV testing were more common among men reporting finding partners online (adjusted for age, partner numbers, same-sex partnerships), but not women. Conclusions Finding partners online was associated with markers of sexual risk, which might be important for clinical risk assessment, but this was not matched by uptake of sexual health services. Online opportunities to find partners have increased, so these data might underestimate the importance of this social phenomenon for public health and STI control.","author":[{"dropping-particle":"","family":"Cabecinha","given":"Melissa","non-dropping-particle":"","parse-names":false,"suffix":""},{"dropping-particle":"","family":"Mercer","given":"Catherine H","non-dropping-particle":"","parse-names":false,"suffix":""},{"dropping-particle":"","family":"Gravningen","given":"Kirsten","non-dropping-particle":"","parse-names":false,"suffix":""},{"dropping-particle":"","family":"Aicken","given":"Catherine","non-dropping-particle":"","parse-names":false,"suffix":""},{"dropping-particle":"","family":"Jones","given":"Kyle G","non-dropping-particle":"","parse-names":false,"suffix":""},{"dropping-particle":"","family":"Tanton","given":"Clare","non-dropping-particle":"","parse-names":false,"suffix":""},{"dropping-particle":"","family":"Wellings","given":"Kaye","non-dropping-particle":"","parse-names":false,"suffix":""},{"dropping-particle":"","family":"Sonnenberg","given":"Pam","non-dropping-particle":"","parse-names":false,"suffix":""},{"dropping-particle":"","family":"Field","given":"Nigel","non-dropping-particle":"","parse-names":false,"suffix":""}],"container-title":"Sexually Transmitted Infections","id":"ITEM-2","issued":{"date-parts":[["2017"]]},"page":"1 - 11","title":"Finding sexual partners online: prevalence and associations with sexual behaviour, STI diagnoses and other sexual health outcomes in the British population","type":"article-journal"},"uris":["http://www.mendeley.com/documents/?uuid=40905715-5aff-3229-b94e-f4d92722a75e"]}],"mendeley":{"formattedCitation":"See, generally, Matheus Almeida, Jo Gibbs and Claudia Estcourt, ‘Are Geosocial Networking (GSN) Apps Associated with Increased Risk of STIs &amp; HIV: A Systematic Review’ (2016) 92 Sexually Transmitted Infections A19; Melissa Cabecinha and others, ‘Finding Sexual Partners Online: Prevalence and Associations with Sexual Behaviour, STI Diagnoses and Other Sexual Health Outcomes in the British Population’ [2017] Sexually Transmitted Infections 1.","plainTextFormattedCitation":"See, generally, Matheus Almeida, Jo Gibbs and Claudia Estcourt, ‘Are Geosocial Networking (GSN) Apps Associated with Increased Risk of STIs &amp; HIV: A Systematic Review’ (2016) 92 Sexually Transmitted Infections A19; Melissa Cabecinha and others, ‘Finding Sexual Partners Online: Prevalence and Associations with Sexual Behaviour, STI Diagnoses and Other Sexual Health Outcomes in the British Population’ [2017] Sexually Transmitted Infections 1.","previouslyFormattedCitation":"See, generally, Matheus Almeida, Jo Gibbs and Claudia Estcourt, ‘Are Geosocial Networking (GSN) Apps Associated with Increased Risk of STIs &amp; HIV: A Systematic Review’ (2016) 92 Sexually Transmitted Infections A19; Melissa Cabecinha and others, ‘Finding Sexual Partners Online: Prevalence and Associations with Sexual Behaviour, STI Diagnoses and Other Sexual Health Outcomes in the British Population’ [2017] Sexually Transmitted Infections 1."},"properties":{"noteIndex":3},"schema":"https://github.com/citation-style-language/schema/raw/master/csl-citation.json"}</w:instrText>
      </w:r>
      <w:r>
        <w:fldChar w:fldCharType="separate"/>
      </w:r>
      <w:r w:rsidRPr="00DF35EA">
        <w:rPr>
          <w:noProof/>
        </w:rPr>
        <w:t>See, generally, Matheus Almeida, Jo Gibbs and Claudia Estcourt, ‘Are Geosocial Networking (GSN) Apps Associated with Increased Risk of STIs &amp; HIV: A Systematic Review’ (2016) 92 Sexually Transmitted Infections A19; Melissa Cabecinha and others, ‘Finding Sexual Partners Online: Prevalence and Associations with Sexual Behaviour, STI Diagnoses and Other Sexual Health Outcomes in the British Population’ [2017] Sexually Transmitted Infections 1.</w:t>
      </w:r>
      <w:r>
        <w:fldChar w:fldCharType="end"/>
      </w:r>
    </w:p>
  </w:footnote>
  <w:footnote w:id="5">
    <w:p w14:paraId="4728C446" w14:textId="264B9A18"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URL":"www.thesun.co.uk/living/4360340/dating-apps-like-tinder-are-fuelling-a-rise-in-cancer-causing-sti-and-its-all-linked-to-oral-sex/","accessed":{"date-parts":[["2019","8","26"]]},"author":[{"dropping-particle":"","family":"Wooller","given":"Shaun","non-dropping-particle":"","parse-names":false,"suffix":""}],"container-title":"The Sun","id":"ITEM-1","issued":{"date-parts":[["2017","8","31"]]},"title":"SWIPE LEFT Dating apps like Tinder are ‘fuelling a rise in cancer-causing STI – and it’s all linked to oral sex’","type":"webpage"},"prefix":"See, for example,","uris":["http://www.mendeley.com/documents/?uuid=4ace8f74-1fdd-4121-9004-fed80a02f350"]},{"id":"ITEM-2","itemData":{"URL":"www.telegraph.co.uk/news/2017/04/05/dating-apps-tinder-grindr-should-advertise-condoms-prevent-stis/","accessed":{"date-parts":[["2019","8","26"]]},"author":[{"dropping-particle":"","family":"Donnelly","given":"Laura","non-dropping-particle":"","parse-names":false,"suffix":""}],"container-title":"The Telegraph","id":"ITEM-2","issued":{"date-parts":[["2017","4","6"]]},"title":"Dating apps such as Tinder and Grindr should advertise condoms to prevent STIs, NHS advise","type":"webpage"},"uris":["http://www.mendeley.com/documents/?uuid=f26f53fe-ec13-40ab-815a-152f8fc05975"]}],"mendeley":{"formattedCitation":"See, for example, Shaun Wooller, ‘SWIPE LEFT Dating Apps like Tinder Are “Fuelling a Rise in Cancer-Causing STI – and It’s All Linked to Oral Sex”’ (&lt;i&gt;The Sun&lt;/i&gt;, 31 August 2017) &lt;www.thesun.co.uk/living/4360340/dating-apps-like-tinder-are-fuelling-a-rise-in-cancer-causing-sti-and-its-all-linked-to-oral-sex/&gt; accessed 26 August 2019; Laura Donnelly, ‘Dating Apps Such as Tinder and Grindr Should Advertise Condoms to Prevent STIs, NHS Advise’ (&lt;i&gt;The Telegraph&lt;/i&gt;, 6 April 2017) &lt;www.telegraph.co.uk/news/2017/04/05/dating-apps-tinder-grindr-should-advertise-condoms-prevent-stis/&gt; accessed 26 August 2019.","plainTextFormattedCitation":"See, for example, Shaun Wooller, ‘SWIPE LEFT Dating Apps like Tinder Are “Fuelling a Rise in Cancer-Causing STI – and It’s All Linked to Oral Sex”’ (The Sun, 31 August 2017)  accessed 26 August 2019; Laura Donnelly, ‘Dating Apps Such as Tinder and Grindr Should Advertise Condoms to Prevent STIs, NHS Advise’ (The Telegraph, 6 April 2017)  accessed 26 August 2019.","previouslyFormattedCitation":"See, for example, Shaun Wooller, ‘SWIPE LEFT Dating Apps like Tinder Are “Fuelling a Rise in Cancer-Causing STI – and It’s All Linked to Oral Sex”’ (&lt;i&gt;The Sun&lt;/i&gt;, 31 August 2017) &lt;www.thesun.co.uk/living/4360340/dating-apps-like-tinder-are-fuelling-a-rise-in-cancer-causing-sti-and-its-all-linked-to-oral-sex/&gt; accessed 26 August 2019; Laura Donnelly, ‘Dating Apps Such as Tinder and Grindr Should Advertise Condoms to Prevent STIs, NHS Advise’ (&lt;i&gt;The Telegraph&lt;/i&gt;, 6 April 2017) &lt;www.telegraph.co.uk/news/2017/04/05/dating-apps-tinder-grindr-should-advertise-condoms-prevent-stis/&gt; accessed 26 August 2019."},"properties":{"noteIndex":4},"schema":"https://github.com/citation-style-language/schema/raw/master/csl-citation.json"}</w:instrText>
      </w:r>
      <w:r>
        <w:fldChar w:fldCharType="separate"/>
      </w:r>
      <w:r w:rsidRPr="004448D8">
        <w:rPr>
          <w:noProof/>
        </w:rPr>
        <w:t>See, for example, Shaun Wooller, ‘SWIPE LEFT Dating Apps like Tinder Are “Fuelling a Rise in Cancer-Causing STI – and It’s All Linked to Oral Sex”’ (</w:t>
      </w:r>
      <w:r w:rsidRPr="004448D8">
        <w:rPr>
          <w:i/>
          <w:noProof/>
        </w:rPr>
        <w:t>The Sun</w:t>
      </w:r>
      <w:r w:rsidRPr="004448D8">
        <w:rPr>
          <w:noProof/>
        </w:rPr>
        <w:t>, 31 August 2017) &lt;www.thesun.co.uk/living/4360340/dating-apps-like-tinder-are-fuelling-a-rise-in-cancer-causing-sti-and-its-all-linked-to-oral-sex/&gt; accessed 26 August 2019; Laura Donnelly, ‘Dating Apps Such as Tinder and Grindr Should Advertise Condoms to Prevent STIs, NHS Advise’ (</w:t>
      </w:r>
      <w:r w:rsidRPr="004448D8">
        <w:rPr>
          <w:i/>
          <w:noProof/>
        </w:rPr>
        <w:t>The Telegraph</w:t>
      </w:r>
      <w:r w:rsidRPr="004448D8">
        <w:rPr>
          <w:noProof/>
        </w:rPr>
        <w:t>, 6 April 2017) &lt;www.telegraph.co.uk/news/2017/04/05/dating-apps-tinder-grindr-should-advertise-condoms-prevent-stis/&gt; accessed 26 August 2019.</w:t>
      </w:r>
      <w:r>
        <w:fldChar w:fldCharType="end"/>
      </w:r>
    </w:p>
  </w:footnote>
  <w:footnote w:id="6">
    <w:p w14:paraId="01FE8FEB" w14:textId="5F2163CF"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{"citationItems":[{"id":"ITEM-1","itemData":{"DOI":"10.1080/13600834.2017.1393933","ISSN":"14698404","abstract":"This article critically assesses the legal issues surrounding the contemporary act of adolescent sexting via the philosophical methodology of ontology. Through this methodology the article aims to highlight the significance of the mobile phone, and the social objects which it produces in the world, pertaining to the act of sexting. Highlighting this device’s abilities, uses, and present-day ubiquity offers an alternate insight to both the current legislative parameters and legal commentary on sexting. This is because neither the law governing sexting, nor the majority of the legal commentary on this act, has engaged with the presence of the mobile phone in our contemporary world and the way it has revolutionised our lives. In order to offer an alternative lens through which to view this act, the article draws on the deconstructive work of Jacques Derrida and the new realist ontology of Maurizio Ferraris, to offer comment on how and why digital writing must be reckoned with in the twenty-first century. Using these theorists, and others, the article illustrates the importance of the mobile phone and how its role as the quintessential writing machine of the third millennium must be recognised in order to correctly legislate the act of adolescent sexting. © 2017 Informa UK Limited, trading as Taylor &amp; Francis Group.","author":[{"dropping-particle":"","family":"Lloyd","given":"Chris","non-dropping-particle":"","parse-names":false,"suffix":""}],"container-title":"Information and Communications Technology Law","id":"ITEM-1","issue":"1","issued":{"date-parts":[["2018"]]},"page":"55-85","publisher":"Chris Lloyd","title":"The crime of sexting: A deconstructive approach","type":"article-journal","volume":"27"},"prefix":"See,","suffix":", in particular at 63-64 (emphasis added)","uris":["http://www.mendeley.com/documents/?uuid=3f6b6c7a-18dd-3d8b-bb7a-6f739fa771d8"]}],"mendeley":{"formattedCitation":"See, Chris Lloyd, ‘The Crime of Sexting: A Deconstructive Approach’ (2018) 27 Information and Communications Technology Law 55, in particular at 63-64 (emphasis added).","plainTextFormattedCitation":"See, Chris Lloyd, ‘The Crime of Sexting: A Deconstructive Approach’ (2018) 27 Information and Communications Technology Law 55, in particular at 63-64 (emphasis added).","previouslyFormattedCitation":"See, Chris Lloyd, ‘The Crime of Sexting: A Deconstructive Approach’ (2018) 27 Information and Communications Technology Law 55, in particular at 63-64 (emphasis added)."},"properties":{"noteIndex":5},"schema":"https://github.com/citation-style-language/schema/raw/master/csl-citation.json"}</w:instrText>
      </w:r>
      <w:r>
        <w:fldChar w:fldCharType="separate"/>
      </w:r>
      <w:r w:rsidRPr="00701305">
        <w:rPr>
          <w:noProof/>
        </w:rPr>
        <w:t>See, Chris Lloyd, ‘The Crime of Sexting: A Deconstructive Approach’ (2018) 27 Information and Communications Technology Law 55, in particular at 63-64 (emphasis added).</w:t>
      </w:r>
      <w:r>
        <w:fldChar w:fldCharType="end"/>
      </w:r>
    </w:p>
  </w:footnote>
  <w:footnote w:id="7">
    <w:p w14:paraId="1DE3DFB9" w14:textId="1E56D22E"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{"citationItems":[{"id":"ITEM-1","itemData":{"DOI":"10.1145/2632048.2636070","ISBN":"9781450329682","abstract":"“People-nearby applications” (PNAs) are a form of ubiquitous computing that connect users based on their physical location data. One example is Grindr, a popular PNA that facilitates connections among gay and bisexual men. Adopting a uses and gratifications approach, we conducted two studies. In study one, 63 users reported motivations for Grindr use through open-ended descriptions. In study two, those descriptions were coded into 26 items that were completed by 525 Grindr users. Factor analysis revealed six uses and gratifications: social inclusion, sex, friendship, entertainment, romantic relationships, and location-based search. Two additional analyses examine (1) the effects of geographic location (e.g., urban vs. suburban/rural) on men’s use of Grindr and (2) how Grindr use is related to self-disclosure of information. Results highlight how the mixed-mode nature of PNA technology may change the boundaries of online and offline space, and how gay and bisexual men navigate physical environments. Author","author":[{"dropping-particle":"","family":"Wiele","given":"Chad","non-dropping-particle":"Van De","parse-names":false,"suffix":""},{"dropping-particle":"","family":"Tong","given":"Stephanie Tom","non-dropping-particle":"","parse-names":false,"suffix":""}],"container-title":"2014 ACM International Joint Conference on Pervasive and Ubiquitous Computing","id":"ITEM-1","issued":{"date-parts":[["2014"]]},"page":"619-630","title":"Breaking Boundaries : The Uses &amp; Gratifications of Grindr","type":"article-journal"},"uris":["http://www.mendeley.com/documents/?uuid=de74f6e9-3f85-312e-bb51-3638e7283e7e"]}],"mendeley":{"formattedCitation":"Chad Van De Wiele and Stephanie Tom Tong, ‘Breaking Boundaries : The Uses &amp; Gratifications of Grindr’ [2014] 2014 ACM International Joint Conference on Pervasive and Ubiquitous Computing 619.","plainTextFormattedCitation":"Chad Van De Wiele and Stephanie Tom Tong, ‘Breaking Boundaries : The Uses &amp; Gratifications of Grindr’ [2014] 2014 ACM International Joint Conference on Pervasive and Ubiquitous Computing 619.","previouslyFormattedCitation":"Chad Van De Wiele and Stephanie Tom Tong, ‘Breaking Boundaries : The Uses &amp; Gratifications of Grindr’ [2014] 2014 ACM International Joint Conference on Pervasive and Ubiquitous Computing 619."},"properties":{"noteIndex":6},"schema":"https://github.com/citation-style-language/schema/raw/master/csl-citation.json"}</w:instrText>
      </w:r>
      <w:r>
        <w:fldChar w:fldCharType="separate"/>
      </w:r>
      <w:r w:rsidRPr="00DF35EA">
        <w:rPr>
          <w:noProof/>
        </w:rPr>
        <w:t>Chad Van De Wiele and Stephanie Tom Tong, ‘Breaking Boundaries : The Uses &amp; Gratifications of Grindr’ [2014] 2014 ACM International Joint Conference on Pervasive and Ubiquitous Computing 619.</w:t>
      </w:r>
      <w:r>
        <w:fldChar w:fldCharType="end"/>
      </w:r>
    </w:p>
  </w:footnote>
  <w:footnote w:id="8">
    <w:p w14:paraId="4A0A7C46" w14:textId="3F268EBC"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{"citationItems":[{"id":"ITEM-1","itemData":{"DOI":"10.1080/00224499.2013.871626","ISBN":"2122633255","ISSN":"15598519","PMID":"24754360","abstract":"We document the historical and cultural shifts in how gay and bisexual men have used the Internet for sexuality between the 1990s and 2013-including shifting technology as well as research methods to study gay and bisexual men online. Gay and bisexual men have rapidly taken to using the Internet for sexual purposes: for health information seeking, finding sex partners, dating, cybersex, and pornography. Men have adapted to the ever-evolving technological advances that have been made in connecting users to the Internet-from logging on via dial-up modem on a desktop computer to geo-social-sexual networking via handheld devices. In kind, researchers have adapted to the Internet to study gay and bisexual men. Studies have carefully considered the ethics, feasibility, and acceptability of using the Internet to conduct research and interventions. Much of this work has been grounded in models of disease prevention, largely as a result of the ongoing HIV/AIDS epidemic. The need to reduce HIV in this population has been a driving force to develop innovative research and Internet-based intervention methodologies. The Internet, and specifically mobile technology, is an environment gay and bisexual men are using for sexual purposes. These innovative technologies represent powerful resources for researchers to study and provide outreach.","author":[{"dropping-particle":"","family":"Grov","given":"Christian","non-dropping-particle":"","parse-names":false,"suffix":""},{"dropping-particle":"","family":"Breslow","given":"Aaron S.","non-dropping-particle":"","parse-names":false,"suffix":""},{"dropping-particle":"","family":"Newcomb","given":"Michael E.","non-dropping-particle":"","parse-names":false,"suffix":""},{"dropping-particle":"","family":"Rosenberger","given":"Joshua G.","non-dropping-particle":"","parse-names":false,"suffix":""},{"dropping-particle":"","family":"Bauermeister","given":"Jose A.","non-dropping-particle":"","parse-names":false,"suffix":""}],"container-title":"Journal of Sex Research","id":"ITEM-1","issue":"4","issued":{"date-parts":[["2014"]]},"page":"390-409","title":"Gay and bisexual men's use of the internet: Research from the 1990s through 2013","type":"article-journal","volume":"51"},"locator":"399-400","prefix":"Generally, see,","uris":["http://www.mendeley.com/documents/?uuid=629576d8-8df4-3905-8637-cc92603f24e5"]},{"id":"ITEM-2","itemData":{"URL":"www.pinknews.co.uk/2018/03/05/best-gay-dating-apps-jackd-grindr-hornet-scruff/","accessed":{"date-parts":[["2019","8","26"]]},"author":[{"dropping-particle":"","family":"Mastroiannis","given":"Alexis","non-dropping-particle":"","parse-names":false,"suffix":""}],"container-title":"Pink News","id":"ITEM-2","issued":{"date-parts":[["2018","3","5"]]},"title":"Gay dating apps: A comprehensive guide to Jack’d, Grindr, Hornet, Scruff and the rest","type":"webpage"},"uris":["http://www.mendeley.com/documents/?uuid=509ab061-dd0d-45df-9e8c-6e05eccbeaa3"]}],"mendeley":{"formattedCitation":"Generally, see, Christian Grov and others, ‘Gay and Bisexual Men’s Use of the Internet: Research from the 1990s through 2013’ (2014) 51 Journal of Sex Research 390, 399–400; Alexis Mastroiannis, ‘Gay Dating Apps: A Comprehensive Guide to Jack’d, Grindr, Hornet, Scruff and the Rest’ (&lt;i&gt;Pink News&lt;/i&gt;, 5 March 2018) &lt;www.pinknews.co.uk/2018/03/05/best-gay-dating-apps-jackd-grindr-hornet-scruff/&gt; accessed 26 August 2019.","plainTextFormattedCitation":"Generally, see, Christian Grov and others, ‘Gay and Bisexual Men’s Use of the Internet: Research from the 1990s through 2013’ (2014) 51 Journal of Sex Research 390, 399–400; Alexis Mastroiannis, ‘Gay Dating Apps: A Comprehensive Guide to Jack’d, Grindr, Hornet, Scruff and the Rest’ (Pink News, 5 March 2018)  accessed 26 August 2019.","previouslyFormattedCitation":"Generally, see, Christian Grov and others, ‘Gay and Bisexual Men’s Use of the Internet: Research from the 1990s through 2013’ (2014) 51 Journal of Sex Research 390, 399–400; Alexis Mastroiannis, ‘Gay Dating Apps: A Comprehensive Guide to Jack’d, Grindr, Hornet, Scruff and the Rest’ (&lt;i&gt;Pink News&lt;/i&gt;, 5 March 2018) &lt;www.pinknews.co.uk/2018/03/05/best-gay-dating-apps-jackd-grindr-hornet-scruff/&gt; accessed 26 August 2019."},"properties":{"noteIndex":7},"schema":"https://github.com/citation-style-language/schema/raw/master/csl-citation.json"}</w:instrText>
      </w:r>
      <w:r>
        <w:fldChar w:fldCharType="separate"/>
      </w:r>
      <w:r w:rsidRPr="004448D8">
        <w:rPr>
          <w:noProof/>
        </w:rPr>
        <w:t>Generally, see, Christian Grov and others, ‘Gay and Bisexual Men’s Use of the Internet: Research from the 1990s through 2013’ (2014) 51 Journal of Sex Research 390, 399–400; Alexis Mastroiannis, ‘Gay Dating Apps: A Comprehensive Guide to Jack’d, Grindr, Hornet, Scruff and the Rest’ (</w:t>
      </w:r>
      <w:r w:rsidRPr="004448D8">
        <w:rPr>
          <w:i/>
          <w:noProof/>
        </w:rPr>
        <w:t>Pink News</w:t>
      </w:r>
      <w:r w:rsidRPr="004448D8">
        <w:rPr>
          <w:noProof/>
        </w:rPr>
        <w:t>, 5 March 2018) &lt;www.pinknews.co.uk/2018/03/05/best-gay-dating-apps-jackd-grindr-hornet-scruff/&gt; accessed 26 August 2019.</w:t>
      </w:r>
      <w:r>
        <w:fldChar w:fldCharType="end"/>
      </w:r>
      <w:r>
        <w:t xml:space="preserve"> </w:t>
      </w:r>
    </w:p>
  </w:footnote>
  <w:footnote w:id="9">
    <w:p w14:paraId="0F4E5F87" w14:textId="77777777" w:rsidR="003C4498" w:rsidRDefault="003C4498" w:rsidP="00A35D52">
      <w:pPr>
        <w:pStyle w:val="Footnotes"/>
      </w:pPr>
      <w:r w:rsidRPr="00F76894">
        <w:rPr>
          <w:rStyle w:val="FootnoteReference"/>
        </w:rPr>
        <w:footnoteRef/>
      </w:r>
      <w:r>
        <w:t xml:space="preserve"> For example, Hornet, Scruff, </w:t>
      </w:r>
      <w:proofErr w:type="spellStart"/>
      <w:r>
        <w:t>Jack’d</w:t>
      </w:r>
      <w:proofErr w:type="spellEnd"/>
      <w:r>
        <w:t xml:space="preserve">, among others. </w:t>
      </w:r>
    </w:p>
  </w:footnote>
  <w:footnote w:id="10">
    <w:p w14:paraId="4CB36634" w14:textId="77777777" w:rsidR="003C4498" w:rsidRDefault="003C4498" w:rsidP="00A35D52">
      <w:pPr>
        <w:pStyle w:val="Footnotes"/>
      </w:pPr>
      <w:r w:rsidRPr="00F76894">
        <w:rPr>
          <w:rStyle w:val="FootnoteReference"/>
        </w:rPr>
        <w:footnoteRef/>
      </w:r>
      <w:r>
        <w:t xml:space="preserve"> Tinder being the most notable example, alongside other apps such as Hinge and Bumble. </w:t>
      </w:r>
    </w:p>
  </w:footnote>
  <w:footnote w:id="11">
    <w:p w14:paraId="1964C085" w14:textId="71922B1D"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{"citationItems":[{"id":"ITEM-1","itemData":{"abstract":"This research note is based on ethnographic work in the greater Copenhagen area on the socio-sexual networking app Grindr and on interviews with twelve recent immigrants who use this platform. As an online space primarily for gay men, Grindr is a unique subculture in which to conduct research about intersections of sexuality with other socio-cultural categories such as race and migration background, but also gender and ability. I find that user experiences with exclusion and discrimination relate to Grindr's interface, such as its drop-down menus, to the discourses circulated by Grindr users in profile texts, and to user-to-user interactions in private messages.","author":[{"dropping-particle":"","family":"Shield","given":"Andrew DJ","non-dropping-particle":"","parse-names":false,"suffix":""}],"container-title":"Ephemera","id":"ITEM-1","issue":"1","issued":{"date-parts":[["2018"]]},"page":"149-161","title":"Grindr Culture: Intersectional and Socio-Sexual","type":"article-journal","volume":"18"},"prefix":"For instance, compare the longevity of Grindr and other dating applications to websites such as Gay.com and Gaydar.uk, which were themselves market leaders for a time. See,","uris":["http://www.mendeley.com/documents/?uuid=b3ddb37a-0011-37fa-8b54-5c601886888c"]},{"id":"ITEM-2","itemData":{"URL":"www.pinknews.co.uk/2018/03/09/gaydar-gay-dating-app/","accessed":{"date-parts":[["2019","8","26"]]},"author":[{"dropping-particle":"","family":"Bloodworth","given":"Adam","non-dropping-particle":"","parse-names":false,"suffix":""}],"container-title":"Pink News","id":"ITEM-2","issued":{"date-parts":[["2018","3","9"]]},"title":"What is Gaydar? Does it work like other gay dating apps, and can I join for free?","type":"webpage"},"prefix":"Furthermore, for a brief history of some of these developments, see,","uris":["http://www.mendeley.com/documents/?uuid=216e42fb-8b66-4a21-9f62-06adfd510cde"]},{"id":"ITEM-3","itemData":{"ISBN":"9780754675358","abstract":"Popular culture has recognized urban gay men's use of the web over the last ten years, yet to date, the relationship between urban gay male culture and digital media technologies has received only limited critical attention. Gaydar Culture fills this gap by offering a timely intervention into the fields of digital media studies, cultural studies and the study of gender and sexuality. Introductions : the personal, the political and the perverse -- Contexts and frameworks : British gay male subculture--1984 and beyond -- Cybercarnality : identifying a critical pathway through gay men's digital culture -- \"From the web comes a man\" : profiles, identity and embodiment in gay dating/sex websites -- Cruising the cybercottage -- Bareback sex online : knowledge, desire and the gay male body -- Conclusion : some final thoughts on gay men's digital culture.","author":[{"dropping-particle":"","family":"Mowlabocus","given":"Sharif","non-dropping-particle":"","parse-names":false,"suffix":""}],"id":"ITEM-3","issued":{"date-parts":[["2010"]]},"publisher":"Ashgate","title":"Gaydar culture : gay men technology and embodiment in the digital age","type":"book"},"prefix":"See, also, ","uris":["http://www.mendeley.com/documents/?uuid=49836737-e6ea-3b8c-aa59-c16dbc0cffbd"]}],"mendeley":{"formattedCitation":"For instance, compare the longevity of Grindr and other dating applications to websites such as Gay.com and Gaydar.uk, which were themselves market leaders for a time. See, Andrew DJ Shield, ‘Grindr Culture: Intersectional and Socio-Sexual’ (2018) 18 Ephemera 149; Furthermore, for a brief history of some of these developments, see, Adam Bloodworth, ‘What Is Gaydar? Does It Work like Other Gay Dating Apps, and Can I Join for Free?’ (&lt;i&gt;Pink News&lt;/i&gt;, 9 March 2018) &lt;www.pinknews.co.uk/2018/03/09/gaydar-gay-dating-app/&gt; accessed 26 August 2019; See, also, Sharif Mowlabocus, &lt;i&gt;Gaydar Culture : Gay Men Technology and Embodiment in the Digital Age&lt;/i&gt; (Ashgate 2010).","plainTextFormattedCitation":"For instance, compare the longevity of Grindr and other dating applications to websites such as Gay.com and Gaydar.uk, which were themselves market leaders for a time. See, Andrew DJ Shield, ‘Grindr Culture: Intersectional and Socio-Sexual’ (2018) 18 Ephemera 149; Furthermore, for a brief history of some of these developments, see, Adam Bloodworth, ‘What Is Gaydar? Does It Work like Other Gay Dating Apps, and Can I Join for Free?’ (Pink News, 9 March 2018)  accessed 26 August 2019; See, also, Sharif Mowlabocus, Gaydar Culture : Gay Men Technology and Embodiment in the Digital Age (Ashgate 2010).","previouslyFormattedCitation":"For instance, compare the longevity of Grindr and other dating applications to websites such as Gay.com and Gaydar.uk, which were themselves market leaders for a time. See, Andrew DJ Shield, ‘Grindr Culture: Intersectional and Socio-Sexual’ (2018) 18 Ephemera 149; Furthermore, for a brief history of some of these developments, see, Adam Bloodworth, ‘What Is Gaydar? Does It Work like Other Gay Dating Apps, and Can I Join for Free?’ (&lt;i&gt;Pink News&lt;/i&gt;, 9 March 2018) &lt;www.pinknews.co.uk/2018/03/09/gaydar-gay-dating-app/&gt; accessed 26 August 2019; See, also, Sharif Mowlabocus, &lt;i&gt;Gaydar Culture : Gay Men Technology and Embodiment in the Digital Age&lt;/i&gt; (Ashgate 2010)."},"properties":{"noteIndex":10},"schema":"https://github.com/citation-style-language/schema/raw/master/csl-citation.json"}</w:instrText>
      </w:r>
      <w:r>
        <w:fldChar w:fldCharType="separate"/>
      </w:r>
      <w:r w:rsidRPr="004448D8">
        <w:rPr>
          <w:noProof/>
        </w:rPr>
        <w:t>For instance, compare the longevity of Grindr and other dating applications to websites such as Gay.com and Gaydar.uk, which were themselves market leaders for a time. See, Andrew DJ Shield, ‘Grindr Culture: Intersectional and Socio-Sexual’ (2018) 18 Ephemera 149; Furthermore, for a brief history of some of these developments, see, Adam Bloodworth, ‘What Is Gaydar? Does It Work like Other Gay Dating Apps, and Can I Join for Free?’ (</w:t>
      </w:r>
      <w:r w:rsidRPr="004448D8">
        <w:rPr>
          <w:i/>
          <w:noProof/>
        </w:rPr>
        <w:t>Pink News</w:t>
      </w:r>
      <w:r w:rsidRPr="004448D8">
        <w:rPr>
          <w:noProof/>
        </w:rPr>
        <w:t xml:space="preserve">, 9 March 2018) &lt;www.pinknews.co.uk/2018/03/09/gaydar-gay-dating-app/&gt; accessed 26 August 2019; See, also, Sharif Mowlabocus, </w:t>
      </w:r>
      <w:r w:rsidRPr="004448D8">
        <w:rPr>
          <w:i/>
          <w:noProof/>
        </w:rPr>
        <w:t>Gaydar Culture : Gay Men Technology and Embodiment in the Digital Age</w:t>
      </w:r>
      <w:r w:rsidRPr="004448D8">
        <w:rPr>
          <w:noProof/>
        </w:rPr>
        <w:t xml:space="preserve"> (Ashgate 2010).</w:t>
      </w:r>
      <w:r>
        <w:fldChar w:fldCharType="end"/>
      </w:r>
    </w:p>
  </w:footnote>
  <w:footnote w:id="12">
    <w:p w14:paraId="493A69CF" w14:textId="15C100CB"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{"citationItems":[{"id":"ITEM-1","itemData":{"ISBN":"9780754675358","abstract":"Popular culture has recognized urban gay men's use of the web over the last ten years, yet to date, the relationship between urban gay male culture and digital media technologies has received only limited critical attention. Gaydar Culture fills this gap by offering a timely intervention into the fields of digital media studies, cultural studies and the study of gender and sexuality. Introductions : the personal, the political and the perverse -- Contexts and frameworks : British gay male subculture--1984 and beyond -- Cybercarnality : identifying a critical pathway through gay men's digital culture -- \"From the web comes a man\" : profiles, identity and embodiment in gay dating/sex websites -- Cruising the cybercottage -- Bareback sex online : knowledge, desire and the gay male body -- Conclusion : some final thoughts on gay men's digital culture.","author":[{"dropping-particle":"","family":"Mowlabocus","given":"Sharif","non-dropping-particle":"","parse-names":false,"suffix":""}],"id":"ITEM-1","issued":{"date-parts":[["2010"]]},"publisher":"Ashgate","title":"Gaydar culture : gay men technology and embodiment in the digital age","type":"book"},"prefix":"For general commentary, see,","uris":["http://www.mendeley.com/documents/?uuid=49836737-e6ea-3b8c-aa59-c16dbc0cffbd"]},{"id":"ITEM-2","itemData":{"DOI":"10.1093/oxfordhb/9780199589074.001.0001","ISBN":"9780199589074","author":[{"dropping-particle":"","family":"Gunter","given":"Barrie","non-dropping-particle":"","parse-names":false,"suffix":""}],"container-title":"The Oxford Handbook of Internet Studies","editor":[{"dropping-particle":"","family":"Dutton","given":"William H","non-dropping-particle":"","parse-names":false,"suffix":""}],"id":"ITEM-2","issued":{"date-parts":[["2013","3","12"]]},"page":"173-194","publisher":"Oxford University Press","title":"The Study of Online Relationships and Dating","type":"chapter"},"uris":["http://www.mendeley.com/documents/?uuid=f10e7600-e613-43f6-9159-7e771288a74f"]},{"id":"ITEM-3","itemData":{"author":[{"dropping-particle":"","family":"McCormack","given":"Mark","non-dropping-particle":"","parse-names":false,"suffix":""}],"id":"ITEM-3","issued":{"date-parts":[["2015"]]},"publisher-place":"Durham","title":"The role of smartphones and technology in sexual and romantic lives","type":"report"},"uris":["http://www.mendeley.com/documents/?uuid=b1875a7c-e4f8-3d67-8197-caa21ad3d319"]},{"id":"ITEM-4","itemData":{"DOI":"10.1007/978-3-319-95540-7_6","abstract":"I use in-depth interviews and a new national survey to examine how people use phone dating apps (such as Tinder and Grindr), and how often they use them, and why. Gay men are the most active users of the phone dating apps. Unpartnered heterosexual adults do not use the phone dating apps very often, and meet few new partners through the phone dating apps. According to the survey data, more than 80% of unpartnered heterosexual adults have not gone on any dates or met any new people in the past 12 months, which suggests that being unpartnered is a more stable status for heterosexual adults than previously thought. Rosenfeld Phone Dating Apps P. 3 Introduction: The popular media coverage of Tinder and phone dating apps in general tends to favor a kind of","author":[{"dropping-particle":"","family":"Rosenfeld","given":"Michael","non-dropping-particle":"","parse-names":false,"suffix":""}],"container-title":"Families and Technology","editor":[{"dropping-particle":"Van","family":"Hook","given":"Jennifer","non-dropping-particle":"","parse-names":false,"suffix":""},{"dropping-particle":"","family":"McHale","given":"Susan M","non-dropping-particle":"","parse-names":false,"suffix":""},{"dropping-particle":"","family":"King","given":"Valarie","non-dropping-particle":"","parse-names":false,"suffix":""}],"id":"ITEM-4","issued":{"date-parts":[["2018"]]},"page":"103-117","publisher":"Springer","title":"Are Tinder and Dating Apps Changing Dating and Mating in the USA?","type":"chapter"},"uris":["http://www.mendeley.com/documents/?uuid=c682b732-6409-342a-9cb8-94f611b04f6f"]}],"mendeley":{"formattedCitation":"For general commentary, see, Mowlabocus, &lt;i&gt;Gaydar Culture : Gay Men Technology and Embodiment in the Digital Age&lt;/i&gt; (n 10); Barrie Gunter, ‘The Study of Online Relationships and Dating’ in William H Dutton (ed), &lt;i&gt;The Oxford Handbook of Internet Studies&lt;/i&gt; (Oxford University Press 2013); Mark McCormack, ‘The Role of Smartphones and Technology in Sexual and Romantic Lives’ (2015); Michael Rosenfeld, ‘Are Tinder and Dating Apps Changing Dating and Mating in the USA?’ in Jennifer Van Hook, Susan M McHale and Valarie King (eds), &lt;i&gt;Families and Technology&lt;/i&gt; (Springer 2018).","plainTextFormattedCitation":"For general commentary, see, Mowlabocus, Gaydar Culture : Gay Men Technology and Embodiment in the Digital Age (n 10); Barrie Gunter, ‘The Study of Online Relationships and Dating’ in William H Dutton (ed), The Oxford Handbook of Internet Studies (Oxford University Press 2013); Mark McCormack, ‘The Role of Smartphones and Technology in Sexual and Romantic Lives’ (2015); Michael Rosenfeld, ‘Are Tinder and Dating Apps Changing Dating and Mating in the USA?’ in Jennifer Van Hook, Susan M McHale and Valarie King (eds), Families and Technology (Springer 2018).","previouslyFormattedCitation":"For general commentary, see, Mowlabocus, &lt;i&gt;Gaydar Culture : Gay Men Technology and Embodiment in the Digital Age&lt;/i&gt; (n 10); Barrie Gunter, ‘The Study of Online Relationships and Dating’ in William H Dutton (ed), &lt;i&gt;The Oxford Handbook of Internet Studies&lt;/i&gt; (Oxford University Press 2013); Mark McCormack, ‘The Role of Smartphones and Technology in Sexual and Romantic Lives’ (2015); Michael Rosenfeld, ‘Are Tinder and Dating Apps Changing Dating and Mating in the USA?’ in Jennifer Van Hook, Susan M McHale and Valarie King (eds), &lt;i&gt;Families and Technology&lt;/i&gt; (Springer 2018)."},"properties":{"noteIndex":11},"schema":"https://github.com/citation-style-language/schema/raw/master/csl-citation.json"}</w:instrText>
      </w:r>
      <w:r>
        <w:fldChar w:fldCharType="separate"/>
      </w:r>
      <w:r w:rsidRPr="00DF35EA">
        <w:rPr>
          <w:noProof/>
        </w:rPr>
        <w:t xml:space="preserve">For general commentary, see, Mowlabocus, </w:t>
      </w:r>
      <w:r w:rsidRPr="00DF35EA">
        <w:rPr>
          <w:i/>
          <w:noProof/>
        </w:rPr>
        <w:t>Gaydar Culture : Gay Men Technology and Embodiment in the Digital Age</w:t>
      </w:r>
      <w:r w:rsidRPr="00DF35EA">
        <w:rPr>
          <w:noProof/>
        </w:rPr>
        <w:t xml:space="preserve"> (n 10); Barrie Gunter, ‘The Study of Online Relationships and Dating’ in William H Dutton (ed), </w:t>
      </w:r>
      <w:r w:rsidRPr="00DF35EA">
        <w:rPr>
          <w:i/>
          <w:noProof/>
        </w:rPr>
        <w:t>The Oxford Handbook of Internet Studies</w:t>
      </w:r>
      <w:r w:rsidRPr="00DF35EA">
        <w:rPr>
          <w:noProof/>
        </w:rPr>
        <w:t xml:space="preserve"> (Oxford University Press 2013); Mark McCormack, ‘The Role of Smartphones and Technology in Sexual and Romantic Lives’ (2015); Michael Rosenfeld, ‘Are Tinder and Dating Apps Changing Dating and Mating in the USA?’ in Jennifer Van Hook, Susan M McHale and Valarie King (eds), </w:t>
      </w:r>
      <w:r w:rsidRPr="00DF35EA">
        <w:rPr>
          <w:i/>
          <w:noProof/>
        </w:rPr>
        <w:t>Families and Technology</w:t>
      </w:r>
      <w:r w:rsidRPr="00DF35EA">
        <w:rPr>
          <w:noProof/>
        </w:rPr>
        <w:t xml:space="preserve"> (Springer 2018).</w:t>
      </w:r>
      <w:r>
        <w:fldChar w:fldCharType="end"/>
      </w:r>
    </w:p>
  </w:footnote>
  <w:footnote w:id="13">
    <w:p w14:paraId="60FA0C94" w14:textId="06DD7EA2"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{"citationItems":[{"id":"ITEM-1","itemData":{"URL":"www.prnewswire.com/news-releases/with-hornet-gays-can-now-play-safe-on-gay-mobile-social-networks-137800183.html","accessed":{"date-parts":[["2019","8","26"]]},"author":[{"dropping-particle":"","family":"Hornet Networks","given":"","non-dropping-particle":"","parse-names":false,"suffix":""}],"container-title":"PR Newswire","id":"ITEM-1","issued":{"date-parts":[["2012","1","20"]]},"title":"With Hornet, Gays Can Now Play Safe on Gay Mobile Social Networks","type":"webpage"},"label":"paragraph","prefix":"For two notable examples, see,","uris":["http://www.mendeley.com/documents/?uuid=7ec6b6e7-b438-4ce8-a569-eae77bb48c50"]},{"id":"ITEM-2","itemData":{"URL":"web.archive.org/web/20161115044007/www.grindr.com/blog/new-grindr-profiles-hiv-status-last-test-date/","accessed":{"date-parts":[["2019","8","26"]]},"author":[{"dropping-particle":"","family":"Grindr LLC","given":"","non-dropping-particle":"","parse-names":false,"suffix":""}],"id":"ITEM-2","issued":{"date-parts":[["2016","11","9"]]},"title":"New to Grindr profiles: HIV status and last test date fields","type":"webpage"},"locator":"This could originally be found at &lt;www.grindr.com/blog/new-grindr-profiles-hiv-status-last-test-date/&gt; but which has now been removed. An archived version can be accessed at: ","uris":["http://www.mendeley.com/documents/?uuid=26e6fce0-6a8f-4341-b66c-c82eaf762196"]}],"mendeley":{"formattedCitation":"For two notable examples, see, Hornet Networks, ‘With Hornet, Gays Can Now Play Safe on Gay Mobile Social Networks’ (&lt;i&gt;PR Newswire&lt;/i&gt;, 20 January 2012) &lt;www.prnewswire.com/news-releases/with-hornet-gays-can-now-play-safe-on-gay-mobile-social-networks-137800183.html&gt; accessed 26 August 2019; Grindr LLC, ‘New to Grindr Profiles: HIV Status and Last Test Date Fields’ (9 November 2016) This could originally be found at &lt;www.grindr.com/blog/new-grindr-profiles-hiv-status-last-test-date/&gt; but which has now been removed. An archived version can be accessed at: &lt;web.archive.org/web/20161115044007/www.grindr.com/blog/new-grindr-profiles-hiv-status-last-test-date/&gt; accessed 26 August 2019.","plainTextFormattedCitation":"For two notable examples, see, Hornet Networks, ‘With Hornet, Gays Can Now Play Safe on Gay Mobile Social Networks’ (PR Newswire, 20 January 2012)  accessed 26 August 2019; Grindr LLC, ‘New to Grindr Profiles: HIV Status and Last Test Date Fields’ (9 November 2016) This could originally be found at  but which has now been removed. An archived version can be accessed at:  accessed 26 August 2019.","previouslyFormattedCitation":"For two notable examples, see, Hornet Networks, ‘With Hornet, Gays Can Now Play Safe on Gay Mobile Social Networks’ (&lt;i&gt;PR Newswire&lt;/i&gt;, 20 January 2012) &lt;www.prnewswire.com/news-releases/with-hornet-gays-can-now-play-safe-on-gay-mobile-social-networks-137800183.html&gt; accessed 26 August 2019; Grindr LLC, ‘New to Grindr Profiles: HIV Status and Last Test Date Fields’ (9 November 2016) This could originally be found at &lt;www.grindr.com/blog/new-grindr-profiles-hiv-status-last-test-date/&gt; but which has now been removed. An archived version can be accessed at: &lt;web.archive.org/web/20161115044007/www.grindr.com/blog/new-grindr-profiles-hiv-status-last-test-date/&gt; accessed 26 August 2019."},"properties":{"noteIndex":12},"schema":"https://github.com/citation-style-language/schema/raw/master/csl-citation.json"}</w:instrText>
      </w:r>
      <w:r>
        <w:fldChar w:fldCharType="separate"/>
      </w:r>
      <w:r w:rsidRPr="004448D8">
        <w:rPr>
          <w:noProof/>
        </w:rPr>
        <w:t>For two notable examples, see, Hornet Networks, ‘With Hornet, Gays Can Now Play Safe on Gay Mobile Social Networks’ (</w:t>
      </w:r>
      <w:r w:rsidRPr="004448D8">
        <w:rPr>
          <w:i/>
          <w:noProof/>
        </w:rPr>
        <w:t>PR Newswire</w:t>
      </w:r>
      <w:r w:rsidRPr="004448D8">
        <w:rPr>
          <w:noProof/>
        </w:rPr>
        <w:t>, 20 January 2012) &lt;www.prnewswire.com/news-releases/with-hornet-gays-can-now-play-safe-on-gay-mobile-social-networks-137800183.html&gt; accessed 26 August 2019; Grindr LLC, ‘New to Grindr Profiles: HIV Status and Last Test Date Fields’ (9 November 2016) This could originally be found at &lt;www.grindr.com/blog/new-grindr-profiles-hiv-status-last-test-date/&gt; but which has now been removed. An archived version can be accessed at: &lt;web.archive.org/web/20161115044007/www.grindr.com/blog/new-grindr-profiles-hiv-status-last-test-date/&gt; accessed 26 August 2019.</w:t>
      </w:r>
      <w:r>
        <w:fldChar w:fldCharType="end"/>
      </w:r>
    </w:p>
  </w:footnote>
  <w:footnote w:id="14">
    <w:p w14:paraId="73C1768F" w14:textId="7A680C05"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URL":"https://www.vox.com/2018/4/2/17189078/grindr-hiv-status-data-sharing-privacy","accessed":{"date-parts":[["2019","8","26"]]},"author":[{"dropping-particle":"","family":"Belluz","given":"Julia","non-dropping-particle":"","parse-names":false,"suffix":""}],"container-title":"Vox","id":"ITEM-1","issued":{"date-parts":[["2018","4","3"]]},"title":"Grindr is revealing its users’ HIV status to third-party companies","type":"webpage"},"prefix":"See,","uris":["http://www.mendeley.com/documents/?uuid=c9bbdcd6-0ebf-42ea-87c8-ba5a304a3db0"]}],"mendeley":{"formattedCitation":"See, Julia Belluz, ‘Grindr Is Revealing Its Users’ HIV Status to Third-Party Companies’ (&lt;i&gt;Vox&lt;/i&gt;, 3 April 2018) &lt;https://www.vox.com/2018/4/2/17189078/grindr-hiv-status-data-sharing-privacy&gt; accessed 26 August 2019.","plainTextFormattedCitation":"See, Julia Belluz, ‘Grindr Is Revealing Its Users’ HIV Status to Third-Party Companies’ (Vox, 3 April 2018)  accessed 26 August 2019.","previouslyFormattedCitation":"See, Julia Belluz, ‘Grindr Is Revealing Its Users’ HIV Status to Third-Party Companies’ (&lt;i&gt;Vox&lt;/i&gt;, 3 April 2018) &lt;https://www.vox.com/2018/4/2/17189078/grindr-hiv-status-data-sharing-privacy&gt; accessed 26 August 2019."},"properties":{"noteIndex":13},"schema":"https://github.com/citation-style-language/schema/raw/master/csl-citation.json"}</w:instrText>
      </w:r>
      <w:r>
        <w:fldChar w:fldCharType="separate"/>
      </w:r>
      <w:r w:rsidRPr="004448D8">
        <w:rPr>
          <w:noProof/>
        </w:rPr>
        <w:t>See, Julia Belluz, ‘Grindr Is Revealing Its Users’ HIV Status to Third-Party Companies’ (</w:t>
      </w:r>
      <w:r w:rsidRPr="004448D8">
        <w:rPr>
          <w:i/>
          <w:noProof/>
        </w:rPr>
        <w:t>Vox</w:t>
      </w:r>
      <w:r w:rsidRPr="004448D8">
        <w:rPr>
          <w:noProof/>
        </w:rPr>
        <w:t>, 3 April 2018) &lt;https://www.vox.com/2018/4/2/17189078/grindr-hiv-status-data-sharing-privacy&gt; accessed 26 August 2019.</w:t>
      </w:r>
      <w:r>
        <w:fldChar w:fldCharType="end"/>
      </w:r>
    </w:p>
  </w:footnote>
  <w:footnote w:id="15">
    <w:p w14:paraId="5FEE4242" w14:textId="3FE2F703"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Access to the Internet has increased dramatically over the past decade as has its use for meeting sexual partners (e-dating), particularly among gay men. Between June 2002 and January 2004, 128 gay/ bisexual men living in London were interviewed one-to-one about their experience of e-dating, sexual risk and HIV prevention. The men were recruited both online (through the Internet) and offline (in clinics and the community); 32 men were HIV-positive, 59 HIV-negative, while 13 had never had an HIV test. A key finding was that both identity as well as anonymity are vital to e-dating. Through a process of online filtering and sero-sorting, HIV-positive men are able to meet other positive men for anal sex without condoms. While this does not present a risk of HIV transmission to an uninfected person it does have implications for the potential transmission of other STIs such as syphilis and LGV. Through e-dating, HIV-positive gay men can also avoid abuse, discrimination and sexual rejection. Our findings do not support the suggestion that the attraction of e-dating is that it affords absolute anonymity. We found that the gradual expression of identity is vital for e-dating among gay men. Internet-based HIV prevention campaigns need to take account of the different ways in which gay reflexively manage aspects of their identity online","author":[{"dropping-particle":"","family":"Davis","given":"Mark","non-dropping-particle":"","parse-names":false,"suffix":""},{"dropping-particle":"","family":"Hart","given":"Graham","non-dropping-particle":"","parse-names":false,"suffix":""},{"dropping-particle":"","family":"Bolding","given":"Graham","non-dropping-particle":"","parse-names":false,"suffix":""},{"dropping-particle":"","family":"Sherr","given":"Lorraine","non-dropping-particle":"","parse-names":false,"suffix":""},{"dropping-particle":"","family":"Elford","given":"Jonathan","non-dropping-particle":"","parse-names":false,"suffix":""}],"container-title":"Culture, Health &amp; Sexuality","id":"ITEM-1","issue":"82","issued":{"date-parts":[["2006"]]},"page":"2-8","title":"Sex and the Internet: Gay Men, Risk Reduction and Serostatus","type":"article-journal","volume":"8"},"prefix":"See, for instance,","uris":["http://www.mendeley.com/documents/?uuid=4b78a026-b281-342a-aee6-fb21642b8b14"]},{"id":"ITEM-2","itemData":{"DOI":"10.1080/00918369.2012.665704","ISBN":"0091-8369","ISSN":"00918369","PMID":"22500995","abstract":"To assess HIV disclosure discussions and related sexual behaviors among men who have sex with men (MSM) who meet sex partners online, 28 qualitative interviews with Seattle-area MSM were analyzed using grounded theory methods and themes and behavior patterns were identified. MSM found a greater ease in communicating and could prescreen partners through the Internet. However, no consistent relationship was found between HIV disclosure and subsequent behaviors: some were safer based on disclosure while perceived HIV status led others to risky behaviors. Interventions need to promote accurate disclosure while acknowledging its limitations and the need for men to self-protect.","author":[{"dropping-particle":"","family":"de Lore","given":"Jef","non-dropping-particle":"St.","parse-names":false,"suffix":""},{"dropping-particle":"","family":"Thiede","given":"Hanne","non-dropping-particle":"","parse-names":false,"suffix":""},{"dropping-particle":"","family":"Cheadle","given":"Allen","non-dropping-particle":"","parse-names":false,"suffix":""},{"dropping-particle":"","family":"Goldbaum","given":"Gary","non-dropping-particle":"","parse-names":false,"suffix":""},{"dropping-particle":"","family":"Carey","given":"James W","non-dropping-particle":"","parse-names":false,"suffix":""},{"dropping-particle":"","family":"Hutcheson","given":"Rebecca E","non-dropping-particle":"","parse-names":false,"suffix":""},{"dropping-particle":"","family":"Jenkins","given":"Richard A","non-dropping-particle":"","parse-names":false,"suffix":""},{"dropping-particle":"","family":"Golden","given":"Matthew R","non-dropping-particle":"","parse-names":false,"suffix":""}],"container-title":"Journal of Homosexuality","id":"ITEM-2","issue":"4","issued":{"date-parts":[["2012"]]},"page":"592-609","title":"HIV Disclosure and Subsequent Sexual Behaviors Among Men Who Have Sex with Men Who Meet Online","type":"article-journal","volume":"59"},"uris":["http://www.mendeley.com/documents/?uuid=ae7b54d1-987f-38fc-a53b-30dfe2728ca5"]}],"mendeley":{"formattedCitation":"See, for instance, Mark Davis and others, ‘Sex and the Internet: Gay Men, Risk Reduction and Serostatus’ (2006) 8 Culture, Health &amp; Sexuality 2; Jef St. de Lore and others, ‘HIV Disclosure and Subsequent Sexual Behaviors Among Men Who Have Sex with Men Who Meet Online’ (2012) 59 Journal of Homosexuality 592.","plainTextFormattedCitation":"See, for instance, Mark Davis and others, ‘Sex and the Internet: Gay Men, Risk Reduction and Serostatus’ (2006) 8 Culture, Health &amp; Sexuality 2; Jef St. de Lore and others, ‘HIV Disclosure and Subsequent Sexual Behaviors Among Men Who Have Sex with Men Who Meet Online’ (2012) 59 Journal of Homosexuality 592.","previouslyFormattedCitation":"See, for instance, Mark Davis and others, ‘Sex and the Internet: Gay Men, Risk Reduction and Serostatus’ (2006) 8 Culture, Health &amp; Sexuality 2; Jef St. de Lore and others, ‘HIV Disclosure and Subsequent Sexual Behaviors Among Men Who Have Sex with Men Who Meet Online’ (2012) 59 Journal of Homosexuality 592."},"properties":{"noteIndex":14},"schema":"https://github.com/citation-style-language/schema/raw/master/csl-citation.json"}</w:instrText>
      </w:r>
      <w:r>
        <w:fldChar w:fldCharType="separate"/>
      </w:r>
      <w:r w:rsidRPr="00DF35EA">
        <w:rPr>
          <w:noProof/>
        </w:rPr>
        <w:t>See, for instance, Mark Davis and others, ‘Sex and the Internet: Gay Men, Risk Reduction and Serostatus’ (2006) 8 Culture, Health &amp; Sexuality 2; Jef St. de Lore and others, ‘HIV Disclosure and Subsequent Sexual Behaviors Among Men Who Have Sex with Men Who Meet Online’ (2012) 59 Journal of Homosexuality 592.</w:t>
      </w:r>
      <w:r>
        <w:fldChar w:fldCharType="end"/>
      </w:r>
    </w:p>
  </w:footnote>
  <w:footnote w:id="16">
    <w:p w14:paraId="5270D6FC" w14:textId="3B0FCE24"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{"citationItems":[{"id":"ITEM-1","itemData":{"DOI":"10.1016/j.emospa.2010.01.003","ISSN":"17554586","abstract":"In the last decade, many aspects of gay social and sexual life have moved online. This article explores how the increasing use of the internet as a way of organizing gay sex is shaping sexual and risk subjectivities. It investigates how online cruising is mediating investments in, and tensions between, different HIV prevention ethics in Sydney, Australia - in particular, those that operationalise HIV status disclosure as a precursor to casual sex, and those that don't. One popular online cruising site, Manhunt.net, is the first socio-sexual context in Australia in which participants are routinely asked to indicate their HIV status for sexual purposes, as a design feature of participation. The article grapples with the implications of this development for socio-sexual community. Different sites install culturally specific HIV prevention ethics, which users negotiate in different ways. Online interfaces also generate particular 'affective climates' in the sense that they produce new experiences of connection and isolation and create new practical challenges around self-presentation for participants. Affective climates are technologically mediated, and are co-produced and shared by HIV-negative and HIV-positive individuals, among others. Some online formats may be contributing to a new state of 'seronormativity' in gay culture, in which the politics of the 'template' or the 'format' will become increasingly significant. Participants can also be seen to be engaging in reflexive processes around different styles of participation in this environment and their effects on others, suggesting educational possibilities. © 2010 Elsevier Ltd. All rights reserved.","author":[{"dropping-particle":"","family":"Race","given":"Kane","non-dropping-particle":"","parse-names":false,"suffix":""}],"container-title":"Emotion, Space and Society","id":"ITEM-1","issue":"1","issued":{"date-parts":[["2010"]]},"page":"7-14","title":"Click here for HIV status: Shifting templates of sexual negotiation","type":"article-journal","volume":"3"},"uris":["http://www.mendeley.com/documents/?uuid=e5e8ef51-c913-38f4-9734-dc6ec6235e48"]},{"id":"ITEM-2","itemData":{"DOI":"10.1177/0731121417709248","ISSN":"0731-1214","abstract":"This study draws from interviews with HIV-negative gay men to show how they are doing sexual responsibility online and how their actions uphold moralizing discourses around HIV. The analysis shows how gay men often engage in boundary work through stating their HIV status and “safe sex” practices on their online profile and through screening other people’s profiles for similar information. The gay men also avoid interactions with HIV-positive people, maintaining the stigmatization of HIV-positive people and constructing an HIV-positive serostatus as a status distinction. However, although the HIV-negative gay men are often invested in doing sexual responsibility, they eschew condom use with people they trust. This study then demonstrates the limitations and unintended consequences of discourses that often focus on risk and individual responsibility. These discourses ignore the relational and emotive components of sexual interactions, and hence fail to capture the complexities of people’s lives.","author":[{"dropping-particle":"","family":"Robinson","given":"Brandon Andrew","non-dropping-particle":"","parse-names":false,"suffix":""}],"container-title":"Sociological Perspectives","id":"ITEM-2","issue":"3","issued":{"date-parts":[["2018","6","17"]]},"page":"383-398","title":"Doing Sexual Responsibility: HIV, Risk Discourses, Trust, and Gay Men Interacting Online","type":"article-journal","volume":"61"},"uris":["http://www.mendeley.com/documents/?uuid=f73ef4ac-c75b-39ec-9e6c-e0a008d99e8a"]}],"mendeley":{"formattedCitation":"Kane Race, ‘Click Here for HIV Status: Shifting Templates of Sexual Negotiation’ (2010) 3 Emotion, Space and Society 7; Brandon Andrew Robinson, ‘Doing Sexual Responsibility: HIV, Risk Discourses, Trust, and Gay Men Interacting Online’ (2018) 61 Sociological Perspectives 383.","plainTextFormattedCitation":"Kane Race, ‘Click Here for HIV Status: Shifting Templates of Sexual Negotiation’ (2010) 3 Emotion, Space and Society 7; Brandon Andrew Robinson, ‘Doing Sexual Responsibility: HIV, Risk Discourses, Trust, and Gay Men Interacting Online’ (2018) 61 Sociological Perspectives 383.","previouslyFormattedCitation":"Kane Race, ‘Click Here for HIV Status: Shifting Templates of Sexual Negotiation’ (2010) 3 Emotion, Space and Society 7; Brandon Andrew Robinson, ‘Doing Sexual Responsibility: HIV, Risk Discourses, Trust, and Gay Men Interacting Online’ (2018) 61 Sociological Perspectives 383."},"properties":{"noteIndex":15},"schema":"https://github.com/citation-style-language/schema/raw/master/csl-citation.json"}</w:instrText>
      </w:r>
      <w:r>
        <w:fldChar w:fldCharType="separate"/>
      </w:r>
      <w:r w:rsidRPr="00DF35EA">
        <w:rPr>
          <w:noProof/>
        </w:rPr>
        <w:t>Kane Race, ‘Click Here for HIV Status: Shifting Templates of Sexual Negotiation’ (2010) 3 Emotion, Space and Society 7; Brandon Andrew Robinson, ‘Doing Sexual Responsibility: HIV, Risk Discourses, Trust, and Gay Men Interacting Online’ (2018) 61 Sociological Perspectives 383.</w:t>
      </w:r>
      <w:r>
        <w:fldChar w:fldCharType="end"/>
      </w:r>
    </w:p>
  </w:footnote>
  <w:footnote w:id="17">
    <w:p w14:paraId="4DF468CC" w14:textId="7B314BE1"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{"citationItems":[{"id":"ITEM-1","itemData":{"DOI":"10.1300/J082v49n02_01","ISBN":"00918369 (ISSN)","ISSN":"0091-8369","PMID":"16048891","abstract":"Online surveys are becoming increasingly popular for accessing less visible and decentralized populations, including bisexual, gay, lesbian and transgender (BGLT) populations. Advances in technology and convenience for the both the researcher and the participant have facilitated this trend. In this paper, we explore issues related to conducting BGLT survey research online, such as making decisions about survey formats, target populations and recruitment, compensation, access.","author":[{"dropping-particle":"","family":"Riggle","given":"Ellen D B","non-dropping-particle":"","parse-names":false,"suffix":""},{"dropping-particle":"","family":"Rostosky","given":"Sharon S","non-dropping-particle":"","parse-names":false,"suffix":""},{"dropping-particle":"","family":"Reedy","given":"C Stuart","non-dropping-particle":"","parse-names":false,"suffix":""}],"container-title":"Journal of Homosexuality","id":"ITEM-1","issue":"2","issued":{"date-parts":[["2005"]]},"page":"1-21","title":"Online surveys for BGLT research: issues and techniques.","type":"article-journal","volume":"49"},"uris":["http://www.mendeley.com/documents/?uuid=5ba0825d-4ac8-3c09-b54b-70ef9defa580"]},{"id":"ITEM-2","itemData":{"DOI":"10.1080/13600830903424734","ISSN":"13600834","abstract":"Both the act and the commission of the act of sex have been transformed by technology. This has in turn led to emerging research that seeks to consider online research methods and methodologies that take account of the new medium, with a number of studies examining specific groups and the behaviour of those groups from a socio-legal perspective. This paper will seek to consider the application of queer theory to researching so-called ‘virtual’ or online sex groups. It will examine how the virtual spaces, and the researchers who survey them, are constituted. The ethical and practical issues that emerge in surveying these groups from a queer theory perspective will also be explored.","author":[{"dropping-particle":"","family":"Ashford","given":"Chris","non-dropping-particle":"","parse-names":false,"suffix":""}],"container-title":"Information and Communications Technology Law","id":"ITEM-2","issue":"3","issued":{"date-parts":[["2009"]]},"page":"297-314","title":"Queer theory, cyber-ethnographies and researching online sex environments","type":"article-journal","volume":"18"},"uris":["http://www.mendeley.com/documents/?uuid=4f3932d3-0cd6-389b-acce-1093e95100f0"]},{"id":"ITEM-3","itemData":{"DOI":"10.1080/1369118X.2012.665935","ISSN":"1369118X","PMID":"16175805","abstract":"This paper makes three contributions: first, we suggest a clear, concise definition of Web 2.0, something that has eluded other authors, including the Tim OReilly the originator of the concept. Second, prior work has focused largely on the implications of Web 2.0 for producers of content, usually corporations or government agencies. This paper is one of the few analyses of Web 2.0 from the point of view of users. Third, we characterize the creative activity of Web 2.0 users. In addition to their active content production, they are unusually active users of the Internet for enter- tainment. In multivariate models predicting Web 2.0, the most consistently impor- tant variables are technical ability, comfort revealing personal data and, particularly, Web 2.0 confidence. These variables suggest that despite the apparent simplicity of FaceBook or of typing a book review on Amazon, ability remains very important in the eyes of users. For many, there appears to be something daunting about contributing to Web 2.0 activity and many potential users remain, rightly or wrongly, uncertain of their ability to make a contribution. We conclude that the study of Web 2.0 can tell us much about how the Internet is unique, and that it warrants a significant scholarly attention.","author":[{"dropping-particle":"","family":"Blank","given":"Grant","non-dropping-particle":"","parse-names":false,"suffix":""},{"dropping-particle":"","family":"Reisdorf","given":"Bianca C.","non-dropping-particle":"","parse-names":false,"suffix":""}],"container-title":"Information Communication and Society","id":"ITEM-3","issue":"4","issued":{"date-parts":[["2012"]]},"page":"537-554","title":"The Participatory Web: A user perspective on Web 2.0","type":"article-journal","volume":"15"},"uris":["http://www.mendeley.com/documents/?uuid=bebaa68d-16af-49da-ac07-2fb7072652e8"]}],"mendeley":{"formattedCitation":"Ellen DB Riggle, Sharon S Rostosky and C Stuart Reedy, ‘Online Surveys for BGLT Research: Issues and Techniques.’ (2005) 49 Journal of Homosexuality 1; Chris Ashford, ‘Queer Theory, Cyber-Ethnographies and Researching Online Sex Environments’ (2009) 18 Information and Communications Technology Law 297; Grant Blank and Bianca C Reisdorf, ‘The Participatory Web: A User Perspective on Web 2.0’ (2012) 15 Information Communication and Society 537.","plainTextFormattedCitation":"Ellen DB Riggle, Sharon S Rostosky and C Stuart Reedy, ‘Online Surveys for BGLT Research: Issues and Techniques.’ (2005) 49 Journal of Homosexuality 1; Chris Ashford, ‘Queer Theory, Cyber-Ethnographies and Researching Online Sex Environments’ (2009) 18 Information and Communications Technology Law 297; Grant Blank and Bianca C Reisdorf, ‘The Participatory Web: A User Perspective on Web 2.0’ (2012) 15 Information Communication and Society 537.","previouslyFormattedCitation":"Ellen DB Riggle, Sharon S Rostosky and C Stuart Reedy, ‘Online Surveys for BGLT Research: Issues and Techniques.’ (2005) 49 Journal of Homosexuality 1; Chris Ashford, ‘Queer Theory, Cyber-Ethnographies and Researching Online Sex Environments’ (2009) 18 Information and Communications Technology Law 297; Grant Blank and Bianca C Reisdorf, ‘The Participatory Web: A User Perspective on Web 2.0’ (2012) 15 Information Communication and Society 537."},"properties":{"noteIndex":16},"schema":"https://github.com/citation-style-language/schema/raw/master/csl-citation.json"}</w:instrText>
      </w:r>
      <w:r>
        <w:fldChar w:fldCharType="separate"/>
      </w:r>
      <w:r w:rsidRPr="00DF35EA">
        <w:rPr>
          <w:noProof/>
        </w:rPr>
        <w:t>Ellen DB Riggle, Sharon S Rostosky and C Stuart Reedy, ‘Online Surveys for BGLT Research: Issues and Techniques.’ (2005) 49 Journal of Homosexuality 1; Chris Ashford, ‘Queer Theory, Cyber-Ethnographies and Researching Online Sex Environments’ (2009) 18 Information and Communications Technology Law 297; Grant Blank and Bianca C Reisdorf, ‘The Participatory Web: A User Perspective on Web 2.0’ (2012) 15 Information Communication and Society 537.</w:t>
      </w:r>
      <w:r>
        <w:fldChar w:fldCharType="end"/>
      </w:r>
    </w:p>
  </w:footnote>
  <w:footnote w:id="18">
    <w:p w14:paraId="34653F7D" w14:textId="30074D2F"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{"citationItems":[{"id":"ITEM-1","itemData":{"DOI":"10.1089/1094931041291295","ISBN":"9781466603158","ISSN":"1094-9313","PMID":"15257832","abstract":"While online, some people self-disclose or act out more frequently or intensely than they would in person. This article explores six factors that interact with each other in creating this online disinhibition effect: dissociative anonymity, invisibility, asynchronicity, solipsistic introjection, dissociative imagination, and minimization of authority. Personality variables also will influence the extent of this disinhibition. Rather than thinking of disinhibition as the revealing of an underlying \"true self,\" we can conceptualize it as a shift to a constellation within self-structure, involving clusters of affect and cognition that differ from the in-person constellation.","author":[{"dropping-particle":"","family":"Suler","given":"John","non-dropping-particle":"","parse-names":false,"suffix":""}],"container-title":"CyberPsychology &amp; Behavior","id":"ITEM-1","issue":"3","issued":{"date-parts":[["2004","6"]]},"page":"321-326","title":"The Online Disinhibition Effect","type":"article-journal","volume":"7"},"prefix":"See,","uris":["http://www.mendeley.com/documents/?uuid=1bb24b04-8c7b-3ec4-b84b-db6083159d7c"]},{"id":"ITEM-2","itemData":{"author":[{"dropping-particle":"","family":"Snee","given":"Helene","non-dropping-particle":"","parse-names":false,"suffix":""},{"dropping-particle":"","family":"Hine","given":"Christine","non-dropping-particle":"","parse-names":false,"suffix":""},{"dropping-particle":"","family":"Morey","given":"Yvette","non-dropping-particle":"","parse-names":false,"suffix":""},{"dropping-particle":"","family":"Roberts","given":"Steven","non-dropping-particle":"","parse-names":false,"suffix":""},{"dropping-particle":"","family":"Watson","given":"Hayley","non-dropping-particle":"","parse-names":false,"suffix":""}],"container-title":"Digital methods for social science : an interdisciplinary guide to research innovation","editor":[{"dropping-particle":"","family":"Snee","given":"Helene","non-dropping-particle":"","parse-names":false,"suffix":""},{"dropping-particle":"","family":"Hine","given":"Christine","non-dropping-particle":"","parse-names":false,"suffix":""},{"dropping-particle":"","family":"Morey","given":"Yvette","non-dropping-particle":"","parse-names":false,"suffix":""},{"dropping-particle":"","family":"Roberts","given":"Steven","non-dropping-particle":"","parse-names":false,"suffix":""},{"dropping-particle":"","family":"Watson","given":"Hayley","non-dropping-particle":"","parse-names":false,"suffix":""}],"id":"ITEM-2","issued":{"date-parts":[["2016"]]},"publisher":"Palgrave Macmillan","publisher-place":"Basingstoke, Hampshire","title":"Digital Methods as Mainstream Methodology","type":"chapter"},"prefix":"and, more generally; ","uris":["http://www.mendeley.com/documents/?uuid=16eb70ae-6135-44e8-8d51-b92e121d80ab"]}],"mendeley":{"formattedCitation":"See, John Suler, ‘The Online Disinhibition Effect’ (2004) 7 CyberPsychology &amp; Behavior 321; and, more generally; Helene Snee and others, ‘Digital Methods as Mainstream Methodology’ in Helene Snee and others (eds), &lt;i&gt;Digital methods for social science : an interdisciplinary guide to research innovation&lt;/i&gt; (Palgrave Macmillan 2016).","plainTextFormattedCitation":"See, John Suler, ‘The Online Disinhibition Effect’ (2004) 7 CyberPsychology &amp; Behavior 321; and, more generally; Helene Snee and others, ‘Digital Methods as Mainstream Methodology’ in Helene Snee and others (eds), Digital methods for social science : an interdisciplinary guide to research innovation (Palgrave Macmillan 2016).","previouslyFormattedCitation":"See, John Suler, ‘The Online Disinhibition Effect’ (2004) 7 CyberPsychology &amp; Behavior 321; and, more generally; Helene Snee and others, ‘Digital Methods as Mainstream Methodology’ in Helene Snee and others (eds), &lt;i&gt;Digital methods for social science : an interdisciplinary guide to research innovation&lt;/i&gt; (Palgrave Macmillan 2016)."},"properties":{"noteIndex":17},"schema":"https://github.com/citation-style-language/schema/raw/master/csl-citation.json"}</w:instrText>
      </w:r>
      <w:r>
        <w:fldChar w:fldCharType="separate"/>
      </w:r>
      <w:r w:rsidRPr="00DF35EA">
        <w:rPr>
          <w:noProof/>
        </w:rPr>
        <w:t xml:space="preserve">See, John Suler, ‘The Online Disinhibition Effect’ (2004) 7 CyberPsychology &amp; Behavior 321; and, more generally; Helene Snee and others, ‘Digital Methods as Mainstream Methodology’ in Helene Snee and others (eds), </w:t>
      </w:r>
      <w:r w:rsidRPr="00DF35EA">
        <w:rPr>
          <w:i/>
          <w:noProof/>
        </w:rPr>
        <w:t>Digital methods for social science : an interdisciplinary guide to research innovation</w:t>
      </w:r>
      <w:r w:rsidRPr="00DF35EA">
        <w:rPr>
          <w:noProof/>
        </w:rPr>
        <w:t xml:space="preserve"> (Palgrave Macmillan 2016).</w:t>
      </w:r>
      <w:r>
        <w:fldChar w:fldCharType="end"/>
      </w:r>
    </w:p>
  </w:footnote>
  <w:footnote w:id="19">
    <w:p w14:paraId="2B416F09" w14:textId="1E9BFF6C" w:rsidR="003C4498" w:rsidRDefault="003C4498" w:rsidP="00A35D52">
      <w:pPr>
        <w:pStyle w:val="Footnotes"/>
      </w:pPr>
      <w:r w:rsidRPr="00F76894">
        <w:rPr>
          <w:rStyle w:val="FootnoteReference"/>
        </w:rPr>
        <w:footnoteRef/>
      </w:r>
      <w:r>
        <w:t xml:space="preserve"> Online research does have particular ethical challenges; however, it can also alleviate some of the challenges of offline research. Some areas where close attention may need to be paid include data protection and anonymity, due to the involvement of metadata, and attention should also be given to ensuring effective informed consent is obtained and spamming is avoided during recruitment. </w:t>
      </w:r>
      <w:r>
        <w:fldChar w:fldCharType="begin" w:fldLock="1"/>
      </w:r>
      <w:r>
        <w:instrText>ADDIN CSL_CITATION {"citationItems":[{"id":"ITEM-1","itemData":{"DOI":"10.1300/J082v49n02_01","ISBN":"00918369 (ISSN)","ISSN":"0091-8369","PMID":"16048891","abstract":"Online surveys are becoming increasingly popular for accessing less visible and decentralized populations, including bisexual, gay, lesbian and transgender (BGLT) populations. Advances in technology and convenience for the both the researcher and the participant have facilitated this trend. In this paper, we explore issues related to conducting BGLT survey research online, such as making decisions about survey formats, target populations and recruitment, compensation, access.","author":[{"dropping-particle":"","family":"Riggle","given":"Ellen D B","non-dropping-particle":"","parse-names":false,"suffix":""},{"dropping-particle":"","family":"Rostosky","given":"Sharon S","non-dropping-particle":"","parse-names":false,"suffix":""},{"dropping-particle":"","family":"Reedy","given":"C Stuart","non-dropping-particle":"","parse-names":false,"suffix":""}],"container-title":"Journal of Homosexuality","id":"ITEM-1","issue":"2","issued":{"date-parts":[["2005"]]},"page":"1-21","title":"Online surveys for BGLT research: issues and techniques.","type":"article-journal","volume":"49"},"prefix":"See, generally, ","uris":["http://www.mendeley.com/documents/?uuid=5ba0825d-4ac8-3c09-b54b-70ef9defa580"]},{"id":"ITEM-2","itemData":{"DOI":"10.1007/s11524-005-9008-3","ISBN":"1099-3460","ISSN":"10993460","PMID":"16736356","abstract":"Internet access has caused a global revolution in the way people of all ages and genders interact. Many have turned to the Internet to seek love, companionship, and sex, prompting researchers to move behavioral studies online. The sexual behavior of men who have sex with men (MSM) has been more closely studied than that of any other group online given the abundance of gay-oriented websites and concerns about increasing transmission of HIV and other sexually transmitted infections. Not only does the Internet provide a new medium for the conduct of behavioral research and for participant recruitment into an array of research studies, it has the as yet unrealized potential to reach huge numbers of MSM with innovative harm reduction and prevention messages tailored to individualized needs, interests, and risk behavior. Internet-based research on sexual behavior has many advantages in rapidity of recruitment of diverse samples which include individuals unreachable through conventional methods (i.e., non-gay identified and geographically and socially isolated MSM, etc.). Internet-based research also presents some new methodologic challenges in study design, participant recruitment, survey implementation, and interpretation of results. In addition, there are ethical issues unique to online research including difficulties in verifying informed consent, obstacles to surveying minors, and the ability to assure anonymity. This paper presents a review of Internet-based research on sexual behavior in MSM, a general discussion of the methodologic and ethical challenges of Internet-based research, and recommendations for future interdisciplinary research.","author":[{"dropping-particle":"","family":"Chiasson","given":"Mary Ann","non-dropping-particle":"","parse-names":false,"suffix":""},{"dropping-particle":"","family":"Parsons","given":"Jeffrey T","non-dropping-particle":"","parse-names":false,"suffix":""},{"dropping-particle":"","family":"Tesoriero","given":"James M","non-dropping-particle":"","parse-names":false,"suffix":""},{"dropping-particle":"","family":"Carballo-Dieguez","given":"Alex","non-dropping-particle":"","parse-names":false,"suffix":""},{"dropping-particle":"","family":"Hirshfield","given":"Sabina","non-dropping-particle":"","parse-names":false,"suffix":""},{"dropping-particle":"","family":"Remien","given":"Robert H","non-dropping-particle":"","parse-names":false,"suffix":""}],"container-title":"Journal of Urban Health","id":"ITEM-2","issue":"1","issued":{"date-parts":[["2006"]]},"page":"73-85","title":"HIV behavioral research online","type":"article-journal","volume":"83"},"uris":["http://www.mendeley.com/documents/?uuid=a61bfa3c-7970-3e19-8357-523d128ee6d4"]},{"id":"ITEM-3","itemData":{"DOI":"10.1177/0959353507076563","ISBN":"0959-3535","ISSN":"09593535","abstract":"In this article the authors describe and evaluate the process of conducting online survey research about the legal recognition of same-sex relationships (key findings from which the authors have reported elsewhere, see Harding and Peel, 2006). The authors' aim in so doing is to contribute to the growing generic literature on internet-based research methods (Nosek et al., 2002; Rhodes et al., 2003; Stern, 2003; Strickland et al., 2003; Thomas et al., 2000) to the research methods literature within lesbian, gay, bisexual, trans and queer (LGBTQ) psychologies (Fish, 2000; Morris and Rothblum, 1999; Meezan and Martin, 2003; Mustanski, 2001) and also to extend the germinal literature focusing on internet research with non-heterosexual groups (Elford et al., 2004; Ellis et al., 2003; Ross et al., 2000). The authors begin by discussing the process of developing the online survey tool, before outlining the experience of the survey 'going live' and providing details of who completed the survey. The authors conclude by exploring some of the positives and pitfalls of this type of research methodology. (PsycINFO Database Record (c) 2012 APA, all rights reserved)","author":[{"dropping-particle":"","family":"Harding","given":"Rosie","non-dropping-particle":"","parse-names":false,"suffix":""},{"dropping-particle":"","family":"Peel","given":"Elizabeth","non-dropping-particle":"","parse-names":false,"suffix":""}],"container-title":"Feminism and Psychology","id":"ITEM-3","issue":"2","issued":{"date-parts":[["2007"]]},"page":"277-285","title":"Surveying sexualities: Internet research with non-heterosexuals","type":"article-journal","volume":"17"},"uris":["http://www.mendeley.com/documents/?uuid=2f23b5ea-fcc7-3a73-86f8-7dc5041717a6"]},{"id":"ITEM-4","itemData":{"abstract":"General ethical principles for internet research","author":[{"dropping-particle":"","family":"Markham","given":"Annette","non-dropping-particle":"","parse-names":false,"suffix":""},{"dropping-particle":"","family":"Buchanan","given":"Elizabeth","non-dropping-particle":"","parse-names":false,"suffix":""}],"id":"ITEM-4","issued":{"date-parts":[["2012"]]},"number-of-pages":"1-19","publisher":"Association of Internet Researchers Working Committee","title":"Ethical Decision-Making and Internet Research","type":"report"},"uris":["http://www.mendeley.com/documents/?uuid=e9f60e7a-a49e-3e27-8054-eafbb360970c"]}],"mendeley":{"formattedCitation":"See, generally, Riggle, Rostosky and Reedy (n 16); Mary Ann Chiasson and others, ‘HIV Behavioral Research Online’ (2006) 83 Journal of Urban Health 73; Rosie Harding and Elizabeth Peel, ‘Surveying Sexualities: Internet Research with Non-Heterosexuals’ (2007) 17 Feminism and Psychology 277; Annette Markham and Elizabeth Buchanan, ‘Ethical Decision-Making and Internet Research’ (Association of Internet Researchers Working Committee 2012).","plainTextFormattedCitation":"See, generally, Riggle, Rostosky and Reedy (n 16); Mary Ann Chiasson and others, ‘HIV Behavioral Research Online’ (2006) 83 Journal of Urban Health 73; Rosie Harding and Elizabeth Peel, ‘Surveying Sexualities: Internet Research with Non-Heterosexuals’ (2007) 17 Feminism and Psychology 277; Annette Markham and Elizabeth Buchanan, ‘Ethical Decision-Making and Internet Research’ (Association of Internet Researchers Working Committee 2012).","previouslyFormattedCitation":"See, generally, Riggle, Rostosky and Reedy (n 16); Mary Ann Chiasson and others, ‘HIV Behavioral Research Online’ (2006) 83 Journal of Urban Health 73; Rosie Harding and Elizabeth Peel, ‘Surveying Sexualities: Internet Research with Non-Heterosexuals’ (2007) 17 Feminism and Psychology 277; Annette Markham and Elizabeth Buchanan, ‘Ethical Decision-Making and Internet Research’ (Association of Internet Researchers Working Committee 2012)."},"properties":{"noteIndex":18},"schema":"https://github.com/citation-style-language/schema/raw/master/csl-citation.json"}</w:instrText>
      </w:r>
      <w:r>
        <w:fldChar w:fldCharType="separate"/>
      </w:r>
      <w:r w:rsidRPr="00DF35EA">
        <w:rPr>
          <w:noProof/>
        </w:rPr>
        <w:t>See, generally, Riggle, Rostosky and Reedy (n 16); Mary Ann Chiasson and others, ‘HIV Behavioral Research Online’ (2006) 83 Journal of Urban Health 73; Rosie Harding and Elizabeth Peel, ‘Surveying Sexualities: Internet Research with Non-Heterosexuals’ (2007) 17 Feminism and Psychology 277; Annette Markham and Elizabeth Buchanan, ‘Ethical Decision-Making and Internet Research’ (Association of Internet Researchers Working Committee 2012).</w:t>
      </w:r>
      <w:r>
        <w:fldChar w:fldCharType="end"/>
      </w:r>
    </w:p>
  </w:footnote>
  <w:footnote w:id="20">
    <w:p w14:paraId="084D70D5" w14:textId="2D936F0D"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{"citationItems":[{"id":"ITEM-1","itemData":{"abstract":"Click on the links below to find answers to exercises in the text (see Student Resources tab for fuller details), extended versions of text boxes and tables used in the book, qualitative presentations, data and a host of other materials.","author":[{"dropping-particle":"","family":"Braun","given":"Virginia","non-dropping-particle":"","parse-names":false,"suffix":""},{"dropping-particle":"","family":"Clarke","given":"Victoria","non-dropping-particle":"","parse-names":false,"suffix":""}],"id":"ITEM-1","issued":{"date-parts":[["2013"]]},"publisher":"Sage","title":"Successful Qualitative Research","type":"book"},"locator":"142-147","prefix":"This shares some similarities with the story completion technique discussed in","uris":["http://www.mendeley.com/documents/?uuid=28898d1b-abaa-3975-9eaf-0f136ba13c86"]},{"id":"ITEM-2","itemData":{"DOI":"10.1080/14780887.2018.1536378","ISSN":"14780895","abstract":"What is story completion? How come I’ve never heard of it? Can it be useful for me as a qualitative researcher? A relatively unknown method for qualitative data collection, story completion has a long history of use in psychotherapy practice and (quantitative) developmental psychology research. We believe it has untapped, exciting potential as a qualitative technique in and beyond psychology, offering something quite different to many of the popular methods (e.g., interviews, focus groups). In this article, an introduction to an exciting Special Issue that discusses and demonstrates the potential of story completion, we provide a brief history of the development of story completion as a qualitative technique and an overview of design, sampling, and data analysis in story completion research. We finish by highlighting potential pitfalls of story completion, alongside a discussion of the possibilities it offers, and briefly introduce the empirical papers in the Special Issue.","author":[{"dropping-particle":"","family":"Clarke","given":"Victoria","non-dropping-particle":"","parse-names":false,"suffix":""},{"dropping-particle":"","family":"Braun","given":"Virginia","non-dropping-particle":"","parse-names":false,"suffix":""},{"dropping-particle":"","family":"Frith","given":"Hannah","non-dropping-particle":"","parse-names":false,"suffix":""},{"dropping-particle":"","family":"Moller","given":"Naomi","non-dropping-particle":"","parse-names":false,"suffix":""}],"container-title":"Qualitative Research in Psychology","id":"ITEM-2","issue":"1","issued":{"date-parts":[["2019"]]},"page":"1-20","title":"Editorial Introduction to the Special Issue: Using Story Completion Methods in Qualitative Research","type":"article-journal","volume":"16"},"prefix":" and the subsquent use of this approach outlined in, ","uris":["http://www.mendeley.com/documents/?uuid=64076d5e-cfd8-3ada-bfe6-cb9d05ae7ea0"]}],"mendeley":{"formattedCitation":"This shares some similarities with the story completion technique discussed in Virginia Braun and Victoria Clarke, &lt;i&gt;Successful Qualitative Research&lt;/i&gt; (Sage 2013) 142–147;  and the subsquent use of this approach outlined in, Victoria Clarke and others, ‘Editorial Introduction to the Special Issue: Using Story Completion Methods in Qualitative Research’ (2019) 16 Qualitative Research in Psychology 1.","plainTextFormattedCitation":"This shares some similarities with the story completion technique discussed in Virginia Braun and Victoria Clarke, Successful Qualitative Research (Sage 2013) 142–147;  and the subsquent use of this approach outlined in, Victoria Clarke and others, ‘Editorial Introduction to the Special Issue: Using Story Completion Methods in Qualitative Research’ (2019) 16 Qualitative Research in Psychology 1.","previouslyFormattedCitation":"This shares some similarities with the story completion technique discussed in Virginia Braun and Victoria Clarke, &lt;i&gt;Successful Qualitative Research&lt;/i&gt; (Sage 2013) 142–147;  and the subsquent use of this approach outlined in, Victoria Clarke and others, ‘Editorial Introduction to the Special Issue: Using Story Completion Methods in Qualitative Research’ (2019) 16 Qualitative Research in Psychology 1."},"properties":{"noteIndex":19},"schema":"https://github.com/citation-style-language/schema/raw/master/csl-citation.json"}</w:instrText>
      </w:r>
      <w:r>
        <w:fldChar w:fldCharType="separate"/>
      </w:r>
      <w:r w:rsidRPr="00040645">
        <w:rPr>
          <w:noProof/>
        </w:rPr>
        <w:t xml:space="preserve">This shares some similarities with the story completion technique discussed in Virginia Braun and Victoria Clarke, </w:t>
      </w:r>
      <w:r w:rsidRPr="00040645">
        <w:rPr>
          <w:i/>
          <w:noProof/>
        </w:rPr>
        <w:t>Successful Qualitative Research</w:t>
      </w:r>
      <w:r w:rsidRPr="00040645">
        <w:rPr>
          <w:noProof/>
        </w:rPr>
        <w:t xml:space="preserve"> (Sage 2013) 142–147;  and the subsquent use of this approach outlined in, Victoria Clarke and others, ‘Editorial Introduction to the Special Issue: Using Story Completion Methods in Qualitative Research’ (2019) 16 Qualitative Research in Psychology 1.</w:t>
      </w:r>
      <w:r>
        <w:fldChar w:fldCharType="end"/>
      </w:r>
    </w:p>
  </w:footnote>
  <w:footnote w:id="21">
    <w:p w14:paraId="1DEE5693" w14:textId="307826F2"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{"citationItems":[{"id":"ITEM-1","itemData":{"abstract":"Click on the links below to find answers to exercises in the text (see Student Resources tab for fuller details), extended versions of text boxes and tables used in the book, qualitative presentations, data and a host of other materials.","author":[{"dropping-particle":"","family":"Braun","given":"Virginia","non-dropping-particle":"","parse-names":false,"suffix":""},{"dropping-particle":"","family":"Clarke","given":"Victoria","non-dropping-particle":"","parse-names":false,"suffix":""}],"id":"ITEM-1","issued":{"date-parts":[["2013"]]},"publisher":"Sage","title":"Successful Qualitative Research","type":"book"},"locator":"144-145","uris":["http://www.mendeley.com/documents/?uuid=28898d1b-abaa-3975-9eaf-0f136ba13c86"]}],"mendeley":{"formattedCitation":"Braun and Clarke (n 19) 144–145.","plainTextFormattedCitation":"Braun and Clarke (n 19) 144–145.","previouslyFormattedCitation":"Braun and Clarke (n 19) 144–145."},"properties":{"noteIndex":20},"schema":"https://github.com/citation-style-language/schema/raw/master/csl-citation.json"}</w:instrText>
      </w:r>
      <w:r>
        <w:fldChar w:fldCharType="separate"/>
      </w:r>
      <w:r w:rsidRPr="00DF35EA">
        <w:rPr>
          <w:noProof/>
        </w:rPr>
        <w:t>Braun and Clarke (n 19) 144–145.</w:t>
      </w:r>
      <w:r>
        <w:fldChar w:fldCharType="end"/>
      </w:r>
    </w:p>
  </w:footnote>
  <w:footnote w:id="22">
    <w:p w14:paraId="5B7C0BE9" w14:textId="4396BBA6"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{"citationItems":[{"id":"ITEM-1","itemData":{"abstract":"Vignettes refer to stimuli, including text and images, which research participants are invited to respond. Drawing on a range of social science sources, this paper focuses on two substantive areas concerning the use of vignettes in research. Considered fi rst is the development and construction of vignettes. This section is concerned with internal reliability; research topics; participants; and interest, relevance, realism and timing. Considered second are vignette interpretations and responses, in particular open and closed questioning; vignette perspectives; and diffi culties with interpreting and responding to vignettes. Together these explorations contribute to the wider appreciation of vignette methodologies used within the social sciences. The paper concludes by outlining the limitations of using vignettes in social research. Asking questions and seeking answers Much of social research is concerned with the study of beliefs, attitudes, values and perceptions. These topics raise many challenges for the application of social research methodologies which aim to capture, as fully as possible, the reality of people's lives. Empirical research questions underpin the adoption of particular research methodologies. Answering these research questions is informed by the kinds of information required and how best this information can be obtained. Other factors also infl uence the research questions posed and the methodologies considered most appropriate to answering them. For example, the epistemological stance of researchers may determine the choice of particular research questions and subsequent research methodologies. There may be ethical issues arising from, for example, the study of certain topics or research conducted with particular participant groups that shape the way research questions are asked and, therefore, the answers obtained.","author":[{"dropping-particle":"","family":"Hughes","given":"Rhidian","non-dropping-particle":"","parse-names":false,"suffix":""},{"dropping-particle":"","family":"Huby","given":"Meg","non-dropping-particle":"","parse-names":false,"suffix":""}],"container-title":"Social Work &amp; Social Sciences Review","id":"ITEM-1","issue":"1","issued":{"date-parts":[["2004"]]},"page":"36-51","title":"The construction and interpretation of vignettes in social research","type":"article-journal","volume":"11"},"prefix":"See, generally,","uris":["http://www.mendeley.com/documents/?uuid=ccf838ed-40ee-39d8-85a0-896f311c6848"]},{"id":"ITEM-2","itemData":{"ISBN":"9780199689453","abstract":"Fifth edition. \"This best-selling introduction to research methods provides students and researchers with unrivalled coverage of both quantitative and qualitative methods, making it invaluable for anyone embarking on social research. Bridging the gap between theory and practice, Social Research Methods is packed full of engaging examples and practical tips to equip students with the tools and knowledge needed for them to complete their own research projects. In addition to providing practical advice, Bryman deftly explores the nature of social research and the wider issues impinging on it.\" -- Provided by publisher. The research process -- Quantitative research -- Qualitative research -- Mixed methods research and writing up.","author":[{"dropping-particle":"","family":"Bryman","given":"Alan.","non-dropping-particle":"","parse-names":false,"suffix":""}],"edition":"5th","id":"ITEM-2","issued":{"date-parts":[["2016"]]},"number-of-pages":"747","publisher":"Oxford University Press","publisher-place":"Oxford ; New York","title":"Social research methods","type":"book"},"locator":"259-260","uris":["http://www.mendeley.com/documents/?uuid=c8a041e4-cb63-3c0c-9da5-7e117fa984b9"]}],"mendeley":{"formattedCitation":"See, generally, Rhidian Hughes and Meg Huby, ‘The Construction and Interpretation of Vignettes in Social Research’ (2004) 11 Social Work &amp; Social Sciences Review 36; Alan Bryman, &lt;i&gt;Social Research Methods&lt;/i&gt; (5th edn, Oxford University Press 2016) 259–260.","plainTextFormattedCitation":"See, generally, Rhidian Hughes and Meg Huby, ‘The Construction and Interpretation of Vignettes in Social Research’ (2004) 11 Social Work &amp; Social Sciences Review 36; Alan Bryman, Social Research Methods (5th edn, Oxford University Press 2016) 259–260.","previouslyFormattedCitation":"See, generally, Rhidian Hughes and Meg Huby, ‘The Construction and Interpretation of Vignettes in Social Research’ (2004) 11 Social Work &amp; Social Sciences Review 36; Alan Bryman, &lt;i&gt;Social Research Methods&lt;/i&gt; (5th edn, Oxford University Press 2016) 259–260."},"properties":{"noteIndex":21},"schema":"https://github.com/citation-style-language/schema/raw/master/csl-citation.json"}</w:instrText>
      </w:r>
      <w:r>
        <w:fldChar w:fldCharType="separate"/>
      </w:r>
      <w:r w:rsidRPr="00EE5353">
        <w:rPr>
          <w:noProof/>
        </w:rPr>
        <w:t xml:space="preserve">See, generally, Rhidian Hughes and Meg Huby, ‘The Construction and Interpretation of Vignettes in Social Research’ (2004) 11 Social Work &amp; Social Sciences Review 36; Alan Bryman, </w:t>
      </w:r>
      <w:r w:rsidRPr="00EE5353">
        <w:rPr>
          <w:i/>
          <w:noProof/>
        </w:rPr>
        <w:t>Social Research Methods</w:t>
      </w:r>
      <w:r w:rsidRPr="00EE5353">
        <w:rPr>
          <w:noProof/>
        </w:rPr>
        <w:t xml:space="preserve"> (5th edn, Oxford University Press 2016) 259–260.</w:t>
      </w:r>
      <w:r>
        <w:fldChar w:fldCharType="end"/>
      </w:r>
    </w:p>
  </w:footnote>
  <w:footnote w:id="23">
    <w:p w14:paraId="40E1C090" w14:textId="53769C68"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{"citationItems":[{"id":"ITEM-1","itemData":{"DOI":"10.3171/jns.2000.93.1.0033","ISBN":"0033362X","ISSN":"00223085","PMID":"10883902","abstract":"Vignettes may be used for three main purposes in social research: to allow actions in context to be explored; to clarify people’s judgements; and to provide a less personal and therefore less threatening way of exploring sensitive topics. In qualitative research, vignettes enable participants to define the situation in their own terms. A number of guidelines on how to use vignettes effectively can be distilled from the literature and these are listed and explained in this Update.","author":[{"dropping-particle":"","family":"Barter","given":"Christine","non-dropping-particle":"","parse-names":false,"suffix":""},{"dropping-particle":"","family":"Renold","given":"Emma","non-dropping-particle":"","parse-names":false,"suffix":""}],"container-title":"Social Research Update","id":"ITEM-1","issue":"25","issued":{"date-parts":[["1999"]]},"title":"The Use of Vignettes in Qualitative Research","type":"article-journal"},"uris":["http://www.mendeley.com/documents/?uuid=b556e348-8996-3201-970c-ecd10ad321e2"]},{"id":"ITEM-2","itemData":{"DOI":"10.1177/2066220315617271","ISSN":"2066-2203","abstract":"Comparative research related to any aspect of the process of breach in either the pre-trial, sentencing or release phases is relatively rare. Comparative studies of decision making in the specific context of breach process are particularly lacking. One reason for the dearth of research in this area is the many challenges presented by comparative research across different jurisdictions. This article focuses on the development of a vignette methodology to explore the decision-making aspect of the breach process from a comparative perspective across a number of different European jurisdictions. The vignettes are designed to explore the decision-making aspects of two different types of breach process-the process of breach that follows on from a breach of conditions of early release from prison and the process that follows a breach of conditions attached to the completion of an unpaid work order. The article begins by contextualizing the","author":[{"dropping-particle":"","family":"Maguire","given":"Niamh","non-dropping-particle":"","parse-names":false,"suffix":""},{"dropping-particle":"","family":"Beyens","given":"Kristel","non-dropping-particle":"","parse-names":false,"suffix":""},{"dropping-particle":"","family":"Persson","given":"Anders","non-dropping-particle":"","parse-names":false,"suffix":""},{"dropping-particle":"","family":"Boone","given":"Miranda","non-dropping-particle":"","parse-names":false,"suffix":""},{"dropping-particle":"","family":"Laurinavicius","given":"Alfredas","non-dropping-particle":"","parse-names":false,"suffix":""}],"container-title":"European Journal of Probation","id":"ITEM-2","issue":"3","issued":{"date-parts":[["2015"]]},"page":"241-259","title":"Using vignette methodology to research the process of breach comparatively","type":"article-journal","volume":"7"},"locator":"245","uris":["http://www.mendeley.com/documents/?uuid=428d7e53-85b0-39cb-b75c-6c5ceca97c52"]}],"mendeley":{"formattedCitation":"Christine Barter and Emma Renold, ‘The Use of Vignettes in Qualitative Research’ [1999] Social Research Update; Niamh Maguire and others, ‘Using Vignette Methodology to Research the Process of Breach Comparatively’ (2015) 7 European Journal of Probation 241, 245.","plainTextFormattedCitation":"Christine Barter and Emma Renold, ‘The Use of Vignettes in Qualitative Research’ [1999] Social Research Update; Niamh Maguire and others, ‘Using Vignette Methodology to Research the Process of Breach Comparatively’ (2015) 7 European Journal of Probation 241, 245.","previouslyFormattedCitation":"Christine Barter and Emma Renold, ‘The Use of Vignettes in Qualitative Research’ [1999] Social Research Update; Niamh Maguire and others, ‘Using Vignette Methodology to Research the Process of Breach Comparatively’ (2015) 7 European Journal of Probation 241, 245."},"properties":{"noteIndex":22},"schema":"https://github.com/citation-style-language/schema/raw/master/csl-citation.json"}</w:instrText>
      </w:r>
      <w:r>
        <w:fldChar w:fldCharType="separate"/>
      </w:r>
      <w:r w:rsidRPr="00187493">
        <w:rPr>
          <w:noProof/>
        </w:rPr>
        <w:t>Christine Barter and Emma Renold, ‘The Use of Vignettes in Qualitative Research’ [1999] Social Research Update; Niamh Maguire and others, ‘Using Vignette Methodology to Research the Process of Breach Comparatively’ (2015) 7 European Journal of Probation 241, 245.</w:t>
      </w:r>
      <w:r>
        <w:fldChar w:fldCharType="end"/>
      </w:r>
    </w:p>
  </w:footnote>
  <w:footnote w:id="24">
    <w:p w14:paraId="2FA522C4" w14:textId="55B8D8BE"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{"citationItems":[{"id":"ITEM-1","itemData":{"DOI":"10.1177/1461444814542311","ISBN":"1461-4448","ISSN":"1461-4448","abstract":"Grindr is a popular location-based social networking application for smartphones, predominantly used by gay men. This study investigates why users leave Grindr. Drawing on interviews with 16 men who stopped using Grindr, this article reports on the varied definitions of leaving, focusing on what people report leaving, how they leave and what they say leaving means to them. We argue that leaving is not a singular moment, but a process involving layered social and technical acts – that understandings of and departures from location-based media are bound up with an individual’s location. Accounts of leaving Grindr destabilize normative definitions of both ‘Grindr’ and ‘leaving’, exposing a set of relational possibilities and spatial arrangements within and around which people move. We conclude with implications for the study of non-use and technological departure.","author":[{"dropping-particle":"","family":"Brubaker","given":"Jed R","non-dropping-particle":"","parse-names":false,"suffix":""},{"dropping-particle":"","family":"Ananny","given":"Mike","non-dropping-particle":"","parse-names":false,"suffix":""},{"dropping-particle":"","family":"Crawford","given":"Kate","non-dropping-particle":"","parse-names":false,"suffix":""}],"container-title":"New Media &amp; Society","id":"ITEM-1","issue":"3","issued":{"date-parts":[["2016"]]},"page":"373-390","title":"Departing glances: A sociotechnical account of ‘leaving’ Grindr","type":"article-journal","volume":"18"},"prefix":"What consitutes a current users may be more contested that first appearences might indicate. See, ","suffix":". In this project participants needed to have used a mobile dating application at least once in the past three years. This was done so as not to exclude those with infrequent usage habits whilst still maintaining general awareness of the issues being investigated","uris":["http://www.mendeley.com/documents/?uuid=51e33d70-5448-3070-af4a-2c64fce93581"]}],"mendeley":{"formattedCitation":"What consitutes a current users may be more contested that first appearences might indicate. See, Jed R Brubaker, Mike Ananny and Kate Crawford, ‘Departing Glances: A Sociotechnical Account of “Leaving” Grindr’ (2016) 18 New Media &amp; Society 373. In this project participants needed to have used a mobile dating application at least once in the past three years. This was done so as not to exclude those with infrequent usage habits whilst still maintaining general awareness of the issues being investigated.","plainTextFormattedCitation":"What consitutes a current users may be more contested that first appearences might indicate. See, Jed R Brubaker, Mike Ananny and Kate Crawford, ‘Departing Glances: A Sociotechnical Account of “Leaving” Grindr’ (2016) 18 New Media &amp; Society 373. In this project participants needed to have used a mobile dating application at least once in the past three years. This was done so as not to exclude those with infrequent usage habits whilst still maintaining general awareness of the issues being investigated.","previouslyFormattedCitation":"What consitutes a current users may be more contested that first appearences might indicate. See, Jed R Brubaker, Mike Ananny and Kate Crawford, ‘Departing Glances: A Sociotechnical Account of “Leaving” Grindr’ (2016) 18 New Media &amp; Society 373. In this project participants needed to have used a mobile dating application at least once in the past three years. This was done so as not to exclude those with infrequent usage habits whilst still maintaining general awareness of the issues being investigated."},"properties":{"noteIndex":23},"schema":"https://github.com/citation-style-language/schema/raw/master/csl-citation.json"}</w:instrText>
      </w:r>
      <w:r>
        <w:fldChar w:fldCharType="separate"/>
      </w:r>
      <w:r w:rsidRPr="00DF35EA">
        <w:rPr>
          <w:noProof/>
        </w:rPr>
        <w:t>What consitutes a current users may be more contested that first appearences might indicate. See, Jed R Brubaker, Mike Ananny and Kate Crawford, ‘Departing Glances: A Sociotechnical Account of “Leaving” Grindr’ (2016) 18 New Media &amp; Society 373. In this project participants needed to have used a mobile dating application at least once in the past three years. This was done so as not to exclude those with infrequent usage habits whilst still maintaining general awareness of the issues being investigated.</w:t>
      </w:r>
      <w:r>
        <w:fldChar w:fldCharType="end"/>
      </w:r>
    </w:p>
  </w:footnote>
  <w:footnote w:id="25">
    <w:p w14:paraId="7A19FE38" w14:textId="51F7E2D8"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{"citationItems":[{"id":"ITEM-1","itemData":{"DOI":"10.1177/2056305116672887","ISSN":"20563051","abstract":"This article draws on focus group interviews with same-sex attracted Australian men and women aged 18-29, to reflect on their accounts of the perceived risks and opportunities offered by hook-up apps such as Grindr, Blendr, and Hornet. Until recently, scholarly accounts of same-sex attracted men hooking up online have primarily focused on measuring the safety of sexual encounters in relation to HIV and “risky” sexual practices. This article extends previous health-related studies by considering the ways that the exchange of sexually explicit digital self-portraits (or selfies) feature within digital sexual negotiations and also exploring same-sex attracted women’s perceptions of safety and risk in relation to dating and hook-up apps and websites. It draws on recent scholarship on Grindr and other geo-locative hook-up apps to explore the material role that mobile phones and apps play in establishing a sense of safety, intimacy, and/or risk within flirtations and sexual interactions and the ways that young ...","author":[{"dropping-particle":"","family":"Albury","given":"Kath","non-dropping-particle":"","parse-names":false,"suffix":""},{"dropping-particle":"","family":"Byron","given":"Paul","non-dropping-particle":"","parse-names":false,"suffix":""}],"container-title":"Social Media and Society","id":"ITEM-1","issue":"4","issued":{"date-parts":[["2016"]]},"title":"Safe on My Phone? Same-Sex Attracted Young People’s Negotiations of Intimacy, Visibility, and Risk on Digital Hook-Up Apps","type":"article-journal","volume":"2"},"locator":"8","prefix":"Age requirements on applications typically restrict usage by those under 18, although the effectiveness of these measures is questionable. See, for instance, ","suffix":", particularly at, 8","uris":["http://www.mendeley.com/documents/?uuid=d4ef8e59-de45-3e4c-83f1-458fa5a5778b"]}],"mendeley":{"formattedCitation":"Age requirements on applications typically restrict usage by those under 18, although the effectiveness of these measures is questionable. See, for instance, Kath Albury and Paul Byron, ‘Safe on My Phone? Same-Sex Attracted Young People’s Negotiations of Intimacy, Visibility, and Risk on Digital Hook-Up Apps’ (2016) 2 Social Media and Society 8, particularly at, 8.","plainTextFormattedCitation":"Age requirements on applications typically restrict usage by those under 18, although the effectiveness of these measures is questionable. See, for instance, Kath Albury and Paul Byron, ‘Safe on My Phone? Same-Sex Attracted Young People’s Negotiations of Intimacy, Visibility, and Risk on Digital Hook-Up Apps’ (2016) 2 Social Media and Society 8, particularly at, 8.","previouslyFormattedCitation":"Age requirements on applications typically restrict usage by those under 18, although the effectiveness of these measures is questionable. See, for instance, Kath Albury and Paul Byron, ‘Safe on My Phone? Same-Sex Attracted Young People’s Negotiations of Intimacy, Visibility, and Risk on Digital Hook-Up Apps’ (2016) 2 Social Media and Society 8, particularly at, 8."},"properties":{"noteIndex":24},"schema":"https://github.com/citation-style-language/schema/raw/master/csl-citation.json"}</w:instrText>
      </w:r>
      <w:r>
        <w:fldChar w:fldCharType="separate"/>
      </w:r>
      <w:r w:rsidRPr="00DF35EA">
        <w:rPr>
          <w:noProof/>
        </w:rPr>
        <w:t>Age requirements on applications typically restrict usage by those under 18, although the effectiveness of these measures is questionable. See, for instance, Kath Albury and Paul Byron, ‘Safe on My Phone? Same-Sex Attracted Young People’s Negotiations of Intimacy, Visibility, and Risk on Digital Hook-Up Apps’ (2016) 2 Social Media and Society 8, particularly at, 8.</w:t>
      </w:r>
      <w:r>
        <w:fldChar w:fldCharType="end"/>
      </w:r>
    </w:p>
  </w:footnote>
  <w:footnote w:id="26">
    <w:p w14:paraId="2A7A876D" w14:textId="2D6C18FD"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{"citationItems":[{"id":"ITEM-1","itemData":{"DOI":"10.1111/1467-9566.12826","ISSN":"14679566","abstract":"The advancements of “treatment as prevention” (TasP), “undetectable viral load” (UVL) and “pre-exposure prophylaxis” (PrEP) are redeﬁning HIV prevention standards. Relying on the concept of biosociality, this article explores how gay men rally around, debate, and sometimes disagree about these emerging HIV prevention technologies. This article is based on data from the Resonance Project, a Canadian community-based research project. Twelve focus groups (totalling 86 gay and bisexual men) were held in three Canadian cities (Montreal, Toronto, Vancouver) in 2013–2014. Respondents view UVL and PrEP through the prism of their generational experience of HIV prevention. In this respect, biosocialities highlight an experiential dimension that is tied to the context of the HIV epidemic. The biosocialities of HIV prevention are also built around serological identities. However, our study shows the diversity of these positions. Analysis grounded in biosocialities is useful for better understanding how scientiﬁc information circulates, is made sense of, and generates debate among gay men.","author":[{"dropping-particle":"","family":"Girard","given":"Gabriel","non-dropping-particle":"","parse-names":false,"suffix":""},{"dropping-particle":"","family":"Patten","given":"San","non-dropping-particle":"","parse-names":false,"suffix":""},{"dropping-particle":"","family":"LeBlanc","given":"Marc André","non-dropping-particle":"","parse-names":false,"suffix":""},{"dropping-particle":"","family":"Adam","given":"Barry D","non-dropping-particle":"","parse-names":false,"suffix":""},{"dropping-particle":"","family":"Jackson","given":"Edward","non-dropping-particle":"","parse-names":false,"suffix":""}],"container-title":"Sociology of Health and Illness","id":"ITEM-1","issue":"3","issued":{"date-parts":[["2019"]]},"page":"484-501","title":"Is HIV prevention creating new biosocialities among gay men? Treatment as prevention and pre-exposure prophylaxis in Canada","type":"article-journal","volume":"41"},"uris":["http://www.mendeley.com/documents/?uuid=1c95e7af-181b-308a-8acc-bbdea76d1e71"]}],"mendeley":{"formattedCitation":"Gabriel Girard and others, ‘Is HIV Prevention Creating New Biosocialities among Gay Men? Treatment as Prevention and Pre-Exposure Prophylaxis in Canada’ (2019) 41 Sociology of Health and Illness 484.","plainTextFormattedCitation":"Gabriel Girard and others, ‘Is HIV Prevention Creating New Biosocialities among Gay Men? Treatment as Prevention and Pre-Exposure Prophylaxis in Canada’ (2019) 41 Sociology of Health and Illness 484.","previouslyFormattedCitation":"Gabriel Girard and others, ‘Is HIV Prevention Creating New Biosocialities among Gay Men? Treatment as Prevention and Pre-Exposure Prophylaxis in Canada’ (2019) 41 Sociology of Health and Illness 484."},"properties":{"noteIndex":25},"schema":"https://github.com/citation-style-language/schema/raw/master/csl-citation.json"}</w:instrText>
      </w:r>
      <w:r>
        <w:fldChar w:fldCharType="separate"/>
      </w:r>
      <w:r w:rsidRPr="0025383D">
        <w:rPr>
          <w:noProof/>
        </w:rPr>
        <w:t>Gabriel Girard and others, ‘Is HIV Prevention Creating New Biosocialities among Gay Men? Treatment as Prevention and Pre-Exposure Prophylaxis in Canada’ (2019) 41 Sociology of Health and Illness 484.</w:t>
      </w:r>
      <w:r>
        <w:fldChar w:fldCharType="end"/>
      </w:r>
    </w:p>
  </w:footnote>
  <w:footnote w:id="27">
    <w:p w14:paraId="708716D4" w14:textId="13CE9D34"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URL":"http://www.pewresearch.org/fact-tank/2016/02/29/5-facts-about-online-dating/","accessed":{"date-parts":[["2019","11","30"]]},"author":[{"dropping-particle":"","family":"Smith","given":"Arron","non-dropping-particle":"","parse-names":false,"suffix":""},{"dropping-particle":"","family":"Anderson","given":"Monica","non-dropping-particle":"","parse-names":false,"suffix":""}],"container-title":"Pew Research","id":"ITEM-1","issued":{"date-parts":[["2016","2","29"]]},"title":"5 facts about online dating","type":"webpage"},"prefix":"The age diversity of the participants in the project may be reflective of general trends in the uptake of online dating which remains most popular among younger age groups. However, it must be noted that there is insufficient research demonstrating that these trends apply to LGBT specific online dating to make firm conclusions. See, generally, ","uris":["http://www.mendeley.com/documents/?uuid=4625a542-5d61-35c6-937a-e72c9139effd"]}],"mendeley":{"formattedCitation":"The age diversity of the participants in the project may be reflective of general trends in the uptake of online dating which remains most popular among younger age groups. However, it must be noted that there is insufficient research demonstrating that these trends apply to LGBT specific online dating to make firm conclusions. See, generally, Arron Smith and Monica Anderson, ‘5 Facts about Online Dating’ (&lt;i&gt;Pew Research&lt;/i&gt;, 29 February 2016) &lt;http://www.pewresearch.org/fact-tank/2016/02/29/5-facts-about-online-dating/&gt; accessed 30 November 2019.","plainTextFormattedCitation":"The age diversity of the participants in the project may be reflective of general trends in the uptake of online dating which remains most popular among younger age groups. However, it must be noted that there is insufficient research demonstrating that these trends apply to LGBT specific online dating to make firm conclusions. See, generally, Arron Smith and Monica Anderson, ‘5 Facts about Online Dating’ (Pew Research, 29 February 2016)  accessed 30 November 2019.","previouslyFormattedCitation":"The age diversity of the participants in the project may be reflective of general trends in the uptake of online dating which remains most popular among younger age groups. However, it must be noted that there is insufficient research demonstrating that these trends apply to LGBT specific online dating to make firm conclusions. See, generally, Arron Smith and Monica Anderson, ‘5 Facts about Online Dating’ (&lt;i&gt;Pew Research&lt;/i&gt;, 29 February 2016) &lt;http://www.pewresearch.org/fact-tank/2016/02/29/5-facts-about-online-dating/&gt; accessed 30 November 2019."},"properties":{"noteIndex":26},"schema":"https://github.com/citation-style-language/schema/raw/master/csl-citation.json"}</w:instrText>
      </w:r>
      <w:r>
        <w:fldChar w:fldCharType="separate"/>
      </w:r>
      <w:r w:rsidRPr="004448D8">
        <w:rPr>
          <w:noProof/>
        </w:rPr>
        <w:t>The age diversity of the participants in the project may be reflective of general trends in the uptake of online dating which remains most popular among younger age groups. However, it must be noted that there is insufficient research demonstrating that these trends apply to LGBT specific online dating to make firm conclusions. See, generally, Arron Smith and Monica Anderson, ‘5 Facts about Online Dating’ (</w:t>
      </w:r>
      <w:r w:rsidRPr="004448D8">
        <w:rPr>
          <w:i/>
          <w:noProof/>
        </w:rPr>
        <w:t>Pew Research</w:t>
      </w:r>
      <w:r w:rsidRPr="004448D8">
        <w:rPr>
          <w:noProof/>
        </w:rPr>
        <w:t>, 29 February 2016) &lt;http://www.pewresearch.org/fact-tank/2016/02/29/5-facts-about-online-dating/&gt; accessed 30 November 2019.</w:t>
      </w:r>
      <w:r>
        <w:fldChar w:fldCharType="end"/>
      </w:r>
    </w:p>
  </w:footnote>
  <w:footnote w:id="28">
    <w:p w14:paraId="0FC7E3F3" w14:textId="709E7209" w:rsidR="003C4498" w:rsidRDefault="003C4498">
      <w:pPr>
        <w:pStyle w:val="FootnoteText"/>
      </w:pPr>
      <w:r>
        <w:rPr>
          <w:rStyle w:val="FootnoteReference"/>
        </w:rPr>
        <w:footnoteRef/>
      </w:r>
      <w:r>
        <w:t xml:space="preserve"> Often summarised in the phrase “Undetectable = </w:t>
      </w:r>
      <w:proofErr w:type="spellStart"/>
      <w:r>
        <w:t>Untransmittable</w:t>
      </w:r>
      <w:proofErr w:type="spellEnd"/>
      <w:r>
        <w:t>” or “U=U”.</w:t>
      </w:r>
    </w:p>
  </w:footnote>
  <w:footnote w:id="29">
    <w:p w14:paraId="7B52CF61" w14:textId="3454D299" w:rsidR="003C4498" w:rsidRDefault="003C4498" w:rsidP="003F1272">
      <w:pPr>
        <w:pStyle w:val="Footnotes"/>
      </w:pPr>
      <w:r w:rsidRPr="00F76894">
        <w:rPr>
          <w:rStyle w:val="FootnoteReference"/>
        </w:rPr>
        <w:footnoteRef/>
      </w:r>
      <w:r>
        <w:t xml:space="preserve"> Reported awareness was &gt;60% across all age brackets. 18% of participants (n=18) reported no prior awareness, with 7% (n=7) responding other. Some of the explanations provided with the latter response are discussed further below. </w:t>
      </w:r>
    </w:p>
  </w:footnote>
  <w:footnote w:id="30">
    <w:p w14:paraId="69E2B51D" w14:textId="2CD79442"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author":[{"dropping-particle":"","family":"Terry","given":"Gareth","non-dropping-particle":"","parse-names":false,"suffix":""},{"dropping-particle":"","family":"Braun","given":"Virginia","non-dropping-particle":"","parse-names":false,"suffix":""}],"container-title":"Collecting qualitative data : a practical guide to textual, media and virtual techniques","editor":[{"dropping-particle":"","family":"Virginia Braun","given":"","non-dropping-particle":"","parse-names":false,"suffix":""},{"dropping-particle":"","family":"Victoria Clarke","given":"","non-dropping-particle":"","parse-names":false,"suffix":""},{"dropping-particle":"","family":"Debra Grey","given":"","non-dropping-particle":"","parse-names":false,"suffix":""}],"id":"ITEM-1","issued":{"date-parts":[["2016"]]},"publisher":"Cambridge University Press","publisher-place":"Cambridge","title":"Short but Often Sweet","type":"chapter"},"uris":["http://www.mendeley.com/documents/?uuid=b134f145-ba61-3f56-b40c-ee18a6788052"]}],"mendeley":{"formattedCitation":"Gareth Terry and Virginia Braun, ‘Short but Often Sweet’ in Virginia Braun, Victoria Clarke and Debra Grey (eds), &lt;i&gt;Collecting qualitative data : a practical guide to textual, media and virtual techniques&lt;/i&gt; (Cambridge University Press 2016).","plainTextFormattedCitation":"Gareth Terry and Virginia Braun, ‘Short but Often Sweet’ in Virginia Braun, Victoria Clarke and Debra Grey (eds), Collecting qualitative data : a practical guide to textual, media and virtual techniques (Cambridge University Press 2016).","previouslyFormattedCitation":"Gareth Terry and Virginia Braun, ‘Short but Often Sweet’ in Virginia Braun, Victoria Clarke and Debra Grey (eds), &lt;i&gt;Collecting qualitative data : a practical guide to textual, media and virtual techniques&lt;/i&gt; (Cambridge University Press 2016)."},"properties":{"noteIndex":29},"schema":"https://github.com/citation-style-language/schema/raw/master/csl-citation.json"}</w:instrText>
      </w:r>
      <w:r>
        <w:fldChar w:fldCharType="separate"/>
      </w:r>
      <w:r w:rsidRPr="00CE112C">
        <w:rPr>
          <w:noProof/>
        </w:rPr>
        <w:t xml:space="preserve">Gareth Terry and Virginia Braun, ‘Short but Often Sweet’ in Virginia Braun, Victoria Clarke and Debra Grey (eds), </w:t>
      </w:r>
      <w:r w:rsidRPr="00CE112C">
        <w:rPr>
          <w:i/>
          <w:noProof/>
        </w:rPr>
        <w:t>Collecting qualitative data : a practical guide to textual, media and virtual techniques</w:t>
      </w:r>
      <w:r w:rsidRPr="00CE112C">
        <w:rPr>
          <w:noProof/>
        </w:rPr>
        <w:t xml:space="preserve"> (Cambridge University Press 2016).</w:t>
      </w:r>
      <w:r>
        <w:fldChar w:fldCharType="end"/>
      </w:r>
    </w:p>
  </w:footnote>
  <w:footnote w:id="31">
    <w:p w14:paraId="3284CBD7" w14:textId="02A32833"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Qualitative Research in Psychology 2006; 3: 77 Á/101 Thematic analysis is a poorly demarcated and rarely acknowledged, yet widely used qualitative analytic method (Boyatzis, 1998; Roulston, 2001) within and beyond psychology. In this paper, we aim to fill what we, as researchers and teachers in qualitative psychology, have experienced as a current gap Á/ the absence of a paper which adequately outlines the theory, ap-plication and evaluation of thematic ana-lysis, and one which does so in a way accessible to students and those not parti-cularly familiar with qualitative research.","author":[{"dropping-particle":"","family":"Braun","given":"Virgina","non-dropping-particle":"","parse-names":false,"suffix":""},{"dropping-particle":"","family":"Victoria","given":"Clarke","non-dropping-particle":"","parse-names":false,"suffix":""}],"container-title":"Qualitative Research in Psychology","id":"ITEM-1","issue":"2","issued":{"date-parts":[["2006"]]},"page":"77-101","title":"Using thematic analysis in psychology","type":"article-journal","volume":"3"},"uris":["http://www.mendeley.com/documents/?uuid=e391b590-9ff5-3867-aa78-6fdcd3a3d698"]},{"id":"ITEM-2","itemData":{"abstract":"Click on the links below to find answers to exercises in the text (see Student Resources tab for fuller details), extended versions of text boxes and tables used in the book, qualitative presentations, data and a host of other materials.","author":[{"dropping-particle":"","family":"Braun","given":"Virginia","non-dropping-particle":"","parse-names":false,"suffix":""},{"dropping-particle":"","family":"Clarke","given":"Victoria","non-dropping-particle":"","parse-names":false,"suffix":""}],"id":"ITEM-2","issued":{"date-parts":[["2013"]]},"publisher":"Sage","title":"Successful Qualitative Research","type":"book"},"uris":["http://www.mendeley.com/documents/?uuid=28898d1b-abaa-3975-9eaf-0f136ba13c86"]}],"mendeley":{"formattedCitation":"Virgina Braun and Clarke Victoria, ‘Using Thematic Analysis in Psychology’ (2006) 3 Qualitative Research in Psychology 77; Braun and Clarke (n 19).","plainTextFormattedCitation":"Virgina Braun and Clarke Victoria, ‘Using Thematic Analysis in Psychology’ (2006) 3 Qualitative Research in Psychology 77; Braun and Clarke (n 19).","previouslyFormattedCitation":"Virgina Braun and Clarke Victoria, ‘Using Thematic Analysis in Psychology’ (2006) 3 Qualitative Research in Psychology 77; Braun and Clarke (n 19)."},"properties":{"noteIndex":30},"schema":"https://github.com/citation-style-language/schema/raw/master/csl-citation.json"}</w:instrText>
      </w:r>
      <w:r>
        <w:fldChar w:fldCharType="separate"/>
      </w:r>
      <w:r w:rsidRPr="00DF35EA">
        <w:rPr>
          <w:noProof/>
        </w:rPr>
        <w:t>Virgina Braun and Clarke Victoria, ‘Using Thematic Analysis in Psychology’ (2006) 3 Qualitative Research in Psychology 77; Braun and Clarke (n 19).</w:t>
      </w:r>
      <w:r>
        <w:fldChar w:fldCharType="end"/>
      </w:r>
    </w:p>
  </w:footnote>
  <w:footnote w:id="32">
    <w:p w14:paraId="0585B23B" w14:textId="77777777" w:rsidR="003C4498" w:rsidRDefault="003C4498" w:rsidP="00A35D52">
      <w:pPr>
        <w:pStyle w:val="Footnotes"/>
      </w:pPr>
      <w:r w:rsidRPr="00F76894">
        <w:rPr>
          <w:rStyle w:val="FootnoteReference"/>
        </w:rPr>
        <w:footnoteRef/>
      </w:r>
      <w:r>
        <w:t xml:space="preserve"> Participant 401353-401344-41903701.</w:t>
      </w:r>
    </w:p>
  </w:footnote>
  <w:footnote w:id="33">
    <w:p w14:paraId="71783B7F" w14:textId="183CFD97" w:rsidR="003C4498" w:rsidRDefault="003C4498">
      <w:pPr>
        <w:pStyle w:val="FootnoteText"/>
      </w:pPr>
      <w:r>
        <w:rPr>
          <w:rStyle w:val="FootnoteReference"/>
        </w:rPr>
        <w:footnoteRef/>
      </w:r>
      <w:r>
        <w:t xml:space="preserve"> Participant 401353-401344-41901554</w:t>
      </w:r>
    </w:p>
  </w:footnote>
  <w:footnote w:id="34">
    <w:p w14:paraId="335703CC" w14:textId="1E9A0753" w:rsidR="003C4498" w:rsidRDefault="003C4498">
      <w:pPr>
        <w:pStyle w:val="FootnoteText"/>
      </w:pPr>
      <w:r>
        <w:rPr>
          <w:rStyle w:val="FootnoteReference"/>
        </w:rPr>
        <w:footnoteRef/>
      </w:r>
      <w:r>
        <w:t xml:space="preserve"> </w:t>
      </w:r>
      <w:r>
        <w:fldChar w:fldCharType="begin" w:fldLock="1"/>
      </w:r>
      <w:r>
        <w:instrText>ADDIN CSL_CITATION {"citationItems":[{"id":"ITEM-1","itemData":{"DOI":"10.1080/13698570902906421","ISSN":"13698575","abstract":"The many and varied sexual health promotion campaigns of recent years have sought to establish safe sex as the main protective mechanism for stemming the spread of sexually transmitted infections. However, the meaning of 'safe' sex remains unclear. Sexual health promotion literature almost entirely constructs safety through a biomedical lens: minimising the risk of bodily fluid exchange and establishing physical barriers between partners. However, this viewpoint may be insufficient when considering the emotionally charged arena of sexual behaviour which is, by its very nature, social. What meaning is ascribed to sexual safety and how is it made sense of or rationalised at the level of the individual? Twenty-two in-depth interviews were carried out with men who have sex with men, men who have sex with women, women who have sex with men, and women who have sex with women aged 18-30. These sought to gain an insight into their understanding of safe sex and their experiences of safe or unsafe sex. Interpretative Phenomenological Analysis was employed to help understand how these individuals made sense of safety. Analysis painted a picture of safe sex that is far more complex than the simple avoidance of infection. The typical biomedical safety rationale was frequently intertwined with lay rationales concerning 'emotional safety' or 'psychological safety'. When establishing a safe sexual relationship it was clearly evident that the risk of contracting a sexually transmitted infection was not always the primary concern and, for many individuals, feeling safe with their partner held far greater importance.","author":[{"dropping-particle":"","family":"Bourne","given":"Adam H.","non-dropping-particle":"","parse-names":false,"suffix":""},{"dropping-particle":"","family":"Robson","given":"Margaret A.","non-dropping-particle":"","parse-names":false,"suffix":""}],"container-title":"Health, Risk and Society","id":"ITEM-1","issue":"3","issued":{"date-parts":[["2009"]]},"page":"283-295","title":"Perceiving risk and (re)constructing safety: The lived experience of having 'safe' sex","type":"article-journal","volume":"11"},"uris":["http://www.mendeley.com/documents/?uuid=cad709cf-0052-3f1c-8a28-5a4a1bbd7e1c"]}],"mendeley":{"formattedCitation":"Adam H Bourne and Margaret A Robson, ‘Perceiving Risk and (Re)Constructing Safety: The Lived Experience of Having “safe” Sex’ (2009) 11 Health, Risk and Society 283.","plainTextFormattedCitation":"Adam H Bourne and Margaret A Robson, ‘Perceiving Risk and (Re)Constructing Safety: The Lived Experience of Having “safe” Sex’ (2009) 11 Health, Risk and Society 283.","previouslyFormattedCitation":"Adam H Bourne and Margaret A Robson, ‘Perceiving Risk and (Re)Constructing Safety: The Lived Experience of Having “safe” Sex’ (2009) 11 Health, Risk and Society 283."},"properties":{"noteIndex":33},"schema":"https://github.com/citation-style-language/schema/raw/master/csl-citation.json"}</w:instrText>
      </w:r>
      <w:r>
        <w:fldChar w:fldCharType="separate"/>
      </w:r>
      <w:r w:rsidRPr="00DF35EA">
        <w:rPr>
          <w:noProof/>
        </w:rPr>
        <w:t>Adam H Bourne and Margaret A Robson, ‘Perceiving Risk and (Re)Constructing Safety: The Lived Experience of Having “safe” Sex’ (2009) 11 Health, Risk and Society 283.</w:t>
      </w:r>
      <w:r>
        <w:fldChar w:fldCharType="end"/>
      </w:r>
    </w:p>
  </w:footnote>
  <w:footnote w:id="35">
    <w:p w14:paraId="7D077AAA" w14:textId="10C3A578"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{"citationItems":[{"id":"ITEM-1","itemData":{"DOI":"10.1111/1467-9566.12023","ISBN":"0141-9889","ISSN":"01419889","PMID":"23278343","abstract":"In the contemporary HIV epidemic, antiretroviral treatments are increasingly considered so effective at viral suppression that they render people with HIV sexually non-infectious. With its radical implications for global HIV prevention, this emerging paradigm is invested with the potential to turn the epidemic around and to normalise' one of the most feared infectious diseases in history, thus echoing wider trends of biomedicalisation'. What remains unexamined is whether this paradigm shift will bring about a parallel shift in the embodied experiences of being HIV-positive. This article explores the nascent trajectory from infectious to non-infectious corporeality against the backdrop of the discursive history of HIV, with particular focus on the landmark Swiss Consensus Statement, and in the context of research with heterosexuals with HIV in Australia. In-depth interviews revealed that HIV corporeality was not a stable, homogenised experience across participants and time, nor did it simply follow medical discourses. Instead, HIV corporeality emerged as a contingent set of tensions between conflicting discourses of infectiousness that were negotiated and made sense of within situated and embodied life histories. These findings pose challenges to the imperative of HIV normalisation and the related tendency in HIV prevention to universalise the notion of infectiousness'.","author":[{"dropping-particle":"","family":"Persson","given":"Asha","non-dropping-particle":"","parse-names":false,"suffix":""}],"container-title":"Sociology of Health and Illness","id":"ITEM-1","issue":"7","issued":{"date-parts":[["2013","9","1"]]},"note":"Reactive HIV test creating identities as well as confirming presense of the vrisu (disruptive?)\n\nHIV as spoiled identity per goffman. \n\nPLWHIV doubting the swiss statement because of incorporation of HIV into identity, &amp;quot;if youve got HIV&amp;quot;, &amp;quot;the reality is; Ive got HIV. And HIV can be transmitted by unprotected sex&amp;quot; [note this is not to judge these individuals, many are overly cautious for their own sake, not sharing cutelry for example].\n\nShifts in HIV corporality in some areas of life but not others.","page":"1065-1079","publisher":"Wiley/Blackwell (10.1111)","title":"Non/infectious corporealities: Tensions in the biomedical era of 'HIV normalisation'","type":"article-journal","volume":"35"},"prefix":"See,","uris":["http://www.mendeley.com/documents/?uuid=f71d7880-5dc5-3687-b6bc-19a5e47aadb3"]}],"mendeley":{"formattedCitation":"See, Asha Persson, ‘Non/Infectious Corporealities: Tensions in the Biomedical Era of “HIV Normalisation”’ (2013) 35 Sociology of Health and Illness 1065.","plainTextFormattedCitation":"See, Asha Persson, ‘Non/Infectious Corporealities: Tensions in the Biomedical Era of “HIV Normalisation”’ (2013) 35 Sociology of Health and Illness 1065.","previouslyFormattedCitation":"See, Asha Persson, ‘Non/Infectious Corporealities: Tensions in the Biomedical Era of “HIV Normalisation”’ (2013) 35 Sociology of Health and Illness 1065."},"properties":{"noteIndex":34},"schema":"https://github.com/citation-style-language/schema/raw/master/csl-citation.json"}</w:instrText>
      </w:r>
      <w:r>
        <w:fldChar w:fldCharType="separate"/>
      </w:r>
      <w:r w:rsidRPr="00DF35EA">
        <w:rPr>
          <w:noProof/>
        </w:rPr>
        <w:t>See, Asha Persson, ‘Non/Infectious Corporealities: Tensions in the Biomedical Era of “HIV Normalisation”’ (2013) 35 Sociology of Health and Illness 1065.</w:t>
      </w:r>
      <w:r>
        <w:fldChar w:fldCharType="end"/>
      </w:r>
    </w:p>
  </w:footnote>
  <w:footnote w:id="36">
    <w:p w14:paraId="6002905C" w14:textId="77777777" w:rsidR="003C4498" w:rsidRDefault="003C4498" w:rsidP="00EA210C">
      <w:pPr>
        <w:pStyle w:val="Footnotes"/>
      </w:pPr>
      <w:r w:rsidRPr="00F76894">
        <w:rPr>
          <w:rStyle w:val="FootnoteReference"/>
        </w:rPr>
        <w:footnoteRef/>
      </w:r>
      <w:r>
        <w:t xml:space="preserve"> Participant 401353-401344-41516378.</w:t>
      </w:r>
    </w:p>
  </w:footnote>
  <w:footnote w:id="37">
    <w:p w14:paraId="7513404C" w14:textId="77777777" w:rsidR="003C4498" w:rsidRDefault="003C4498" w:rsidP="00A35D52">
      <w:pPr>
        <w:pStyle w:val="Footnotes"/>
      </w:pPr>
      <w:r w:rsidRPr="00F76894">
        <w:rPr>
          <w:rStyle w:val="FootnoteReference"/>
        </w:rPr>
        <w:footnoteRef/>
      </w:r>
      <w:r>
        <w:t xml:space="preserve"> Participant 401353-401344-42837958. The participant’s reference to a ‘load’ in this context being a reference to ejaculate and indicating that the participant expects that the user of this profile engages in </w:t>
      </w:r>
      <w:proofErr w:type="spellStart"/>
      <w:r>
        <w:t>condomless</w:t>
      </w:r>
      <w:proofErr w:type="spellEnd"/>
      <w:r>
        <w:t xml:space="preserve"> sex. </w:t>
      </w:r>
    </w:p>
  </w:footnote>
  <w:footnote w:id="38">
    <w:p w14:paraId="60708462" w14:textId="2CD0D542" w:rsidR="003C4498" w:rsidRDefault="003C4498">
      <w:pPr>
        <w:pStyle w:val="FootnoteText"/>
      </w:pPr>
      <w:r>
        <w:rPr>
          <w:rStyle w:val="FootnoteReference"/>
        </w:rPr>
        <w:footnoteRef/>
      </w:r>
      <w:r>
        <w:t xml:space="preserve"> </w:t>
      </w:r>
      <w:r>
        <w:fldChar w:fldCharType="begin" w:fldLock="1"/>
      </w:r>
      <w:r>
        <w:instrText>ADDIN CSL_CITATION {"citationItems":[{"id":"ITEM-1","itemData":{"author":[{"dropping-particle":"","family":"Raj","given":"Senthorun","non-dropping-particle":"","parse-names":false,"suffix":""}],"container-title":"Northumbria University LGBT History Month Series","id":"ITEM-1","issued":{"date-parts":[["2019"]]},"note":"Alternate sites of intimacy. &amp;quot;Stranger sociality&amp;quot;\nPublic Spaces v Grindr Spaces - Impact on Discussion\nExclusion and non-belonging - Social Currency of Whiteness and the whiteness indexing of attraction. \nPermissability in certain spaces and not in others, contrasted with things said in public. \nShould knowledge of status be implied on these apps, because of potential context? [Well bring in Knozani, the general risk isnt sufficient, but perhaps in these spaces?]\n-Disconnect/facade of politeness in public.\n- Politics of belonging. \nWhat infomation do you need to know (before sex) and who is under an obligation to disclose it. \nConceptualisation of Childishness -&amp;gt; relationship maturation. (Perhaps linked to sex as play?) Notes pushback against people in relationships and violation of the norms of intimacy. \nUtilizing the platform as a way of engaging people with issues. \n- Perhaps linking this in methodologically to my own work, informing people of U=U and/or discrimitation/assumptions. \nApps (spaces) becoming conciously politically explicit. \nPolitics embedded into apps - link in Twinks for Trump (and potentially SU and LA elections here). - Discuss in qUCL paper bringing in the multiplicty of these spaces - accessability. \n\n[Filtered Encounter v Filtered World?]\n\nChris: &amp;quot;truer picture of identity?&amp;quot; Is behaviour on application actually how we are without the facade created by day to dat interactions. \n\nSen: Emotional Labour of Applications. Including jumping from stream to stream?","publisher-place":"Newcastle","title":"Grindring Justice","type":"paper-conference"},"uris":["http://www.mendeley.com/documents/?uuid=a462b55e-0c50-418b-b9d5-b81f0e2e9dd8"]}],"mendeley":{"formattedCitation":"Senthorun Raj, ‘Grindring Justice’, &lt;i&gt;Northumbria University LGBT History Month Series&lt;/i&gt; (2019).","plainTextFormattedCitation":"Senthorun Raj, ‘Grindring Justice’, Northumbria University LGBT History Month Series (2019).","previouslyFormattedCitation":"Senthorun Raj, ‘Grindring Justice’, &lt;i&gt;Northumbria University LGBT History Month Series&lt;/i&gt; (2019)."},"properties":{"noteIndex":37},"schema":"https://github.com/citation-style-language/schema/raw/master/csl-citation.json"}</w:instrText>
      </w:r>
      <w:r>
        <w:fldChar w:fldCharType="separate"/>
      </w:r>
      <w:r w:rsidRPr="00F76894">
        <w:rPr>
          <w:noProof/>
        </w:rPr>
        <w:t xml:space="preserve">Senthorun Raj, ‘Grindring Justice’, </w:t>
      </w:r>
      <w:r w:rsidRPr="00F76894">
        <w:rPr>
          <w:i/>
          <w:noProof/>
        </w:rPr>
        <w:t>Northumbria University LGBT History Month Series</w:t>
      </w:r>
      <w:r w:rsidRPr="00F76894">
        <w:rPr>
          <w:noProof/>
        </w:rPr>
        <w:t xml:space="preserve"> (2019).</w:t>
      </w:r>
      <w:r>
        <w:fldChar w:fldCharType="end"/>
      </w:r>
    </w:p>
  </w:footnote>
  <w:footnote w:id="39">
    <w:p w14:paraId="5271938D" w14:textId="67DEB233" w:rsidR="003C4498" w:rsidRDefault="003C4498">
      <w:pPr>
        <w:pStyle w:val="FootnoteText"/>
      </w:pPr>
      <w:r>
        <w:rPr>
          <w:rStyle w:val="FootnoteReference"/>
        </w:rPr>
        <w:footnoteRef/>
      </w:r>
      <w:r>
        <w:t xml:space="preserve"> </w:t>
      </w:r>
      <w:r>
        <w:fldChar w:fldCharType="begin" w:fldLock="1"/>
      </w:r>
      <w:r>
        <w:instrText>ADDIN CSL_CITATION {"citationItems":[{"id":"ITEM-1","itemData":{"DOI":"10.1201/9781315544328","ISBN":"9781134838769","abstract":"Since the onset of the HIV epidemic, the behaviour of men who have sex with men has been subject to intense scrutiny on the part of the behavioural and sociomedical sciences. What happens when we consider the work of these sciences to be not merely descriptive, but also constitutive of the realities it describes? The Gay Science pays attention to lived experiences of sex, drugs and the scientific practices that make these experiences intelligible. Through a series of empirically and historically detailed case studies, the book examines how new technologies and scientific artifacts - such as antiretroviral therapy, digital hookup apps and research methods - mediate sexual encounters and shape the worlds and self-practices of men who have sex with men. Rather than debunking scientific practices or minimizing their significance, The Gay Science approaches these practices as ways in which we 'learn to be affected' by HIV. It explores what knowledge practices best engage us, move us and increase our powers and capacities for action. The book includes an historical analysis of drug use as a significant element in the formation of urban gay cultures; constructivist accounts of the emergence of barebacking and chemsex; a performative response to Pre-Exposure Prophylaxis and its uptake; and, a speculative analysis of ways of thinking and doing sexual community in the digital context. Combining insights from queer theory, process philosophy and science and technology studies to develop an original approach to the analysis of sexuality, drug use, public health and digital practices, this book demonstrates the ontological consequences of different modes of attending to risk and pleasure. It is suitable for those interested in cultural studies, sociology, gender and sexuality studies, digital culture, public health and drug and alcohol studies. © 2018 Kane Race. All rights reserved.","author":[{"dropping-particle":"","family":"Race","given":"Kane","non-dropping-particle":"","parse-names":false,"suffix":""}],"container-title":"The Gay Science: Intimate Experiments with the Problem of HIV","id":"ITEM-1","issued":{"date-parts":[["2017"]]},"note":"Discusses the position that community has been &amp;quot;decimated&amp;quot; by the internet. Said to have &amp;quot;destroyed the authenticity of the sexual community&amp;quot; (151) and the proposition that &amp;quot;extracating people from their communal relations&amp;quot; &amp;quot;demolishing the prospect of collective identity or authentic community&amp;quot;. \n\n154 - &amp;quot;digital sex arramngements simply create mew ways of assembling [the diagonal lines of social fabric identified by Foucault 1997, p137-138].&amp;quot;\n\nFraming of Sex as Play\n\n156 - &amp;quot;controlled disclosure&amp;quot;. Testing the waters. \n&amp;quot;emphasising... that this capability relies of developing vernacular, digital literacies arround sex, drugs, and hiv prevention possibilities.&amp;quot;\n\nNotes picture collecting v malicious intent. Possible future piece out of this on revenge porn? \n\nSuggestion of screen capture to prove HIV disclosure (159).\n\nSuggests &amp;quot;in-group purification&amp;quot; developing stigmaitism practices. \n\n&amp;quot;Counterpublics are generally concieved... as rhizomatic structures consisting of relays among various forms of media circulation and embodied inhabitances of sexual space&amp;quot; (173). \n\n&amp;quot;the identities and subjectivities of counterpublics are emergent&amp;quot; (176)\n\nDistinction from social networking as dating apps offer &amp;quot;point-to-point communication&amp;quot; on SN friend lists &amp;quot;demarkate shared spheres&amp;quot;. \n\n&amp;quot;identity is always relational and emerges through interaction: there is no underlying authentic self&amp;quot; (180)\n\nRace discusses his hypotehtical app which 'glitches and misfires&amp;quot; to create chance encounters (180) \n\nConsider how this juxtaposes with hinge which goes completely the other way?","number-of-pages":"1-194","publisher":"Routledge","title":"The gay science: Intimate experiments with the problem of HIV","type":"book"},"locator":"53","uris":["http://www.mendeley.com/documents/?uuid=465fbfa0-57cd-32f7-97b2-1e6c97644424"]}],"mendeley":{"formattedCitation":"Kane Race, &lt;i&gt;The Gay Science: Intimate Experiments with the Problem of HIV&lt;/i&gt; (Routledge 2017) 53.","plainTextFormattedCitation":"Kane Race, The Gay Science: Intimate Experiments with the Problem of HIV (Routledge 2017) 53.","previouslyFormattedCitation":"Kane Race, &lt;i&gt;The Gay Science: Intimate Experiments with the Problem of HIV&lt;/i&gt; (Routledge 2017) 53."},"properties":{"noteIndex":38},"schema":"https://github.com/citation-style-language/schema/raw/master/csl-citation.json"}</w:instrText>
      </w:r>
      <w:r>
        <w:fldChar w:fldCharType="separate"/>
      </w:r>
      <w:r w:rsidRPr="00DF35EA">
        <w:rPr>
          <w:noProof/>
        </w:rPr>
        <w:t xml:space="preserve">Kane Race, </w:t>
      </w:r>
      <w:r w:rsidRPr="00DF35EA">
        <w:rPr>
          <w:i/>
          <w:noProof/>
        </w:rPr>
        <w:t>The Gay Science: Intimate Experiments with the Problem of HIV</w:t>
      </w:r>
      <w:r w:rsidRPr="00DF35EA">
        <w:rPr>
          <w:noProof/>
        </w:rPr>
        <w:t xml:space="preserve"> (Routledge 2017) 53.</w:t>
      </w:r>
      <w:r>
        <w:fldChar w:fldCharType="end"/>
      </w:r>
    </w:p>
  </w:footnote>
  <w:footnote w:id="40">
    <w:p w14:paraId="42793B46" w14:textId="4E7B4643" w:rsidR="003C4498" w:rsidRDefault="003C4498">
      <w:pPr>
        <w:pStyle w:val="FootnoteText"/>
      </w:pPr>
      <w:r>
        <w:rPr>
          <w:rStyle w:val="FootnoteReference"/>
        </w:rPr>
        <w:footnoteRef/>
      </w:r>
      <w:r>
        <w:t xml:space="preserve"> </w:t>
      </w:r>
      <w:r>
        <w:fldChar w:fldCharType="begin" w:fldLock="1"/>
      </w:r>
      <w:r>
        <w:instrText>ADDIN CSL_CITATION {"citationItems":[{"id":"ITEM-1","itemData":{"URL":"www.bbc.co.uk/news/technology-47668951","accessed":{"date-parts":[["2019","8","26"]]},"author":[{"dropping-particle":"","family":"Fox","given":"Chris","non-dropping-particle":"","parse-names":false,"suffix":""}],"container-title":"BBC News","id":"ITEM-1","issued":{"date-parts":[["2019","3","25"]]},"title":"10 years of Grindr: A rocky relationship","type":"webpage"},"uris":["http://www.mendeley.com/documents/?uuid=10a63ab2-4353-3665-b233-35f47b2b0bb7"]}],"mendeley":{"formattedCitation":"Chris Fox, ‘10 Years of Grindr: A Rocky Relationship’ (&lt;i&gt;BBC News&lt;/i&gt;, 25 March 2019) &lt;www.bbc.co.uk/news/technology-47668951&gt; accessed 26 August 2019.","plainTextFormattedCitation":"Chris Fox, ‘10 Years of Grindr: A Rocky Relationship’ (BBC News, 25 March 2019)  accessed 26 August 2019.","previouslyFormattedCitation":"Chris Fox, ‘10 Years of Grindr: A Rocky Relationship’ (&lt;i&gt;BBC News&lt;/i&gt;, 25 March 2019) &lt;www.bbc.co.uk/news/technology-47668951&gt; accessed 26 August 2019."},"properties":{"noteIndex":39},"schema":"https://github.com/citation-style-language/schema/raw/master/csl-citation.json"}</w:instrText>
      </w:r>
      <w:r>
        <w:fldChar w:fldCharType="separate"/>
      </w:r>
      <w:r w:rsidRPr="004448D8">
        <w:rPr>
          <w:noProof/>
        </w:rPr>
        <w:t>Chris Fox, ‘10 Years of Grindr: A Rocky Relationship’ (</w:t>
      </w:r>
      <w:r w:rsidRPr="004448D8">
        <w:rPr>
          <w:i/>
          <w:noProof/>
        </w:rPr>
        <w:t>BBC News</w:t>
      </w:r>
      <w:r w:rsidRPr="004448D8">
        <w:rPr>
          <w:noProof/>
        </w:rPr>
        <w:t>, 25 March 2019) &lt;www.bbc.co.uk/news/technology-47668951&gt; accessed 26 August 2019.</w:t>
      </w:r>
      <w:r>
        <w:fldChar w:fldCharType="end"/>
      </w:r>
    </w:p>
  </w:footnote>
  <w:footnote w:id="41">
    <w:p w14:paraId="218431A0" w14:textId="4E085345" w:rsidR="003C4498" w:rsidRDefault="003C4498" w:rsidP="00BA2963">
      <w:pPr>
        <w:pStyle w:val="FootnoteText"/>
      </w:pPr>
      <w:r>
        <w:rPr>
          <w:rStyle w:val="FootnoteReference"/>
        </w:rPr>
        <w:footnoteRef/>
      </w:r>
      <w:r>
        <w:t xml:space="preserve"> </w:t>
      </w:r>
      <w:r>
        <w:fldChar w:fldCharType="begin" w:fldLock="1"/>
      </w:r>
      <w:r>
        <w:instrText>ADDIN CSL_CITATION {"citationItems":[{"id":"ITEM-1","itemData":{"DOI":"10.1111/j.1467-9566.2006.00501.x","ISBN":"0141–9889","ISSN":"01419889","PMID":"16669808","abstract":"This paper addresses how London gay men use the internet to meet sexual partners, or for e-dating. Based on qualitative interviews conducted face-to-face or via the internet, this research develops an account of how information technologies mediate the negotiation of identity and risk in connection with sexual practice. E-dating itself is a bricolage, or heterogeneous DIY practice of internet-based-communication (IBC). A central aspect of IBC is \"filtering\" in and out prospective e-dates based on the images and texts used to depict sexual identities. Interpretations and depictions of personal HIV risk management approaches in IBC are framed by the meanings of different identities, such as the stigma associated with being HIV positive. This paper argues for a sexualities perspective in a theory of network society. Further, HIV prevention in e-dating can potentially be addressed by considering the interplay of the HIV prevention imperatives associated with different HIV serostatus identities. There is a case for encouraging more explicit IBC about risk in e-dating and incorporating the expertise of e-daters in prevention activity. There is also a need to rethink traditional conceptions of risk management in HIV prevention to make space for the risk management bricolage of network society.","author":[{"dropping-particle":"","family":"Davis","given":"Mark","non-dropping-particle":"","parse-names":false,"suffix":""},{"dropping-particle":"","family":"Hart","given":"Graham","non-dropping-particle":"","parse-names":false,"suffix":""},{"dropping-particle":"","family":"Bolding","given":"Graham","non-dropping-particle":"","parse-names":false,"suffix":""},{"dropping-particle":"","family":"Sherr","given":"Lorraine","non-dropping-particle":"","parse-names":false,"suffix":""},{"dropping-particle":"","family":"Elford","given":"Jonathan","non-dropping-particle":"","parse-names":false,"suffix":""}],"container-title":"Sociology of Health and Illness","id":"ITEM-1","issue":"4","issued":{"date-parts":[["2006","5","1"]]},"page":"457-478","publisher":"Blackwell Publishing Ltd","title":"E-dating, identity and HIV prevention: Theorising sexualities, risk and network society","type":"article-journal","volume":"28"},"locator":"457","uris":["http://www.mendeley.com/documents/?uuid=9f65dc74-0b1d-3e13-9ceb-e3f8b48f5d6b"]},{"id":"ITEM-2","itemData":{"DOI":"10.1016/j.emospa.2010.01.003","ISSN":"17554586","abstract":"In the last decade, many aspects of gay social and sexual life have moved online. This article explores how the increasing use of the internet as a way of organizing gay sex is shaping sexual and risk subjectivities. It investigates how online cruising is mediating investments in, and tensions between, different HIV prevention ethics in Sydney, Australia - in particular, those that operationalise HIV status disclosure as a precursor to casual sex, and those that don't. One popular online cruising site, Manhunt.net, is the first socio-sexual context in Australia in which participants are routinely asked to indicate their HIV status for sexual purposes, as a design feature of participation. The article grapples with the implications of this development for socio-sexual community. Different sites install culturally specific HIV prevention ethics, which users negotiate in different ways. Online interfaces also generate particular 'affective climates' in the sense that they produce new experiences of connection and isolation and create new practical challenges around self-presentation for participants. Affective climates are technologically mediated, and are co-produced and shared by HIV-negative and HIV-positive individuals, among others. Some online formats may be contributing to a new state of 'seronormativity' in gay culture, in which the politics of the 'template' or the 'format' will become increasingly significant. Participants can also be seen to be engaging in reflexive processes around different styles of participation in this environment and their effects on others, suggesting educational possibilities. © 2010 Elsevier Ltd. All rights reserved.","author":[{"dropping-particle":"","family":"Race","given":"Kane","non-dropping-particle":"","parse-names":false,"suffix":""}],"container-title":"Emotion, Space and Society","id":"ITEM-2","issue":"1","issued":{"date-parts":[["2010"]]},"page":"7-14","title":"Click here for HIV status: Shifting templates of sexual negotiation","type":"article-journal","volume":"3"},"locator":"10","prefix":"and, also, ","uris":["http://www.mendeley.com/documents/?uuid=e5e8ef51-c913-38f4-9734-dc6ec6235e48"]}],"mendeley":{"formattedCitation":"Mark Davis and others, ‘E-Dating, Identity and HIV Prevention: Theorising Sexualities, Risk and Network Society’ (2006) 28 Sociology of Health and Illness 457, 457; and, also, Race, ‘Click Here for HIV Status: Shifting Templates of Sexual Negotiation’ (n 15) 10.","plainTextFormattedCitation":"Mark Davis and others, ‘E-Dating, Identity and HIV Prevention: Theorising Sexualities, Risk and Network Society’ (2006) 28 Sociology of Health and Illness 457, 457; and, also, Race, ‘Click Here for HIV Status: Shifting Templates of Sexual Negotiation’ (n 15) 10.","previouslyFormattedCitation":"Mark Davis and others, ‘E-Dating, Identity and HIV Prevention: Theorising Sexualities, Risk and Network Society’ (2006) 28 Sociology of Health and Illness 457, 457; and, also, Race, ‘Click Here for HIV Status: Shifting Templates of Sexual Negotiation’ (n 15) 10."},"properties":{"noteIndex":40},"schema":"https://github.com/citation-style-language/schema/raw/master/csl-citation.json"}</w:instrText>
      </w:r>
      <w:r>
        <w:fldChar w:fldCharType="separate"/>
      </w:r>
      <w:r w:rsidRPr="00DD0F3C">
        <w:rPr>
          <w:noProof/>
        </w:rPr>
        <w:t>Mark Davis and others, ‘E-Dating, Identity and HIV Prevention: Theorising Sexualities, Risk and Network Society’ (2006) 28 Sociology of Health and Illness 457, 457; and, also, Race, ‘Click Here for HIV Status: Shifting Templates of Sexual Negotiation’ (n 15) 10.</w:t>
      </w:r>
      <w:r>
        <w:fldChar w:fldCharType="end"/>
      </w:r>
    </w:p>
  </w:footnote>
  <w:footnote w:id="42">
    <w:p w14:paraId="5C042C1D" w14:textId="0AAF513A" w:rsidR="003C4498" w:rsidRDefault="003C4498">
      <w:pPr>
        <w:pStyle w:val="FootnoteText"/>
      </w:pPr>
      <w:r w:rsidRPr="00F76894">
        <w:rPr>
          <w:rStyle w:val="FootnoteReference"/>
        </w:rPr>
        <w:footnoteRef/>
      </w:r>
      <w:r>
        <w:t xml:space="preserve"> Participant 401353-401344-41917008</w:t>
      </w:r>
    </w:p>
  </w:footnote>
  <w:footnote w:id="43">
    <w:p w14:paraId="7416C7A5" w14:textId="399CA6F3"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URL":"https://www.pinknews.co.uk/2016/07/11/is-grindr-about-to-introduce-a-hiv-filter/","accessed":{"date-parts":[["2019","12","5"]]},"author":[{"dropping-particle":"","family":"Rae","given":"Bobby","non-dropping-particle":"","parse-names":false,"suffix":""}],"container-title":"Pink News","id":"ITEM-1","issued":{"date-parts":[["2016","7","11"]]},"title":"Is Grindr about to introduce a HIV filter?","type":"webpage"},"prefix":"Although, such a feature does seem to have been, at the least, considered  by some application developers in the past. See, for example, ","uris":["http://www.mendeley.com/documents/?uuid=547736e9-7fff-3fef-b57f-2c1ef7428d28"]}],"mendeley":{"formattedCitation":"Although, such a feature does seem to have been, at the least, considered by some application developers in the past. See, for example, Bobby Rae, ‘Is Grindr about to Introduce a HIV Filter?’ (&lt;i&gt;Pink News&lt;/i&gt;, 11 July 2016) &lt;https://www.pinknews.co.uk/2016/07/11/is-grindr-about-to-introduce-a-hiv-filter/&gt; accessed 5 December 2019.","plainTextFormattedCitation":"Although, such a feature does seem to have been, at the least, considered by some application developers in the past. See, for example, Bobby Rae, ‘Is Grindr about to Introduce a HIV Filter?’ (Pink News, 11 July 2016)  accessed 5 December 2019.","previouslyFormattedCitation":"Although, such a feature does seem to have been, at the least, considered by some application developers in the past. See, for example, Bobby Rae, ‘Is Grindr about to Introduce a HIV Filter?’ (&lt;i&gt;Pink News&lt;/i&gt;, 11 July 2016) &lt;https://www.pinknews.co.uk/2016/07/11/is-grindr-about-to-introduce-a-hiv-filter/&gt; accessed 5 December 2019."},"properties":{"noteIndex":42},"schema":"https://github.com/citation-style-language/schema/raw/master/csl-citation.json"}</w:instrText>
      </w:r>
      <w:r>
        <w:fldChar w:fldCharType="separate"/>
      </w:r>
      <w:r w:rsidRPr="004448D8">
        <w:rPr>
          <w:noProof/>
        </w:rPr>
        <w:t>Although, such a feature does seem to have been, at the least, considered by some application developers in the past. See, for example, Bobby Rae, ‘Is Grindr about to Introduce a HIV Filter?’ (</w:t>
      </w:r>
      <w:r w:rsidRPr="004448D8">
        <w:rPr>
          <w:i/>
          <w:noProof/>
        </w:rPr>
        <w:t>Pink News</w:t>
      </w:r>
      <w:r w:rsidRPr="004448D8">
        <w:rPr>
          <w:noProof/>
        </w:rPr>
        <w:t>, 11 July 2016) &lt;https://www.pinknews.co.uk/2016/07/11/is-grindr-about-to-introduce-a-hiv-filter/&gt; accessed 5 December 2019.</w:t>
      </w:r>
      <w:r>
        <w:fldChar w:fldCharType="end"/>
      </w:r>
    </w:p>
  </w:footnote>
  <w:footnote w:id="44">
    <w:p w14:paraId="38739261" w14:textId="4799D356"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{"citationItems":[{"id":"ITEM-1","itemData":{"DOI":"10.1177/1363460716665783","ISBN":"1363-4607","ISSN":"1363-4607","abstract":"This article draws on data from a digital ethnography to identify a key paradox of Grindr, a gay hookup app. Despite the potential the app offers to invigorate public sex culture by circumventing increased policing of public spaces, users overwhelmingly use the app to arrange for sex to take place in the privacy of a home. Contemporary respectability politics in LGBTQ communities structures Grindr users' reputation management prac-tices as well as their perceptions of the purpose and potential uses of the technology. The porous public/private boundaries of the app allow users to navigate the stigma associated with promiscuity. ''Respectable promiscuity'' captures the negotiations indi-viduals engage in as they enact stigmatized sexual practices, manage sexual reputations, and give meaning to their sexual practices within a specific socio-political context.","author":[{"dropping-particle":"","family":"Ahlm","given":"Jody","non-dropping-particle":"","parse-names":false,"suffix":""}],"container-title":"Sexualities","id":"ITEM-1","issue":"3","issued":{"date-parts":[["2017"]]},"page":"364-379","title":"Respectable promiscuity: Digital cruising in an era of queer liberalism","type":"article-journal","volume":"20"},"suffix":", in particular, 368","uris":["http://www.mendeley.com/documents/?uuid=7ddfc527-a5a2-3937-ad4d-66a59831e15f"]}],"mendeley":{"formattedCitation":"Jody Ahlm, ‘Respectable Promiscuity: Digital Cruising in an Era of Queer Liberalism’ (2017) 20 Sexualities 364, in particular, 368.","plainTextFormattedCitation":"Jody Ahlm, ‘Respectable Promiscuity: Digital Cruising in an Era of Queer Liberalism’ (2017) 20 Sexualities 364, in particular, 368.","previouslyFormattedCitation":"Jody Ahlm, ‘Respectable Promiscuity: Digital Cruising in an Era of Queer Liberalism’ (2017) 20 Sexualities 364, in particular, 368."},"properties":{"noteIndex":43},"schema":"https://github.com/citation-style-language/schema/raw/master/csl-citation.json"}</w:instrText>
      </w:r>
      <w:r>
        <w:fldChar w:fldCharType="separate"/>
      </w:r>
      <w:r w:rsidRPr="00DF35EA">
        <w:rPr>
          <w:noProof/>
        </w:rPr>
        <w:t>Jody Ahlm, ‘Respectable Promiscuity: Digital Cruising in an Era of Queer Liberalism’ (2017) 20 Sexualities 364, in particular, 368.</w:t>
      </w:r>
      <w:r>
        <w:fldChar w:fldCharType="end"/>
      </w:r>
    </w:p>
  </w:footnote>
  <w:footnote w:id="45">
    <w:p w14:paraId="070C6965" w14:textId="0809D2D6"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{"citationItems":[{"id":"ITEM-1","itemData":{"DOI":"10.1016/j.emospa.2010.01.003","ISSN":"17554586","abstract":"In the last decade, many aspects of gay social and sexual life have moved online. This article explores how the increasing use of the internet as a way of organizing gay sex is shaping sexual and risk subjectivities. It investigates how online cruising is mediating investments in, and tensions between, different HIV prevention ethics in Sydney, Australia - in particular, those that operationalise HIV status disclosure as a precursor to casual sex, and those that don't. One popular online cruising site, Manhunt.net, is the first socio-sexual context in Australia in which participants are routinely asked to indicate their HIV status for sexual purposes, as a design feature of participation. The article grapples with the implications of this development for socio-sexual community. Different sites install culturally specific HIV prevention ethics, which users negotiate in different ways. Online interfaces also generate particular 'affective climates' in the sense that they produce new experiences of connection and isolation and create new practical challenges around self-presentation for participants. Affective climates are technologically mediated, and are co-produced and shared by HIV-negative and HIV-positive individuals, among others. Some online formats may be contributing to a new state of 'seronormativity' in gay culture, in which the politics of the 'template' or the 'format' will become increasingly significant. Participants can also be seen to be engaging in reflexive processes around different styles of participation in this environment and their effects on others, suggesting educational possibilities. © 2010 Elsevier Ltd. All rights reserved.","author":[{"dropping-particle":"","family":"Race","given":"Kane","non-dropping-particle":"","parse-names":false,"suffix":""}],"container-title":"Emotion, Space and Society","id":"ITEM-1","issue":"1","issued":{"date-parts":[["2010"]]},"page":"7-14","title":"Click here for HIV status: Shifting templates of sexual negotiation","type":"article-journal","volume":"3"},"prefix":"See, ","uris":["http://www.mendeley.com/documents/?uuid=e5e8ef51-c913-38f4-9734-dc6ec6235e48"]},{"id":"ITEM-2","itemData":{"DOI":"10.1177/0731121417709248","ISSN":"0731-1214","abstract":"This study draws from interviews with HIV-negative gay men to show how they are doing sexual responsibility online and how their actions uphold moralizing discourses around HIV. The analysis shows how gay men often engage in boundary work through stating their HIV status and “safe sex” practices on their online profile and through screening other people’s profiles for similar information. The gay men also avoid interactions with HIV-positive people, maintaining the stigmatization of HIV-positive people and constructing an HIV-positive serostatus as a status distinction. However, although the HIV-negative gay men are often invested in doing sexual responsibility, they eschew condom use with people they trust. This study then demonstrates the limitations and unintended consequences of discourses that often focus on risk and individual responsibility. These discourses ignore the relational and emotive components of sexual interactions, and hence fail to capture the complexities of people’s lives.","author":[{"dropping-particle":"","family":"Robinson","given":"Brandon Andrew","non-dropping-particle":"","parse-names":false,"suffix":""}],"container-title":"Sociological Perspectives","id":"ITEM-2","issue":"3","issued":{"date-parts":[["2018","6","17"]]},"page":"383-398","title":"Doing Sexual Responsibility: HIV, Risk Discourses, Trust, and Gay Men Interacting Online","type":"article-journal","volume":"61"},"uris":["http://www.mendeley.com/documents/?uuid=f73ef4ac-c75b-39ec-9e6c-e0a008d99e8a"]}],"mendeley":{"formattedCitation":"See, Race, ‘Click Here for HIV Status: Shifting Templates of Sexual Negotiation’ (n 15); Robinson (n 15).","plainTextFormattedCitation":"See, Race, ‘Click Here for HIV Status: Shifting Templates of Sexual Negotiation’ (n 15); Robinson (n 15).","previouslyFormattedCitation":"See, Race, ‘Click Here for HIV Status: Shifting Templates of Sexual Negotiation’ (n 15); Robinson (n 15)."},"properties":{"noteIndex":44},"schema":"https://github.com/citation-style-language/schema/raw/master/csl-citation.json"}</w:instrText>
      </w:r>
      <w:r>
        <w:fldChar w:fldCharType="separate"/>
      </w:r>
      <w:r w:rsidRPr="00DF35EA">
        <w:rPr>
          <w:noProof/>
        </w:rPr>
        <w:t>See, Race, ‘Click Here for HIV Status: Shifting Templates of Sexual Negotiation’ (n 15); Robinson (n 15).</w:t>
      </w:r>
      <w:r>
        <w:fldChar w:fldCharType="end"/>
      </w:r>
    </w:p>
  </w:footnote>
  <w:footnote w:id="46">
    <w:p w14:paraId="1F3FB149" w14:textId="3F404C8C" w:rsidR="003C4498" w:rsidRDefault="003C4498">
      <w:pPr>
        <w:pStyle w:val="FootnoteText"/>
      </w:pPr>
      <w:r w:rsidRPr="00F76894">
        <w:rPr>
          <w:rStyle w:val="FootnoteReference"/>
        </w:rPr>
        <w:footnoteRef/>
      </w:r>
      <w:r>
        <w:t xml:space="preserve"> Although it should also be noted that many dating websites have also developed mobile versions, which might be viewed as distinct in their own regards. </w:t>
      </w:r>
    </w:p>
  </w:footnote>
  <w:footnote w:id="47">
    <w:p w14:paraId="709EFC58" w14:textId="77777777" w:rsidR="003C4498" w:rsidRDefault="003C4498" w:rsidP="00A35D52">
      <w:pPr>
        <w:pStyle w:val="Footnotes"/>
      </w:pPr>
      <w:r w:rsidRPr="00F76894">
        <w:rPr>
          <w:rStyle w:val="FootnoteReference"/>
        </w:rPr>
        <w:footnoteRef/>
      </w:r>
      <w:r>
        <w:t xml:space="preserve"> Participant 401353-401344-42326141.</w:t>
      </w:r>
    </w:p>
  </w:footnote>
  <w:footnote w:id="48">
    <w:p w14:paraId="1E43AACA" w14:textId="77777777" w:rsidR="003C4498" w:rsidRDefault="003C4498" w:rsidP="00A35D52">
      <w:pPr>
        <w:pStyle w:val="Footnotes"/>
      </w:pPr>
      <w:r w:rsidRPr="00F76894">
        <w:rPr>
          <w:rStyle w:val="FootnoteReference"/>
        </w:rPr>
        <w:footnoteRef/>
      </w:r>
      <w:r>
        <w:t xml:space="preserve"> Participant 401353-401344-43543939.</w:t>
      </w:r>
    </w:p>
  </w:footnote>
  <w:footnote w:id="49">
    <w:p w14:paraId="463AB8C8" w14:textId="3CB0EABD" w:rsidR="003C4498" w:rsidRDefault="003C4498">
      <w:pPr>
        <w:pStyle w:val="FootnoteText"/>
      </w:pPr>
      <w:r w:rsidRPr="00F76894">
        <w:rPr>
          <w:rStyle w:val="FootnoteReference"/>
        </w:rPr>
        <w:footnoteRef/>
      </w:r>
      <w:r>
        <w:t xml:space="preserve"> Participant 401353-401344-41613134.</w:t>
      </w:r>
    </w:p>
  </w:footnote>
  <w:footnote w:id="50">
    <w:p w14:paraId="71E4034E" w14:textId="77777777" w:rsidR="003C4498" w:rsidRDefault="003C4498" w:rsidP="00A35D52">
      <w:pPr>
        <w:pStyle w:val="Footnotes"/>
      </w:pPr>
      <w:r w:rsidRPr="00F76894">
        <w:rPr>
          <w:rStyle w:val="FootnoteReference"/>
        </w:rPr>
        <w:footnoteRef/>
      </w:r>
      <w:r>
        <w:t xml:space="preserve"> Participant 401353-401344-42414609.</w:t>
      </w:r>
    </w:p>
  </w:footnote>
  <w:footnote w:id="51">
    <w:p w14:paraId="4EB75295" w14:textId="2C282685"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URL":"www.hivplusmag.com/research/2014/02/13/cdc-stop-using-unprotected-sex-condomless-sex","accessed":{"date-parts":[["2019","8","26"]]},"author":[{"dropping-particle":"","family":"Heywood","given":"Todd","non-dropping-particle":"","parse-names":false,"suffix":""}],"container-title":"Plus","id":"ITEM-1","issued":{"date-parts":[["2014","2","13"]]},"title":"CDC to Stop Using \"Unprotected Sex\" for \"Condomless Sex\"","type":"webpage"},"uris":["http://www.mendeley.com/documents/?uuid=6dd9b8cb-c645-47c2-8680-b65b64e26a4c"]}],"mendeley":{"formattedCitation":"Todd Heywood, ‘CDC to Stop Using “Unprotected Sex” for “Condomless Sex”’ (&lt;i&gt;Plus&lt;/i&gt;, 13 February 2014) &lt;www.hivplusmag.com/research/2014/02/13/cdc-stop-using-unprotected-sex-condomless-sex&gt; accessed 26 August 2019.","plainTextFormattedCitation":"Todd Heywood, ‘CDC to Stop Using “Unprotected Sex” for “Condomless Sex”’ (Plus, 13 February 2014)  accessed 26 August 2019.","previouslyFormattedCitation":"Todd Heywood, ‘CDC to Stop Using “Unprotected Sex” for “Condomless Sex”’ (&lt;i&gt;Plus&lt;/i&gt;, 13 February 2014) &lt;www.hivplusmag.com/research/2014/02/13/cdc-stop-using-unprotected-sex-condomless-sex&gt; accessed 26 August 2019."},"properties":{"noteIndex":50},"schema":"https://github.com/citation-style-language/schema/raw/master/csl-citation.json"}</w:instrText>
      </w:r>
      <w:r>
        <w:fldChar w:fldCharType="separate"/>
      </w:r>
      <w:r w:rsidRPr="004448D8">
        <w:rPr>
          <w:noProof/>
        </w:rPr>
        <w:t>Todd Heywood, ‘CDC to Stop Using “Unprotected Sex” for “Condomless Sex”’ (</w:t>
      </w:r>
      <w:r w:rsidRPr="004448D8">
        <w:rPr>
          <w:i/>
          <w:noProof/>
        </w:rPr>
        <w:t>Plus</w:t>
      </w:r>
      <w:r w:rsidRPr="004448D8">
        <w:rPr>
          <w:noProof/>
        </w:rPr>
        <w:t>, 13 February 2014) &lt;www.hivplusmag.com/research/2014/02/13/cdc-stop-using-unprotected-sex-condomless-sex&gt; accessed 26 August 2019.</w:t>
      </w:r>
      <w:r>
        <w:fldChar w:fldCharType="end"/>
      </w:r>
    </w:p>
  </w:footnote>
  <w:footnote w:id="52">
    <w:p w14:paraId="5EA307D2" w14:textId="5B7D945B" w:rsidR="003C4498" w:rsidRDefault="003C4498">
      <w:pPr>
        <w:pStyle w:val="FootnoteText"/>
      </w:pPr>
      <w:r>
        <w:rPr>
          <w:rStyle w:val="FootnoteReference"/>
        </w:rPr>
        <w:footnoteRef/>
      </w:r>
      <w:r>
        <w:t xml:space="preserve"> </w:t>
      </w:r>
      <w:r>
        <w:fldChar w:fldCharType="begin" w:fldLock="1"/>
      </w:r>
      <w:r>
        <w:instrText>ADDIN CSL_CITATION {"citationItems":[{"id":"ITEM-1","itemData":{"author":[{"dropping-particle":"","family":"Turner","given":"Dwayne C","non-dropping-particle":"","parse-names":false,"suffix":""}],"id":"ITEM-1","issued":{"date-parts":[["1997"]]},"publisher":"Columbia University Press","publisher-place":"New York","title":"Risky Sex","type":"book"},"locator":"xiii","prefix":"All-or-nothing thinking regarding sexual health has been noted by many. For instance, see,","uris":["http://www.mendeley.com/documents/?uuid=e932827a-765b-4751-9dc6-cac1a56d5e3c"]}],"mendeley":{"formattedCitation":"All-or-nothing thinking regarding sexual health has been noted by many. For instance, see, Dwayne C Turner, &lt;i&gt;Risky Sex&lt;/i&gt; (Columbia University Press 1997) xiii.","plainTextFormattedCitation":"All-or-nothing thinking regarding sexual health has been noted by many. For instance, see, Dwayne C Turner, Risky Sex (Columbia University Press 1997) xiii.","previouslyFormattedCitation":"All-or-nothing thinking regarding sexual health has been noted by many. For instance, see, Dwayne C Turner, &lt;i&gt;Risky Sex&lt;/i&gt; (Columbia University Press 1997) xiii."},"properties":{"noteIndex":51},"schema":"https://github.com/citation-style-language/schema/raw/master/csl-citation.json"}</w:instrText>
      </w:r>
      <w:r>
        <w:fldChar w:fldCharType="separate"/>
      </w:r>
      <w:r w:rsidRPr="00234A4A">
        <w:rPr>
          <w:noProof/>
        </w:rPr>
        <w:t xml:space="preserve">All-or-nothing thinking regarding sexual health has been noted by many. For instance, see, Dwayne C Turner, </w:t>
      </w:r>
      <w:r w:rsidRPr="00234A4A">
        <w:rPr>
          <w:i/>
          <w:noProof/>
        </w:rPr>
        <w:t>Risky Sex</w:t>
      </w:r>
      <w:r w:rsidRPr="00234A4A">
        <w:rPr>
          <w:noProof/>
        </w:rPr>
        <w:t xml:space="preserve"> (Columbia University Press 1997) xiii.</w:t>
      </w:r>
      <w:r>
        <w:fldChar w:fldCharType="end"/>
      </w:r>
    </w:p>
  </w:footnote>
  <w:footnote w:id="53">
    <w:p w14:paraId="535FC54A" w14:textId="77777777" w:rsidR="003C4498" w:rsidRDefault="003C4498" w:rsidP="00A35D52">
      <w:pPr>
        <w:pStyle w:val="Footnotes"/>
      </w:pPr>
      <w:r w:rsidRPr="00F76894">
        <w:rPr>
          <w:rStyle w:val="FootnoteReference"/>
        </w:rPr>
        <w:footnoteRef/>
      </w:r>
      <w:r>
        <w:t xml:space="preserve"> </w:t>
      </w:r>
      <w:r>
        <w:rPr>
          <w:rFonts w:ascii="Calibri" w:hAnsi="Calibri" w:cs="Calibri"/>
        </w:rPr>
        <w:t>Participant 401353-401344-40688721.</w:t>
      </w:r>
    </w:p>
  </w:footnote>
  <w:footnote w:id="54">
    <w:p w14:paraId="77170027" w14:textId="3E4588E7" w:rsidR="003C4498" w:rsidRDefault="003C4498" w:rsidP="00E75481">
      <w:pPr>
        <w:pStyle w:val="Footnotes"/>
      </w:pPr>
      <w:r w:rsidRPr="00F76894">
        <w:rPr>
          <w:rStyle w:val="FootnoteReference"/>
        </w:rPr>
        <w:footnoteRef/>
      </w:r>
      <w:r>
        <w:t xml:space="preserve"> </w:t>
      </w:r>
      <w:r>
        <w:fldChar w:fldCharType="begin" w:fldLock="1"/>
      </w:r>
      <w:r>
        <w:instrText>ADDIN CSL_CITATION {"citationItems":[{"id":"ITEM-1","itemData":{"DOI":"10.1080/00918369.2016.1158012","ISSN":"15403602","PMID":"26930025","abstract":"AbstractHIV pre-exposure prophylaxis (PrEP) has been introduced as another biomedical tool in HIV prevention. Whereas other such tools—including post-exposure prophylaxis (PEP) and interruption of perinatal transmission—have been embraced by those impacted by HIV, PrEP has been met with more conflict, especially within the gay community and HIV organizations. The “PrEP whore” has come to designate the social value and personal practices of those taking PrEP. This study examines the “PrEP whore” discourse by using queer theory and quare theory. Within these theoretical vantage points, the study explicates four discursive areas: slut shaming, dirty/clean binaries, mourning the loss of condoms, and reclaiming the inner whore. The study illuminates possible discursive strategies that lie outside of the domains of public health and within the individual and community.","author":[{"dropping-particle":"","family":"Spieldenner","given":"Andrew","non-dropping-particle":"","parse-names":false,"suffix":""}],"container-title":"Journal of Homosexuality","id":"ITEM-1","issue":"12","issued":{"date-parts":[["2016"]]},"page":"1685-1697","title":"PrEP Whores and HIV Prevention: The Queer Communication of HIV Pre-Exposure Prophylaxis (PrEP)","type":"article-journal","volume":"63"},"locator":"1691","uris":["http://www.mendeley.com/documents/?uuid=dae3815a-db8c-3449-9ce8-73023a230867"]}],"mendeley":{"formattedCitation":"Andrew Spieldenner, ‘PrEP Whores and HIV Prevention: The Queer Communication of HIV Pre-Exposure Prophylaxis (PrEP)’ (2016) 63 Journal of Homosexuality 1685, 1691.","plainTextFormattedCitation":"Andrew Spieldenner, ‘PrEP Whores and HIV Prevention: The Queer Communication of HIV Pre-Exposure Prophylaxis (PrEP)’ (2016) 63 Journal of Homosexuality 1685, 1691.","previouslyFormattedCitation":"Andrew Spieldenner, ‘PrEP Whores and HIV Prevention: The Queer Communication of HIV Pre-Exposure Prophylaxis (PrEP)’ (2016) 63 Journal of Homosexuality 1685, 1691."},"properties":{"noteIndex":53},"schema":"https://github.com/citation-style-language/schema/raw/master/csl-citation.json"}</w:instrText>
      </w:r>
      <w:r>
        <w:fldChar w:fldCharType="separate"/>
      </w:r>
      <w:r w:rsidRPr="00DF35EA">
        <w:rPr>
          <w:noProof/>
        </w:rPr>
        <w:t>Andrew Spieldenner, ‘PrEP Whores and HIV Prevention: The Queer Communication of HIV Pre-Exposure Prophylaxis (PrEP)’ (2016) 63 Journal of Homosexuality 1685, 1691.</w:t>
      </w:r>
      <w:r>
        <w:fldChar w:fldCharType="end"/>
      </w:r>
    </w:p>
  </w:footnote>
  <w:footnote w:id="55">
    <w:p w14:paraId="25366EF4" w14:textId="1DF1203F"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{"citationItems":[{"id":"ITEM-1","itemData":{"DOI":"10.5040/9781509926237.ch-002","author":[{"dropping-particle":"","family":"Noto La Diega","given":"Guido","non-dropping-particle":"","parse-names":false,"suffix":""}],"container-title":"Data Protection and Privacy","editor":[{"dropping-particle":"","family":"Leenes","given":"Ronald","non-dropping-particle":"","parse-names":false,"suffix":""},{"dropping-particle":"","family":"Brakel","given":"Rosamunde","non-dropping-particle":"van","parse-names":false,"suffix":""},{"dropping-particle":"","family":"Gutwirth","given":"Serge","non-dropping-particle":"","parse-names":false,"suffix":""},{"dropping-particle":"","family":"Hert","given":"Paul","non-dropping-particle":"De","parse-names":false,"suffix":""}],"id":"ITEM-1","issued":{"date-parts":[["2019"]]},"publisher":"Hart Publishing","title":"Grinding Privacy in the Internet of Bodies","type":"chapter"},"locator":"14-15","uris":["http://www.mendeley.com/documents/?uuid=683ea20b-9810-323b-ae03-f232554beec0"]}],"mendeley":{"formattedCitation":"Guido Noto La Diega, ‘Grinding Privacy in the Internet of Bodies’ in Ronald Leenes and others (eds), &lt;i&gt;Data Protection and Privacy&lt;/i&gt; (Hart Publishing 2019) 14–15.","plainTextFormattedCitation":"Guido Noto La Diega, ‘Grinding Privacy in the Internet of Bodies’ in Ronald Leenes and others (eds), Data Protection and Privacy (Hart Publishing 2019) 14–15.","previouslyFormattedCitation":"Guido Noto La Diega, ‘Grinding Privacy in the Internet of Bodies’ in Ronald Leenes and others (eds), &lt;i&gt;Data Protection and Privacy&lt;/i&gt; (Hart Publishing 2019) 14–15."},"properties":{"noteIndex":54},"schema":"https://github.com/citation-style-language/schema/raw/master/csl-citation.json"}</w:instrText>
      </w:r>
      <w:r>
        <w:fldChar w:fldCharType="separate"/>
      </w:r>
      <w:r w:rsidRPr="00DF35EA">
        <w:rPr>
          <w:noProof/>
        </w:rPr>
        <w:t xml:space="preserve">Guido Noto La Diega, ‘Grinding Privacy in the Internet of Bodies’ in Ronald Leenes and others (eds), </w:t>
      </w:r>
      <w:r w:rsidRPr="00DF35EA">
        <w:rPr>
          <w:i/>
          <w:noProof/>
        </w:rPr>
        <w:t>Data Protection and Privacy</w:t>
      </w:r>
      <w:r w:rsidRPr="00DF35EA">
        <w:rPr>
          <w:noProof/>
        </w:rPr>
        <w:t xml:space="preserve"> (Hart Publishing 2019) 14–15.</w:t>
      </w:r>
      <w:r>
        <w:fldChar w:fldCharType="end"/>
      </w:r>
    </w:p>
  </w:footnote>
  <w:footnote w:id="56">
    <w:p w14:paraId="63B3A8B5" w14:textId="5FF001DA" w:rsidR="003C4498" w:rsidRDefault="003C4498">
      <w:pPr>
        <w:pStyle w:val="FootnoteText"/>
      </w:pPr>
      <w:r>
        <w:rPr>
          <w:rStyle w:val="FootnoteReference"/>
        </w:rPr>
        <w:footnoteRef/>
      </w:r>
      <w:r>
        <w:t xml:space="preserve"> Or in some instances, omitted, if users are given such an option.</w:t>
      </w:r>
    </w:p>
  </w:footnote>
  <w:footnote w:id="57">
    <w:p w14:paraId="46ADCC61" w14:textId="4E0BFCA5" w:rsidR="003C4498" w:rsidRDefault="003C4498" w:rsidP="00404AEB">
      <w:pPr>
        <w:pStyle w:val="FootnoteText"/>
      </w:pPr>
      <w:r w:rsidRPr="00F76894">
        <w:rPr>
          <w:rStyle w:val="FootnoteReference"/>
        </w:rPr>
        <w:footnoteRef/>
      </w:r>
      <w:r>
        <w:t xml:space="preserve"> </w:t>
      </w:r>
      <w:r>
        <w:fldChar w:fldCharType="begin" w:fldLock="1"/>
      </w:r>
      <w:r>
        <w:instrText>ADDIN CSL_CITATION {"citationItems":[{"id":"ITEM-1","itemData":{"URL":"https://hornet.com/about/know-your-status/","accessed":{"date-parts":[["2019","8","15"]]},"container-title":"Hornet","id":"ITEM-1","issued":{"date-parts":[["0"]]},"title":"Know Your Status: What do the different KYS options mean?","type":"webpage"},"prefix":"For example, the application Hornet allows users to select from four options: 'Negative', 'Negative, on PrEP', 'Positive', and 'Positive, undetectable', as well as the option not to list a status. See,","suffix":". These options are typical of other applications, although there is a degree of variation","uris":["http://www.mendeley.com/documents/?uuid=8384df5d-924e-31f1-99a2-151f474e87bf"]}],"mendeley":{"formattedCitation":"For example, the application Hornet allows users to select from four options: ‘Negative’, ‘Negative, on PrEP’, ‘Positive’, and ‘Positive, undetectable’, as well as the option not to list a status. See, ‘Know Your Status: What Do the Different KYS Options Mean?’ (&lt;i&gt;Hornet&lt;/i&gt;) &lt;https://hornet.com/about/know-your-status/&gt; accessed 15 August 2019. These options are typical of other applications, although there is a degree of variation.","plainTextFormattedCitation":"For example, the application Hornet allows users to select from four options: ‘Negative’, ‘Negative, on PrEP’, ‘Positive’, and ‘Positive, undetectable’, as well as the option not to list a status. See, ‘Know Your Status: What Do the Different KYS Options Mean?’ (Hornet)  accessed 15 August 2019. These options are typical of other applications, although there is a degree of variation.","previouslyFormattedCitation":"For example, the application Hornet allows users to select from four options: ‘Negative’, ‘Negative, on PrEP’, ‘Positive’, and ‘Positive, undetectable’, as well as the option not to list a status. See, ‘Know Your Status: What Do the Different KYS Options Mean?’ (&lt;i&gt;Hornet&lt;/i&gt;) &lt;https://hornet.com/about/know-your-status/&gt; accessed 15 August 2019. These options are typical of other applications, although there is a degree of variation."},"properties":{"noteIndex":56},"schema":"https://github.com/citation-style-language/schema/raw/master/csl-citation.json"}</w:instrText>
      </w:r>
      <w:r>
        <w:fldChar w:fldCharType="separate"/>
      </w:r>
      <w:r w:rsidRPr="004448D8">
        <w:rPr>
          <w:noProof/>
        </w:rPr>
        <w:t>For example, the application Hornet allows users to select from four options: ‘Negative’, ‘Negative, on PrEP’, ‘Positive’, and ‘Positive, undetectable’, as well as the option not to list a status. See, ‘Know Your Status: What Do the Different KYS Options Mean?’ (</w:t>
      </w:r>
      <w:r w:rsidRPr="004448D8">
        <w:rPr>
          <w:i/>
          <w:noProof/>
        </w:rPr>
        <w:t>Hornet</w:t>
      </w:r>
      <w:r w:rsidRPr="004448D8">
        <w:rPr>
          <w:noProof/>
        </w:rPr>
        <w:t>) &lt;https://hornet.com/about/know-your-status/&gt; accessed 15 August 2019. These options are typical of other applications, although there is a degree of variation.</w:t>
      </w:r>
      <w:r>
        <w:fldChar w:fldCharType="end"/>
      </w:r>
    </w:p>
  </w:footnote>
  <w:footnote w:id="58">
    <w:p w14:paraId="7DF8C2C8" w14:textId="3C10F1AB"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{"citationItems":[{"id":"ITEM-1","itemData":{"DOI":"10.1080/00918369.2016.1158012","ISSN":"15403602","PMID":"26930025","abstract":"AbstractHIV pre-exposure prophylaxis (PrEP) has been introduced as another biomedical tool in HIV prevention. Whereas other such tools—including post-exposure prophylaxis (PEP) and interruption of perinatal transmission—have been embraced by those impacted by HIV, PrEP has been met with more conflict, especially within the gay community and HIV organizations. The “PrEP whore” has come to designate the social value and personal practices of those taking PrEP. This study examines the “PrEP whore” discourse by using queer theory and quare theory. Within these theoretical vantage points, the study explicates four discursive areas: slut shaming, dirty/clean binaries, mourning the loss of condoms, and reclaiming the inner whore. The study illuminates possible discursive strategies that lie outside of the domains of public health and within the individual and community.","author":[{"dropping-particle":"","family":"Spieldenner","given":"Andrew","non-dropping-particle":"","parse-names":false,"suffix":""}],"container-title":"Journal of Homosexuality","id":"ITEM-1","issue":"12","issued":{"date-parts":[["2016"]]},"page":"1685-1697","title":"PrEP Whores and HIV Prevention: The Queer Communication of HIV Pre-Exposure Prophylaxis (PrEP)","type":"article-journal","volume":"63"},"prefix":"See, generally, ","uris":["http://www.mendeley.com/documents/?uuid=dae3815a-db8c-3449-9ce8-73023a230867"]}],"mendeley":{"formattedCitation":"See, generally, Spieldenner (n 53).","plainTextFormattedCitation":"See, generally, Spieldenner (n 53).","previouslyFormattedCitation":"See, generally, Spieldenner (n 53)."},"properties":{"noteIndex":57},"schema":"https://github.com/citation-style-language/schema/raw/master/csl-citation.json"}</w:instrText>
      </w:r>
      <w:r>
        <w:fldChar w:fldCharType="separate"/>
      </w:r>
      <w:r w:rsidRPr="0077736F">
        <w:rPr>
          <w:noProof/>
        </w:rPr>
        <w:t>See, generally, Spieldenner (n 53).</w:t>
      </w:r>
      <w:r>
        <w:fldChar w:fldCharType="end"/>
      </w:r>
    </w:p>
  </w:footnote>
  <w:footnote w:id="59">
    <w:p w14:paraId="28119161" w14:textId="43DBA1B6" w:rsidR="003C4498" w:rsidRPr="00FF0BB7" w:rsidRDefault="003C4498" w:rsidP="00A35D52">
      <w:pPr>
        <w:pStyle w:val="Footnotes"/>
        <w:rPr>
          <w:lang w:val="de-DE"/>
        </w:rPr>
      </w:pPr>
      <w:r w:rsidRPr="00F76894">
        <w:rPr>
          <w:rStyle w:val="FootnoteReference"/>
        </w:rPr>
        <w:footnoteRef/>
      </w:r>
      <w:r>
        <w:t xml:space="preserve"> </w:t>
      </w:r>
      <w:r>
        <w:fldChar w:fldCharType="begin" w:fldLock="1"/>
      </w:r>
      <w:r>
        <w:instrText>ADDIN CSL_CITATION {"citationItems":[{"id":"ITEM-1","itemData":{"URL":"https://hornet.com/about/know-your-status/","accessed":{"date-parts":[["2019","8","15"]]},"container-title":"Hornet","id":"ITEM-1","issued":{"date-parts":[["0"]]},"title":"Know Your Status: What do the different KYS options mean?","type":"webpage"},"uris":["http://www.mendeley.com/documents/?uuid=8384df5d-924e-31f1-99a2-151f474e87bf"]}],"mendeley":{"formattedCitation":"‘Know Your Status: What Do the Different KYS Options Mean?’ (n 56).","plainTextFormattedCitation":"‘Know Your Status: What Do the Different KYS Options Mean?’ (n 56).","previouslyFormattedCitation":"‘Know Your Status: What Do the Different KYS Options Mean?’ (n 56)."},"properties":{"noteIndex":58},"schema":"https://github.com/citation-style-language/schema/raw/master/csl-citation.json"}</w:instrText>
      </w:r>
      <w:r>
        <w:fldChar w:fldCharType="separate"/>
      </w:r>
      <w:r w:rsidRPr="0077736F">
        <w:rPr>
          <w:noProof/>
        </w:rPr>
        <w:t>‘Know Your Status: What Do the Different KYS Options Mean?’ (n 56).</w:t>
      </w:r>
      <w:r>
        <w:fldChar w:fldCharType="end"/>
      </w:r>
    </w:p>
  </w:footnote>
  <w:footnote w:id="60">
    <w:p w14:paraId="4502F51A" w14:textId="1BD181D6" w:rsidR="003C4498" w:rsidRPr="00FF0BB7" w:rsidRDefault="003C4498" w:rsidP="00A35D52">
      <w:pPr>
        <w:pStyle w:val="Footnotes"/>
        <w:rPr>
          <w:lang w:val="de-DE"/>
        </w:rPr>
      </w:pPr>
      <w:r w:rsidRPr="00F76894">
        <w:rPr>
          <w:rStyle w:val="FootnoteReference"/>
        </w:rPr>
        <w:footnoteRef/>
      </w:r>
      <w:r w:rsidRPr="00FF0BB7">
        <w:rPr>
          <w:lang w:val="de-DE"/>
        </w:rPr>
        <w:t xml:space="preserve"> </w:t>
      </w:r>
      <w:r>
        <w:fldChar w:fldCharType="begin" w:fldLock="1"/>
      </w:r>
      <w:r>
        <w:rPr>
          <w:lang w:val="de-DE"/>
        </w:rPr>
        <w:instrText>ADDIN CSL_CITATION {"citationItems":[{"id":"ITEM-1","itemData":{"URL":"web.archive.org/web/20161115044007/www.grindr.com/blog/new-grindr-profiles-hiv-status-last-test-date/","accessed":{"date-parts":[["2019","8","26"]]},"author":[{"dropping-particle":"","family":"Grindr LLC","given":"","non-dropping-particle":"","parse-names":false,"suffix":""}],"id":"ITEM-1","issued":{"date-parts":[["2016","11","9"]]},"title":"New to Grindr profiles: HIV status and last test date fields","type":"webpage"},"uris":["http://www.mendeley.com/documents/?uuid=26e6fce0-6a8f-4341-b66c-c82eaf762196"]}],"mendeley":{"formattedCitation":"Grindr LLC (n 12).","plainTextFormattedCitation":"Grindr LLC (n 12).","previouslyFormattedCitation":"Grindr LLC (n 12)."},"properties":{"noteIndex":59},"schema":"https://github.com/citation-style-language/schema/raw/master/csl-citation.json"}</w:instrText>
      </w:r>
      <w:r>
        <w:fldChar w:fldCharType="separate"/>
      </w:r>
      <w:r w:rsidRPr="00DF35EA">
        <w:rPr>
          <w:noProof/>
          <w:lang w:val="de-DE"/>
        </w:rPr>
        <w:t>Grindr LLC (n 12).</w:t>
      </w:r>
      <w:r>
        <w:fldChar w:fldCharType="end"/>
      </w:r>
    </w:p>
  </w:footnote>
  <w:footnote w:id="61">
    <w:p w14:paraId="1D81CF7F" w14:textId="5ED43AE4" w:rsidR="003C4498" w:rsidRPr="00FF0BB7" w:rsidRDefault="003C4498" w:rsidP="00A35D52">
      <w:pPr>
        <w:pStyle w:val="Footnotes"/>
        <w:rPr>
          <w:lang w:val="de-DE"/>
        </w:rPr>
      </w:pPr>
      <w:r w:rsidRPr="00F76894">
        <w:rPr>
          <w:rStyle w:val="FootnoteReference"/>
        </w:rPr>
        <w:footnoteRef/>
      </w:r>
      <w:r w:rsidRPr="00FF0BB7">
        <w:rPr>
          <w:lang w:val="de-DE"/>
        </w:rPr>
        <w:t xml:space="preserve"> </w:t>
      </w:r>
      <w:r>
        <w:fldChar w:fldCharType="begin" w:fldLock="1"/>
      </w:r>
      <w:r>
        <w:rPr>
          <w:lang w:val="de-DE"/>
        </w:rPr>
        <w:instrText>ADDIN CSL_CITATION {"citationItems":[{"id":"ITEM-1","itemData":{"DOI":"10.1016/j.emospa.2010.01.003","ISSN":"17554586","abstract":"In the last decade, many aspects of gay social and sexual life have moved online. This article explores how the increasing use of the internet as a way of organizing gay sex is shaping sexual and risk subjectivities. It investigates how online cruising is mediating investments in, and tensions between, different HIV prevention ethics in Sydney, Australia - in particular, those that operationalise HIV status disclosure as a precursor to casual sex, and those that don't. One popular online cruising site, Manhunt.net, is the first socio-sexual context in Australia in which participants are routinely asked to indicate their HIV status for sexual purposes, as a design feature of participation. The article grapples with the implications of this development for socio-sexual community. Different sites install culturally specific HIV prevention ethics, which users negotiate in different ways. Online interfaces also generate particular 'affective climates' in the sense that they produce new experiences of connection and isolation and create new practical challenges around self-presentation for participants. Affective climates are technologically mediated, and are co-produced and shared by HIV-negative and HIV-positive individuals, among others. Some online formats may be contributing to a new state of 'seronormativity' in gay culture, in which the politics of the 'template' or the 'format' will become increasingly significant. Participants can also be seen to be engaging in reflexive processes around different styles of participation in this environment and their effects on others, suggesting educational possibilities. © 2010 Elsevier Ltd. All rights reserved.","author":[{"dropping-particle":"","family":"Race","given":"Kane","non-dropping-particle":"","parse-names":false,"suffix":""}],"container-title":"Emotion, Space and Society","id":"ITEM-1","issue":"1","issued":{"date-parts":[["2010"]]},"page":"7-14","title":"Click here for HIV status: Shifting templates of sexual negotiation","type":"article-journal","volume":"3"},"locator":"13","uris":["http://www.mendeley.com/documents/?uuid=e5e8ef51-c913-38f4-9734-dc6ec6235e48"]}],"mendeley":{"formattedCitation":"Race, ‘Click Here for HIV Status: Shifting Templates of Sexual Negotiation’ (n 15) 13.","plainTextFormattedCitation":"Race, ‘Click Here for HIV Status: Shifting Templates of Sexual Negotiation’ (n 15) 13.","previouslyFormattedCitation":"Race, ‘Click Here for HIV Status: Shifting Templates of Sexual Negotiation’ (n 15) 13."},"properties":{"noteIndex":60},"schema":"https://github.com/citation-style-language/schema/raw/master/csl-citation.json"}</w:instrText>
      </w:r>
      <w:r>
        <w:fldChar w:fldCharType="separate"/>
      </w:r>
      <w:r w:rsidRPr="00DF35EA">
        <w:rPr>
          <w:noProof/>
          <w:lang w:val="de-DE"/>
        </w:rPr>
        <w:t>Race, ‘Click Here for HIV Status: Shifting Templates of Sexual Negotiation’ (n 15) 13.</w:t>
      </w:r>
      <w:r>
        <w:fldChar w:fldCharType="end"/>
      </w:r>
    </w:p>
  </w:footnote>
  <w:footnote w:id="62">
    <w:p w14:paraId="180207F1" w14:textId="77777777" w:rsidR="003C4498" w:rsidRDefault="003C4498" w:rsidP="00A35D52">
      <w:pPr>
        <w:pStyle w:val="Footnotes"/>
      </w:pPr>
      <w:r w:rsidRPr="00F76894">
        <w:rPr>
          <w:rStyle w:val="FootnoteReference"/>
        </w:rPr>
        <w:footnoteRef/>
      </w:r>
      <w:r>
        <w:t xml:space="preserve"> Participant 401353-401344-41483556.</w:t>
      </w:r>
    </w:p>
  </w:footnote>
  <w:footnote w:id="63">
    <w:p w14:paraId="20F762FF" w14:textId="7A0B0EDA"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{"citationItems":[{"id":"ITEM-1","itemData":{"DOI":"10.1111/j.1467-9566.2007.01038.x","ISSN":"01419889","abstract":"Using data from recordings of HIV test counselling sessions in publicly funded sites in Northern California, US, this paper examines the discussion of clients' reasons for testing as a site for self-presentation. While counsellors attempt to use the reason for testing discussion as a lead-in to a discussion of risk behaviour, clients often describe their testing as part of a routine, not in response to a specific risk. Clients use three practices to present themselves as reasonable and responsible people who are in control of their HIV status. First, clients present the normal and routine nature of testing, thereby portraying their reasonableness in seeking an HIV test. Secondly, clients deny or downgrade their risk when counsellors seek to identify a specific risk. Thirdly, when introducing a particular risk, clients package it within mitigating contexts that emphasise their knowledge about and control over the risk. These practices can make it difficult for counsellors to focus the counselling session on a specific risk incident. One of the counsellors in our dataset provides an alternative approach that manages to elicit risk and legitimates routine testing as a reason for testing.","author":[{"dropping-particle":"","family":"Lee","given":"Seung Hee","non-dropping-particle":"","parse-names":false,"suffix":""},{"dropping-particle":"","family":"Sheon","given":"Nicolas","non-dropping-particle":"","parse-names":false,"suffix":""}],"container-title":"Sociology of Health and Illness","id":"ITEM-1","issue":"2","issued":{"date-parts":[["2008"]]},"page":"167-181","title":"Responsibility and risk: Accounts of reasons for seeking an HIV test","type":"article-journal","volume":"30"},"locator":"172","uris":["http://www.mendeley.com/documents/?uuid=a8a302d2-d54e-3f52-8c8d-99cafc3447ce"]}],"mendeley":{"formattedCitation":"Seung Hee Lee and Nicolas Sheon, ‘Responsibility and Risk: Accounts of Reasons for Seeking an HIV Test’ (2008) 30 Sociology of Health and Illness 167, 172.","plainTextFormattedCitation":"Seung Hee Lee and Nicolas Sheon, ‘Responsibility and Risk: Accounts of Reasons for Seeking an HIV Test’ (2008) 30 Sociology of Health and Illness 167, 172.","previouslyFormattedCitation":"Seung Hee Lee and Nicolas Sheon, ‘Responsibility and Risk: Accounts of Reasons for Seeking an HIV Test’ (2008) 30 Sociology of Health and Illness 167, 172."},"properties":{"noteIndex":62},"schema":"https://github.com/citation-style-language/schema/raw/master/csl-citation.json"}</w:instrText>
      </w:r>
      <w:r>
        <w:fldChar w:fldCharType="separate"/>
      </w:r>
      <w:r>
        <w:rPr>
          <w:noProof/>
        </w:rPr>
        <w:t>Seung Hee Lee and Nicolas Sheon, ‘Responsibility and Risk: Accounts of Reasons for Seeking an HIV Test’ (2008) 30 Sociology of Health and Illness 167, 172.</w:t>
      </w:r>
      <w:r>
        <w:fldChar w:fldCharType="end"/>
      </w:r>
    </w:p>
  </w:footnote>
  <w:footnote w:id="64">
    <w:p w14:paraId="4D9D9E30" w14:textId="77777777" w:rsidR="003C4498" w:rsidRDefault="003C4498" w:rsidP="00A35D52">
      <w:pPr>
        <w:pStyle w:val="Footnotes"/>
      </w:pPr>
      <w:r w:rsidRPr="00F76894">
        <w:rPr>
          <w:rStyle w:val="FootnoteReference"/>
        </w:rPr>
        <w:footnoteRef/>
      </w:r>
      <w:r>
        <w:t xml:space="preserve"> Participant 401353-401344-41917008.</w:t>
      </w:r>
    </w:p>
  </w:footnote>
  <w:footnote w:id="65">
    <w:p w14:paraId="32CA7134" w14:textId="607DFBF7" w:rsidR="003C4498" w:rsidRDefault="003C4498" w:rsidP="00A35D52">
      <w:pPr>
        <w:pStyle w:val="Footnotes"/>
      </w:pPr>
      <w:r w:rsidRPr="00F76894">
        <w:rPr>
          <w:rStyle w:val="FootnoteReference"/>
        </w:rPr>
        <w:footnoteRef/>
      </w:r>
      <w:r>
        <w:t xml:space="preserve"> Participant 401353-401344-41514592.</w:t>
      </w:r>
    </w:p>
  </w:footnote>
  <w:footnote w:id="66">
    <w:p w14:paraId="044570F3" w14:textId="2C03CD1B"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{"citationItems":[{"id":"ITEM-1","itemData":{"DOI":"10.1080/00918369.2016.1158012","ISSN":"15403602","PMID":"26930025","abstract":"AbstractHIV pre-exposure prophylaxis (PrEP) has been introduced as another biomedical tool in HIV prevention. Whereas other such tools—including post-exposure prophylaxis (PEP) and interruption of perinatal transmission—have been embraced by those impacted by HIV, PrEP has been met with more conflict, especially within the gay community and HIV organizations. The “PrEP whore” has come to designate the social value and personal practices of those taking PrEP. This study examines the “PrEP whore” discourse by using queer theory and quare theory. Within these theoretical vantage points, the study explicates four discursive areas: slut shaming, dirty/clean binaries, mourning the loss of condoms, and reclaiming the inner whore. The study illuminates possible discursive strategies that lie outside of the domains of public health and within the individual and community.","author":[{"dropping-particle":"","family":"Spieldenner","given":"Andrew","non-dropping-particle":"","parse-names":false,"suffix":""}],"container-title":"Journal of Homosexuality","id":"ITEM-1","issue":"12","issued":{"date-parts":[["2016"]]},"page":"1685-1697","title":"PrEP Whores and HIV Prevention: The Queer Communication of HIV Pre-Exposure Prophylaxis (PrEP)","type":"article-journal","volume":"63"},"uris":["http://www.mendeley.com/documents/?uuid=dae3815a-db8c-3449-9ce8-73023a230867"]}],"mendeley":{"formattedCitation":"Spieldenner (n 53).","plainTextFormattedCitation":"Spieldenner (n 53).","previouslyFormattedCitation":"Spieldenner (n 53)."},"properties":{"noteIndex":65},"schema":"https://github.com/citation-style-language/schema/raw/master/csl-citation.json"}</w:instrText>
      </w:r>
      <w:r>
        <w:fldChar w:fldCharType="separate"/>
      </w:r>
      <w:r w:rsidRPr="0077736F">
        <w:rPr>
          <w:noProof/>
        </w:rPr>
        <w:t>Spieldenner (n 53).</w:t>
      </w:r>
      <w:r>
        <w:fldChar w:fldCharType="end"/>
      </w:r>
    </w:p>
  </w:footnote>
  <w:footnote w:id="67">
    <w:p w14:paraId="2AD999C9" w14:textId="77777777" w:rsidR="003C4498" w:rsidRDefault="003C4498" w:rsidP="00A35D52">
      <w:pPr>
        <w:pStyle w:val="Footnotes"/>
      </w:pPr>
      <w:r w:rsidRPr="00F76894">
        <w:rPr>
          <w:rStyle w:val="FootnoteReference"/>
        </w:rPr>
        <w:footnoteRef/>
      </w:r>
      <w:r>
        <w:t xml:space="preserve"> Participant 401353-401344-40159327.</w:t>
      </w:r>
    </w:p>
  </w:footnote>
  <w:footnote w:id="68">
    <w:p w14:paraId="3801759A" w14:textId="2F9FB543" w:rsidR="003C4498" w:rsidRDefault="003C4498" w:rsidP="003D3837">
      <w:pPr>
        <w:spacing w:line="360" w:lineRule="auto"/>
        <w:ind w:left="720" w:hanging="720"/>
      </w:pPr>
      <w:r>
        <w:rPr>
          <w:rStyle w:val="FootnoteReference"/>
        </w:rPr>
        <w:footnoteRef/>
      </w:r>
      <w:r>
        <w:t xml:space="preserve"> </w:t>
      </w:r>
      <w:r w:rsidRPr="00E77DBD">
        <w:rPr>
          <w:rFonts w:ascii="Times New Roman" w:hAnsi="Times New Roman" w:cs="Times New Roman"/>
          <w:noProof/>
        </w:rPr>
        <w:t>This surveillance may interact with and complement forms of self-surveillance and self-management observed in HIV and Viral Load testing campaigns. See, Niels van Doorn, ‘Treatment Is Prevention: HIV, Emergency and the Biopolitics of Viral Containment’ (2013) 27 Cultural Studies 901, 916–917.</w:t>
      </w:r>
    </w:p>
  </w:footnote>
  <w:footnote w:id="69">
    <w:p w14:paraId="1BE7EF44" w14:textId="65E508D2" w:rsidR="003C4498" w:rsidRDefault="003C4498" w:rsidP="00D7022A">
      <w:pPr>
        <w:pStyle w:val="Footnotes"/>
      </w:pPr>
      <w:r w:rsidRPr="00F76894">
        <w:rPr>
          <w:rStyle w:val="FootnoteReference"/>
        </w:rPr>
        <w:footnoteRef/>
      </w:r>
      <w:r>
        <w:t xml:space="preserve"> </w:t>
      </w:r>
      <w:r>
        <w:fldChar w:fldCharType="begin" w:fldLock="1"/>
      </w:r>
      <w:r>
        <w:instrText>ADDIN CSL_CITATION {"citationItems":[{"id":"ITEM-1","itemData":{"URL":"www.gov.uk/government/publications/time-period-for-hiv-testing-position-statement","accessed":{"date-parts":[["2019","8","26"]]},"author":[{"dropping-particle":"","family":"British Association for Sexual Health and HIV (BASHH); Expert Advisory Group on AIDS (EAGA)","given":"","non-dropping-particle":"","parse-names":false,"suffix":""}],"container-title":"Department of Health and Social Care (gov.uk)","id":"ITEM-1","issued":{"date-parts":[["2014","10","21"]]},"title":"Time period for HIV testing (HIV window period)","type":"webpage"},"uris":["http://www.mendeley.com/documents/?uuid=3554cc96-106b-356b-a1a6-78bc71c39b1a"]}],"mendeley":{"formattedCitation":"British Association for Sexual Health and HIV (BASHH); Expert Advisory Group on AIDS (EAGA), ‘Time Period for HIV Testing (HIV Window Period)’ (&lt;i&gt;Department of Health and Social Care (gov.uk)&lt;/i&gt;, 21 October 2014) &lt;www.gov.uk/government/publications/time-period-for-hiv-testing-position-statement&gt; accessed 26 August 2019.","plainTextFormattedCitation":"British Association for Sexual Health and HIV (BASHH); Expert Advisory Group on AIDS (EAGA), ‘Time Period for HIV Testing (HIV Window Period)’ (Department of Health and Social Care (gov.uk), 21 October 2014)  accessed 26 August 2019.","previouslyFormattedCitation":"British Association for Sexual Health and HIV (BASHH); Expert Advisory Group on AIDS (EAGA), ‘Time Period for HIV Testing (HIV Window Period)’ (&lt;i&gt;Department of Health and Social Care (gov.uk)&lt;/i&gt;, 21 October 2014) &lt;www.gov.uk/government/publications/time-period-for-hiv-testing-position-statement&gt; accessed 26 August 2019."},"properties":{"noteIndex":68},"schema":"https://github.com/citation-style-language/schema/raw/master/csl-citation.json"}</w:instrText>
      </w:r>
      <w:r>
        <w:fldChar w:fldCharType="separate"/>
      </w:r>
      <w:r w:rsidRPr="004448D8">
        <w:rPr>
          <w:noProof/>
        </w:rPr>
        <w:t>British Association for Sexual Health and HIV (BASHH); Expert Advisory Group on AIDS (EAGA), ‘Time Period for HIV Testing (HIV Window Period)’ (</w:t>
      </w:r>
      <w:r w:rsidRPr="004448D8">
        <w:rPr>
          <w:i/>
          <w:noProof/>
        </w:rPr>
        <w:t>Department of Health and Social Care (gov.uk)</w:t>
      </w:r>
      <w:r w:rsidRPr="004448D8">
        <w:rPr>
          <w:noProof/>
        </w:rPr>
        <w:t>, 21 October 2014) &lt;www.gov.uk/government/publications/time-period-for-hiv-testing-position-statement&gt; accessed 26 August 2019.</w:t>
      </w:r>
      <w:r>
        <w:fldChar w:fldCharType="end"/>
      </w:r>
    </w:p>
  </w:footnote>
  <w:footnote w:id="70">
    <w:p w14:paraId="2BD2C112" w14:textId="3DBBE874" w:rsidR="003C4498" w:rsidRDefault="003C4498" w:rsidP="00D7022A">
      <w:pPr>
        <w:pStyle w:val="Footnotes"/>
      </w:pPr>
      <w:r w:rsidRPr="00F76894">
        <w:rPr>
          <w:rStyle w:val="FootnoteReference"/>
        </w:rPr>
        <w:footnoteRef/>
      </w:r>
      <w:r>
        <w:t xml:space="preserve"> </w:t>
      </w:r>
      <w:r>
        <w:fldChar w:fldCharType="begin" w:fldLock="1"/>
      </w:r>
      <w:r>
        <w:instrText>ADDIN CSL_CITATION {"citationItems":[{"id":"ITEM-1","itemData":{"DOI":"10.1016/j.emospa.2010.01.003","ISSN":"17554586","abstract":"In the last decade, many aspects of gay social and sexual life have moved online. This article explores how the increasing use of the internet as a way of organizing gay sex is shaping sexual and risk subjectivities. It investigates how online cruising is mediating investments in, and tensions between, different HIV prevention ethics in Sydney, Australia - in particular, those that operationalise HIV status disclosure as a precursor to casual sex, and those that don't. One popular online cruising site, Manhunt.net, is the first socio-sexual context in Australia in which participants are routinely asked to indicate their HIV status for sexual purposes, as a design feature of participation. The article grapples with the implications of this development for socio-sexual community. Different sites install culturally specific HIV prevention ethics, which users negotiate in different ways. Online interfaces also generate particular 'affective climates' in the sense that they produce new experiences of connection and isolation and create new practical challenges around self-presentation for participants. Affective climates are technologically mediated, and are co-produced and shared by HIV-negative and HIV-positive individuals, among others. Some online formats may be contributing to a new state of 'seronormativity' in gay culture, in which the politics of the 'template' or the 'format' will become increasingly significant. Participants can also be seen to be engaging in reflexive processes around different styles of participation in this environment and their effects on others, suggesting educational possibilities. © 2010 Elsevier Ltd. All rights reserved.","author":[{"dropping-particle":"","family":"Race","given":"Kane","non-dropping-particle":"","parse-names":false,"suffix":""}],"container-title":"Emotion, Space and Society","id":"ITEM-1","issue":"1","issued":{"date-parts":[["2010"]]},"page":"7-14","title":"Click here for HIV status: Shifting templates of sexual negotiation","type":"article-journal","volume":"3"},"locator":"8","uris":["http://www.mendeley.com/documents/?uuid=e5e8ef51-c913-38f4-9734-dc6ec6235e48"]}],"mendeley":{"formattedCitation":"Race, ‘Click Here for HIV Status: Shifting Templates of Sexual Negotiation’ (n 15) 8.","plainTextFormattedCitation":"Race, ‘Click Here for HIV Status: Shifting Templates of Sexual Negotiation’ (n 15) 8.","previouslyFormattedCitation":"Race, ‘Click Here for HIV Status: Shifting Templates of Sexual Negotiation’ (n 15) 8."},"properties":{"noteIndex":69},"schema":"https://github.com/citation-style-language/schema/raw/master/csl-citation.json"}</w:instrText>
      </w:r>
      <w:r>
        <w:fldChar w:fldCharType="separate"/>
      </w:r>
      <w:r w:rsidRPr="00DF35EA">
        <w:rPr>
          <w:noProof/>
        </w:rPr>
        <w:t>Race, ‘Click Here for HIV Status: Shifting Templates of Sexual Negotiation’ (n 15) 8.</w:t>
      </w:r>
      <w:r>
        <w:fldChar w:fldCharType="end"/>
      </w:r>
    </w:p>
  </w:footnote>
  <w:footnote w:id="71">
    <w:p w14:paraId="1070081A" w14:textId="1896421F"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10.1177/1357034X15624510","ISSN":"1357-034X","author":[{"dropping-particle":"","family":"Guta","given":"Adrian","non-dropping-particle":"","parse-names":false,"suffix":""},{"dropping-particle":"","family":"Murray","given":"Stuart J","non-dropping-particle":"","parse-names":false,"suffix":""},{"dropping-particle":"","family":"Gagnon","given":"Marilou","non-dropping-particle":"","parse-names":false,"suffix":""}],"container-title":"Body &amp; Society","id":"ITEM-1","issue":"2","issued":{"date-parts":[["2016","6","12"]]},"page":"82-107","title":"HIV, Viral Suppression and New Technologies of Surveillance and Control","type":"article-journal","volume":"22"},"locator":"97","uris":["http://www.mendeley.com/documents/?uuid=f561350a-b27c-4c1a-be36-7f0dab989765"]}],"mendeley":{"formattedCitation":"Adrian Guta, Stuart J Murray and Marilou Gagnon, ‘HIV, Viral Suppression and New Technologies of Surveillance and Control’ (2016) 22 Body &amp; Society 82, 97.","plainTextFormattedCitation":"Adrian Guta, Stuart J Murray and Marilou Gagnon, ‘HIV, Viral Suppression and New Technologies of Surveillance and Control’ (2016) 22 Body &amp; Society 82, 97.","previouslyFormattedCitation":"Adrian Guta, Stuart J Murray and Marilou Gagnon, ‘HIV, Viral Suppression and New Technologies of Surveillance and Control’ (2016) 22 Body &amp; Society 82, 97."},"properties":{"noteIndex":70},"schema":"https://github.com/citation-style-language/schema/raw/master/csl-citation.json"}</w:instrText>
      </w:r>
      <w:r>
        <w:fldChar w:fldCharType="separate"/>
      </w:r>
      <w:r w:rsidRPr="00DF35EA">
        <w:rPr>
          <w:noProof/>
        </w:rPr>
        <w:t>Adrian Guta, Stuart J Murray and Marilou Gagnon, ‘HIV, Viral Suppression and New Technologies of Surveillance and Control’ (2016) 22 Body &amp; Society 82, 97.</w:t>
      </w:r>
      <w:r>
        <w:fldChar w:fldCharType="end"/>
      </w:r>
    </w:p>
  </w:footnote>
  <w:footnote w:id="72">
    <w:p w14:paraId="34F3942E" w14:textId="424F8FB0"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10.1177/1357034X15624510","ISSN":"1357-034X","author":[{"dropping-particle":"","family":"Guta","given":"Adrian","non-dropping-particle":"","parse-names":false,"suffix":""},{"dropping-particle":"","family":"Murray","given":"Stuart J","non-dropping-particle":"","parse-names":false,"suffix":""},{"dropping-particle":"","family":"Gagnon","given":"Marilou","non-dropping-particle":"","parse-names":false,"suffix":""}],"container-title":"Body &amp; Society","id":"ITEM-1","issue":"2","issued":{"date-parts":[["2016","6","12"]]},"page":"82-107","title":"HIV, Viral Suppression and New Technologies of Surveillance and Control","type":"article-journal","volume":"22"},"locator":"89","prefix":"In particular, those narratives that make reference to TasP offering the potential of an AIDS free generation. See,","uris":["http://www.mendeley.com/documents/?uuid=f561350a-b27c-4c1a-be36-7f0dab989765"]},{"id":"ITEM-2","itemData":{"DOI":"10.1521/aeap.2015.27.4.333","ISBN":"0899-9546","ISSN":"0899-9546","PMID":"26241383","abstract":"We explore gay men’s sex life narratives following their diagnosis with an acute or recent HIV infection. All participants received an acute (n = 13) or recent (n = 12) HIV diagnosis and completed a series of self-administered questionnaires and in-depth qualitative interviews over a one-year period or longer. Over the course of four qualitative interviews, participants frequently spoke of the role of medications (e.g., decisions to start treatment) and changing viral loads (e.g., discourses of becoming “undetectable”) in relation to their sex lives since being diagnosed with HIV. Many men talked about milestones relating to initiating medication and viral load as informing their shifting sexual behaviors and identities as HIV-positive—or “undetectable”— gay men. The narratives of our participants provide insight regarding complex negotiations and processes of decision-making over time related to sex, counseling needs, treatment initiation, viral load, and the significance of undetectability as an emergent identity.","author":[{"dropping-particle":"","family":"Grace","given":"Daniel","non-dropping-particle":"","parse-names":false,"suffix":""},{"dropping-particle":"","family":"Chown","given":"Sarah A.","non-dropping-particle":"","parse-names":false,"suffix":""},{"dropping-particle":"","family":"Kwag","given":"Michael","non-dropping-particle":"","parse-names":false,"suffix":""},{"dropping-particle":"","family":"Steinberg","given":"Malcolm","non-dropping-particle":"","parse-names":false,"suffix":""},{"dropping-particle":"","family":"Lim","given":"Elgin","non-dropping-particle":"","parse-names":false,"suffix":""},{"dropping-particle":"","family":"Gilbert","given":"Mark","non-dropping-particle":"","parse-names":false,"suffix":""}],"container-title":"AIDS Education and Prevention","id":"ITEM-2","issue":"4","issued":{"date-parts":[["2015","8"]]},"page":"333-349","title":"Becoming “Undetectable”: Longitudinal Narratives of Gay Men's Sex Lives After a Recent HIV Diagnosis","type":"article-journal","volume":"27"},"prefix":"See, also, ","uris":["http://www.mendeley.com/documents/?uuid=0c79bdaa-6643-313b-93c1-c83e4adc5c3a"]}],"mendeley":{"formattedCitation":"In particular, those narratives that make reference to TasP offering the potential of an AIDS free generation. See, Guta, Murray and Gagnon (n 70) 89; See, also, Daniel Grace and others, ‘Becoming “Undetectable”: Longitudinal Narratives of Gay Men’s Sex Lives After a Recent HIV Diagnosis’ (2015) 27 AIDS Education and Prevention 333.","plainTextFormattedCitation":"In particular, those narratives that make reference to TasP offering the potential of an AIDS free generation. See, Guta, Murray and Gagnon (n 70) 89; See, also, Daniel Grace and others, ‘Becoming “Undetectable”: Longitudinal Narratives of Gay Men’s Sex Lives After a Recent HIV Diagnosis’ (2015) 27 AIDS Education and Prevention 333.","previouslyFormattedCitation":"In particular, those narratives that make reference to TasP offering the potential of an AIDS free generation. See, Guta, Murray and Gagnon (n 70) 89; See, also, Daniel Grace and others, ‘Becoming “Undetectable”: Longitudinal Narratives of Gay Men’s Sex Lives After a Recent HIV Diagnosis’ (2015) 27 AIDS Education and Prevention 333."},"properties":{"noteIndex":71},"schema":"https://github.com/citation-style-language/schema/raw/master/csl-citation.json"}</w:instrText>
      </w:r>
      <w:r>
        <w:fldChar w:fldCharType="separate"/>
      </w:r>
      <w:r w:rsidRPr="00995B8E">
        <w:rPr>
          <w:noProof/>
        </w:rPr>
        <w:t>In particular, those narratives that make reference to TasP offering the potential of an AIDS free generation. See, Guta, Murray and Gagnon (n 70) 89; See, also, Daniel Grace and others, ‘Becoming “Undetectable”: Longitudinal Narratives of Gay Men’s Sex Lives After a Recent HIV Diagnosis’ (2015) 27 AIDS Education and Prevention 333.</w:t>
      </w:r>
      <w:r>
        <w:fldChar w:fldCharType="end"/>
      </w:r>
    </w:p>
  </w:footnote>
  <w:footnote w:id="73">
    <w:p w14:paraId="28194250" w14:textId="1895F6F3"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{"citationItems":[{"id":"ITEM-1","itemData":{"DOI":"10.1080/13691050500100773","ISBN":"13691058","ISSN":"13691058","PMID":"16864207","abstract":"This paper analyses on the discourses employed by a subset of gay and bisexual men who no longer practise protected sex more than twenty years into the HIV epidemic. In-depth interviews with 102 men in Toronto are used to examine the moral reasoning of those for whom the language of barebacking provides a shared set of accounts and tacit understandings for unprotected sex. Barebacking raises some of the central issues of contemporary theory around risk, responsibility, and ethics, and poses new challenges to HIV prevention policy as barebacking discourses adapt some of the major tenets of neoliberal ideology by combining notions of informed consent, contractual interaction, free market choice, and responsibility in new ways. At the same time, interviews with barebackers reveal competing and contradictory discourses that suggest new avenues of engagement for HIV prevention initiatives.","author":[{"dropping-particle":"","family":"Adam","given":"Barry D","non-dropping-particle":"","parse-names":false,"suffix":""}],"container-title":"Culture, Health and Sexuality","id":"ITEM-1","issue":"4","issued":{"date-parts":[["2005"]]},"page":"333-346","title":"Constructing the neoliberal sexual actor: Responsibility and care of the self in the discourse of barebackers","type":"article-journal","volume":"7"},"prefix":"See,","uris":["http://www.mendeley.com/documents/?uuid=621cf165-9db6-3833-ad26-5395d3f9d699"]}],"mendeley":{"formattedCitation":"See, Barry D Adam, ‘Constructing the Neoliberal Sexual Actor: Responsibility and Care of the Self in the Discourse of Barebackers’ (2005) 7 Culture, Health and Sexuality 333.","plainTextFormattedCitation":"See, Barry D Adam, ‘Constructing the Neoliberal Sexual Actor: Responsibility and Care of the Self in the Discourse of Barebackers’ (2005) 7 Culture, Health and Sexuality 333.","previouslyFormattedCitation":"See, Barry D Adam, ‘Constructing the Neoliberal Sexual Actor: Responsibility and Care of the Self in the Discourse of Barebackers’ (2005) 7 Culture, Health and Sexuality 333."},"properties":{"noteIndex":72},"schema":"https://github.com/citation-style-language/schema/raw/master/csl-citation.json"}</w:instrText>
      </w:r>
      <w:r>
        <w:fldChar w:fldCharType="separate"/>
      </w:r>
      <w:r w:rsidRPr="00DF35EA">
        <w:rPr>
          <w:noProof/>
        </w:rPr>
        <w:t>See, Barry D Adam, ‘Constructing the Neoliberal Sexual Actor: Responsibility and Care of the Self in the Discourse of Barebackers’ (2005) 7 Culture, Health and Sexuality 333.</w:t>
      </w:r>
      <w:r>
        <w:fldChar w:fldCharType="end"/>
      </w:r>
    </w:p>
  </w:footnote>
  <w:footnote w:id="74">
    <w:p w14:paraId="5F42DA5A" w14:textId="24049AF5" w:rsidR="003C4498" w:rsidRDefault="003C4498">
      <w:pPr>
        <w:pStyle w:val="FootnoteText"/>
      </w:pPr>
      <w:r>
        <w:rPr>
          <w:rStyle w:val="FootnoteReference"/>
        </w:rPr>
        <w:footnoteRef/>
      </w:r>
      <w:r>
        <w:t xml:space="preserve"> </w:t>
      </w:r>
      <w:r>
        <w:fldChar w:fldCharType="begin" w:fldLock="1"/>
      </w:r>
      <w:r>
        <w:instrText>ADDIN CSL_CITATION {"citationItems":[{"id":"ITEM-1","itemData":{"DOI":"10.1177/0731121417709248","ISSN":"0731-1214","abstract":"This study draws from interviews with HIV-negative gay men to show how they are doing sexual responsibility online and how their actions uphold moralizing discourses around HIV. The analysis shows how gay men often engage in boundary work through stating their HIV status and “safe sex” practices on their online profile and through screening other people’s profiles for similar information. The gay men also avoid interactions with HIV-positive people, maintaining the stigmatization of HIV-positive people and constructing an HIV-positive serostatus as a status distinction. However, although the HIV-negative gay men are often invested in doing sexual responsibility, they eschew condom use with people they trust. This study then demonstrates the limitations and unintended consequences of discourses that often focus on risk and individual responsibility. These discourses ignore the relational and emotive components of sexual interactions, and hence fail to capture the complexities of people’s lives.","author":[{"dropping-particle":"","family":"Robinson","given":"Brandon Andrew","non-dropping-particle":"","parse-names":false,"suffix":""}],"container-title":"Sociological Perspectives","id":"ITEM-1","issue":"3","issued":{"date-parts":[["2018","6","17"]]},"page":"383-398","title":"Doing Sexual Responsibility: HIV, Risk Discourses, Trust, and Gay Men Interacting Online","type":"article-journal","volume":"61"},"uris":["http://www.mendeley.com/documents/?uuid=f73ef4ac-c75b-39ec-9e6c-e0a008d99e8a"]}],"mendeley":{"formattedCitation":"Robinson (n 15).","plainTextFormattedCitation":"Robinson (n 15).","previouslyFormattedCitation":"Robinson (n 15)."},"properties":{"noteIndex":73},"schema":"https://github.com/citation-style-language/schema/raw/master/csl-citation.json"}</w:instrText>
      </w:r>
      <w:r>
        <w:fldChar w:fldCharType="separate"/>
      </w:r>
      <w:r w:rsidRPr="00DF35EA">
        <w:rPr>
          <w:noProof/>
        </w:rPr>
        <w:t>Robinson (n 15).</w:t>
      </w:r>
      <w:r>
        <w:fldChar w:fldCharType="end"/>
      </w:r>
    </w:p>
  </w:footnote>
  <w:footnote w:id="75">
    <w:p w14:paraId="41172FE2" w14:textId="04C5E9CF" w:rsidR="003C4498" w:rsidRDefault="003C4498">
      <w:pPr>
        <w:pStyle w:val="FootnoteText"/>
      </w:pPr>
      <w:r>
        <w:rPr>
          <w:rStyle w:val="FootnoteReference"/>
        </w:rPr>
        <w:footnoteRef/>
      </w:r>
      <w:r>
        <w:t xml:space="preserve"> </w:t>
      </w:r>
      <w:r>
        <w:fldChar w:fldCharType="begin" w:fldLock="1"/>
      </w:r>
      <w:r>
        <w:instrText>ADDIN CSL_CITATION {"citationItems":[{"id":"ITEM-1","itemData":{"ISBN":"0-203-93793-7","abstract":"\"A GlassHouse book.\" The terrain : the state, criminal justice and HIV -- The trial of Feston Konzani -- Harm, causation and HIV infection -- Risk, recklessness and HIV -- Consent, knowledge and disclosure -- Responsibility, HIV transmission and the criminal law.","author":[{"dropping-particle":"","family":"Weait","given":"Matthew.","non-dropping-particle":"","parse-names":false,"suffix":""}],"id":"ITEM-1","issued":{"date-parts":[["2007"]]},"number-of-pages":"250","publisher":"Routledge-Cavendish","title":"Intimacy and Responsibility: The Criminalisation of HIV Transmission","type":"book"},"prefix":"See, generally,","uris":["http://www.mendeley.com/documents/?uuid=279e4351-6739-3359-b7dc-1c0dd975be22"]}],"mendeley":{"formattedCitation":"See, generally, Matthew Weait, &lt;i&gt;Intimacy and Responsibility: The Criminalisation of HIV Transmission&lt;/i&gt; (Routledge-Cavendish 2007).","plainTextFormattedCitation":"See, generally, Matthew Weait, Intimacy and Responsibility: The Criminalisation of HIV Transmission (Routledge-Cavendish 2007).","previouslyFormattedCitation":"See, generally, Matthew Weait, &lt;i&gt;Intimacy and Responsibility: The Criminalisation of HIV Transmission&lt;/i&gt; (Routledge-Cavendish 2007)."},"properties":{"noteIndex":74},"schema":"https://github.com/citation-style-language/schema/raw/master/csl-citation.json"}</w:instrText>
      </w:r>
      <w:r>
        <w:fldChar w:fldCharType="separate"/>
      </w:r>
      <w:r w:rsidRPr="005857F7">
        <w:rPr>
          <w:noProof/>
        </w:rPr>
        <w:t xml:space="preserve">See, generally, Matthew Weait, </w:t>
      </w:r>
      <w:r w:rsidRPr="005857F7">
        <w:rPr>
          <w:i/>
          <w:noProof/>
        </w:rPr>
        <w:t>Intimacy and Responsibility: The Criminalisation of HIV Transmission</w:t>
      </w:r>
      <w:r w:rsidRPr="005857F7">
        <w:rPr>
          <w:noProof/>
        </w:rPr>
        <w:t xml:space="preserve"> (Routledge-Cavendish 2007).</w:t>
      </w:r>
      <w:r>
        <w:fldChar w:fldCharType="end"/>
      </w:r>
    </w:p>
  </w:footnote>
  <w:footnote w:id="76">
    <w:p w14:paraId="44A95196" w14:textId="590DE9AF"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{"citationItems":[{"id":"ITEM-1","itemData":{"DOI":"10.1080/15295036.2018.1442013","ISSN":"14795809","abstract":"© 2018 National Communication Association This article explores how the current context of neoliberal austerity has come to shape representations of gay identity in the British tabloid press. Focusing on the reporting of two news events by the Daily Mail and the Sun between July 2016 and July 2017, the High Court ruling on the provision of the HIV prevention drug PrEP by the National Health Service and the rise of so-called “chemsex” amongst gay men, I argue that the right-wing tabloids have reformulated traditional homophobic scripts in ways that correspond with the contemporary social and political context of neoliberal austerity. My analysis therefore expands scholarly understandings of how austerity ideologies shape normative understandings of “good” and “bad” behavior through the specific context of gay identity. I argue that the right-wing tabloids have come to circulate a negatively coded vision of gay life characterized by drug addiction and promiscuous, “risky” sex, which is constructed as the antithesis of the idealized, respectable and responsible subject of neoliberal austerity. Amidst the uncertainties of neoliberalism, these representations manufacture and sell a seemingly transcendental, conservative, heteronormative consensus around sexual moralities under austerity.","author":[{"dropping-particle":"","family":"Lovelock","given":"Michael","non-dropping-particle":"","parse-names":false,"suffix":""}],"container-title":"Critical Studies in Media Communication","id":"ITEM-1","issue":"3","issued":{"date-parts":[["2018"]]},"page":"225-239","publisher":"Michael Lovelock","title":"Sex, death and austerity: resurgent homophobia in the British tabloid press","type":"article-journal","volume":"35"},"uris":["http://www.mendeley.com/documents/?uuid=f0bc24a6-3b98-3f2c-851a-ce2f9f81d438"]},{"id":"ITEM-2","itemData":{"DOI":"10.1177/1363460719872726","ISSN":"1363-4607","abstract":"In this article I examine the public discussion of pre-exposure prophylaxis (PrEP) in the UK and investigate how this treatment and its key beneficiaries were framed by the British press between 2012 and 2016. Drawing upon an archive of articles published in national newspapers, I identify the discursive transformation that PrEP underwent during this period, as it moved from being a ‘wonder drug’ that benefited the health of the general population, to a ‘promiscuity pill’ that threatened the lives of the most vulnerable. I illustrate how this transformation was accompanied by a shift in the representation of gay men – who were almost universally positioned as the future beneficiaries of PrEP in the UK. Utilizing critical discourse analysis methods, I explore how gay men went from being ‘upstanding citizens’ to ‘dangerous outsiders’, and how the British press mapped older stereotypes of the diseased gay male body onto newer homonormative representations of the ‘good gay’ and the ‘evil queer’. This analysis reveals the precarious status gay men occupy in ‘post-equalities’ Britain – a status that requires adherence to a particular code of sexual and moral conduct, and the disavowal of long-term health inequalities.","author":[{"dropping-particle":"","family":"Mowlabocus","given":"Sharif","non-dropping-particle":"","parse-names":false,"suffix":""}],"container-title":"Sexualities","id":"ITEM-2","issued":{"date-parts":[["2019","9","25"]]},"title":"‘What a skewed sense of values’: Discussing PreP in the British press","type":"article-journal"},"uris":["http://www.mendeley.com/documents/?uuid=5ddcdf9a-85bc-3c67-abbb-bb04f01a84ea"]}],"mendeley":{"formattedCitation":"Michael Lovelock, ‘Sex, Death and Austerity: Resurgent Homophobia in the British Tabloid Press’ (2018) 35 Critical Studies in Media Communication 225; Sharif Mowlabocus, ‘“What a Skewed Sense of Values”: Discussing PreP in the British Press’ [2019] Sexualities.","plainTextFormattedCitation":"Michael Lovelock, ‘Sex, Death and Austerity: Resurgent Homophobia in the British Tabloid Press’ (2018) 35 Critical Studies in Media Communication 225; Sharif Mowlabocus, ‘“What a Skewed Sense of Values”: Discussing PreP in the British Press’ [2019] Sexualities.","previouslyFormattedCitation":"Michael Lovelock, ‘Sex, Death and Austerity: Resurgent Homophobia in the British Tabloid Press’ (2018) 35 Critical Studies in Media Communication 225; Sharif Mowlabocus, ‘“What a Skewed Sense of Values”: Discussing PreP in the British Press’ [2019] Sexualities."},"properties":{"noteIndex":75},"schema":"https://github.com/citation-style-language/schema/raw/master/csl-citation.json"}</w:instrText>
      </w:r>
      <w:r>
        <w:fldChar w:fldCharType="separate"/>
      </w:r>
      <w:r w:rsidRPr="00DF35EA">
        <w:rPr>
          <w:noProof/>
        </w:rPr>
        <w:t>Michael Lovelock, ‘Sex, Death and Austerity: Resurgent Homophobia in the British Tabloid Press’ (2018) 35 Critical Studies in Media Communication 225; Sharif Mowlabocus, ‘“What a Skewed Sense of Values”: Discussing PreP in the British Press’ [2019] Sexualities.</w:t>
      </w:r>
      <w:r>
        <w:fldChar w:fldCharType="end"/>
      </w:r>
    </w:p>
  </w:footnote>
  <w:footnote w:id="77">
    <w:p w14:paraId="6183D530" w14:textId="67DAE65B"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{"citationItems":[{"id":"ITEM-1","itemData":{"DOI":"10.1080/15295036.2018.1442013","ISSN":"14795809","abstract":"© 2018 National Communication Association This article explores how the current context of neoliberal austerity has come to shape representations of gay identity in the British tabloid press. Focusing on the reporting of two news events by the Daily Mail and the Sun between July 2016 and July 2017, the High Court ruling on the provision of the HIV prevention drug PrEP by the National Health Service and the rise of so-called “chemsex” amongst gay men, I argue that the right-wing tabloids have reformulated traditional homophobic scripts in ways that correspond with the contemporary social and political context of neoliberal austerity. My analysis therefore expands scholarly understandings of how austerity ideologies shape normative understandings of “good” and “bad” behavior through the specific context of gay identity. I argue that the right-wing tabloids have come to circulate a negatively coded vision of gay life characterized by drug addiction and promiscuous, “risky” sex, which is constructed as the antithesis of the idealized, respectable and responsible subject of neoliberal austerity. Amidst the uncertainties of neoliberalism, these representations manufacture and sell a seemingly transcendental, conservative, heteronormative consensus around sexual moralities under austerity.","author":[{"dropping-particle":"","family":"Lovelock","given":"Michael","non-dropping-particle":"","parse-names":false,"suffix":""}],"container-title":"Critical Studies in Media Communication","id":"ITEM-1","issue":"3","issued":{"date-parts":[["2018"]]},"page":"225-239","publisher":"Michael Lovelock","title":"Sex, death and austerity: resurgent homophobia in the British tabloid press","type":"article-journal","volume":"35"},"locator":"226-236","uris":["http://www.mendeley.com/documents/?uuid=f0bc24a6-3b98-3f2c-851a-ce2f9f81d438"]},{"id":"ITEM-2","itemData":{"author":[{"dropping-particle":"","family":"Joshi","given":"Yuvraj","non-dropping-particle":"","parse-names":false,"suffix":""}],"container-title":"Columbia Human Rights Law Review","id":"ITEM-2","issue":"3","issued":{"date-parts":[["2012"]]},"page":"415","title":"Respectable Queerness","type":"article-journal","volume":"43"},"prefix":"drawing on, ","uris":["http://www.mendeley.com/documents/?uuid=573e7b0a-6390-39df-800a-eeaf513cd430"]},{"id":"ITEM-3","itemData":{"DOI":"10.1177/1363460715569130","ISSN":"1363-4607","abstract":"This article seeks to explore bareback sex in the context of an evolving socio-legal landscape. The emergence of homonormativity and the intrinsic focus upon marriage and an agenda of domesticity have cemented the ‘good gay’ at the heart of contemporary society. For the ‘bad queer’, bareback as identity and bareback as act can be negotiated as points of difference, but the law continues to struggle with such difference. Instead, we increasingly see doctrinal law along with the force of law seeking to erase bareback sex, notably in the context of pornography. This piece argues for the radical power of bareback sex as a liberation-inspired concept, one that serves as point of resistance to law. [ABSTRACT FROM PUBLISHER]","author":[{"dropping-particle":"","family":"Ashford","given":"Chris","non-dropping-particle":"","parse-names":false,"suffix":""}],"container-title":"Sexualities","id":"ITEM-3","issue":"1-2","issued":{"date-parts":[["2015"]]},"page":"195-209","title":"Bareback sex, queer legal theory, and evolving socio-legal contexts","type":"article-journal","volume":"18"},"prefix":"and, ","uris":["http://www.mendeley.com/documents/?uuid=706ae752-3efe-36fd-b2b0-72c6c071e6fe"]}],"mendeley":{"formattedCitation":"Lovelock (n 75) 226–236; drawing on, Yuvraj Joshi, ‘Respectable Queerness’ (2012) 43 Columbia Human Rights Law Review 415; and, Chris Ashford, ‘Bareback Sex, Queer Legal Theory, and Evolving Socio-Legal Contexts’ (2015) 18 Sexualities 195.","plainTextFormattedCitation":"Lovelock (n 75) 226–236; drawing on, Yuvraj Joshi, ‘Respectable Queerness’ (2012) 43 Columbia Human Rights Law Review 415; and, Chris Ashford, ‘Bareback Sex, Queer Legal Theory, and Evolving Socio-Legal Contexts’ (2015) 18 Sexualities 195.","previouslyFormattedCitation":"Lovelock (n 75) 226–236; drawing on, Yuvraj Joshi, ‘Respectable Queerness’ (2012) 43 Columbia Human Rights Law Review 415; and, Chris Ashford, ‘Bareback Sex, Queer Legal Theory, and Evolving Socio-Legal Contexts’ (2015) 18 Sexualities 195."},"properties":{"noteIndex":76},"schema":"https://github.com/citation-style-language/schema/raw/master/csl-citation.json"}</w:instrText>
      </w:r>
      <w:r>
        <w:fldChar w:fldCharType="separate"/>
      </w:r>
      <w:r w:rsidRPr="00995B8E">
        <w:rPr>
          <w:noProof/>
        </w:rPr>
        <w:t>Lovelock (n 75) 226–236; drawing on, Yuvraj Joshi, ‘Respectable Queerness’ (2012) 43 Columbia Human Rights Law Review 415; and, Chris Ashford, ‘Bareback Sex, Queer Legal Theory, and Evolving Socio-Legal Contexts’ (2015) 18 Sexualities 195.</w:t>
      </w:r>
      <w:r>
        <w:fldChar w:fldCharType="end"/>
      </w:r>
    </w:p>
  </w:footnote>
  <w:footnote w:id="78">
    <w:p w14:paraId="0ECDF091" w14:textId="20875629" w:rsidR="003C4498" w:rsidRDefault="003C4498">
      <w:pPr>
        <w:pStyle w:val="FootnoteText"/>
      </w:pPr>
      <w:r>
        <w:rPr>
          <w:rStyle w:val="FootnoteReference"/>
        </w:rPr>
        <w:footnoteRef/>
      </w:r>
      <w:r>
        <w:t xml:space="preserve"> </w:t>
      </w:r>
      <w:r>
        <w:fldChar w:fldCharType="begin" w:fldLock="1"/>
      </w:r>
      <w:r>
        <w:instrText>ADDIN CSL_CITATION {"citationItems":[{"id":"ITEM-1","itemData":{"author":[{"dropping-particle":"","family":"Wortham","given":"Jenna","non-dropping-particle":"","parse-names":false,"suffix":""}],"container-title":"The New York Times","id":"ITEM-1","issued":{"date-parts":[["2010","2","22"]]},"publisher-place":"New York","title":"Apple Bans Some Apps for Sex-Tinged Content","type":"article-newspaper"},"uris":["http://www.mendeley.com/documents/?uuid=a32b9081-9b0a-4bbc-b939-e0dfd1917eeb"]}],"mendeley":{"formattedCitation":"Jenna Wortham, ‘Apple Bans Some Apps for Sex-Tinged Content’ &lt;i&gt;The New York Times&lt;/i&gt; (New York, 22 February 2010).","plainTextFormattedCitation":"Jenna Wortham, ‘Apple Bans Some Apps for Sex-Tinged Content’ The New York Times (New York, 22 February 2010).","previouslyFormattedCitation":"Jenna Wortham, ‘Apple Bans Some Apps for Sex-Tinged Content’ &lt;i&gt;The New York Times&lt;/i&gt; (New York, 22 February 2010)."},"properties":{"noteIndex":77},"schema":"https://github.com/citation-style-language/schema/raw/master/csl-citation.json"}</w:instrText>
      </w:r>
      <w:r>
        <w:fldChar w:fldCharType="separate"/>
      </w:r>
      <w:r w:rsidRPr="00E34EDD">
        <w:rPr>
          <w:noProof/>
        </w:rPr>
        <w:t xml:space="preserve">Jenna Wortham, ‘Apple Bans Some Apps for Sex-Tinged Content’ </w:t>
      </w:r>
      <w:r w:rsidRPr="00E34EDD">
        <w:rPr>
          <w:i/>
          <w:noProof/>
        </w:rPr>
        <w:t>The New York Times</w:t>
      </w:r>
      <w:r w:rsidRPr="00E34EDD">
        <w:rPr>
          <w:noProof/>
        </w:rPr>
        <w:t xml:space="preserve"> (New York, 22 February 2010).</w:t>
      </w:r>
      <w:r>
        <w:fldChar w:fldCharType="end"/>
      </w:r>
    </w:p>
  </w:footnote>
  <w:footnote w:id="79">
    <w:p w14:paraId="4D159E3A" w14:textId="1C465DF6"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{"citationItems":[{"id":"ITEM-1","itemData":{"URL":"www.grindr.com/terms-of-service/","accessed":{"date-parts":[["2019","8","26"]]},"author":[{"dropping-particle":"","family":"Grindr LLC","given":"","non-dropping-particle":"","parse-names":false,"suffix":""}],"id":"ITEM-1","issued":{"date-parts":[["2018"]]},"note":"8.3.4 You will NOT use the Grindr Services for the commission or encouragement of any illegal purpose, or in violation of any local, state, national, or international law, including laws governing criminal acts, prohibited or controlled substances, intellectual property and other proprietary rights, data protection and privacy, and import or export control;","title":"Grindr Terms and Conditions of Service","type":"webpage"},"label":"paragraph","locator":"8.3.12","uris":["http://www.mendeley.com/documents/?uuid=ebc8a66f-2ece-44e7-be49-02d998a9c6af"]}],"mendeley":{"formattedCitation":"Grindr LLC, ‘Grindr Terms and Conditions of Service’ (2018) para 8.3.12 &lt;www.grindr.com/terms-of-service/&gt; accessed 26 August 2019.","plainTextFormattedCitation":"Grindr LLC, ‘Grindr Terms and Conditions of Service’ (2018) para 8.3.12  accessed 26 August 2019.","previouslyFormattedCitation":"Grindr LLC, ‘Grindr Terms and Conditions of Service’ (2018) para 8.3.12 &lt;www.grindr.com/terms-of-service/&gt; accessed 26 August 2019."},"properties":{"noteIndex":78},"schema":"https://github.com/citation-style-language/schema/raw/master/csl-citation.json"}</w:instrText>
      </w:r>
      <w:r>
        <w:fldChar w:fldCharType="separate"/>
      </w:r>
      <w:r w:rsidRPr="004448D8">
        <w:rPr>
          <w:noProof/>
        </w:rPr>
        <w:t>Grindr LLC, ‘Grindr Terms and Conditions of Service’ (2018) para 8.3.12 &lt;www.grindr.com/terms-of-service/&gt; accessed 26 August 2019.</w:t>
      </w:r>
      <w:r>
        <w:fldChar w:fldCharType="end"/>
      </w:r>
    </w:p>
  </w:footnote>
  <w:footnote w:id="80">
    <w:p w14:paraId="0D36D728" w14:textId="3FC78915" w:rsidR="003C4498" w:rsidRDefault="003C4498" w:rsidP="009046E9">
      <w:pPr>
        <w:pStyle w:val="Footnotes"/>
      </w:pPr>
      <w:r w:rsidRPr="00F76894">
        <w:rPr>
          <w:rStyle w:val="FootnoteReference"/>
        </w:rPr>
        <w:footnoteRef/>
      </w:r>
      <w:r>
        <w:t xml:space="preserve"> </w:t>
      </w:r>
      <w:r>
        <w:fldChar w:fldCharType="begin" w:fldLock="1"/>
      </w:r>
      <w:r>
        <w:instrText>ADDIN CSL_CITATION {"citationItems":[{"id":"ITEM-1","itemData":{"URL":"https://lawandsexuality.wordpress.com/2016/06/05/bareback-grindr-and-a-new-censorship/","accessed":{"date-parts":[["2019","8","26"]]},"author":[{"dropping-particle":"","family":"Ashford","given":"Chris","non-dropping-particle":"","parse-names":false,"suffix":""}],"container-title":"Law and Sexuality","id":"ITEM-1","issued":{"date-parts":[["2016","6","5"]]},"title":"Bareback, Grindr and a New Censorship?","type":"webpage"},"uris":["http://www.mendeley.com/documents/?uuid=0bcd1749-2b41-474a-944b-24853ba13be1"]}],"mendeley":{"formattedCitation":"Chris Ashford, ‘Bareback, Grindr and a New Censorship?’ (&lt;i&gt;Law and Sexuality&lt;/i&gt;, 5 June 2016) &lt;https://lawandsexuality.wordpress.com/2016/06/05/bareback-grindr-and-a-new-censorship/&gt; accessed 26 August 2019.","plainTextFormattedCitation":"Chris Ashford, ‘Bareback, Grindr and a New Censorship?’ (Law and Sexuality, 5 June 2016)  accessed 26 August 2019.","previouslyFormattedCitation":"Chris Ashford, ‘Bareback, Grindr and a New Censorship?’ (&lt;i&gt;Law and Sexuality&lt;/i&gt;, 5 June 2016) &lt;https://lawandsexuality.wordpress.com/2016/06/05/bareback-grindr-and-a-new-censorship/&gt; accessed 26 August 2019."},"properties":{"noteIndex":79},"schema":"https://github.com/citation-style-language/schema/raw/master/csl-citation.json"}</w:instrText>
      </w:r>
      <w:r>
        <w:fldChar w:fldCharType="separate"/>
      </w:r>
      <w:r w:rsidRPr="004448D8">
        <w:rPr>
          <w:noProof/>
        </w:rPr>
        <w:t>Chris Ashford, ‘Bareback, Grindr and a New Censorship?’ (</w:t>
      </w:r>
      <w:r w:rsidRPr="004448D8">
        <w:rPr>
          <w:i/>
          <w:noProof/>
        </w:rPr>
        <w:t>Law and Sexuality</w:t>
      </w:r>
      <w:r w:rsidRPr="004448D8">
        <w:rPr>
          <w:noProof/>
        </w:rPr>
        <w:t>, 5 June 2016) &lt;https://lawandsexuality.wordpress.com/2016/06/05/bareback-grindr-and-a-new-censorship/&gt; accessed 26 August 2019.</w:t>
      </w:r>
      <w:r>
        <w:fldChar w:fldCharType="end"/>
      </w:r>
    </w:p>
  </w:footnote>
  <w:footnote w:id="81">
    <w:p w14:paraId="0BE8C7D7" w14:textId="1A3265F4" w:rsidR="003C4498" w:rsidRDefault="003C4498" w:rsidP="009046E9">
      <w:pPr>
        <w:pStyle w:val="Footnotes"/>
      </w:pPr>
      <w:r w:rsidRPr="00F76894">
        <w:rPr>
          <w:rStyle w:val="FootnoteReference"/>
        </w:rPr>
        <w:footnoteRef/>
      </w:r>
      <w:r>
        <w:t xml:space="preserve"> </w:t>
      </w:r>
      <w:r>
        <w:fldChar w:fldCharType="begin" w:fldLock="1"/>
      </w:r>
      <w:r>
        <w:instrText>ADDIN CSL_CITATION {"citationItems":[{"id":"ITEM-1","itemData":{"DOI":"10.1177/1461444814521595","ISBN":"1461-4448","ISSN":"1461-4448","abstract":"While online spaces and communities were once seen to transcend geography, the ubiquity of location-aware mobile devices means that today's online interactions are deeply intertwined with offline places and relationships. Systems such as online dating applications for meeting nearby others provide novel social opportunities, but can also complicate interaction by aggregating or \"co-situating\" diverse sets of individuals. Often this aggregation occurs across traditional spatial or community boundaries that serve as cues for self-presentation and impression formation. This paper explores these issues through an interview study of Grindr users. Grindr is a location-aware real-time dating application for men who have sex with men. We argue that co-situation affects how and whether Grindr users and their behavior are visible to others, collapses or erases contextual cues about normative behavior, and introduces tensions in users' self-presentation in terms of their identifiability and the cues their profile contains relative to their behavior.","author":[{"dropping-particle":"","family":"Blackwell","given":"Courtney","non-dropping-particle":"","parse-names":false,"suffix":""},{"dropping-particle":"","family":"Birnholtz","given":"Jeremy","non-dropping-particle":"","parse-names":false,"suffix":""},{"dropping-particle":"","family":"Abbott","given":"Charles","non-dropping-particle":"","parse-names":false,"suffix":""}],"container-title":"New Media &amp; Society","id":"ITEM-1","issue":"7","issued":{"date-parts":[["2015"]]},"note":"On geo-apps infomation is shown by default, whilst online profiles on dating sites may show some infomation by default, much of this display is controled by the mutual engagement between website users, whereas on Grindr, interest can be - and often is - one directional.","page":"1117-1136","title":"Seeing and being seen: Co-situation and impression formation using Grindr, a location-aware gay dating app","type":"article-journal","volume":"17"},"uris":["http://www.mendeley.com/documents/?uuid=1e0c30e4-f39a-36da-8446-72335f5f54b0"]}],"mendeley":{"formattedCitation":"Courtney Blackwell, Jeremy Birnholtz and Charles Abbott, ‘Seeing and Being Seen: Co-Situation and Impression Formation Using Grindr, a Location-Aware Gay Dating App’ (2015) 17 New Media &amp; Society 1117.","plainTextFormattedCitation":"Courtney Blackwell, Jeremy Birnholtz and Charles Abbott, ‘Seeing and Being Seen: Co-Situation and Impression Formation Using Grindr, a Location-Aware Gay Dating App’ (2015) 17 New Media &amp; Society 1117.","previouslyFormattedCitation":"Courtney Blackwell, Jeremy Birnholtz and Charles Abbott, ‘Seeing and Being Seen: Co-Situation and Impression Formation Using Grindr, a Location-Aware Gay Dating App’ (2015) 17 New Media &amp; Society 1117."},"properties":{"noteIndex":80},"schema":"https://github.com/citation-style-language/schema/raw/master/csl-citation.json"}</w:instrText>
      </w:r>
      <w:r>
        <w:fldChar w:fldCharType="separate"/>
      </w:r>
      <w:r w:rsidRPr="00DF35EA">
        <w:rPr>
          <w:noProof/>
        </w:rPr>
        <w:t>Courtney Blackwell, Jeremy Birnholtz and Charles Abbott, ‘Seeing and Being Seen: Co-Situation and Impression Formation Using Grindr, a Location-Aware Gay Dating App’ (2015) 17 New Media &amp; Society 1117.</w:t>
      </w:r>
      <w:r>
        <w:fldChar w:fldCharType="end"/>
      </w:r>
    </w:p>
  </w:footnote>
  <w:footnote w:id="82">
    <w:p w14:paraId="7C474052" w14:textId="5D4A76C2" w:rsidR="003C4498" w:rsidRDefault="003C4498" w:rsidP="009046E9">
      <w:pPr>
        <w:pStyle w:val="Footnotes"/>
      </w:pPr>
      <w:r w:rsidRPr="00F76894">
        <w:rPr>
          <w:rStyle w:val="FootnoteReference"/>
        </w:rPr>
        <w:footnoteRef/>
      </w:r>
      <w:r>
        <w:t xml:space="preserve"> </w:t>
      </w:r>
      <w:r>
        <w:fldChar w:fldCharType="begin" w:fldLock="1"/>
      </w:r>
      <w:r>
        <w:instrText>ADDIN CSL_CITATION {"citationItems":[{"id":"ITEM-1","itemData":{"DOI":"10.1177/1363460715569130","ISSN":"1363-4607","abstract":"This article seeks to explore bareback sex in the context of an evolving socio-legal landscape. The emergence of homonormativity and the intrinsic focus upon marriage and an agenda of domesticity have cemented the ‘good gay’ at the heart of contemporary society. For the ‘bad queer’, bareback as identity and bareback as act can be negotiated as points of difference, but the law continues to struggle with such difference. Instead, we increasingly see doctrinal law along with the force of law seeking to erase bareback sex, notably in the context of pornography. This piece argues for the radical power of bareback sex as a liberation-inspired concept, one that serves as point of resistance to law. [ABSTRACT FROM PUBLISHER]","author":[{"dropping-particle":"","family":"Ashford","given":"Chris","non-dropping-particle":"","parse-names":false,"suffix":""}],"container-title":"Sexualities","id":"ITEM-1","issue":"1-2","issued":{"date-parts":[["2015"]]},"page":"195-209","title":"Bareback sex, queer legal theory, and evolving socio-legal contexts","type":"article-journal","volume":"18"},"suffix":", in particular, 196","uris":["http://www.mendeley.com/documents/?uuid=706ae752-3efe-36fd-b2b0-72c6c071e6fe"]}],"mendeley":{"formattedCitation":"Ashford, ‘Bareback Sex, Queer Legal Theory, and Evolving Socio-Legal Contexts’ (n 76), in particular, 196.","plainTextFormattedCitation":"Ashford, ‘Bareback Sex, Queer Legal Theory, and Evolving Socio-Legal Contexts’ (n 76), in particular, 196.","previouslyFormattedCitation":"Ashford, ‘Bareback Sex, Queer Legal Theory, and Evolving Socio-Legal Contexts’ (n 76), in particular, 196."},"properties":{"noteIndex":81},"schema":"https://github.com/citation-style-language/schema/raw/master/csl-citation.json"}</w:instrText>
      </w:r>
      <w:r>
        <w:fldChar w:fldCharType="separate"/>
      </w:r>
      <w:r w:rsidRPr="00995B8E">
        <w:rPr>
          <w:noProof/>
        </w:rPr>
        <w:t>Ashford, ‘Bareback Sex, Queer Legal Theory, and Evolving Socio-Legal Contexts’ (n 76), in particular, 196.</w:t>
      </w:r>
      <w:r>
        <w:fldChar w:fldCharType="end"/>
      </w:r>
    </w:p>
  </w:footnote>
  <w:footnote w:id="83">
    <w:p w14:paraId="547B72FD" w14:textId="7E1827BA" w:rsidR="003C4498" w:rsidRDefault="003C4498" w:rsidP="009046E9">
      <w:pPr>
        <w:pStyle w:val="Footnotes"/>
      </w:pPr>
      <w:r w:rsidRPr="00F76894">
        <w:rPr>
          <w:rStyle w:val="FootnoteReference"/>
        </w:rPr>
        <w:footnoteRef/>
      </w:r>
      <w:r>
        <w:t xml:space="preserve"> </w:t>
      </w:r>
      <w:r>
        <w:fldChar w:fldCharType="begin" w:fldLock="1"/>
      </w:r>
      <w:r>
        <w:instrText>ADDIN CSL_CITATION {"citationItems":[{"id":"ITEM-1","itemData":{"DOI":"10.1177/0022018319834373","ISSN":"0022-0183","abstract":"Finding the answer to whether consent is present within a sexual encounter has become increasingly difficult for the courts. We argue that this is due to the focus placed on entrenching gender binaries, a conservative sexual ethic and clear offender/victim roles. It should be the case that the court’s task is to find the truth of the encounter in coming to a judgment as to the ethical balance, rather than judging the parties’ conformity to cisnormative and heteronormative roles. This endeavour is obscured by the court’s need to exclude ‘sex talk’, or otherwise testimony as to the messy reality of the encounter, in favour of asserting gender identity and a procreative understanding of sex. We are, therefore, left in the position where the required information necessary for valid consent is obscured by the courts. We draw on an analysis of cases involving issues relating to consent to sex in order to argue for a judicial approach that is informed by a more flexible understanding of sexual autonomy.","author":[{"dropping-particle":"","family":"Brooks","given":"Victoria","non-dropping-particle":"","parse-names":false,"suffix":""},{"dropping-particle":"","family":"Thompson","given":"Jack Clayton","non-dropping-particle":"","parse-names":false,"suffix":""}],"container-title":"The Journal of Criminal Law","id":"ITEM-1","issue":"4","issued":{"date-parts":[["2019","8","5"]]},"page":"258-271","title":"Dude Looks Like a Lady: Gender Deception, Consent and Ethics","type":"article-journal","volume":"83"},"prefix":"A similar point about the lack of legal recognition of the messy reality of sex in gender deception cases can be found in","uris":["http://www.mendeley.com/documents/?uuid=a1d8e08b-1000-3c09-ab66-bd78bb774505"]}],"mendeley":{"formattedCitation":"A similar point about the lack of legal recognition of the messy reality of sex in gender deception cases can be found in Victoria Brooks and Jack Clayton Thompson, ‘Dude Looks Like a Lady: Gender Deception, Consent and Ethics’ (2019) 83 The Journal of Criminal Law 258.","plainTextFormattedCitation":"A similar point about the lack of legal recognition of the messy reality of sex in gender deception cases can be found in Victoria Brooks and Jack Clayton Thompson, ‘Dude Looks Like a Lady: Gender Deception, Consent and Ethics’ (2019) 83 The Journal of Criminal Law 258.","previouslyFormattedCitation":"A similar point about the lack of legal recognition of the messy reality of sex in gender deception cases can be found in Victoria Brooks and Jack Clayton Thompson, ‘Dude Looks Like a Lady: Gender Deception, Consent and Ethics’ (2019) 83 The Journal of Criminal Law 258."},"properties":{"noteIndex":82},"schema":"https://github.com/citation-style-language/schema/raw/master/csl-citation.json"}</w:instrText>
      </w:r>
      <w:r>
        <w:fldChar w:fldCharType="separate"/>
      </w:r>
      <w:r w:rsidRPr="00DF35EA">
        <w:rPr>
          <w:noProof/>
        </w:rPr>
        <w:t>A similar point about the lack of legal recognition of the messy reality of sex in gender deception cases can be found in Victoria Brooks and Jack Clayton Thompson, ‘Dude Looks Like a Lady: Gender Deception, Consent and Ethics’ (2019) 83 The Journal of Criminal Law 258.</w:t>
      </w:r>
      <w:r>
        <w:fldChar w:fldCharType="end"/>
      </w:r>
    </w:p>
  </w:footnote>
  <w:footnote w:id="84">
    <w:p w14:paraId="1EF72EA7" w14:textId="04C354B2" w:rsidR="003C4498" w:rsidRDefault="003C4498" w:rsidP="009046E9">
      <w:pPr>
        <w:pStyle w:val="Footnotes"/>
      </w:pPr>
      <w:r w:rsidRPr="00F76894">
        <w:rPr>
          <w:rStyle w:val="FootnoteReference"/>
        </w:rPr>
        <w:footnoteRef/>
      </w:r>
      <w:r>
        <w:t xml:space="preserve"> See the quote from Participant 401353-401344-42326141, at n 46.</w:t>
      </w:r>
    </w:p>
  </w:footnote>
  <w:footnote w:id="85">
    <w:p w14:paraId="08C52070" w14:textId="0450D653"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{"citationItems":[{"id":"ITEM-1","itemData":{"DOI":"10.1177/0731121417709248","ISSN":"0731-1214","abstract":"This study draws from interviews with HIV-negative gay men to show how they are doing sexual responsibility online and how their actions uphold moralizing discourses around HIV. The analysis shows how gay men often engage in boundary work through stating their HIV status and “safe sex” practices on their online profile and through screening other people’s profiles for similar information. The gay men also avoid interactions with HIV-positive people, maintaining the stigmatization of HIV-positive people and constructing an HIV-positive serostatus as a status distinction. However, although the HIV-negative gay men are often invested in doing sexual responsibility, they eschew condom use with people they trust. This study then demonstrates the limitations and unintended consequences of discourses that often focus on risk and individual responsibility. These discourses ignore the relational and emotive components of sexual interactions, and hence fail to capture the complexities of people’s lives.","author":[{"dropping-particle":"","family":"Robinson","given":"Brandon Andrew","non-dropping-particle":"","parse-names":false,"suffix":""}],"container-title":"Sociological Perspectives","id":"ITEM-1","issue":"3","issued":{"date-parts":[["2018","6","17"]]},"page":"383-398","title":"Doing Sexual Responsibility: HIV, Risk Discourses, Trust, and Gay Men Interacting Online","type":"article-journal","volume":"61"},"uris":["http://www.mendeley.com/documents/?uuid=f73ef4ac-c75b-39ec-9e6c-e0a008d99e8a"]}],"mendeley":{"formattedCitation":"Robinson (n 15).","plainTextFormattedCitation":"Robinson (n 15).","previouslyFormattedCitation":"Robinson (n 15)."},"properties":{"noteIndex":84},"schema":"https://github.com/citation-style-language/schema/raw/master/csl-citation.json"}</w:instrText>
      </w:r>
      <w:r>
        <w:fldChar w:fldCharType="separate"/>
      </w:r>
      <w:r w:rsidRPr="00DF35EA">
        <w:rPr>
          <w:noProof/>
        </w:rPr>
        <w:t>Robinson (n 15).</w:t>
      </w:r>
      <w:r>
        <w:fldChar w:fldCharType="end"/>
      </w:r>
    </w:p>
  </w:footnote>
  <w:footnote w:id="86">
    <w:p w14:paraId="55609D24" w14:textId="5FB26826"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{"citationItems":[{"id":"ITEM-1","itemData":{"DOI":"10.1177/0731121417709248","ISSN":"0731-1214","abstract":"This study draws from interviews with HIV-negative gay men to show how they are doing sexual responsibility online and how their actions uphold moralizing discourses around HIV. The analysis shows how gay men often engage in boundary work through stating their HIV status and “safe sex” practices on their online profile and through screening other people’s profiles for similar information. The gay men also avoid interactions with HIV-positive people, maintaining the stigmatization of HIV-positive people and constructing an HIV-positive serostatus as a status distinction. However, although the HIV-negative gay men are often invested in doing sexual responsibility, they eschew condom use with people they trust. This study then demonstrates the limitations and unintended consequences of discourses that often focus on risk and individual responsibility. These discourses ignore the relational and emotive components of sexual interactions, and hence fail to capture the complexities of people’s lives.","author":[{"dropping-particle":"","family":"Robinson","given":"Brandon Andrew","non-dropping-particle":"","parse-names":false,"suffix":""}],"container-title":"Sociological Perspectives","id":"ITEM-1","issue":"3","issued":{"date-parts":[["2018","6","17"]]},"page":"383-398","title":"Doing Sexual Responsibility: HIV, Risk Discourses, Trust, and Gay Men Interacting Online","type":"article-journal","volume":"61"},"locator":"12","uris":["http://www.mendeley.com/documents/?uuid=f73ef4ac-c75b-39ec-9e6c-e0a008d99e8a"]}],"mendeley":{"formattedCitation":"Robinson (n 15) 12.","plainTextFormattedCitation":"Robinson (n 15) 12.","previouslyFormattedCitation":"Robinson (n 15) 12."},"properties":{"noteIndex":85},"schema":"https://github.com/citation-style-language/schema/raw/master/csl-citation.json"}</w:instrText>
      </w:r>
      <w:r>
        <w:fldChar w:fldCharType="separate"/>
      </w:r>
      <w:r w:rsidRPr="00DF35EA">
        <w:rPr>
          <w:noProof/>
        </w:rPr>
        <w:t>Robinson (n 15) 12.</w:t>
      </w:r>
      <w:r>
        <w:fldChar w:fldCharType="end"/>
      </w:r>
    </w:p>
  </w:footnote>
  <w:footnote w:id="87">
    <w:p w14:paraId="371EED41" w14:textId="01EB4005"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{"citationItems":[{"id":"ITEM-1","itemData":{"DOI":"10.1002/1099-1298(200007/08)10:4&lt;285::AID-CASP584&gt;3.0.CO;2-7","ISSN":"10529284","abstract":"Abstract 10.1002/1099-1298(200007/08)10:4&lt;285::AID-CASP584&gt;3.3.CO;2-Z This paper draws upon a qualitative study of Scottish gay men's understandings of HIV testing to explore the importance and changing understandings of ‘community’ within gay men's HIV risk-management. Nineteen men took part in one-to-one interviews, and 18 men took part in focus group discussions concerning HIV testing, HIV status and HIV risk-management. These discussions were subsequently analysed for recurrent themes using Interpretive Phenomenlogical Analysis. We focus on the ways in which new health technologies have afforded a process of ‘othering’: creating the social exclusion of known or assumed HIV positive men, and thus contributing to the fragmenting of the gay community. Further, we argue that, through shifting HIV avoidance mechanisms from their originally collective level to that of the individual, such technologies have had the unintended consequence of facilitating inadequate lay constructions of risk-management, potentially putting gay men at risk of HIV infection. Copyright © 2000 John Wiley &amp; Sons, Ltd.","author":[{"dropping-particle":"","family":"Flowers","given":"Paul","non-dropping-particle":"","parse-names":false,"suffix":""},{"dropping-particle":"","family":"Duncan","given":"Barbara","non-dropping-particle":"","parse-names":false,"suffix":""},{"dropping-particle":"","family":"Frankis","given":"Jamie","non-dropping-particle":"","parse-names":false,"suffix":""}],"container-title":"Journal of Community and Applied Social Psychology","id":"ITEM-1","issue":"4","issued":{"date-parts":[["2000"]]},"page":"285-300","title":"Community, responsibility and culpability: HIV risk-management amongst Scottish gay men","type":"article-journal","volume":"10"},"uris":["http://www.mendeley.com/documents/?uuid=cd2f0902-fb48-31dc-8a29-26fdc8643fcb"]}],"mendeley":{"formattedCitation":"Paul Flowers, Barbara Duncan and Jamie Frankis, ‘Community, Responsibility and Culpability: HIV Risk-Management amongst Scottish Gay Men’ (2000) 10 Journal of Community and Applied Social Psychology 285.","plainTextFormattedCitation":"Paul Flowers, Barbara Duncan and Jamie Frankis, ‘Community, Responsibility and Culpability: HIV Risk-Management amongst Scottish Gay Men’ (2000) 10 Journal of Community and Applied Social Psychology 285.","previouslyFormattedCitation":"Paul Flowers, Barbara Duncan and Jamie Frankis, ‘Community, Responsibility and Culpability: HIV Risk-Management amongst Scottish Gay Men’ (2000) 10 Journal of Community and Applied Social Psychology 285."},"properties":{"noteIndex":86},"schema":"https://github.com/citation-style-language/schema/raw/master/csl-citation.json"}</w:instrText>
      </w:r>
      <w:r>
        <w:fldChar w:fldCharType="separate"/>
      </w:r>
      <w:r w:rsidRPr="00035F94">
        <w:rPr>
          <w:noProof/>
        </w:rPr>
        <w:t>Paul Flowers, Barbara Duncan and Jamie Frankis, ‘Community, Responsibility and Culpability: HIV Risk-Management amongst Scottish Gay Men’ (2000) 10 Journal of Community and Applied Social Psychology 285.</w:t>
      </w:r>
      <w:r>
        <w:fldChar w:fldCharType="end"/>
      </w:r>
    </w:p>
  </w:footnote>
  <w:footnote w:id="88">
    <w:p w14:paraId="1A2923B5" w14:textId="763D1061"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{"citationItems":[{"id":"ITEM-1","itemData":{"DOI":"10.1177/136345930100500103","ISSN":"13634593","abstract":"This article presents a framework through which changes in the management of HIV/AIDS risks among British gay men may be conceptualized. Three distinct periods of risk management are outlined. First, a ‘confused’ period in which the aetiology of AIDS and its cultural impact were poorly understood. Second, a ‘somatic’ period is described in which discourses linking HIV risk to the body became prevalent (following the ‘discovery’ of the HIV virus). Finally a third, ‘technological’ period is described which stresses the impact of recent social and medical technologies in the contemporary management of both HIV and AIDS risks. The privatization, fluidity and development of HIV and AIDS ‘risks’ are discussed with particular reference to notions of surveillance medicine, processes of ‘othering’ and the attribution of both responsibility and blame.","author":[{"dropping-particle":"","family":"Flowers","given":"Paul","non-dropping-particle":"","parse-names":false,"suffix":""}],"container-title":"Health","id":"ITEM-1","issue":"1","issued":{"date-parts":[["2001","1","24"]]},"page":"50-75","title":"Gay men and HIV/AIDS risk management","type":"article-journal","volume":"5"},"locator":"68","uris":["http://www.mendeley.com/documents/?uuid=4b399b7c-7edc-397b-b573-ecb3e2910a81"]}],"mendeley":{"formattedCitation":"Paul Flowers, ‘Gay Men and HIV/AIDS Risk Management’ (2001) 5 Health 50, 68.","plainTextFormattedCitation":"Paul Flowers, ‘Gay Men and HIV/AIDS Risk Management’ (2001) 5 Health 50, 68.","previouslyFormattedCitation":"Paul Flowers, ‘Gay Men and HIV/AIDS Risk Management’ (2001) 5 Health 50, 68."},"properties":{"noteIndex":87},"schema":"https://github.com/citation-style-language/schema/raw/master/csl-citation.json"}</w:instrText>
      </w:r>
      <w:r>
        <w:fldChar w:fldCharType="separate"/>
      </w:r>
      <w:r w:rsidRPr="00DF35EA">
        <w:rPr>
          <w:noProof/>
        </w:rPr>
        <w:t>Paul Flowers, ‘Gay Men and HIV/AIDS Risk Management’ (2001) 5 Health 50, 68.</w:t>
      </w:r>
      <w:r>
        <w:fldChar w:fldCharType="end"/>
      </w:r>
    </w:p>
  </w:footnote>
  <w:footnote w:id="89">
    <w:p w14:paraId="2554503E" w14:textId="18D13E41" w:rsidR="003C4498" w:rsidRDefault="003C4498">
      <w:pPr>
        <w:pStyle w:val="FootnoteText"/>
      </w:pPr>
      <w:r w:rsidRPr="00F76894">
        <w:rPr>
          <w:rStyle w:val="FootnoteReference"/>
        </w:rPr>
        <w:footnoteRef/>
      </w:r>
      <w:r>
        <w:t xml:space="preserve"> </w:t>
      </w:r>
      <w:r>
        <w:fldChar w:fldCharType="begin" w:fldLock="1"/>
      </w:r>
      <w:r>
        <w:instrText>ADDIN CSL_CITATION {"citationItems":[{"id":"ITEM-1","itemData":{"DOI":"10.1177/1363460719886733","ISSN":"1363-4607","abstract":"In this article, I use empirical data regarding the prevalence of bareback sex and the HIV treatment PrEP to argue that the High Court and Court of Appeal of England and Wales in National AIDS Trust v NHS England, have reflected the reality of gay sex. I argue that this case represents a shift in legal approaches to preventative sexual health methods that recognises the reality of gay male sexuality regarding the allocation of funding responsibility for the pre-exposure prophylaxis. I argue that the treatment, which prevents transmission of HIV, is a significant feature of gay and bisexual men’s sexuality and has the potential to transform narratives surrounding personal agency and individual responsibility. This article uses doctrinal, theoretical and empirical analysis, to the conclusion that the case represents a significant step in the recognition of the reality of gay sex.","author":[{"dropping-particle":"","family":"Maine","given":"Alexander","non-dropping-particle":"","parse-names":false,"suffix":""}],"container-title":"Sexualities","id":"ITEM-1","issued":{"date-parts":[["2019","11","26"]]},"title":"Bareback sex, PrEP, National AIDS Trust v NHS England and the reality of gay sex","type":"article-journal"},"uris":["http://www.mendeley.com/documents/?uuid=3a1bf7a6-b71d-361d-a369-f62ba24ddcab"]}],"mendeley":{"formattedCitation":"Alexander Maine, ‘Bareback Sex, PrEP, National AIDS Trust v NHS England and the Reality of Gay Sex’ [2019] Sexualities.","plainTextFormattedCitation":"Alexander Maine, ‘Bareback Sex, PrEP, National AIDS Trust v NHS England and the Reality of Gay Sex’ [2019] Sexualities.","previouslyFormattedCitation":"Alexander Maine, ‘Bareback Sex, PrEP, National AIDS Trust v NHS England and the Reality of Gay Sex’ [2019] Sexualities."},"properties":{"noteIndex":88},"schema":"https://github.com/citation-style-language/schema/raw/master/csl-citation.json"}</w:instrText>
      </w:r>
      <w:r>
        <w:fldChar w:fldCharType="separate"/>
      </w:r>
      <w:r w:rsidRPr="00DF35EA">
        <w:rPr>
          <w:noProof/>
        </w:rPr>
        <w:t>Alexander Maine, ‘Bareback Sex, PrEP, National AIDS Trust v NHS England and the Reality of Gay Sex’ [2019] Sexualities.</w:t>
      </w:r>
      <w:r>
        <w:fldChar w:fldCharType="end"/>
      </w:r>
    </w:p>
  </w:footnote>
  <w:footnote w:id="90">
    <w:p w14:paraId="374B99AA" w14:textId="726B937A" w:rsidR="003C4498" w:rsidRDefault="003C4498" w:rsidP="00A35D52">
      <w:pPr>
        <w:pStyle w:val="Footnotes"/>
      </w:pPr>
      <w:r w:rsidRPr="00F76894">
        <w:rPr>
          <w:rStyle w:val="FootnoteReference"/>
        </w:rPr>
        <w:footnoteRef/>
      </w:r>
      <w:r>
        <w:t xml:space="preserve"> In particular, the restrictions limiting discussion of unprotected anal intercourse. Although the extent to which unprotected is, in this context, being used synonymously with </w:t>
      </w:r>
      <w:proofErr w:type="spellStart"/>
      <w:r>
        <w:t>condomless</w:t>
      </w:r>
      <w:proofErr w:type="spellEnd"/>
      <w:r>
        <w:t xml:space="preserve"> should be considered. </w:t>
      </w:r>
    </w:p>
  </w:footnote>
  <w:footnote w:id="91">
    <w:p w14:paraId="6A52F076" w14:textId="000CEAF3"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{"citationItems":[{"id":"ITEM-1","itemData":{"DOI":"10.1177/1363460714550913","ISBN":"1363460714","ISSN":"14617382","PMID":"26195739","abstract":"This article situates online hook-up devices as an emergent infrastructure of the sexual encounter that has become popular among homosexually attracted men in urban centres. A focus on intimate infrastructures does two things. It draws attention to the material technologies, objects and environments that facilitate erotic encounters, casting these devices as active elements in the shaping of sexual practices. And it references how the different kinds of erotic attachments that people come to find necessary for their lives may be ignored if not actively degraded by hegemonic ‘institutions of intimacy’ without critical intervention (Berlant and Warner, 1998). Where institutions allocate resources and establish hierarchies of authority, infrastructures produce capacities and shape encounters in ways that become more or less durable and hardwired into the routines of everyday life. The article traces some of the new genres of sexual interaction afforded by online devices, with a focus on the significance of the concept of ‘play’ among participants. Such a focus enables an understanding of relations between sex and sociability that are being elaborated with these media, and it generates an approach to HIV prevention that promotes acknowledgement of how drug practices and other objects and devices participate in the construction of sexual encounters: their pleasures, qualities, risks and potentialities. © The Author(s) 2015 Reprints and permissions: sagepub.co.uk/journalsPermissions.nav.","author":[{"dropping-particle":"","family":"Race","given":"Kane","non-dropping-particle":"","parse-names":false,"suffix":""}],"container-title":"Sexualities","id":"ITEM-1","issue":"3","issued":{"date-parts":[["2015"]]},"page":"253-275","title":"‘Party and Play’: Online hook-up devices and the emergence of PNP practices among gay men","type":"article-journal","volume":"18"},"uris":["http://www.mendeley.com/documents/?uuid=3dc46914-4e93-3e94-a152-7eb200fad366"]}],"mendeley":{"formattedCitation":"Kane Race, ‘“Party and Play”: Online Hook-up Devices and the Emergence of PNP Practices among Gay Men’ (2015) 18 Sexualities 253.","plainTextFormattedCitation":"Kane Race, ‘“Party and Play”: Online Hook-up Devices and the Emergence of PNP Practices among Gay Men’ (2015) 18 Sexualities 253.","previouslyFormattedCitation":"Kane Race, ‘“Party and Play”: Online Hook-up Devices and the Emergence of PNP Practices among Gay Men’ (2015) 18 Sexualities 253."},"properties":{"noteIndex":90},"schema":"https://github.com/citation-style-language/schema/raw/master/csl-citation.json"}</w:instrText>
      </w:r>
      <w:r>
        <w:fldChar w:fldCharType="separate"/>
      </w:r>
      <w:r w:rsidRPr="00C91641">
        <w:rPr>
          <w:noProof/>
        </w:rPr>
        <w:t>Kane Race, ‘“Party and Play”: Online Hook-up Devices and the Emergence of PNP Practices among Gay Men’ (2015) 18 Sexualities 253.</w:t>
      </w:r>
      <w:r>
        <w:fldChar w:fldCharType="end"/>
      </w:r>
    </w:p>
  </w:footnote>
  <w:footnote w:id="92">
    <w:p w14:paraId="0ADFD9AE" w14:textId="695EE428"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{"citationItems":[{"id":"ITEM-1","itemData":{"id":"ITEM-1","issued":{"date-parts":[["1861"]]},"number":"24 &amp; 25 Vict c 100","title":"Offences Against the Person Act","type":"legislation"},"suffix":", in particular, ss 18 and 20","uris":["http://www.mendeley.com/documents/?uuid=bb6d10f4-b243-4e78-bacd-00295b57ec55"]},{"id":"ITEM-2","itemData":{"container-title":"EWCA Crim","id":"ITEM-2","issued":{"date-parts":[["2004"]]},"page":"1103","title":"R v Dica","type":"legal_case"},"prefix":"See,","uris":["http://www.mendeley.com/documents/?uuid=1a60c0cb-a32c-3b43-8041-909abade022c"]},{"id":"ITEM-3","itemData":{"container-title":"EWCA Crim","id":"ITEM-3","issued":{"date-parts":[["2005"]]},"page":"706","title":"R. v Konzani (Feston)","type":"legal_case"},"uris":["http://www.mendeley.com/documents/?uuid=879c2edd-a39a-34a0-8ba9-a3a945504e9a"]},{"id":"ITEM-4","itemData":{"container-title":"EWCA Crim","id":"ITEM-4","issued":{"date-parts":[["2018"]]},"page":"2688","title":"R v Rowe","type":"legal_case"},"prefix":"and, more recently,","uris":["http://www.mendeley.com/documents/?uuid=e182c37e-e0e8-4f4b-9904-f1384027db23"]}],"mendeley":{"formattedCitation":"Offences Against the Person Act 1861, in particular, ss 18 and 20; See, &lt;i&gt;R v Dica&lt;/i&gt; [2004] EWCA Crim 1103; &lt;i&gt;R v Konzani (Feston)&lt;/i&gt; [2005] EWCA Crim 706; and, more recently, &lt;i&gt;R v Rowe&lt;/i&gt; [2018] EWCA Crim 2688.","plainTextFormattedCitation":"Offences Against the Person Act 1861, in particular, ss 18 and 20; See, R v Dica [2004] EWCA Crim 1103; R v Konzani (Feston) [2005] EWCA Crim 706; and, more recently, R v Rowe [2018] EWCA Crim 2688.","previouslyFormattedCitation":"Offences Against the Person Act 1861, in particular, ss 18 and 20; See, &lt;i&gt;R v Dica&lt;/i&gt; [2004] EWCA Crim 1103; &lt;i&gt;R v Konzani (Feston)&lt;/i&gt; [2005] EWCA Crim 706; and, more recently, &lt;i&gt;R v Rowe&lt;/i&gt; [2018] EWCA Crim 2688."},"properties":{"noteIndex":91},"schema":"https://github.com/citation-style-language/schema/raw/master/csl-citation.json"}</w:instrText>
      </w:r>
      <w:r>
        <w:fldChar w:fldCharType="separate"/>
      </w:r>
      <w:r w:rsidRPr="00A71630">
        <w:rPr>
          <w:noProof/>
        </w:rPr>
        <w:t xml:space="preserve">Offences Against the Person Act 1861, in particular, ss 18 and 20; See, </w:t>
      </w:r>
      <w:r w:rsidRPr="00A71630">
        <w:rPr>
          <w:i/>
          <w:noProof/>
        </w:rPr>
        <w:t>R v Dica</w:t>
      </w:r>
      <w:r w:rsidRPr="00A71630">
        <w:rPr>
          <w:noProof/>
        </w:rPr>
        <w:t xml:space="preserve"> [2004] EWCA Crim 1103; </w:t>
      </w:r>
      <w:r w:rsidRPr="00A71630">
        <w:rPr>
          <w:i/>
          <w:noProof/>
        </w:rPr>
        <w:t>R v Konzani (Feston)</w:t>
      </w:r>
      <w:r w:rsidRPr="00A71630">
        <w:rPr>
          <w:noProof/>
        </w:rPr>
        <w:t xml:space="preserve"> [2005] EWCA Crim 706; and, more recently, </w:t>
      </w:r>
      <w:r w:rsidRPr="00A71630">
        <w:rPr>
          <w:i/>
          <w:noProof/>
        </w:rPr>
        <w:t>R v Rowe</w:t>
      </w:r>
      <w:r w:rsidRPr="00A71630">
        <w:rPr>
          <w:noProof/>
        </w:rPr>
        <w:t xml:space="preserve"> [2018] EWCA Crim 2688.</w:t>
      </w:r>
      <w:r>
        <w:fldChar w:fldCharType="end"/>
      </w:r>
    </w:p>
  </w:footnote>
  <w:footnote w:id="93">
    <w:p w14:paraId="48AE9086" w14:textId="33C1084D"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{"citationItems":[{"id":"ITEM-1","itemData":{"ISSN":"0011-135X","author":[{"dropping-particle":"","family":"Weait","given":"Matthew","non-dropping-particle":"","parse-names":false,"suffix":""}],"container-title":"Criminal Law Review","id":"ITEM-1","issued":{"date-parts":[["2005"]]},"note":"Available via Westlaw. See Weait, M. (2005) 'Knowledge, Autonomy and Consent: R v Konzani' Criminal Law Review, October: 763-772.","page":"763-772","title":"Knowledge, Autonomy and Consent: R v Konzani","type":"article-journal"},"prefix":"See, for instance, ","uris":["http://www.mendeley.com/documents/?uuid=b75e6676-6c5c-40c4-afb7-20127fe227d9"]},{"id":"ITEM-2","itemData":{"DOI":"10.1007/s10991-007-9020-7","ISSN":"0144932X","author":[{"dropping-particle":"","family":"Ryan","given":"Samantha","non-dropping-particle":"","parse-names":false,"suffix":""}],"container-title":"Liverpool Law Review","id":"ITEM-2","issue":"2","issued":{"date-parts":[["2007","9","8"]]},"page":"215-247","publisher":"Springer Netherlands","title":"Risk-taking, recklessness and HIV transmission: Accommodating the reality of sexual transmission of HIV within a justifiable approach to criminal liability","type":"article-journal","volume":"28"},"uris":["http://www.mendeley.com/documents/?uuid=fe7c8134-4271-3bb7-b3de-0e9fe971a41f"]},{"id":"ITEM-3","itemData":{"DOI":"10.1016/S0968-8080(09)34475-4","ISBN":"0968-8080","ISSN":"09688080","PMID":"19962647","abstract":"In England and Wales, criminal prosecutions for recklessly causing serious bodily harm by transmitting HIV have occurred since 2003. Understanding how people respond to the application of criminal law, will help to determine the likely impact of prosecution. As part of a wider qualitative study on unprotected anal intercourse amongst homosexually active men with diagnosed HIV in England and Wales, 42 respondents were asked about their awareness of criminal prosecutions for the sexual transmission of HIV, and how (if at all) they had adapted their sexual behaviour as a result. Findings demonstrate considerable confusion regarding the law and suggest that misunderstandings could lead people with HIV to wrongly believe that how they act, and what they do or do not say, is legitimated by law. Although criminalisation prompted some respondents to take steps to reduce sexual transmission of HIV, others moderated their behaviour in ways likely to have adverse effects, or reported no change. The aim of the criminal justice system is to carry out justice, not to improve public health. The question addressed in this paper is whether desirable public health outcomes may be outweighed by undesirable ones when the criminal law is applied to a population-level epidemic. © 2009 Reproductive Health Matters.","author":[{"dropping-particle":"","family":"Dodds","given":"Catherine","non-dropping-particle":"","parse-names":false,"suffix":""},{"dropping-particle":"","family":"Bourne","given":"Adam","non-dropping-particle":"","parse-names":false,"suffix":""},{"dropping-particle":"","family":"Weait","given":"Matthew","non-dropping-particle":"","parse-names":false,"suffix":""}],"container-title":"Reproductive Health Matters","id":"ITEM-3","issue":"34","issued":{"date-parts":[["2009"]]},"page":"135-145","title":"Responses to criminal prosecutions for HIV transmission among gay men with HIV in England and Wales","type":"article-journal","volume":"17"},"uris":["http://www.mendeley.com/documents/?uuid=3b827c49-03ac-350a-b8b5-ca581d8557e2"]}],"mendeley":{"formattedCitation":"See, for instance, Matthew Weait, ‘Knowledge, Autonomy and Consent: R v Konzani’ [2005] Criminal Law Review 763; Samantha Ryan, ‘Risk-Taking, Recklessness and HIV Transmission: Accommodating the Reality of Sexual Transmission of HIV within a Justifiable Approach to Criminal Liability’ (2007) 28 Liverpool Law Review 215; Catherine Dodds, Adam Bourne and Matthew Weait, ‘Responses to Criminal Prosecutions for HIV Transmission among Gay Men with HIV in England and Wales’ (2009) 17 Reproductive Health Matters 135.","plainTextFormattedCitation":"See, for instance, Matthew Weait, ‘Knowledge, Autonomy and Consent: R v Konzani’ [2005] Criminal Law Review 763; Samantha Ryan, ‘Risk-Taking, Recklessness and HIV Transmission: Accommodating the Reality of Sexual Transmission of HIV within a Justifiable Approach to Criminal Liability’ (2007) 28 Liverpool Law Review 215; Catherine Dodds, Adam Bourne and Matthew Weait, ‘Responses to Criminal Prosecutions for HIV Transmission among Gay Men with HIV in England and Wales’ (2009) 17 Reproductive Health Matters 135.","previouslyFormattedCitation":"See, for instance, Matthew Weait, ‘Knowledge, Autonomy and Consent: R v Konzani’ [2005] Criminal Law Review 763; Samantha Ryan, ‘Risk-Taking, Recklessness and HIV Transmission: Accommodating the Reality of Sexual Transmission of HIV within a Justifiable Approach to Criminal Liability’ (2007) 28 Liverpool Law Review 215; Catherine Dodds, Adam Bourne and Matthew Weait, ‘Responses to Criminal Prosecutions for HIV Transmission among Gay Men with HIV in England and Wales’ (2009) 17 Reproductive Health Matters 135."},"properties":{"noteIndex":92},"schema":"https://github.com/citation-style-language/schema/raw/master/csl-citation.json"}</w:instrText>
      </w:r>
      <w:r>
        <w:fldChar w:fldCharType="separate"/>
      </w:r>
      <w:r w:rsidRPr="00DF35EA">
        <w:rPr>
          <w:noProof/>
        </w:rPr>
        <w:t>See, for instance, Matthew Weait, ‘Knowledge, Autonomy and Consent: R v Konzani’ [2005] Criminal Law Review 763; Samantha Ryan, ‘Risk-Taking, Recklessness and HIV Transmission: Accommodating the Reality of Sexual Transmission of HIV within a Justifiable Approach to Criminal Liability’ (2007) 28 Liverpool Law Review 215; Catherine Dodds, Adam Bourne and Matthew Weait, ‘Responses to Criminal Prosecutions for HIV Transmission among Gay Men with HIV in England and Wales’ (2009) 17 Reproductive Health Matters 135.</w:t>
      </w:r>
      <w:r>
        <w:fldChar w:fldCharType="end"/>
      </w:r>
    </w:p>
  </w:footnote>
  <w:footnote w:id="94">
    <w:p w14:paraId="6BEB33E0" w14:textId="610D6BF0" w:rsidR="003C4498" w:rsidRPr="00FF0BB7" w:rsidRDefault="003C4498" w:rsidP="00A35D52">
      <w:pPr>
        <w:pStyle w:val="Footnotes"/>
        <w:rPr>
          <w:lang w:val="de-DE"/>
        </w:rPr>
      </w:pPr>
      <w:r w:rsidRPr="00F76894">
        <w:rPr>
          <w:rStyle w:val="FootnoteReference"/>
        </w:rPr>
        <w:footnoteRef/>
      </w:r>
      <w:r w:rsidRPr="00FF0BB7">
        <w:rPr>
          <w:lang w:val="de-DE"/>
        </w:rPr>
        <w:t xml:space="preserve"> </w:t>
      </w:r>
      <w:r>
        <w:fldChar w:fldCharType="begin" w:fldLock="1"/>
      </w:r>
      <w:r>
        <w:rPr>
          <w:lang w:val="de-DE"/>
        </w:rPr>
        <w:instrText>ADDIN CSL_CITATION {"citationItems":[{"id":"ITEM-1","itemData":{"container-title":"EWCA Crim","id":"ITEM-1","issued":{"date-parts":[["2005"]]},"page":"706","title":"R. v Konzani (Feston)","type":"legal_case"},"suffix":"[44]","uris":["http://www.mendeley.com/documents/?uuid=879c2edd-a39a-34a0-8ba9-a3a945504e9a"]}],"mendeley":{"formattedCitation":"&lt;i&gt;R. v Konzani (Feston)&lt;/i&gt; (n 91) [44].","plainTextFormattedCitation":"R. v Konzani (Feston) (n 91) [44].","previouslyFormattedCitation":"&lt;i&gt;R. v Konzani (Feston)&lt;/i&gt; (n 91) [44]."},"properties":{"noteIndex":93},"schema":"https://github.com/citation-style-language/schema/raw/master/csl-citation.json"}</w:instrText>
      </w:r>
      <w:r>
        <w:fldChar w:fldCharType="separate"/>
      </w:r>
      <w:r w:rsidRPr="00995B8E">
        <w:rPr>
          <w:i/>
          <w:noProof/>
          <w:lang w:val="de-DE"/>
        </w:rPr>
        <w:t>R. v Konzani (Feston)</w:t>
      </w:r>
      <w:r w:rsidRPr="00995B8E">
        <w:rPr>
          <w:noProof/>
          <w:lang w:val="de-DE"/>
        </w:rPr>
        <w:t xml:space="preserve"> (n 91) [44].</w:t>
      </w:r>
      <w:r>
        <w:fldChar w:fldCharType="end"/>
      </w:r>
    </w:p>
  </w:footnote>
  <w:footnote w:id="95">
    <w:p w14:paraId="3932185A" w14:textId="09566EE0" w:rsidR="003C4498" w:rsidRDefault="003C4498" w:rsidP="00A35D52">
      <w:pPr>
        <w:pStyle w:val="Footnotes"/>
      </w:pPr>
      <w:r w:rsidRPr="00F76894">
        <w:rPr>
          <w:rStyle w:val="FootnoteReference"/>
        </w:rPr>
        <w:footnoteRef/>
      </w:r>
      <w:r w:rsidRPr="00FF0BB7">
        <w:rPr>
          <w:lang w:val="de-DE"/>
        </w:rPr>
        <w:t xml:space="preserve"> </w:t>
      </w:r>
      <w:r>
        <w:fldChar w:fldCharType="begin" w:fldLock="1"/>
      </w:r>
      <w:r>
        <w:rPr>
          <w:lang w:val="de-DE"/>
        </w:rPr>
        <w:instrText>ADDIN CSL_CITATION {"citationItems":[{"id":"ITEM-1","itemData":{"container-title":"EWCA Crim","id":"ITEM-1","issued":{"date-parts":[["2005"]]},"page":"706","title":"R. v Konzani (Feston)","type":"legal_case"},"suffix":"[42]. \"[T]hese circumstances\" refering generally to situations where there is a risk of transmission via a sexual act","uris":["http://www.mendeley.com/documents/?uuid=879c2edd-a39a-34a0-8ba9-a3a945504e9a"]}],"mendeley":{"formattedCitation":"&lt;i&gt;R. v Konzani (Feston)&lt;/i&gt; (n 91) [42]. ‘[T]hese circumstances’ refering generally to situations where there is a risk of transmission via a sexual act.","plainTextFormattedCitation":"R. v Konzani (Feston) (n 91) [42]. ‘[T]hese circumstances’ refering generally to situations where there is a risk of transmission via a sexual act.","previouslyFormattedCitation":"&lt;i&gt;R. v Konzani (Feston)&lt;/i&gt; (n 91) [42]. ‘[T]hese circumstances’ refering generally to situations where there is a risk of transmission via a sexual act."},"properties":{"noteIndex":94},"schema":"https://github.com/citation-style-language/schema/raw/master/csl-citation.json"}</w:instrText>
      </w:r>
      <w:r>
        <w:fldChar w:fldCharType="separate"/>
      </w:r>
      <w:r w:rsidRPr="00995B8E">
        <w:rPr>
          <w:i/>
          <w:noProof/>
          <w:lang w:val="de-DE"/>
        </w:rPr>
        <w:t>R. v Konzani (Feston)</w:t>
      </w:r>
      <w:r w:rsidRPr="00995B8E">
        <w:rPr>
          <w:noProof/>
          <w:lang w:val="de-DE"/>
        </w:rPr>
        <w:t xml:space="preserve"> (n 91) [42]. ‘[T]hese circumstances’ refering generally to situations where there is a risk of transmission via a sexual act.</w:t>
      </w:r>
      <w:r>
        <w:fldChar w:fldCharType="end"/>
      </w:r>
    </w:p>
  </w:footnote>
  <w:footnote w:id="96">
    <w:p w14:paraId="2C82CDF4" w14:textId="35A98CC9" w:rsidR="003C4498" w:rsidRDefault="003C4498">
      <w:pPr>
        <w:pStyle w:val="FootnoteText"/>
      </w:pPr>
      <w:r>
        <w:rPr>
          <w:rStyle w:val="FootnoteReference"/>
        </w:rPr>
        <w:footnoteRef/>
      </w:r>
      <w:r>
        <w:t xml:space="preserve"> </w:t>
      </w:r>
      <w:r>
        <w:fldChar w:fldCharType="begin" w:fldLock="1"/>
      </w:r>
      <w:r>
        <w:instrText>ADDIN CSL_CITATION {"citationItems":[{"id":"ITEM-1","itemData":{"DOI":"10.1350/jcla.2010.74.3.636","ISSN":"0022-0183","abstract":"The offence of inflicting grievous bodily harm under s. 20 of the Offences Against the Person Act 1861 has been confirmed as the most appropriate ground for convicting a reckless transmission of the HIV virus through sexual intercourse. 1 An informed consent from the victim, along with a reasonable belief in that consent from the defendant, will now suffice as a defence to such a charge. 2 However, it remains unclear how and when the victim must be informed of the relevant circumstances in order to provide consent to infected intercourse, and it is also undecided whether the defendant himself must divulge his HIV status in order to claim an honest belief in the victim's consent. 3 Additionally, the fine line of consensual activity drawn in R v Brown 4 appears to have been eroded by recent HIV transmission cases. 5 This article outlines the development in relation to s. 20 to include HIV offences; it aims to untangle the recent authorities on knowledge, deception and consent in relation to both victims and perpetrators in reckless HIV transmission cases and suggests a way forward for the law in the shape of a new offence. The issue of informed consent in relation to sexual offences has been discussed at length recently, highlighting the ambiguous nature of s. 74 of the Sexual Offences Act 2003. A defendant's deceptive state of mind during the act of intercourse calls into question whether the victim's consent to sexual intercourse is properly informed. What if, on the occasion that consent to intercourse is present from both parties, one","author":[{"dropping-particle":"","family":"Cherkassky","given":"Lisa","non-dropping-particle":"","parse-names":false,"suffix":""}],"container-title":"The Journal of Criminal Law","id":"ITEM-1","issue":"3","issued":{"date-parts":[["2010"]]},"page":"242-258","title":"Being Informed: The Complexities of Knowledge, Deception and Consent when Transmitting HIV","type":"article-journal","volume":"74"},"prefix":"Alternatively, it could be argued that the former may undermine the latter. See,","uris":["http://www.mendeley.com/documents/?uuid=ca29e3a9-9518-352e-b735-305e5ba072e5"]}],"mendeley":{"formattedCitation":"Alternatively, it could be argued that the former may undermine the latter. See, Lisa Cherkassky, ‘Being Informed: The Complexities of Knowledge, Deception and Consent When Transmitting HIV’ (2010) 74 The Journal of Criminal Law 242.","plainTextFormattedCitation":"Alternatively, it could be argued that the former may undermine the latter. See, Lisa Cherkassky, ‘Being Informed: The Complexities of Knowledge, Deception and Consent When Transmitting HIV’ (2010) 74 The Journal of Criminal Law 242.","previouslyFormattedCitation":"Alternatively, it could be argued that the former may undermine the latter. See, Lisa Cherkassky, ‘Being Informed: The Complexities of Knowledge, Deception and Consent When Transmitting HIV’ (2010) 74 The Journal of Criminal Law 242."},"properties":{"noteIndex":95},"schema":"https://github.com/citation-style-language/schema/raw/master/csl-citation.json"}</w:instrText>
      </w:r>
      <w:r>
        <w:fldChar w:fldCharType="separate"/>
      </w:r>
      <w:r w:rsidRPr="0069453E">
        <w:rPr>
          <w:noProof/>
        </w:rPr>
        <w:t>Alternatively, it could be argued that the former may undermine the latter. See, Lisa Cherkassky, ‘Being Informed: The Complexities of Knowledge, Deception and Consent When Transmitting HIV’ (2010) 74 The Journal of Criminal Law 242.</w:t>
      </w:r>
      <w:r>
        <w:fldChar w:fldCharType="end"/>
      </w:r>
    </w:p>
  </w:footnote>
  <w:footnote w:id="97">
    <w:p w14:paraId="29E7DF68" w14:textId="471AD310" w:rsidR="003C4498" w:rsidRPr="00FF0BB7" w:rsidRDefault="003C4498" w:rsidP="00A35D52">
      <w:pPr>
        <w:pStyle w:val="Footnotes"/>
        <w:rPr>
          <w:lang w:val="de-DE"/>
        </w:rPr>
      </w:pPr>
      <w:r w:rsidRPr="00F76894">
        <w:rPr>
          <w:rStyle w:val="FootnoteReference"/>
        </w:rPr>
        <w:footnoteRef/>
      </w:r>
      <w:r w:rsidRPr="00FF0BB7">
        <w:rPr>
          <w:lang w:val="de-DE"/>
        </w:rPr>
        <w:t xml:space="preserve"> </w:t>
      </w:r>
      <w:r>
        <w:fldChar w:fldCharType="begin" w:fldLock="1"/>
      </w:r>
      <w:r>
        <w:rPr>
          <w:lang w:val="de-DE"/>
        </w:rPr>
        <w:instrText>ADDIN CSL_CITATION {"citationItems":[{"id":"ITEM-1","itemData":{"DOI":"10.1350/jcla.2010.74.3.636","ISSN":"0022-0183","abstract":"The offence of inflicting grievous bodily harm under s. 20 of the Offences Against the Person Act 1861 has been confirmed as the most appropriate ground for convicting a reckless transmission of the HIV virus through sexual intercourse. 1 An informed consent from the victim, along with a reasonable belief in that consent from the defendant, will now suffice as a defence to such a charge. 2 However, it remains unclear how and when the victim must be informed of the relevant circumstances in order to provide consent to infected intercourse, and it is also undecided whether the defendant himself must divulge his HIV status in order to claim an honest belief in the victim's consent. 3 Additionally, the fine line of consensual activity drawn in R v Brown 4 appears to have been eroded by recent HIV transmission cases. 5 This article outlines the development in relation to s. 20 to include HIV offences; it aims to untangle the recent authorities on knowledge, deception and consent in relation to both victims and perpetrators in reckless HIV transmission cases and suggests a way forward for the law in the shape of a new offence. The issue of informed consent in relation to sexual offences has been discussed at length recently, highlighting the ambiguous nature of s. 74 of the Sexual Offences Act 2003. A defendant's deceptive state of mind during the act of intercourse calls into question whether the victim's consent to sexual intercourse is properly informed. What if, on the occasion that consent to intercourse is present from both parties, one","author":[{"dropping-particle":"","family":"Cherkassky","given":"Lisa","non-dropping-particle":"","parse-names":false,"suffix":""}],"container-title":"The Journal of Criminal Law","id":"ITEM-1","issue":"3","issued":{"date-parts":[["2010"]]},"page":"242-258","title":"Being Informed: The Complexities of Knowledge, Deception and Consent when Transmitting HIV","type":"article-journal","volume":"74"},"uris":["http://www.mendeley.com/documents/?uuid=ca29e3a9-9518-352e-b735-305e5ba072e5"]}],"mendeley":{"formattedCitation":"Cherkassky (n 95).","plainTextFormattedCitation":"Cherkassky (n 95).","previouslyFormattedCitation":"Cherkassky (n 95)."},"properties":{"noteIndex":96},"schema":"https://github.com/citation-style-language/schema/raw/master/csl-citation.json"}</w:instrText>
      </w:r>
      <w:r>
        <w:fldChar w:fldCharType="separate"/>
      </w:r>
      <w:r w:rsidRPr="00995B8E">
        <w:rPr>
          <w:noProof/>
          <w:lang w:val="de-DE"/>
        </w:rPr>
        <w:t>Cherkassky (n 95).</w:t>
      </w:r>
      <w:r>
        <w:fldChar w:fldCharType="end"/>
      </w:r>
    </w:p>
  </w:footnote>
  <w:footnote w:id="98">
    <w:p w14:paraId="3F7265E2" w14:textId="1CE1458F" w:rsidR="003C4498" w:rsidRPr="00FF0BB7" w:rsidRDefault="003C4498" w:rsidP="00A35D52">
      <w:pPr>
        <w:pStyle w:val="Footnotes"/>
        <w:rPr>
          <w:lang w:val="de-DE"/>
        </w:rPr>
      </w:pPr>
      <w:r w:rsidRPr="00F76894">
        <w:rPr>
          <w:rStyle w:val="FootnoteReference"/>
        </w:rPr>
        <w:footnoteRef/>
      </w:r>
      <w:r w:rsidRPr="00FF0BB7">
        <w:rPr>
          <w:lang w:val="de-DE"/>
        </w:rPr>
        <w:t xml:space="preserve"> </w:t>
      </w:r>
      <w:r>
        <w:fldChar w:fldCharType="begin" w:fldLock="1"/>
      </w:r>
      <w:r>
        <w:rPr>
          <w:lang w:val="de-DE"/>
        </w:rPr>
        <w:instrText>ADDIN CSL_CITATION {"citationItems":[{"id":"ITEM-1","itemData":{"DOI":"10.1177/0022018318761687","ISSN":"0022-0183","abstract":"The media has recently given much attention to the 'stealthing' trend, undisclosed condom removal during sex and how this may affect consent to sexual activity. This paper seeks to discuss where situations like this sit within the Sexual Offenses Act 2003, and how it may compare to other instances of consent gained in deceitful circumstances.","author":[{"dropping-particle":"","family":"Clough","given":"Amanda","non-dropping-particle":"","parse-names":false,"suffix":""}],"container-title":"The Journal of Criminal Law","id":"ITEM-1","issue":"2","issued":{"date-parts":[["2018","4","12"]]},"page":"178-190","title":"Conditional Consent and Purposeful Deception","type":"article-journal","volume":"82"},"locator":"189","uris":["http://www.mendeley.com/documents/?uuid=d171d4ab-01c8-3135-b730-0092802e62bd"]}],"mendeley":{"formattedCitation":"Amanda Clough, ‘Conditional Consent and Purposeful Deception’ (2018) 82 The Journal of Criminal Law 178, 189.","plainTextFormattedCitation":"Amanda Clough, ‘Conditional Consent and Purposeful Deception’ (2018) 82 The Journal of Criminal Law 178, 189.","previouslyFormattedCitation":"Amanda Clough, ‘Conditional Consent and Purposeful Deception’ (2018) 82 The Journal of Criminal Law 178, 189."},"properties":{"noteIndex":97},"schema":"https://github.com/citation-style-language/schema/raw/master/csl-citation.json"}</w:instrText>
      </w:r>
      <w:r>
        <w:fldChar w:fldCharType="separate"/>
      </w:r>
      <w:r w:rsidRPr="000A4AD2">
        <w:rPr>
          <w:noProof/>
          <w:lang w:val="de-DE"/>
        </w:rPr>
        <w:t>Amanda Clough, ‘Conditional Consent and Purposeful Deception’ (2018) 82 The Journal of Criminal Law 178, 189.</w:t>
      </w:r>
      <w:r>
        <w:fldChar w:fldCharType="end"/>
      </w:r>
    </w:p>
  </w:footnote>
  <w:footnote w:id="99">
    <w:p w14:paraId="22BB656C" w14:textId="5C3EAF07"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{"citationItems":[{"id":"ITEM-1","itemData":{"DOI":"10.1177/0022018315614444","abstract":"This paper examines the various approaches to disclosure of HIV infected status identified by the Law Commission in its Scoping Consultation Paper on Reform of Offences against the Person. It argues against the imposition of a general duty to disclose in all circumstances, and further suggests that a requirement for disclosure cannot be justified when there is a low risk of transmission. It suggests that the better approach to disclosure is to be found by combining the remaining two Law Commission proposals. This would mean that whether a person was justified in exposing another to the risk of HIV infection without disclosing their HIV positive status would be a matter for the jury and a key factor relevant to the jury's consideration in this regard would be the level of risk of transmission involved.","author":[{"dropping-particle":"","family":"Ryan","given":"Samantha","non-dropping-particle":"","parse-names":false,"suffix":""}],"container-title":"The Journal of Criminal Law","id":"ITEM-1","issue":"218","issued":{"date-parts":[["2015"]]},"page":"395-410","title":"Disclosure and HIV Transmission","type":"article-journal","volume":"79"},"uris":["http://www.mendeley.com/documents/?uuid=75e0279a-61ae-3a02-97ba-09e3b49f265c"]},{"id":"ITEM-2","itemData":{"ISBN":"0-203-93793-7","abstract":"\"A GlassHouse book.\" The terrain : the state, criminal justice and HIV -- The trial of Feston Konzani -- Harm, causation and HIV infection -- Risk, recklessness and HIV -- Consent, knowledge and disclosure -- Responsibility, HIV transmission and the criminal law.","author":[{"dropping-particle":"","family":"Weait","given":"Matthew.","non-dropping-particle":"","parse-names":false,"suffix":""}],"id":"ITEM-2","issued":{"date-parts":[["2007"]]},"number-of-pages":"250","publisher":"Routledge-Cavendish","title":"Intimacy and Responsibility: The Criminalisation of HIV Transmission","type":"book"},"locator":"191","prefix":"see, also,","uris":["http://www.mendeley.com/documents/?uuid=279e4351-6739-3359-b7dc-1c0dd975be22"]}],"mendeley":{"formattedCitation":"Samantha Ryan, ‘Disclosure and HIV Transmission’ (2015) 79 The Journal of Criminal Law 395; see, also, Weait, &lt;i&gt;Intimacy and Responsibility: The Criminalisation of HIV Transmission&lt;/i&gt; (n 74) 191.","plainTextFormattedCitation":"Samantha Ryan, ‘Disclosure and HIV Transmission’ (2015) 79 The Journal of Criminal Law 395; see, also, Weait, Intimacy and Responsibility: The Criminalisation of HIV Transmission (n 74) 191.","previouslyFormattedCitation":"Samantha Ryan, ‘Disclosure and HIV Transmission’ (2015) 79 The Journal of Criminal Law 395; see, also, Weait, &lt;i&gt;Intimacy and Responsibility: The Criminalisation of HIV Transmission&lt;/i&gt; (n 74) 191."},"properties":{"noteIndex":98},"schema":"https://github.com/citation-style-language/schema/raw/master/csl-citation.json"}</w:instrText>
      </w:r>
      <w:r>
        <w:fldChar w:fldCharType="separate"/>
      </w:r>
      <w:r w:rsidRPr="00995B8E">
        <w:rPr>
          <w:noProof/>
        </w:rPr>
        <w:t xml:space="preserve">Samantha Ryan, ‘Disclosure and HIV Transmission’ (2015) 79 The Journal of Criminal Law 395; see, also, Weait, </w:t>
      </w:r>
      <w:r w:rsidRPr="00995B8E">
        <w:rPr>
          <w:i/>
          <w:noProof/>
        </w:rPr>
        <w:t>Intimacy and Responsibility: The Criminalisation of HIV Transmission</w:t>
      </w:r>
      <w:r w:rsidRPr="00995B8E">
        <w:rPr>
          <w:noProof/>
        </w:rPr>
        <w:t xml:space="preserve"> (n 74) 191.</w:t>
      </w:r>
      <w:r>
        <w:fldChar w:fldCharType="end"/>
      </w:r>
    </w:p>
  </w:footnote>
  <w:footnote w:id="100">
    <w:p w14:paraId="0A2E9D4E" w14:textId="74513B51"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{"citationItems":[{"id":"ITEM-1","itemData":{"DOI":"10.1080/13200968.2017.1376366","ISSN":"1320-0968","author":[{"dropping-particle":"","family":"Sharpe","given":"Alex","non-dropping-particle":"","parse-names":false,"suffix":""}],"container-title":"Australian Feminist Law Journal","id":"ITEM-1","issue":"2","issued":{"date-parts":[["2017"]]},"page":"161-183","publisher":"Alex Sharpe","title":"The Ethicality of the Demand for (Trans)parency in Sexual Relations","type":"article-journal","volume":"43"},"locator":"165","uris":["http://www.mendeley.com/documents/?uuid=1630beda-8189-37c4-8df2-b058dbbe9a33"]}],"mendeley":{"formattedCitation":"Alex Sharpe, ‘The Ethicality of the Demand for (Trans)Parency in Sexual Relations’ (2017) 43 Australian Feminist Law Journal 161, 165.","plainTextFormattedCitation":"Alex Sharpe, ‘The Ethicality of the Demand for (Trans)Parency in Sexual Relations’ (2017) 43 Australian Feminist Law Journal 161, 165.","previouslyFormattedCitation":"Alex Sharpe, ‘The Ethicality of the Demand for (Trans)Parency in Sexual Relations’ (2017) 43 Australian Feminist Law Journal 161, 165."},"properties":{"noteIndex":99},"schema":"https://github.com/citation-style-language/schema/raw/master/csl-citation.json"}</w:instrText>
      </w:r>
      <w:r>
        <w:fldChar w:fldCharType="separate"/>
      </w:r>
      <w:r w:rsidRPr="00DF35EA">
        <w:rPr>
          <w:noProof/>
        </w:rPr>
        <w:t>Alex Sharpe, ‘The Ethicality of the Demand for (Trans)Parency in Sexual Relations’ (2017) 43 Australian Feminist Law Journal 161, 165.</w:t>
      </w:r>
      <w:r>
        <w:fldChar w:fldCharType="end"/>
      </w:r>
    </w:p>
  </w:footnote>
  <w:footnote w:id="101">
    <w:p w14:paraId="39556E3C" w14:textId="16B1830A"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{"citationItems":[{"id":"ITEM-1","itemData":{"DOI":"10.1521/aeap.2015.27.4.333","ISBN":"0899-9546","ISSN":"0899-9546","PMID":"26241383","abstract":"We explore gay men’s sex life narratives following their diagnosis with an acute or recent HIV infection. All participants received an acute (n = 13) or recent (n = 12) HIV diagnosis and completed a series of self-administered questionnaires and in-depth qualitative interviews over a one-year period or longer. Over the course of four qualitative interviews, participants frequently spoke of the role of medications (e.g., decisions to start treatment) and changing viral loads (e.g., discourses of becoming “undetectable”) in relation to their sex lives since being diagnosed with HIV. Many men talked about milestones relating to initiating medication and viral load as informing their shifting sexual behaviors and identities as HIV-positive—or “undetectable”— gay men. The narratives of our participants provide insight regarding complex negotiations and processes of decision-making over time related to sex, counseling needs, treatment initiation, viral load, and the significance of undetectability as an emergent identity.","author":[{"dropping-particle":"","family":"Grace","given":"Daniel","non-dropping-particle":"","parse-names":false,"suffix":""},{"dropping-particle":"","family":"Chown","given":"Sarah A.","non-dropping-particle":"","parse-names":false,"suffix":""},{"dropping-particle":"","family":"Kwag","given":"Michael","non-dropping-particle":"","parse-names":false,"suffix":""},{"dropping-particle":"","family":"Steinberg","given":"Malcolm","non-dropping-particle":"","parse-names":false,"suffix":""},{"dropping-particle":"","family":"Lim","given":"Elgin","non-dropping-particle":"","parse-names":false,"suffix":""},{"dropping-particle":"","family":"Gilbert","given":"Mark","non-dropping-particle":"","parse-names":false,"suffix":""}],"container-title":"AIDS Education and Prevention","id":"ITEM-1","issue":"4","issued":{"date-parts":[["2015","8"]]},"page":"333-349","title":"Becoming “Undetectable”: Longitudinal Narratives of Gay Men's Sex Lives After a Recent HIV Diagnosis","type":"article-journal","volume":"27"},"uris":["http://www.mendeley.com/documents/?uuid=0c79bdaa-6643-313b-93c1-c83e4adc5c3a"]}],"mendeley":{"formattedCitation":"Grace and others (n 71).","plainTextFormattedCitation":"Grace and others (n 71).","previouslyFormattedCitation":"Grace and others (n 71)."},"properties":{"noteIndex":100},"schema":"https://github.com/citation-style-language/schema/raw/master/csl-citation.json"}</w:instrText>
      </w:r>
      <w:r>
        <w:fldChar w:fldCharType="separate"/>
      </w:r>
      <w:r w:rsidRPr="00995B8E">
        <w:rPr>
          <w:noProof/>
        </w:rPr>
        <w:t>Grace and others (n 71).</w:t>
      </w:r>
      <w:r>
        <w:fldChar w:fldCharType="end"/>
      </w:r>
    </w:p>
  </w:footnote>
  <w:footnote w:id="102">
    <w:p w14:paraId="1D72D6C8" w14:textId="5A1F57B5"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{"citationItems":[{"id":"ITEM-1","itemData":{"DOI":"10.1350/jcla.2010.74.3.636","ISSN":"0022-0183","abstract":"The offence of inflicting grievous bodily harm under s. 20 of the Offences Against the Person Act 1861 has been confirmed as the most appropriate ground for convicting a reckless transmission of the HIV virus through sexual intercourse. 1 An informed consent from the victim, along with a reasonable belief in that consent from the defendant, will now suffice as a defence to such a charge. 2 However, it remains unclear how and when the victim must be informed of the relevant circumstances in order to provide consent to infected intercourse, and it is also undecided whether the defendant himself must divulge his HIV status in order to claim an honest belief in the victim's consent. 3 Additionally, the fine line of consensual activity drawn in R v Brown 4 appears to have been eroded by recent HIV transmission cases. 5 This article outlines the development in relation to s. 20 to include HIV offences; it aims to untangle the recent authorities on knowledge, deception and consent in relation to both victims and perpetrators in reckless HIV transmission cases and suggests a way forward for the law in the shape of a new offence. The issue of informed consent in relation to sexual offences has been discussed at length recently, highlighting the ambiguous nature of s. 74 of the Sexual Offences Act 2003. A defendant's deceptive state of mind during the act of intercourse calls into question whether the victim's consent to sexual intercourse is properly informed. What if, on the occasion that consent to intercourse is present from both parties, one","author":[{"dropping-particle":"","family":"Cherkassky","given":"Lisa","non-dropping-particle":"","parse-names":false,"suffix":""}],"container-title":"The Journal of Criminal Law","id":"ITEM-1","issue":"3","issued":{"date-parts":[["2010"]]},"page":"242-258","title":"Being Informed: The Complexities of Knowledge, Deception and Consent when Transmitting HIV","type":"article-journal","volume":"74"},"locator":"254","uris":["http://www.mendeley.com/documents/?uuid=ca29e3a9-9518-352e-b735-305e5ba072e5"]}],"mendeley":{"formattedCitation":"Cherkassky (n 95) 254.","plainTextFormattedCitation":"Cherkassky (n 95) 254.","previouslyFormattedCitation":"Cherkassky (n 95) 254."},"properties":{"noteIndex":101},"schema":"https://github.com/citation-style-language/schema/raw/master/csl-citation.json"}</w:instrText>
      </w:r>
      <w:r>
        <w:fldChar w:fldCharType="separate"/>
      </w:r>
      <w:r w:rsidRPr="00995B8E">
        <w:rPr>
          <w:noProof/>
        </w:rPr>
        <w:t>Cherkassky (n 95) 254.</w:t>
      </w:r>
      <w:r>
        <w:fldChar w:fldCharType="end"/>
      </w:r>
    </w:p>
  </w:footnote>
  <w:footnote w:id="103">
    <w:p w14:paraId="59A6681C" w14:textId="08C0FCD4"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{"citationItems":[{"id":"ITEM-1","itemData":{"DOI":"10.1007/s10991-007-9020-7","ISSN":"0144932X","author":[{"dropping-particle":"","family":"Ryan","given":"Samantha","non-dropping-particle":"","parse-names":false,"suffix":""}],"container-title":"Liverpool Law Review","id":"ITEM-1","issue":"2","issued":{"date-parts":[["2007","9","8"]]},"page":"215-247","publisher":"Springer Netherlands","title":"Risk-taking, recklessness and HIV transmission: Accommodating the reality of sexual transmission of HIV within a justifiable approach to criminal liability","type":"article-journal","volume":"28"},"locator":"247","uris":["http://www.mendeley.com/documents/?uuid=fe7c8134-4271-3bb7-b3de-0e9fe971a41f"]}],"mendeley":{"formattedCitation":"Ryan (n 92) 247.","plainTextFormattedCitation":"Ryan (n 92) 247.","previouslyFormattedCitation":"Ryan (n 92) 247."},"properties":{"noteIndex":102},"schema":"https://github.com/citation-style-language/schema/raw/master/csl-citation.json"}</w:instrText>
      </w:r>
      <w:r>
        <w:fldChar w:fldCharType="separate"/>
      </w:r>
      <w:r w:rsidRPr="00995B8E">
        <w:rPr>
          <w:noProof/>
        </w:rPr>
        <w:t>Ryan (n 92) 247.</w:t>
      </w:r>
      <w:r>
        <w:fldChar w:fldCharType="end"/>
      </w:r>
    </w:p>
  </w:footnote>
  <w:footnote w:id="104">
    <w:p w14:paraId="5FF4CF83" w14:textId="1855F9EE"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{"citationItems":[{"id":"ITEM-1","itemData":{"DOI":"10.1177/0022018319834373","ISSN":"0022-0183","abstract":"Finding the answer to whether consent is present within a sexual encounter has become increasingly difficult for the courts. We argue that this is due to the focus placed on entrenching gender binaries, a conservative sexual ethic and clear offender/victim roles. It should be the case that the court’s task is to find the truth of the encounter in coming to a judgment as to the ethical balance, rather than judging the parties’ conformity to cisnormative and heteronormative roles. This endeavour is obscured by the court’s need to exclude ‘sex talk’, or otherwise testimony as to the messy reality of the encounter, in favour of asserting gender identity and a procreative understanding of sex. We are, therefore, left in the position where the required information necessary for valid consent is obscured by the courts. We draw on an analysis of cases involving issues relating to consent to sex in order to argue for a judicial approach that is informed by a more flexible understanding of sexual autonomy.","author":[{"dropping-particle":"","family":"Brooks","given":"Victoria","non-dropping-particle":"","parse-names":false,"suffix":""},{"dropping-particle":"","family":"Thompson","given":"Jack Clayton","non-dropping-particle":"","parse-names":false,"suffix":""}],"container-title":"The Journal of Criminal Law","id":"ITEM-1","issue":"4","issued":{"date-parts":[["2019","8","5"]]},"page":"258-271","title":"Dude Looks Like a Lady: Gender Deception, Consent and Ethics","type":"article-journal","volume":"83"},"prefix":"A point made in relation to gender identity cases by","uris":["http://www.mendeley.com/documents/?uuid=a1d8e08b-1000-3c09-ab66-bd78bb774505"]}],"mendeley":{"formattedCitation":"A point made in relation to gender identity cases by Brooks and Thompson (n 82).","plainTextFormattedCitation":"A point made in relation to gender identity cases by Brooks and Thompson (n 82).","previouslyFormattedCitation":"A point made in relation to gender identity cases by Brooks and Thompson (n 82)."},"properties":{"noteIndex":103},"schema":"https://github.com/citation-style-language/schema/raw/master/csl-citation.json"}</w:instrText>
      </w:r>
      <w:r>
        <w:fldChar w:fldCharType="separate"/>
      </w:r>
      <w:r w:rsidRPr="00995B8E">
        <w:rPr>
          <w:noProof/>
        </w:rPr>
        <w:t>A point made in relation to gender identity cases by Brooks and Thompson (n 82).</w:t>
      </w:r>
      <w:r>
        <w:fldChar w:fldCharType="end"/>
      </w:r>
    </w:p>
  </w:footnote>
  <w:footnote w:id="105">
    <w:p w14:paraId="4DC9D085" w14:textId="6DF3418F"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{"citationItems":[{"id":"ITEM-1","itemData":{"DOI":"10.1350/jcla.2013.77.3.840","author":[{"dropping-particle":"","family":"Mawhinney","given":"George R","non-dropping-particle":"","parse-names":false,"suffix":""}],"container-title":"The Journal of Criminal Law","id":"ITEM-1","issue":"3","issued":{"date-parts":[["2013","6"]]},"note":"Dull, generic and not particularly insightful. Whilst the points it makes about culpability may have some validity, they are lost in a sea of hyperbole and stigmatisation of HIV.","page":"202","title":"To Be Ill or to Kill: The Criminality of Contagion","type":"article-journal","volume":"77"},"locator":"203","uris":["http://www.mendeley.com/documents/?uuid=a557abaa-8ab7-4002-8d93-f6d8a1379a67"]}],"mendeley":{"formattedCitation":"George R Mawhinney, ‘To Be Ill or to Kill: The Criminality of Contagion’ (2013) 77 The Journal of Criminal Law 202, 203.","plainTextFormattedCitation":"George R Mawhinney, ‘To Be Ill or to Kill: The Criminality of Contagion’ (2013) 77 The Journal of Criminal Law 202, 203.","previouslyFormattedCitation":"George R Mawhinney, ‘To Be Ill or to Kill: The Criminality of Contagion’ (2013) 77 The Journal of Criminal Law 202, 203."},"properties":{"noteIndex":104},"schema":"https://github.com/citation-style-language/schema/raw/master/csl-citation.json"}</w:instrText>
      </w:r>
      <w:r>
        <w:fldChar w:fldCharType="separate"/>
      </w:r>
      <w:r w:rsidRPr="00DF35EA">
        <w:rPr>
          <w:noProof/>
        </w:rPr>
        <w:t>George R Mawhinney, ‘To Be Ill or to Kill: The Criminality of Contagion’ (2013) 77 The Journal of Criminal Law 202, 203.</w:t>
      </w:r>
      <w:r>
        <w:fldChar w:fldCharType="end"/>
      </w:r>
    </w:p>
  </w:footnote>
  <w:footnote w:id="106">
    <w:p w14:paraId="525168CA" w14:textId="747A53DF"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{"citationItems":[{"id":"ITEM-1","itemData":{"DOI":"10.1017/S1744552313000293","ISSN":"17445531","abstract":"This paper describes the ways in which, over the past three decades, law has come to serve as an obstacle in the fight against HIV, and how it contributes to the stigmatisation of, and discrimination against, people living with the virus. It argues that in order to make unsafe law safer, policy-makers, legislators and those responsible for the interpretation and enforcement of law must base their HIV response not on populist morality but on the strong evidence base provided by three decades of clinical, scientific and social research. Drawing on that research and the author's own involvement in policy development in this area, it suggests that rights-based arguments are, while important, insufficient as the basis for delivering the changes that are necessary, discusses the difficulties involved in achieving those changes, and argues that legal scholarship and research has an important role to play in HIV activism and combating the global epidemic.","author":[{"dropping-particle":"","family":"Weait","given":"Matthew","non-dropping-particle":"","parse-names":false,"suffix":""}],"container-title":"International Journal of Law in Context","id":"ITEM-1","issue":"4","issued":{"date-parts":[["2013"]]},"page":"535-564","title":"Unsafe law: Health, rights and the legal response to HIV","type":"article-journal","volume":"9"},"uris":["http://www.mendeley.com/documents/?uuid=8e4d0c63-f9f6-3da8-a859-ebee8406b273"]},{"id":"ITEM-2","itemData":{"DOI":"10.1177/0731121417709248","ISSN":"0731-1214","abstract":"This study draws from interviews with HIV-negative gay men to show how they are doing sexual responsibility online and how their actions uphold moralizing discourses around HIV. The analysis shows how gay men often engage in boundary work through stating their HIV status and “safe sex” practices on their online profile and through screening other people’s profiles for similar information. The gay men also avoid interactions with HIV-positive people, maintaining the stigmatization of HIV-positive people and constructing an HIV-positive serostatus as a status distinction. However, although the HIV-negative gay men are often invested in doing sexual responsibility, they eschew condom use with people they trust. This study then demonstrates the limitations and unintended consequences of discourses that often focus on risk and individual responsibility. These discourses ignore the relational and emotive components of sexual interactions, and hence fail to capture the complexities of people’s lives.","author":[{"dropping-particle":"","family":"Robinson","given":"Brandon Andrew","non-dropping-particle":"","parse-names":false,"suffix":""}],"container-title":"Sociological Perspectives","id":"ITEM-2","issue":"3","issued":{"date-parts":[["2018","6","17"]]},"page":"383-398","title":"Doing Sexual Responsibility: HIV, Risk Discourses, Trust, and Gay Men Interacting Online","type":"article-journal","volume":"61"},"uris":["http://www.mendeley.com/documents/?uuid=f73ef4ac-c75b-39ec-9e6c-e0a008d99e8a"]}],"mendeley":{"formattedCitation":"Matthew Weait, ‘Unsafe Law: Health, Rights and the Legal Response to HIV’ (2013) 9 International Journal of Law in Context 535; Robinson (n 15).","plainTextFormattedCitation":"Matthew Weait, ‘Unsafe Law: Health, Rights and the Legal Response to HIV’ (2013) 9 International Journal of Law in Context 535; Robinson (n 15).","previouslyFormattedCitation":"Matthew Weait, ‘Unsafe Law: Health, Rights and the Legal Response to HIV’ (2013) 9 International Journal of Law in Context 535; Robinson (n 15)."},"properties":{"noteIndex":105},"schema":"https://github.com/citation-style-language/schema/raw/master/csl-citation.json"}</w:instrText>
      </w:r>
      <w:r>
        <w:fldChar w:fldCharType="separate"/>
      </w:r>
      <w:r w:rsidRPr="00DF35EA">
        <w:rPr>
          <w:noProof/>
        </w:rPr>
        <w:t>Matthew Weait, ‘Unsafe Law: Health, Rights and the Legal Response to HIV’ (2013) 9 International Journal of Law in Context 535; Robinson (n 15).</w:t>
      </w:r>
      <w:r>
        <w:fldChar w:fldCharType="end"/>
      </w:r>
    </w:p>
  </w:footnote>
  <w:footnote w:id="107">
    <w:p w14:paraId="182DEB7F" w14:textId="218272FD"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{"citationItems":[{"id":"ITEM-1","itemData":{"author":[{"dropping-particle":"","family":"Ashford","given":"Chris","non-dropping-particle":"","parse-names":false,"suffix":""}],"container-title":"Durham Law Review","id":"ITEM-1","issued":{"date-parts":[["2011"]]},"page":"77","title":"(homo)normative legal discourse","type":"article-journal"},"uris":["http://www.mendeley.com/documents/?uuid=0b178929-ead5-3d86-8302-36ea00504364"]},{"id":"ITEM-2","itemData":{"DOI":"10.1007/s11572-011-9136-7","ISBN":"18719791","ISSN":"18719791","abstract":"Statutes criminalizing behavior that risks transmission of HIV/AIDS exemplify use of the criminal law against individuals who are victims of infectious disease. These statutes, despite their frequency, are misguided in terms of the goals of the criminal law and the public health aim of reducing overall burdens of disease, for at least three important reasons. First, they identify individual offenders for punishment, a paradigm that is misplaced in the most typical contexts of transmission of infectious disease and even for HIV/AIDS, despite claims of AIDS exceptionalism. Second, although there are examples of individuals who transmit infectious disease in a manner that fits the criminal law paradigm of identification of individual offenders for deterrence or retribution, these examples are limited and can be accommodated by existing criminal laws not devoted specifically to infectious disease. Third, and most importantly, the current criminal laws regarding HIV/AIDS, like many other criminal laws applied to infectious disease transmission, have been misguided in focusing on punishment of the diseased individual as a wrongful transmitter. Instead of individual offenders, activities that enhance the scale of disease transmission-behaviors that might be characterized as 'transmission facilitation'-are a more appropriate target for the criminal law. Examples are trafficking in human beings (including sex trafficking, organ trafficking, and labor trafficking), suppression of information about the emergence of infection in circumstances in which there is a legally established obligation to disclose, and intentional or reckless activities to discourage disease treatment or prevention. Difficulties remain with justifications for criminalizing even these behaviors, however, most importantly the need for trust in reducing overall burdens of disease, problems in identifying individual responsible offenders, and potential misalignment between static criminal law and the changing nature of infectious disease. © 2011 Springer Science+Business Media B.V.","author":[{"dropping-particle":"","family":"Francis","given":"Leslie P","non-dropping-particle":"","parse-names":false,"suffix":""},{"dropping-particle":"","family":"Francis","given":"John G","non-dropping-particle":"","parse-names":false,"suffix":""}],"container-title":"Criminal Law and Philosophy","id":"ITEM-2","issue":"1","issued":{"date-parts":[["2012"]]},"page":"47-63","title":"Criminalizing Health-Related Behaviors Dangerous to Others? Disease Transmission, Transmission-Facilitation, and the Importance of Trust","type":"article-journal","volume":"6"},"uris":["http://www.mendeley.com/documents/?uuid=eede5401-0558-3090-b170-ac0e073b604e"]}],"mendeley":{"formattedCitation":"Chris Ashford, ‘(Homo)Normative Legal Discourse’ [2011] Durham Law Review 77; Leslie P Francis and John G Francis, ‘Criminalizing Health-Related Behaviors Dangerous to Others? Disease Transmission, Transmission-Facilitation, and the Importance of Trust’ (2012) 6 Criminal Law and Philosophy 47.","plainTextFormattedCitation":"Chris Ashford, ‘(Homo)Normative Legal Discourse’ [2011] Durham Law Review 77; Leslie P Francis and John G Francis, ‘Criminalizing Health-Related Behaviors Dangerous to Others? Disease Transmission, Transmission-Facilitation, and the Importance of Trust’ (2012) 6 Criminal Law and Philosophy 47.","previouslyFormattedCitation":"Chris Ashford, ‘(Homo)Normative Legal Discourse’ [2011] Durham Law Review 77; Leslie P Francis and John G Francis, ‘Criminalizing Health-Related Behaviors Dangerous to Others? Disease Transmission, Transmission-Facilitation, and the Importance of Trust’ (2012) 6 Criminal Law and Philosophy 47."},"properties":{"noteIndex":106},"schema":"https://github.com/citation-style-language/schema/raw/master/csl-citation.json"}</w:instrText>
      </w:r>
      <w:r>
        <w:fldChar w:fldCharType="separate"/>
      </w:r>
      <w:r w:rsidRPr="00DF35EA">
        <w:rPr>
          <w:noProof/>
        </w:rPr>
        <w:t>Chris Ashford, ‘(Homo)Normative Legal Discourse’ [2011] Durham Law Review 77; Leslie P Francis and John G Francis, ‘Criminalizing Health-Related Behaviors Dangerous to Others? Disease Transmission, Transmission-Facilitation, and the Importance of Trust’ (2012) 6 Criminal Law and Philosophy 47.</w:t>
      </w:r>
      <w:r>
        <w:fldChar w:fldCharType="end"/>
      </w:r>
    </w:p>
  </w:footnote>
  <w:footnote w:id="108">
    <w:p w14:paraId="34B02002" w14:textId="543E61D8"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author":[{"dropping-particle":"","family":"Burris","given":"Scott","non-dropping-particle":"","parse-names":false,"suffix":""},{"dropping-particle":"","family":"Weait","given":"Matthew","non-dropping-particle":"","parse-names":false,"suffix":""}],"container-title":"Third Meeting of the Technical Advisory Group on the Global Commission on HIV and the Law","id":"ITEM-1","issued":{"date-parts":[["2012"]]},"title":"Criminalisation and the Moral Responsibility for Sexual Transmission of HIV","type":"paper-conference"},"uris":["http://www.mendeley.com/documents/?uuid=caf153bb-1677-3288-8bb2-9cb25046b49e"]}],"mendeley":{"formattedCitation":"Scott Burris and Matthew Weait, ‘Criminalisation and the Moral Responsibility for Sexual Transmission of HIV’, &lt;i&gt;Third Meeting of the Technical Advisory Group on the Global Commission on HIV and the Law&lt;/i&gt; (2012).","plainTextFormattedCitation":"Scott Burris and Matthew Weait, ‘Criminalisation and the Moral Responsibility for Sexual Transmission of HIV’, Third Meeting of the Technical Advisory Group on the Global Commission on HIV and the Law (2012).","previouslyFormattedCitation":"Scott Burris and Matthew Weait, ‘Criminalisation and the Moral Responsibility for Sexual Transmission of HIV’, &lt;i&gt;Third Meeting of the Technical Advisory Group on the Global Commission on HIV and the Law&lt;/i&gt; (2012)."},"properties":{"noteIndex":107},"schema":"https://github.com/citation-style-language/schema/raw/master/csl-citation.json"}</w:instrText>
      </w:r>
      <w:r>
        <w:fldChar w:fldCharType="separate"/>
      </w:r>
      <w:r w:rsidRPr="00DF35EA">
        <w:rPr>
          <w:noProof/>
        </w:rPr>
        <w:t xml:space="preserve">Scott Burris and Matthew Weait, ‘Criminalisation and the Moral Responsibility for Sexual Transmission of HIV’, </w:t>
      </w:r>
      <w:r w:rsidRPr="00DF35EA">
        <w:rPr>
          <w:i/>
          <w:noProof/>
        </w:rPr>
        <w:t>Third Meeting of the Technical Advisory Group on the Global Commission on HIV and the Law</w:t>
      </w:r>
      <w:r w:rsidRPr="00DF35EA">
        <w:rPr>
          <w:noProof/>
        </w:rPr>
        <w:t xml:space="preserve"> (2012).</w:t>
      </w:r>
      <w:r>
        <w:fldChar w:fldCharType="end"/>
      </w:r>
    </w:p>
  </w:footnote>
  <w:footnote w:id="109">
    <w:p w14:paraId="63C8C165" w14:textId="357B5DAD"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{"citationItems":[{"id":"ITEM-1","itemData":{"ISBN":"1712-624X (Print)\\r1712-624X (Linking)","ISSN":"1712624X","PMID":"16363052","abstract":"In this article, Matthew Weait and Yusef Azad discuss the current law concerning the criminalization of HIV transmission in England and Wales, and raise some issues about the wider implications of criminalization for those working in the HIV/AIDS sector. The authors look at the way the fault requirement of \"recklessness\" has been interpreted in the cases. They explore the courts' approach to consent--the defence which those who have appealed against conviction have sought to use. Then the authors raise some questions about the relevance of disclosure and the way the courts have dealt with knowledge about HIV status and the risks associated with unprotected sex. Finally, they discuss the relevance of the nature of the relationship between the accused person and the person to whom HIV has allegedly been transmitted, and touch on the potentially stigmatizing effects that criminalization may have on socio-economically marginalized groups. The authors conclude by discussing some more general policy-related issues.","author":[{"dropping-particle":"","family":"Weait","given":"M","non-dropping-particle":"","parse-names":false,"suffix":""},{"dropping-particle":"","family":"Azad","given":"Y","non-dropping-particle":"","parse-names":false,"suffix":""}],"container-title":"HIV AIDS Policy Law Rev","id":"ITEM-1","issue":"2","issued":{"date-parts":[["2005"]]},"page":"1","title":"The criminalization of HIV transmission in England and Wales: questions of law and policy","type":"article-journal","volume":"10"},"prefix":"See, among others, ","uris":["http://www.mendeley.com/documents/?uuid=55b8d72f-01e1-36ca-9b43-59ee64f6dcb5"]},{"id":"ITEM-2","itemData":{"DOI":"10.1007/s11572-011-9136-7","ISBN":"18719791","ISSN":"18719791","abstract":"Statutes criminalizing behavior that risks transmission of HIV/AIDS exemplify use of the criminal law against individuals who are victims of infectious disease. These statutes, despite their frequency, are misguided in terms of the goals of the criminal law and the public health aim of reducing overall burdens of disease, for at least three important reasons. First, they identify individual offenders for punishment, a paradigm that is misplaced in the most typical contexts of transmission of infectious disease and even for HIV/AIDS, despite claims of AIDS exceptionalism. Second, although there are examples of individuals who transmit infectious disease in a manner that fits the criminal law paradigm of identification of individual offenders for deterrence or retribution, these examples are limited and can be accommodated by existing criminal laws not devoted specifically to infectious disease. Third, and most importantly, the current criminal laws regarding HIV/AIDS, like many other criminal laws applied to infectious disease transmission, have been misguided in focusing on punishment of the diseased individual as a wrongful transmitter. Instead of individual offenders, activities that enhance the scale of disease transmission-behaviors that might be characterized as 'transmission facilitation'-are a more appropriate target for the criminal law. Examples are trafficking in human beings (including sex trafficking, organ trafficking, and labor trafficking), suppression of information about the emergence of infection in circumstances in which there is a legally established obligation to disclose, and intentional or reckless activities to discourage disease treatment or prevention. Difficulties remain with justifications for criminalizing even these behaviors, however, most importantly the need for trust in reducing overall burdens of disease, problems in identifying individual responsible offenders, and potential misalignment between static criminal law and the changing nature of infectious disease. © 2011 Springer Science+Business Media B.V.","author":[{"dropping-particle":"","family":"Francis","given":"Leslie P","non-dropping-particle":"","parse-names":false,"suffix":""},{"dropping-particle":"","family":"Francis","given":"John G","non-dropping-particle":"","parse-names":false,"suffix":""}],"container-title":"Criminal Law and Philosophy","id":"ITEM-2","issue":"1","issued":{"date-parts":[["2012"]]},"page":"47-63","title":"Criminalizing Health-Related Behaviors Dangerous to Others? Disease Transmission, Transmission-Facilitation, and the Importance of Trust","type":"article-journal","volume":"6"},"uris":["http://www.mendeley.com/documents/?uuid=eede5401-0558-3090-b170-ac0e073b604e"]},{"id":"ITEM-3","itemData":{"DOI":"10.1136/medethics-2014-102122","ISBN":"1473-4257","ISSN":"0306-6800","PMID":"26420071","abstract":"Evidence that treating people with HIV early in infection prevents transmission to sexual partners has reframed HIV prevention paradigms. The resulting emphasis on HIV testing as part of prevention strategies has rekindled the debate as to whether laws that criminalise HIV transmission are counterproductive to the human rights-based public health response. It also raises normative questions about what constitutes 'safe(r) sex' if a person with HIV has undetectable viral load, which has significant implications for sexual practice and health promotion. This paper discusses a recent high-profile Australian case where HIV transmission or exposure has been prosecuted, and considers how the interpretation of law in these instances impacts on HIV prevention paradigms. In addition, we consider the implications of an evolving medical understanding of HIV transmission, and particularly the ability to determine infectiousness through viral load tests, for laws that relate to HIV exposure (as distinct from transmission) offences. We conclude that defensible laws must relate to appreciable risk. Given the evidence that the transmissibility of HIV is reduced to negligible level where viral load is suppressed, this needs to be recognised in the framing, implementation and enforcement of the law. In addition, normative concepts of 'safe(r) sex' need to be expanded to include sex that is 'protected' by means of the positive person being virally suppressed. In jurisdictions where use of a condom has previously mitigated the duty of the person with HIV to disclose to a partner, this might logically also apply to sex that is 'protected' by undetectable viral load.","author":[{"dropping-particle":"","family":"Haire","given":"Bridget","non-dropping-particle":"","parse-names":false,"suffix":""},{"dropping-particle":"","family":"Kaldor","given":"John","non-dropping-particle":"","parse-names":false,"suffix":""}],"container-title":"Journal of Medical Ethics","id":"ITEM-3","issue":"12","issued":{"date-parts":[["2015"]]},"page":"982-986","title":"HIV transmission law in the age of treatment-as-prevention","type":"article-journal","volume":"41"},"uris":["http://www.mendeley.com/documents/?uuid=33ffda9e-04c4-3581-8829-987cb6d468bd"]}],"mendeley":{"formattedCitation":"See, among others, M Weait and Y Azad, ‘The Criminalization of HIV Transmission in England and Wales: Questions of Law and Policy’ (2005) 10 HIV AIDS Policy Law Rev 1; Francis and Francis (n 106); Bridget Haire and John Kaldor, ‘HIV Transmission Law in the Age of Treatment-as-Prevention’ (2015) 41 Journal of Medical Ethics 982.","plainTextFormattedCitation":"See, among others, M Weait and Y Azad, ‘The Criminalization of HIV Transmission in England and Wales: Questions of Law and Policy’ (2005) 10 HIV AIDS Policy Law Rev 1; Francis and Francis (n 106); Bridget Haire and John Kaldor, ‘HIV Transmission Law in the Age of Treatment-as-Prevention’ (2015) 41 Journal of Medical Ethics 982.","previouslyFormattedCitation":"See, among others, M Weait and Y Azad, ‘The Criminalization of HIV Transmission in England and Wales: Questions of Law and Policy’ (2005) 10 HIV AIDS Policy Law Rev 1; Francis and Francis (n 106); Bridget Haire and John Kaldor, ‘HIV Transmission Law in the Age of Treatment-as-Prevention’ (2015) 41 Journal of Medical Ethics 982."},"properties":{"noteIndex":108},"schema":"https://github.com/citation-style-language/schema/raw/master/csl-citation.json"}</w:instrText>
      </w:r>
      <w:r>
        <w:fldChar w:fldCharType="separate"/>
      </w:r>
      <w:r w:rsidRPr="00995B8E">
        <w:rPr>
          <w:noProof/>
        </w:rPr>
        <w:t>See, among others, M Weait and Y Azad, ‘The Criminalization of HIV Transmission in England and Wales: Questions of Law and Policy’ (2005) 10 HIV AIDS Policy Law Rev 1; Francis and Francis (n 106); Bridget Haire and John Kaldor, ‘HIV Transmission Law in the Age of Treatment-as-Prevention’ (2015) 41 Journal of Medical Ethics 982.</w:t>
      </w:r>
      <w:r>
        <w:fldChar w:fldCharType="end"/>
      </w:r>
    </w:p>
  </w:footnote>
  <w:footnote w:id="110">
    <w:p w14:paraId="2F625EF8" w14:textId="22EA1401" w:rsidR="003C4498" w:rsidRDefault="003C4498">
      <w:pPr>
        <w:pStyle w:val="FootnoteText"/>
      </w:pPr>
      <w:r>
        <w:rPr>
          <w:rStyle w:val="FootnoteReference"/>
        </w:rPr>
        <w:footnoteRef/>
      </w:r>
      <w:r>
        <w:t xml:space="preserve"> </w:t>
      </w:r>
      <w:r>
        <w:fldChar w:fldCharType="begin" w:fldLock="1"/>
      </w:r>
      <w:r>
        <w:instrText>ADDIN CSL_CITATION {"citationItems":[{"id":"ITEM-1","itemData":{"DOI":"10.1007/s11673-012-9375-x","ISSN":"11767529","abstract":"How can we register the participation of a range of elements, extending beyond the human subject, in the production of HIV events? In the context of proposals around biomedical prevention, there is a growing awareness of the need to find ways of responding to complexity, as everywhere new combinations of treatment, behavior, drugs, norms, meanings and devices are coming into encounter with one another, or are set to come into encounter with one another, with a range of unpredictable effects. In this paper I consider the operation of various framing devices that attribute responsibility and causation with regard to HIV events. I propose that we need to sharpen our analytic focus on what these devices do, their performativity-that is, their full range of worldly implications and effects. My primary examples are the criminal law and the randomized control trial. I argue that these institutions operate as framing devices: They attribute responsibility for HIV events and externalize other elements and effects in the process. Drawing on recent work in science and technology studies as well as queer theory, I set out an analytic frame that marks out a new role for HIV social research. Attentiveness to the performative effects of these devices is crucial, I suggest, if we want better to address the global HIV epidemic.","author":[{"dropping-particle":"","family":"Race","given":"Kane","non-dropping-particle":"","parse-names":false,"suffix":""}],"container-title":"Journal of Bioethical Inquiry","id":"ITEM-1","issue":"3","issued":{"date-parts":[["2012"]]},"page":"327-338","title":"Framing Responsibility: HIV, Biomedical Prevention, and the Performativity of the Law","type":"article-journal","volume":"9"},"prefix":"See, generally, ","uris":["http://www.mendeley.com/documents/?uuid=bff7816a-0c78-35ee-bc8f-e96d3d58ecac"]}],"mendeley":{"formattedCitation":"See, generally, Kane Race, ‘Framing Responsibility: HIV, Biomedical Prevention, and the Performativity of the Law’ (2012) 9 Journal of Bioethical Inquiry 327.","plainTextFormattedCitation":"See, generally, Kane Race, ‘Framing Responsibility: HIV, Biomedical Prevention, and the Performativity of the Law’ (2012) 9 Journal of Bioethical Inquiry 327.","previouslyFormattedCitation":"See, generally, Kane Race, ‘Framing Responsibility: HIV, Biomedical Prevention, and the Performativity of the Law’ (2012) 9 Journal of Bioethical Inquiry 327."},"properties":{"noteIndex":109},"schema":"https://github.com/citation-style-language/schema/raw/master/csl-citation.json"}</w:instrText>
      </w:r>
      <w:r>
        <w:fldChar w:fldCharType="separate"/>
      </w:r>
      <w:r w:rsidRPr="00C04D09">
        <w:rPr>
          <w:noProof/>
        </w:rPr>
        <w:t>See, generally, Kane Race, ‘Framing Responsibility: HIV, Biomedical Prevention, and the Performativity of the Law’ (2012) 9 Journal of Bioethical Inquiry 327.</w:t>
      </w:r>
      <w:r>
        <w:fldChar w:fldCharType="end"/>
      </w:r>
    </w:p>
  </w:footnote>
  <w:footnote w:id="111">
    <w:p w14:paraId="27B02346" w14:textId="75272FBC"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{"citationItems":[{"id":"ITEM-1","itemData":{"ISBN":"0140297863","abstract":"Originally published: London: Allen Lane, 2002. However much we crave certainty, we live in an uncertain world. But are we guilty of wildly exaggerating the chances of some unwanted event happening to us? Are ordinary people idiots when reasoning with risk? Far too many of us, argues Gerd Gigerenzer, are hampered by our own innumeracy. Here, he shows us that our difficulties in thinking about numbers can easily be overcome. pt. I. Dare to know: Uncertainty -- The illusion of certainty -- Innumeracy -- Insight -- pt. II. Understanding uncertainties in the real world: Breast cancer screening -- (Un)informed consent -- AIDS counselling -- Wife battering -- Experts on trial -- DNA fingerprinting -- Violent people -- pt. III. From innumeracy to insight: How innumeracy can be exploited -- Fun problems -- Teaching clear thinking.","author":[{"dropping-particle":"","family":"Gigerenzer","given":"Gerd.","non-dropping-particle":"","parse-names":false,"suffix":""}],"id":"ITEM-1","issued":{"date-parts":[["2003"]]},"number-of-pages":"310","publisher":"Penguin","title":"Reckoning with risk : learning to live with uncertainty","type":"book"},"prefix":"For discussion of conceptualisation of risk, generally, see,","uris":["http://www.mendeley.com/documents/?uuid=94741628-cc7c-35cc-af96-dd4c6aeb2934"]},{"id":"ITEM-2","itemData":{"author":[{"dropping-particle":"","family":"Hansson","given":"Sven Ove","non-dropping-particle":"","parse-names":false,"suffix":""}],"container-title":"Risk: Philosophical Perspectives","editor":[{"dropping-particle":"","family":"Lewens (ed)","given":"Tim","non-dropping-particle":"","parse-names":false,"suffix":""}],"id":"ITEM-2","issued":{"date-parts":[["2007"]]},"publisher":"Routledge","title":"Risk and Ethics","type":"chapter"},"uris":["http://www.mendeley.com/documents/?uuid=d01a0488-66ed-4721-864f-b776b9dc64b5"]}],"mendeley":{"formattedCitation":"For discussion of conceptualisation of risk, generally, see, Gerd Gigerenzer, &lt;i&gt;Reckoning with Risk : Learning to Live with Uncertainty&lt;/i&gt; (Penguin 2003); Sven Ove Hansson, ‘Risk and Ethics’ in Tim Lewens (ed) (ed), &lt;i&gt;Risk: Philosophical Perspectives&lt;/i&gt; (Routledge 2007).","plainTextFormattedCitation":"For discussion of conceptualisation of risk, generally, see, Gerd Gigerenzer, Reckoning with Risk : Learning to Live with Uncertainty (Penguin 2003); Sven Ove Hansson, ‘Risk and Ethics’ in Tim Lewens (ed) (ed), Risk: Philosophical Perspectives (Routledge 2007).","previouslyFormattedCitation":"For discussion of conceptualisation of risk, generally, see, Gerd Gigerenzer, &lt;i&gt;Reckoning with Risk : Learning to Live with Uncertainty&lt;/i&gt; (Penguin 2003); Sven Ove Hansson, ‘Risk and Ethics’ in Tim Lewens (ed) (ed), &lt;i&gt;Risk: Philosophical Perspectives&lt;/i&gt; (Routledge 2007)."},"properties":{"noteIndex":110},"schema":"https://github.com/citation-style-language/schema/raw/master/csl-citation.json"}</w:instrText>
      </w:r>
      <w:r>
        <w:fldChar w:fldCharType="separate"/>
      </w:r>
      <w:r>
        <w:rPr>
          <w:noProof/>
        </w:rPr>
        <w:t xml:space="preserve">For discussion of conceptualisation of risk, generally, see, Gerd Gigerenzer, </w:t>
      </w:r>
      <w:r>
        <w:rPr>
          <w:i/>
          <w:noProof/>
        </w:rPr>
        <w:t>Reckoning with Risk : Learning to Live with Uncertainty</w:t>
      </w:r>
      <w:r>
        <w:rPr>
          <w:noProof/>
        </w:rPr>
        <w:t xml:space="preserve"> (Penguin 2003); Sven Ove Hansson, ‘Risk and Ethics’ in Tim Lewens (ed) (ed), </w:t>
      </w:r>
      <w:r>
        <w:rPr>
          <w:i/>
          <w:noProof/>
        </w:rPr>
        <w:t>Risk: Philosophical Perspectives</w:t>
      </w:r>
      <w:r>
        <w:rPr>
          <w:noProof/>
        </w:rPr>
        <w:t xml:space="preserve"> (Routledge 2007).</w:t>
      </w:r>
      <w:r>
        <w:fldChar w:fldCharType="end"/>
      </w:r>
    </w:p>
  </w:footnote>
  <w:footnote w:id="112">
    <w:p w14:paraId="2953D066" w14:textId="1D004692" w:rsidR="003C4498" w:rsidRDefault="003C4498">
      <w:pPr>
        <w:pStyle w:val="FootnoteText"/>
      </w:pPr>
      <w:r>
        <w:rPr>
          <w:rStyle w:val="FootnoteReference"/>
        </w:rPr>
        <w:footnoteRef/>
      </w:r>
      <w:r>
        <w:t xml:space="preserve"> </w:t>
      </w:r>
      <w:r>
        <w:fldChar w:fldCharType="begin" w:fldLock="1"/>
      </w:r>
      <w:r>
        <w:instrText>ADDIN CSL_CITATION {"citationItems":[{"id":"ITEM-1","itemData":{"ISSN":"0011-135X","author":[{"dropping-particle":"","family":"Weait","given":"Matthew","non-dropping-particle":"","parse-names":false,"suffix":""}],"container-title":"Criminal Law Review","id":"ITEM-1","issued":{"date-parts":[["2005"]]},"note":"Available via Westlaw. See Weait, M. (2005) 'Knowledge, Autonomy and Consent: R v Konzani' Criminal Law Review, October: 763-772.","page":"763-772","title":"Knowledge, Autonomy and Consent: R v Konzani","type":"article-journal"},"locator":"770","prefix":"For instance, hepatitis and syphilis. See","uris":["http://www.mendeley.com/documents/?uuid=b75e6676-6c5c-40c4-afb7-20127fe227d9"]}],"mendeley":{"formattedCitation":"For instance, hepatitis and syphilis. See Weait, ‘Knowledge, Autonomy and Consent: R v Konzani’ (n 92) 770.","plainTextFormattedCitation":"For instance, hepatitis and syphilis. See Weait, ‘Knowledge, Autonomy and Consent: R v Konzani’ (n 92) 770.","previouslyFormattedCitation":"For instance, hepatitis and syphilis. See Weait, ‘Knowledge, Autonomy and Consent: R v Konzani’ (n 92) 770."},"properties":{"noteIndex":111},"schema":"https://github.com/citation-style-language/schema/raw/master/csl-citation.json"}</w:instrText>
      </w:r>
      <w:r>
        <w:fldChar w:fldCharType="separate"/>
      </w:r>
      <w:r w:rsidRPr="00995B8E">
        <w:rPr>
          <w:noProof/>
        </w:rPr>
        <w:t>For instance, hepatitis and syphilis. See Weait, ‘Knowledge, Autonomy and Consent: R v Konzani’ (n 92) 770.</w:t>
      </w:r>
      <w:r>
        <w:fldChar w:fldCharType="end"/>
      </w:r>
    </w:p>
  </w:footnote>
  <w:footnote w:id="113">
    <w:p w14:paraId="362BC671" w14:textId="413ADFC5"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{"citationItems":[{"id":"ITEM-1","itemData":{"DOI":"10.1007/s11572-011-9136-7","ISBN":"18719791","ISSN":"18719791","abstract":"Statutes criminalizing behavior that risks transmission of HIV/AIDS exemplify use of the criminal law against individuals who are victims of infectious disease. These statutes, despite their frequency, are misguided in terms of the goals of the criminal law and the public health aim of reducing overall burdens of disease, for at least three important reasons. First, they identify individual offenders for punishment, a paradigm that is misplaced in the most typical contexts of transmission of infectious disease and even for HIV/AIDS, despite claims of AIDS exceptionalism. Second, although there are examples of individuals who transmit infectious disease in a manner that fits the criminal law paradigm of identification of individual offenders for deterrence or retribution, these examples are limited and can be accommodated by existing criminal laws not devoted specifically to infectious disease. Third, and most importantly, the current criminal laws regarding HIV/AIDS, like many other criminal laws applied to infectious disease transmission, have been misguided in focusing on punishment of the diseased individual as a wrongful transmitter. Instead of individual offenders, activities that enhance the scale of disease transmission-behaviors that might be characterized as 'transmission facilitation'-are a more appropriate target for the criminal law. Examples are trafficking in human beings (including sex trafficking, organ trafficking, and labor trafficking), suppression of information about the emergence of infection in circumstances in which there is a legally established obligation to disclose, and intentional or reckless activities to discourage disease treatment or prevention. Difficulties remain with justifications for criminalizing even these behaviors, however, most importantly the need for trust in reducing overall burdens of disease, problems in identifying individual responsible offenders, and potential misalignment between static criminal law and the changing nature of infectious disease. © 2011 Springer Science+Business Media B.V.","author":[{"dropping-particle":"","family":"Francis","given":"Leslie P","non-dropping-particle":"","parse-names":false,"suffix":""},{"dropping-particle":"","family":"Francis","given":"John G","non-dropping-particle":"","parse-names":false,"suffix":""}],"container-title":"Criminal Law and Philosophy","id":"ITEM-1","issue":"1","issued":{"date-parts":[["2012"]]},"page":"47-63","title":"Criminalizing Health-Related Behaviors Dangerous to Others? Disease Transmission, Transmission-Facilitation, and the Importance of Trust","type":"article-journal","volume":"6"},"prefix":"For discussion of HIV exceptionalism and the lack of prosecutions, generally, see,","uris":["http://www.mendeley.com/documents/?uuid=eede5401-0558-3090-b170-ac0e073b604e"]},{"id":"ITEM-2","itemData":{"ISSN":"00220183","abstract":"The article discusses the court case R. v. Golding wherein the Crown Court at Northampton in England sentenced the appellant to fourteen months' imprisonment for recklessly infecting the complainant with genital herpes simplex type-2 (HSV-2). Topics discussed include the grounds of the subsequent appeal against conviction, Crown Prosecution Service (CPS) guidance in force at the time of the appellant's guilty plea, and expert medical evidence on the impact of herpes on the complainant.","author":[{"dropping-particle":"","family":"Roebuck","given":"James","non-dropping-particle":"","parse-names":false,"suffix":""}],"container-title":"Journal of Criminal Law","id":"ITEM-2","issue":"4","issued":{"date-parts":[["2014"]]},"page":"294-299","title":"Criminal Liability for Transmission of Herpes Simplex Virus.","type":"article-journal","volume":"78"},"prefix":"Although, it should be noted that there have been limited examples of other prosecutions, see, for example,","uris":["http://www.mendeley.com/documents/?uuid=14dd3b24-9055-33ee-8348-630c867268e1"]},{"id":"ITEM-3","itemData":{"container-title":"EWCA Crim","id":"ITEM-3","issued":{"date-parts":[["2014"]]},"page":"889","title":"R. v Golding (David)","type":"legal_case"},"uris":["http://www.mendeley.com/documents/?uuid=78108028-15a2-314d-a690-384473f4e0d7"]},{"id":"ITEM-4","itemData":{"container-title":"EWCA Crim","id":"ITEM-4","issued":{"date-parts":[["2009"]]},"page":"60","title":"R v Marangwanda (Peace)","type":"legal_case"},"prefix":"and, also;","uris":["http://www.mendeley.com/documents/?uuid=c0ddda35-1e7e-4235-ac60-c140aae8dd07"]}],"mendeley":{"formattedCitation":"For discussion of HIV exceptionalism and the lack of prosecutions, generally, see, Francis and Francis (n 106); Although, it should be noted that there have been limited examples of other prosecutions, see, for example, James Roebuck, ‘Criminal Liability for Transmission of Herpes Simplex Virus.’ (2014) 78 Journal of Criminal Law 294; &lt;i&gt;R v Golding (David)&lt;/i&gt; [2014] EWCA Crim 889; and, also; &lt;i&gt;R v Marangwanda (Peace)&lt;/i&gt; [2009] EWCA Crim 60.","plainTextFormattedCitation":"For discussion of HIV exceptionalism and the lack of prosecutions, generally, see, Francis and Francis (n 106); Although, it should be noted that there have been limited examples of other prosecutions, see, for example, James Roebuck, ‘Criminal Liability for Transmission of Herpes Simplex Virus.’ (2014) 78 Journal of Criminal Law 294; R v Golding (David) [2014] EWCA Crim 889; and, also; R v Marangwanda (Peace) [2009] EWCA Crim 60.","previouslyFormattedCitation":"For discussion of HIV exceptionalism and the lack of prosecutions, generally, see, Francis and Francis (n 106); Although, it should be noted that there have been limited examples of other prosecutions, see, for example, James Roebuck, ‘Criminal Liability for Transmission of Herpes Simplex Virus.’ (2014) 78 Journal of Criminal Law 294; &lt;i&gt;R v Golding (David)&lt;/i&gt; [2014] EWCA Crim 889; and, also; &lt;i&gt;R v Marangwanda (Peace)&lt;/i&gt; [2009] EWCA Crim 60."},"properties":{"noteIndex":112},"schema":"https://github.com/citation-style-language/schema/raw/master/csl-citation.json"}</w:instrText>
      </w:r>
      <w:r>
        <w:fldChar w:fldCharType="separate"/>
      </w:r>
      <w:r w:rsidRPr="00995B8E">
        <w:rPr>
          <w:noProof/>
        </w:rPr>
        <w:t xml:space="preserve">For discussion of HIV exceptionalism and the lack of prosecutions, generally, see, Francis and Francis (n 106); Although, it should be noted that there have been limited examples of other prosecutions, see, for example, James Roebuck, ‘Criminal Liability for Transmission of Herpes Simplex Virus.’ (2014) 78 Journal of Criminal Law 294; </w:t>
      </w:r>
      <w:r w:rsidRPr="00995B8E">
        <w:rPr>
          <w:i/>
          <w:noProof/>
        </w:rPr>
        <w:t>R v Golding (David)</w:t>
      </w:r>
      <w:r w:rsidRPr="00995B8E">
        <w:rPr>
          <w:noProof/>
        </w:rPr>
        <w:t xml:space="preserve"> [2014] EWCA Crim 889; and, also; </w:t>
      </w:r>
      <w:r w:rsidRPr="00995B8E">
        <w:rPr>
          <w:i/>
          <w:noProof/>
        </w:rPr>
        <w:t>R v Marangwanda (Peace)</w:t>
      </w:r>
      <w:r w:rsidRPr="00995B8E">
        <w:rPr>
          <w:noProof/>
        </w:rPr>
        <w:t xml:space="preserve"> [2009] EWCA Crim 60.</w:t>
      </w:r>
      <w:r>
        <w:fldChar w:fldCharType="end"/>
      </w:r>
    </w:p>
  </w:footnote>
  <w:footnote w:id="114">
    <w:p w14:paraId="4868B59E" w14:textId="0290700D"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{"citationItems":[{"id":"ITEM-1","itemData":{"container-title":"EWCA Crim","id":"ITEM-1","issued":{"date-parts":[["2018"]]},"page":"2688","title":"R v Rowe","type":"legal_case"},"prefix":"Although of course there has been a significant development in the law surrounding intentional transmission, see,","uris":["http://www.mendeley.com/documents/?uuid=e182c37e-e0e8-4f4b-9904-f1384027db23"]},{"id":"ITEM-2","itemData":{"author":[{"dropping-particle":"","family":"Watt","given":"Holly","non-dropping-particle":"","parse-names":false,"suffix":""}],"container-title":"The Guardian","id":"ITEM-2","issued":{"date-parts":[["2017","11","15"]]},"publisher-place":"London","title":"Man found guilty of trying to infect 10 Grindr dates with HIV","type":"article-newspaper"},"prefix":"And, also,","uris":["http://www.mendeley.com/documents/?uuid=3e0b85fa-c52c-4312-920c-71bb24b5cc15"]},{"id":"ITEM-3","itemData":{"URL":"https://theconversation.com/daryll-rowes-sentence-could-change-the-laws-approach-to-hiv-transmission-95307","accessed":{"date-parts":[["2018","8","15"]]},"author":[{"dropping-particle":"","family":"Giles","given":"Cameron","non-dropping-particle":"","parse-names":false,"suffix":""}],"container-title":"The Conversation","id":"ITEM-3","issued":{"date-parts":[["2018","4","19"]]},"title":"Daryll Rowe’s sentence could change the law’s approach to HIV transmission","type":"webpage"},"prefix":"Furthermore, for commentary, see, ","uris":["http://www.mendeley.com/documents/?uuid=f75f6a7c-2819-4dc0-8431-bd69d177c727"]}],"mendeley":{"formattedCitation":"Although of course there has been a significant development in the law surrounding intentional transmission, see, &lt;i&gt;R v Rowe&lt;/i&gt; (n 91); And, also, Holly Watt, ‘Man Found Guilty of Trying to Infect 10 Grindr Dates with HIV’ &lt;i&gt;The Guardian&lt;/i&gt; (London, 15 November 2017); Furthermore, for commentary, see, Cameron Giles, ‘Daryll Rowe’s Sentence Could Change the Law’s Approach to HIV Transmission’ (&lt;i&gt;The Conversation&lt;/i&gt;, 19 April 2018) &lt;https://theconversation.com/daryll-rowes-sentence-could-change-the-laws-approach-to-hiv-transmission-95307&gt; accessed 15 August 2018.","plainTextFormattedCitation":"Although of course there has been a significant development in the law surrounding intentional transmission, see, R v Rowe (n 91); And, also, Holly Watt, ‘Man Found Guilty of Trying to Infect 10 Grindr Dates with HIV’ The Guardian (London, 15 November 2017); Furthermore, for commentary, see, Cameron Giles, ‘Daryll Rowe’s Sentence Could Change the Law’s Approach to HIV Transmission’ (The Conversation, 19 April 2018)  accessed 15 August 2018.","previouslyFormattedCitation":"Although of course there has been a significant development in the law surrounding intentional transmission, see, &lt;i&gt;R v Rowe&lt;/i&gt; (n 91); And, also, Holly Watt, ‘Man Found Guilty of Trying to Infect 10 Grindr Dates with HIV’ &lt;i&gt;The Guardian&lt;/i&gt; (London, 15 November 2017); Furthermore, for commentary, see, Cameron Giles, ‘Daryll Rowe’s Sentence Could Change the Law’s Approach to HIV Transmission’ (&lt;i&gt;The Conversation&lt;/i&gt;, 19 April 2018) &lt;https://theconversation.com/daryll-rowes-sentence-could-change-the-laws-approach-to-hiv-transmission-95307&gt; accessed 15 August 2018."},"properties":{"noteIndex":113},"schema":"https://github.com/citation-style-language/schema/raw/master/csl-citation.json"}</w:instrText>
      </w:r>
      <w:r>
        <w:fldChar w:fldCharType="separate"/>
      </w:r>
      <w:r w:rsidRPr="004448D8">
        <w:rPr>
          <w:noProof/>
        </w:rPr>
        <w:t xml:space="preserve">Although of course there has been a significant development in the law surrounding intentional transmission, see, </w:t>
      </w:r>
      <w:r w:rsidRPr="004448D8">
        <w:rPr>
          <w:i/>
          <w:noProof/>
        </w:rPr>
        <w:t>R v Rowe</w:t>
      </w:r>
      <w:r w:rsidRPr="004448D8">
        <w:rPr>
          <w:noProof/>
        </w:rPr>
        <w:t xml:space="preserve"> (n 91); And, also, Holly Watt, ‘Man Found Guilty of Trying to Infect 10 Grindr Dates with HIV’ </w:t>
      </w:r>
      <w:r w:rsidRPr="004448D8">
        <w:rPr>
          <w:i/>
          <w:noProof/>
        </w:rPr>
        <w:t>The Guardian</w:t>
      </w:r>
      <w:r w:rsidRPr="004448D8">
        <w:rPr>
          <w:noProof/>
        </w:rPr>
        <w:t xml:space="preserve"> (London, 15 November 2017); Furthermore, for commentary, see, Cameron Giles, ‘Daryll Rowe’s Sentence Could Change the Law’s Approach to HIV Transmission’ (</w:t>
      </w:r>
      <w:r w:rsidRPr="004448D8">
        <w:rPr>
          <w:i/>
          <w:noProof/>
        </w:rPr>
        <w:t>The Conversation</w:t>
      </w:r>
      <w:r w:rsidRPr="004448D8">
        <w:rPr>
          <w:noProof/>
        </w:rPr>
        <w:t>, 19 April 2018) &lt;https://theconversation.com/daryll-rowes-sentence-could-change-the-laws-approach-to-hiv-transmission-95307&gt; accessed 15 August 2018.</w:t>
      </w:r>
      <w:r>
        <w:fldChar w:fldCharType="end"/>
      </w:r>
    </w:p>
  </w:footnote>
  <w:footnote w:id="115">
    <w:p w14:paraId="740C3CB2" w14:textId="39D2C181"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{"citationItems":[{"id":"ITEM-1","itemData":{"DOI":"10.1017/S1744552313000281","ISSN":"17445531","abstract":"HIV prevention and treatment are undergoing impressive technological and practice changes. In-home rapid testing, prophylaxis before risky sex, and treatment as prevention give cause for remarkable optimism and suggest the possibility of an AIDS-free generation. These changes in HIV prevention and treatment might affect HIV policy in several different directions. One direction would be further entrenchment of the currently prevailing punitive approach. A different direction would be a shift away from use of the criminal law as a method for discouraging risky behaviour and towards a strategy aimed to encourage the use of the new treatment and prevention possibilities. When such abrupt technological changes are accompanied by sharp changes in regulatory regimes, they are identified in the public policy literature as a 'punctuated equilibrium'. A shift away from criminalisation in HIV policy, if sufficiently widespread and transformative, could reach the level of a punctuated equilibrium. This paper presents a critical assessment of the implications of the changes in available forms of treatment and prevention for the continued appeal of criminalisation as an approach to HIV policy. We conclude that criminalisation is less justifiable in the light of what might be circumstances ripe for a punctuated equilibrium.","author":[{"dropping-particle":"","family":"Francis","given":"John G","non-dropping-particle":"","parse-names":false,"suffix":""},{"dropping-particle":"","family":"Francis","given":"Leslie P","non-dropping-particle":"","parse-names":false,"suffix":""}],"container-title":"International Journal of Law in Context","id":"ITEM-1","issue":"4","issued":{"date-parts":[["2013"]]},"page":"520-534","title":"HIV treatment as prevention: Not an argument for continuing criminalisation of HIV transmission","type":"article-journal","volume":"9"},"uris":["http://www.mendeley.com/documents/?uuid=aa27ce97-0c57-38b0-87bf-a15dd5e6d3ef"]}],"mendeley":{"formattedCitation":"John G Francis and Leslie P Francis, ‘HIV Treatment as Prevention: Not an Argument for Continuing Criminalisation of HIV Transmission’ (2013) 9 International Journal of Law in Context 520.","plainTextFormattedCitation":"John G Francis and Leslie P Francis, ‘HIV Treatment as Prevention: Not an Argument for Continuing Criminalisation of HIV Transmission’ (2013) 9 International Journal of Law in Context 520.","previouslyFormattedCitation":"John G Francis and Leslie P Francis, ‘HIV Treatment as Prevention: Not an Argument for Continuing Criminalisation of HIV Transmission’ (2013) 9 International Journal of Law in Context 520."},"properties":{"noteIndex":114},"schema":"https://github.com/citation-style-language/schema/raw/master/csl-citation.json"}</w:instrText>
      </w:r>
      <w:r>
        <w:fldChar w:fldCharType="separate"/>
      </w:r>
      <w:r w:rsidRPr="00DF35EA">
        <w:rPr>
          <w:noProof/>
        </w:rPr>
        <w:t>John G Francis and Leslie P Francis, ‘HIV Treatment as Prevention: Not an Argument for Continuing Criminalisation of HIV Transmission’ (2013) 9 International Journal of Law in Context 520.</w:t>
      </w:r>
      <w:r>
        <w:fldChar w:fldCharType="end"/>
      </w:r>
    </w:p>
  </w:footnote>
  <w:footnote w:id="116">
    <w:p w14:paraId="148171C0" w14:textId="77777777" w:rsidR="003C4498" w:rsidRDefault="003C4498" w:rsidP="00A35D52">
      <w:pPr>
        <w:pStyle w:val="Footnotes"/>
      </w:pPr>
      <w:r w:rsidRPr="00F76894">
        <w:rPr>
          <w:rStyle w:val="FootnoteReference"/>
        </w:rPr>
        <w:footnoteRef/>
      </w:r>
      <w:r>
        <w:t xml:space="preserve"> One participant highlighted that they were “more scared on </w:t>
      </w:r>
      <w:proofErr w:type="spellStart"/>
      <w:r>
        <w:t>gono</w:t>
      </w:r>
      <w:proofErr w:type="spellEnd"/>
      <w:r>
        <w:t>”: Participant 401353-401344-40160792.</w:t>
      </w:r>
    </w:p>
  </w:footnote>
  <w:footnote w:id="117">
    <w:p w14:paraId="44F59A9B" w14:textId="0223C8E5"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{"citationItems":[{"id":"ITEM-1","itemData":{"DOI":"10.1177/0025802413519248","ISSN":"00258024","PMID":"24526668","abstract":"This article considers two issues in relation to the criminal transmission of HIV. Currently, the use of condoms, and a defendant's viral load, has not been an issue that has been raised in the courts. The article considers how the defence, prosecution and judge may deal with such evidential issues. It will discuss how an expert opinion may be utilised or discredited by counsel for the defendant and counsel for the prosecution. The article will consider how the defence can demonstrate that the defendant was not reckless and how the prosecution can establish that the defendant was actually reckless. It will also assess how the judge, in trial, may address condom use and the level of the defendant's viral load when directing the jury. Finally, it is argued that it is in the public interest to allow condom use and viral loads to be used to negate recklessness.; © The Author(s) 2014 Reprints and permissions: sagepub.co.uk/journalsPermissions.nav.","author":[{"dropping-particle":"","family":"Hughes","given":"David","non-dropping-particle":"","parse-names":false,"suffix":""}],"container-title":"Medicine, Science and the Law","id":"ITEM-1","issue":"4","issued":{"date-parts":[["2014"]]},"page":"187-192","title":"The criminal transmission of HIV: Issues with condom use and viral load","type":"article-journal","volume":"54"},"prefix":"Although it should be noted that, as HIV criminalisation has developed through case law there is a significant role played by the CPS in ensuring that inappropriate prosecutions are not brought, see,","uris":["http://www.mendeley.com/documents/?uuid=356f890f-3f19-4993-a229-e88f04269b3c"]}],"mendeley":{"formattedCitation":"Although it should be noted that, as HIV criminalisation has developed through case law there is a significant role played by the CPS in ensuring that inappropriate prosecutions are not brought, see, David Hughes, ‘The Criminal Transmission of HIV: Issues with Condom Use and Viral Load’ (2014) 54 Medicine, Science and the Law 187.","plainTextFormattedCitation":"Although it should be noted that, as HIV criminalisation has developed through case law there is a significant role played by the CPS in ensuring that inappropriate prosecutions are not brought, see, David Hughes, ‘The Criminal Transmission of HIV: Issues with Condom Use and Viral Load’ (2014) 54 Medicine, Science and the Law 187.","previouslyFormattedCitation":"Although it should be noted that, as HIV criminalisation has developed through case law there is a significant role played by the CPS in ensuring that inappropriate prosecutions are not brought, see, David Hughes, ‘The Criminal Transmission of HIV: Issues with Condom Use and Viral Load’ (2014) 54 Medicine, Science and the Law 187."},"properties":{"noteIndex":116},"schema":"https://github.com/citation-style-language/schema/raw/master/csl-citation.json"}</w:instrText>
      </w:r>
      <w:r>
        <w:fldChar w:fldCharType="separate"/>
      </w:r>
      <w:r>
        <w:rPr>
          <w:noProof/>
        </w:rPr>
        <w:t>Although it should be noted that, as HIV criminalisation has developed through case law there is a significant role played by the CPS in ensuring that inappropriate prosecutions are not brought, see, David Hughes, ‘The Criminal Transmission of HIV: Issues with Condom Use and Viral Load’ (2014) 54 Medicine, Science and the Law 187.</w:t>
      </w:r>
      <w:r>
        <w:fldChar w:fldCharType="end"/>
      </w:r>
    </w:p>
  </w:footnote>
  <w:footnote w:id="118">
    <w:p w14:paraId="1D390D91" w14:textId="77777777" w:rsidR="003C4498" w:rsidRDefault="003C4498" w:rsidP="00A35D52">
      <w:pPr>
        <w:pStyle w:val="FootnoteText"/>
      </w:pPr>
      <w:r w:rsidRPr="00F76894">
        <w:rPr>
          <w:rStyle w:val="FootnoteReference"/>
        </w:rPr>
        <w:footnoteRef/>
      </w:r>
      <w:r>
        <w:t xml:space="preserve"> Participant </w:t>
      </w:r>
      <w:r w:rsidRPr="00D80B9A">
        <w:t>401353-401344-42091302</w:t>
      </w:r>
      <w:r>
        <w:t>.</w:t>
      </w:r>
    </w:p>
  </w:footnote>
  <w:footnote w:id="119">
    <w:p w14:paraId="30CA44AD" w14:textId="5B529648"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{"citationItems":[{"id":"ITEM-1","itemData":{"DOI":"10.1016/S0968-8080(09)34475-4","ISBN":"0968-8080","ISSN":"09688080","PMID":"19962647","abstract":"In England and Wales, criminal prosecutions for recklessly causing serious bodily harm by transmitting HIV have occurred since 2003. Understanding how people respond to the application of criminal law, will help to determine the likely impact of prosecution. As part of a wider qualitative study on unprotected anal intercourse amongst homosexually active men with diagnosed HIV in England and Wales, 42 respondents were asked about their awareness of criminal prosecutions for the sexual transmission of HIV, and how (if at all) they had adapted their sexual behaviour as a result. Findings demonstrate considerable confusion regarding the law and suggest that misunderstandings could lead people with HIV to wrongly believe that how they act, and what they do or do not say, is legitimated by law. Although criminalisation prompted some respondents to take steps to reduce sexual transmission of HIV, others moderated their behaviour in ways likely to have adverse effects, or reported no change. The aim of the criminal justice system is to carry out justice, not to improve public health. The question addressed in this paper is whether desirable public health outcomes may be outweighed by undesirable ones when the criminal law is applied to a population-level epidemic. © 2009 Reproductive Health Matters.","author":[{"dropping-particle":"","family":"Dodds","given":"Catherine","non-dropping-particle":"","parse-names":false,"suffix":""},{"dropping-particle":"","family":"Bourne","given":"Adam","non-dropping-particle":"","parse-names":false,"suffix":""},{"dropping-particle":"","family":"Weait","given":"Matthew","non-dropping-particle":"","parse-names":false,"suffix":""}],"container-title":"Reproductive Health Matters","id":"ITEM-1","issue":"34","issued":{"date-parts":[["2009"]]},"page":"135-145","title":"Responses to criminal prosecutions for HIV transmission among gay men with HIV in England and Wales","type":"article-journal","volume":"17"},"prefix":"See, ","suffix":", who noted similar points in interviews with HIV+ men. ","uris":["http://www.mendeley.com/documents/?uuid=3b827c49-03ac-350a-b8b5-ca581d8557e2"]}],"mendeley":{"formattedCitation":"See, Dodds, Bourne and Weait (n 92), who noted similar points in interviews with HIV+ men. .","plainTextFormattedCitation":"See, Dodds, Bourne and Weait (n 92), who noted similar points in interviews with HIV+ men. .","previouslyFormattedCitation":"See, Dodds, Bourne and Weait (n 92), who noted similar points in interviews with HIV+ men. ."},"properties":{"noteIndex":118},"schema":"https://github.com/citation-style-language/schema/raw/master/csl-citation.json"}</w:instrText>
      </w:r>
      <w:r>
        <w:fldChar w:fldCharType="separate"/>
      </w:r>
      <w:r w:rsidRPr="00995B8E">
        <w:rPr>
          <w:noProof/>
        </w:rPr>
        <w:t>See, Dodds, Bourne and Weait (n 92), who noted similar points in interviews with HIV+ men. .</w:t>
      </w:r>
      <w:r>
        <w:fldChar w:fldCharType="end"/>
      </w:r>
    </w:p>
  </w:footnote>
  <w:footnote w:id="120">
    <w:p w14:paraId="5AB961E2" w14:textId="726453EF"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{"citationItems":[{"id":"ITEM-1","itemData":{"container-title":"Disentangling European HIV/AIDS Policies: Activism, Citizenship and Health (EUROPACH)","editor":[{"dropping-particle":"","family":"Nicholls","given":"Emily Jay","non-dropping-particle":"","parse-names":false,"suffix":""},{"dropping-particle":"","family":"Rosengarten","given":"Marsha","non-dropping-particle":"","parse-names":false,"suffix":""}],"id":"ITEM-1","issued":{"date-parts":[["2019"]]},"title":"Witness Seminar: The Criminalisation of HIV Transmission in the UK","type":"paper-conference"},"prefix":"For instance, it has been noted that in some instances investigations into transmission cases may have been overly ardent even where it is clear that no offence has been committed because there was no transmission. See, ","suffix":", in particular the discussion on page 31","uris":["http://www.mendeley.com/documents/?uuid=ca515a00-4658-3767-a5b8-5f580c50339d"]}],"mendeley":{"formattedCitation":"For instance, it has been noted that in some instances investigations into transmission cases may have been overly ardent even where it is clear that no offence has been committed because there was no transmission. See, Emily Jay Nicholls and Marsha Rosengarten (eds), ‘Witness Seminar: The Criminalisation of HIV Transmission in the UK’, &lt;i&gt;Disentangling European HIV/AIDS Policies: Activism, Citizenship and Health (EUROPACH)&lt;/i&gt; (2019), in particular the discussion on page 31.","plainTextFormattedCitation":"For instance, it has been noted that in some instances investigations into transmission cases may have been overly ardent even where it is clear that no offence has been committed because there was no transmission. See, Emily Jay Nicholls and Marsha Rosengarten (eds), ‘Witness Seminar: The Criminalisation of HIV Transmission in the UK’, Disentangling European HIV/AIDS Policies: Activism, Citizenship and Health (EUROPACH) (2019), in particular the discussion on page 31.","previouslyFormattedCitation":"For instance, it has been noted that in some instances investigations into transmission cases may have been overly ardent even where it is clear that no offence has been committed because there was no transmission. See, Emily Jay Nicholls and Marsha Rosengarten (eds), ‘Witness Seminar: The Criminalisation of HIV Transmission in the UK’, &lt;i&gt;Disentangling European HIV/AIDS Policies: Activism, Citizenship and Health (EUROPACH)&lt;/i&gt; (2019), in particular the discussion on page 31."},"properties":{"noteIndex":119},"schema":"https://github.com/citation-style-language/schema/raw/master/csl-citation.json"}</w:instrText>
      </w:r>
      <w:r>
        <w:fldChar w:fldCharType="separate"/>
      </w:r>
      <w:r w:rsidRPr="005858B9">
        <w:rPr>
          <w:noProof/>
        </w:rPr>
        <w:t xml:space="preserve">For instance, it has been noted that in some instances investigations into transmission cases may have been overly ardent even where it is clear that no offence has been committed because there was no transmission. See, Emily Jay Nicholls and Marsha Rosengarten (eds), ‘Witness Seminar: The Criminalisation of HIV Transmission in the UK’, </w:t>
      </w:r>
      <w:r w:rsidRPr="005858B9">
        <w:rPr>
          <w:i/>
          <w:noProof/>
        </w:rPr>
        <w:t>Disentangling European HIV/AIDS Policies: Activism, Citizenship and Health (EUROPACH)</w:t>
      </w:r>
      <w:r w:rsidRPr="005858B9">
        <w:rPr>
          <w:noProof/>
        </w:rPr>
        <w:t xml:space="preserve"> (2019), in particular the discussion on page 31.</w:t>
      </w:r>
      <w:r>
        <w:fldChar w:fldCharType="end"/>
      </w:r>
    </w:p>
  </w:footnote>
  <w:footnote w:id="121">
    <w:p w14:paraId="14ED0E6B" w14:textId="07F243AA"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{"citationItems":[{"id":"ITEM-1","itemData":{"DOI":"10.1201/9781315544328","ISBN":"9781134838769","abstract":"Since the onset of the HIV epidemic, the behaviour of men who have sex with men has been subject to intense scrutiny on the part of the behavioural and sociomedical sciences. What happens when we consider the work of these sciences to be not merely descriptive, but also constitutive of the realities it describes? The Gay Science pays attention to lived experiences of sex, drugs and the scientific practices that make these experiences intelligible. Through a series of empirically and historically detailed case studies, the book examines how new technologies and scientific artifacts - such as antiretroviral therapy, digital hookup apps and research methods - mediate sexual encounters and shape the worlds and self-practices of men who have sex with men. Rather than debunking scientific practices or minimizing their significance, The Gay Science approaches these practices as ways in which we 'learn to be affected' by HIV. It explores what knowledge practices best engage us, move us and increase our powers and capacities for action. The book includes an historical analysis of drug use as a significant element in the formation of urban gay cultures; constructivist accounts of the emergence of barebacking and chemsex; a performative response to Pre-Exposure Prophylaxis and its uptake; and, a speculative analysis of ways of thinking and doing sexual community in the digital context. Combining insights from queer theory, process philosophy and science and technology studies to develop an original approach to the analysis of sexuality, drug use, public health and digital practices, this book demonstrates the ontological consequences of different modes of attending to risk and pleasure. It is suitable for those interested in cultural studies, sociology, gender and sexuality studies, digital culture, public health and drug and alcohol studies. © 2018 Kane Race. All rights reserved.","author":[{"dropping-particle":"","family":"Race","given":"Kane","non-dropping-particle":"","parse-names":false,"suffix":""}],"container-title":"The Gay Science: Intimate Experiments with the Problem of HIV","id":"ITEM-1","issued":{"date-parts":[["2017"]]},"note":"Discusses the position that community has been &amp;quot;decimated&amp;quot; by the internet. Said to have &amp;quot;destroyed the authenticity of the sexual community&amp;quot; (151) and the proposition that &amp;quot;extracating people from their communal relations&amp;quot; &amp;quot;demolishing the prospect of collective identity or authentic community&amp;quot;. \n\n154 - &amp;quot;digital sex arramngements simply create mew ways of assembling [the diagonal lines of social fabric identified by Foucault 1997, p137-138].&amp;quot;\n\nFraming of Sex as Play\n\n156 - &amp;quot;controlled disclosure&amp;quot;. Testing the waters. \n&amp;quot;emphasising... that this capability relies of developing vernacular, digital literacies arround sex, drugs, and hiv prevention possibilities.&amp;quot;\n\nNotes picture collecting v malicious intent. Possible future piece out of this on revenge porn? \n\nSuggestion of screen capture to prove HIV disclosure (159).\n\nSuggests &amp;quot;in-group purification&amp;quot; developing stigmaitism practices. \n\n&amp;quot;Counterpublics are generally concieved... as rhizomatic structures consisting of relays among various forms of media circulation and embodied inhabitances of sexual space&amp;quot; (173). \n\n&amp;quot;the identities and subjectivities of counterpublics are emergent&amp;quot; (176)\n\nDistinction from social networking as dating apps offer &amp;quot;point-to-point communication&amp;quot; on SN friend lists &amp;quot;demarkate shared spheres&amp;quot;. \n\n&amp;quot;identity is always relational and emerges through interaction: there is no underlying authentic self&amp;quot; (180)\n\nRace discusses his hypotehtical app which 'glitches and misfires&amp;quot; to create chance encounters (180) \n\nConsider how this juxtaposes with hinge which goes completely the other way?","number-of-pages":"1-194","publisher":"Routledge","title":"The gay science: Intimate experiments with the problem of HIV","type":"book"},"locator":"174","uris":["http://www.mendeley.com/documents/?uuid=465fbfa0-57cd-32f7-97b2-1e6c97644424"]}],"mendeley":{"formattedCitation":"Race, &lt;i&gt;The Gay Science: Intimate Experiments with the Problem of HIV&lt;/i&gt; (n 38) 174.","plainTextFormattedCitation":"Race, The Gay Science: Intimate Experiments with the Problem of HIV (n 38) 174.","previouslyFormattedCitation":"Race, &lt;i&gt;The Gay Science: Intimate Experiments with the Problem of HIV&lt;/i&gt; (n 38) 174."},"properties":{"noteIndex":120},"schema":"https://github.com/citation-style-language/schema/raw/master/csl-citation.json"}</w:instrText>
      </w:r>
      <w:r>
        <w:fldChar w:fldCharType="separate"/>
      </w:r>
      <w:r w:rsidRPr="0077736F">
        <w:rPr>
          <w:noProof/>
        </w:rPr>
        <w:t xml:space="preserve">Race, </w:t>
      </w:r>
      <w:r w:rsidRPr="0077736F">
        <w:rPr>
          <w:i/>
          <w:noProof/>
        </w:rPr>
        <w:t>The Gay Science: Intimate Experiments with the Problem of HIV</w:t>
      </w:r>
      <w:r w:rsidRPr="0077736F">
        <w:rPr>
          <w:noProof/>
        </w:rPr>
        <w:t xml:space="preserve"> (n 38) 174.</w:t>
      </w:r>
      <w:r>
        <w:fldChar w:fldCharType="end"/>
      </w:r>
    </w:p>
  </w:footnote>
  <w:footnote w:id="122">
    <w:p w14:paraId="654EE740" w14:textId="0271DC02"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{"citationItems":[{"id":"ITEM-1","itemData":{"DOI":"10.4324/9781315613000-58","ISBN":"9781317043324","author":[{"dropping-particle":"","family":"Mowlabocus","given":"Sharif","non-dropping-particle":"","parse-names":false,"suffix":""}],"container-title":"The Routledge Research Companion to Geographies of Sex and Sexualities","editor":[{"dropping-particle":"","family":"Brown","given":"Gavin","non-dropping-particle":"","parse-names":false,"suffix":""},{"dropping-particle":"","family":"Browne","given":"Kath","non-dropping-particle":"","parse-names":false,"suffix":""}],"id":"ITEM-1","issued":{"date-parts":[["2016","5","20"]]},"note":"Gay male culture &amp;quot;developed an affinity with digital and social media early on in the history of domestic internet use&amp;quot; (393)\n\nIdentifies Grindr as the &amp;quot;all purpose&amp;quot; app with others taking on &amp;quot;niche groups, focusing on particular body types and particular sexual interests&amp;quot; (393)\n\nDigital-phyisical cruising (394) The former not always including sexual contact but &amp;quot;nevertheless framed by sex&amp;quot;. \n\nNeed to look beyond on/offline binaries, phyisical/digital sex. \n\n395 - fragile and contested nature of digital cruising spaces,","page":"391-398","publisher":"Routledge","publisher-place":"London","title":"Horny at the Bus Stop , Paranoid in the Cul-de-sac: Sex, Technology and Public Space","type":"chapter"},"uris":["http://www.mendeley.com/documents/?uuid=f9fa415f-c3d3-3ea4-a6f8-e91e4a5d4bd3"]}],"mendeley":{"formattedCitation":"Sharif Mowlabocus, ‘Horny at the Bus Stop , Paranoid in the Cul-de-Sac: Sex, Technology and Public Space’ in Gavin Brown and Kath Browne (eds), &lt;i&gt;The Routledge Research Companion to Geographies of Sex and Sexualities&lt;/i&gt; (Routledge 2016).","plainTextFormattedCitation":"Sharif Mowlabocus, ‘Horny at the Bus Stop , Paranoid in the Cul-de-Sac: Sex, Technology and Public Space’ in Gavin Brown and Kath Browne (eds), The Routledge Research Companion to Geographies of Sex and Sexualities (Routledge 2016).","previouslyFormattedCitation":"Sharif Mowlabocus, ‘Horny at the Bus Stop , Paranoid in the Cul-de-Sac: Sex, Technology and Public Space’ in Gavin Brown and Kath Browne (eds), &lt;i&gt;The Routledge Research Companion to Geographies of Sex and Sexualities&lt;/i&gt; (Routledge 2016)."},"properties":{"noteIndex":121},"schema":"https://github.com/citation-style-language/schema/raw/master/csl-citation.json"}</w:instrText>
      </w:r>
      <w:r>
        <w:fldChar w:fldCharType="separate"/>
      </w:r>
      <w:r w:rsidRPr="00DF35EA">
        <w:rPr>
          <w:noProof/>
        </w:rPr>
        <w:t xml:space="preserve">Sharif Mowlabocus, ‘Horny at the Bus Stop , Paranoid in the Cul-de-Sac: Sex, Technology and Public Space’ in Gavin Brown and Kath Browne (eds), </w:t>
      </w:r>
      <w:r w:rsidRPr="00DF35EA">
        <w:rPr>
          <w:i/>
          <w:noProof/>
        </w:rPr>
        <w:t>The Routledge Research Companion to Geographies of Sex and Sexualities</w:t>
      </w:r>
      <w:r w:rsidRPr="00DF35EA">
        <w:rPr>
          <w:noProof/>
        </w:rPr>
        <w:t xml:space="preserve"> (Routledge 2016).</w:t>
      </w:r>
      <w:r>
        <w:fldChar w:fldCharType="end"/>
      </w:r>
    </w:p>
  </w:footnote>
  <w:footnote w:id="123">
    <w:p w14:paraId="1F0A6DED" w14:textId="2B1703CA"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{"citationItems":[{"id":"ITEM-1","itemData":{"DOI":"10.1177/1363460716629334","ISSN":"1363-4607","abstract":"Hook-up websites and apps are said to be transforming the sexual lives of gay men and have been linked with the apparent erosion of gay publics as the basis for identity politics and social action. This article examines these dynamics in the interview and focus-group talk of gay men living on the economic and geographical margins of metro-politan gay culture. It offers perspectives on the importance of location – class, gener-ation and space – for the experience of digital media, the negotiation of safety, and the new codifications and elaborations on sex with the (non) stranger; a figure who is not alien, yet not familiar, in sexual sociality. Reflecting on these situated perspectives in connection with debates on the erosion of gay publics, this article argues against mono-lithic framings of gay men's sexual lives after digital media.","author":[{"dropping-particle":"","family":"Davis","given":"Mark","non-dropping-particle":"","parse-names":false,"suffix":""},{"dropping-particle":"","family":"Flowers","given":"Paul","non-dropping-particle":"","parse-names":false,"suffix":""},{"dropping-particle":"","family":"Lorimer","given":"Karen","non-dropping-particle":"","parse-names":false,"suffix":""},{"dropping-particle":"","family":"Oakland","given":"Jane","non-dropping-particle":"","parse-names":false,"suffix":""},{"dropping-particle":"","family":"Frankis","given":"Jamie","non-dropping-particle":"","parse-names":false,"suffix":""}],"container-title":"Sexualities","id":"ITEM-1","issue":"7","issued":{"date-parts":[["2016"]]},"page":"836-852","title":"Location, safety and (non) strangers in gay men’s narratives on ‘hook-up’ apps","type":"article-journal","volume":"19"},"suffix":", in particular, 846","uris":["http://www.mendeley.com/documents/?uuid=2c3dd890-2634-3226-87bf-474e3bc9924d"]}],"mendeley":{"formattedCitation":"Mark Davis and others, ‘Location, Safety and (Non) Strangers in Gay Men’s Narratives on “Hook-up” Apps’ (2016) 19 Sexualities 836, in particular, 846.","plainTextFormattedCitation":"Mark Davis and others, ‘Location, Safety and (Non) Strangers in Gay Men’s Narratives on “Hook-up” Apps’ (2016) 19 Sexualities 836, in particular, 846.","previouslyFormattedCitation":"Mark Davis and others, ‘Location, Safety and (Non) Strangers in Gay Men’s Narratives on “Hook-up” Apps’ (2016) 19 Sexualities 836, in particular, 846."},"properties":{"noteIndex":122},"schema":"https://github.com/citation-style-language/schema/raw/master/csl-citation.json"}</w:instrText>
      </w:r>
      <w:r>
        <w:fldChar w:fldCharType="separate"/>
      </w:r>
      <w:r w:rsidRPr="00DF35EA">
        <w:rPr>
          <w:noProof/>
        </w:rPr>
        <w:t>Mark Davis and others, ‘Location, Safety and (Non) Strangers in Gay Men’s Narratives on “Hook-up” Apps’ (2016) 19 Sexualities 836, in particular, 846.</w:t>
      </w:r>
      <w:r>
        <w:fldChar w:fldCharType="end"/>
      </w:r>
    </w:p>
  </w:footnote>
  <w:footnote w:id="124">
    <w:p w14:paraId="6E27D13F" w14:textId="2C352F06"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{"citationItems":[{"id":"ITEM-1","itemData":{"author":[{"dropping-particle":"","family":"Raj","given":"Senthorun","non-dropping-particle":"","parse-names":false,"suffix":""}],"container-title":"Northumbria University LGBT History Month Series","id":"ITEM-1","issued":{"date-parts":[["2019"]]},"note":"Alternate sites of intimacy. &amp;quot;Stranger sociality&amp;quot;\nPublic Spaces v Grindr Spaces - Impact on Discussion\nExclusion and non-belonging - Social Currency of Whiteness and the whiteness indexing of attraction. \nPermissability in certain spaces and not in others, contrasted with things said in public. \nShould knowledge of status be implied on these apps, because of potential context? [Well bring in Knozani, the general risk isnt sufficient, but perhaps in these spaces?]\n-Disconnect/facade of politeness in public.\n- Politics of belonging. \nWhat infomation do you need to know (before sex) and who is under an obligation to disclose it. \nConceptualisation of Childishness -&amp;gt; relationship maturation. (Perhaps linked to sex as play?) Notes pushback against people in relationships and violation of the norms of intimacy. \nUtilizing the platform as a way of engaging people with issues. \n- Perhaps linking this in methodologically to my own work, informing people of U=U and/or discrimitation/assumptions. \nApps (spaces) becoming conciously politically explicit. \nPolitics embedded into apps - link in Twinks for Trump (and potentially SU and LA elections here). - Discuss in qUCL paper bringing in the multiplicty of these spaces - accessability. \n\n[Filtered Encounter v Filtered World?]\n\nChris: &amp;quot;truer picture of identity?&amp;quot; Is behaviour on application actually how we are without the facade created by day to dat interactions. \n\nSen: Emotional Labour of Applications. Including jumping from stream to stream?","publisher-place":"Newcastle","title":"Grindring Justice","type":"paper-conference"},"uris":["http://www.mendeley.com/documents/?uuid=a462b55e-0c50-418b-b9d5-b81f0e2e9dd8"]}],"mendeley":{"formattedCitation":"Raj (n 37).","plainTextFormattedCitation":"Raj (n 37).","previouslyFormattedCitation":"Raj (n 37)."},"properties":{"noteIndex":123},"schema":"https://github.com/citation-style-language/schema/raw/master/csl-citation.json"}</w:instrText>
      </w:r>
      <w:r>
        <w:fldChar w:fldCharType="separate"/>
      </w:r>
      <w:r w:rsidRPr="0077736F">
        <w:rPr>
          <w:noProof/>
        </w:rPr>
        <w:t>Raj (n 37).</w:t>
      </w:r>
      <w:r>
        <w:fldChar w:fldCharType="end"/>
      </w:r>
    </w:p>
  </w:footnote>
  <w:footnote w:id="125">
    <w:p w14:paraId="089347EA" w14:textId="431BD1AB"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{"citationItems":[{"id":"ITEM-1","itemData":{"DOI":"10.1201/9781315544328","ISBN":"9781134838769","abstract":"Since the onset of the HIV epidemic, the behaviour of men who have sex with men has been subject to intense scrutiny on the part of the behavioural and sociomedical sciences. What happens when we consider the work of these sciences to be not merely descriptive, but also constitutive of the realities it describes? The Gay Science pays attention to lived experiences of sex, drugs and the scientific practices that make these experiences intelligible. Through a series of empirically and historically detailed case studies, the book examines how new technologies and scientific artifacts - such as antiretroviral therapy, digital hookup apps and research methods - mediate sexual encounters and shape the worlds and self-practices of men who have sex with men. Rather than debunking scientific practices or minimizing their significance, The Gay Science approaches these practices as ways in which we 'learn to be affected' by HIV. It explores what knowledge practices best engage us, move us and increase our powers and capacities for action. The book includes an historical analysis of drug use as a significant element in the formation of urban gay cultures; constructivist accounts of the emergence of barebacking and chemsex; a performative response to Pre-Exposure Prophylaxis and its uptake; and, a speculative analysis of ways of thinking and doing sexual community in the digital context. Combining insights from queer theory, process philosophy and science and technology studies to develop an original approach to the analysis of sexuality, drug use, public health and digital practices, this book demonstrates the ontological consequences of different modes of attending to risk and pleasure. It is suitable for those interested in cultural studies, sociology, gender and sexuality studies, digital culture, public health and drug and alcohol studies. © 2018 Kane Race. All rights reserved.","author":[{"dropping-particle":"","family":"Race","given":"Kane","non-dropping-particle":"","parse-names":false,"suffix":""}],"container-title":"The Gay Science: Intimate Experiments with the Problem of HIV","id":"ITEM-1","issued":{"date-parts":[["2017"]]},"note":"Discusses the position that community has been &amp;quot;decimated&amp;quot; by the internet. Said to have &amp;quot;destroyed the authenticity of the sexual community&amp;quot; (151) and the proposition that &amp;quot;extracating people from their communal relations&amp;quot; &amp;quot;demolishing the prospect of collective identity or authentic community&amp;quot;. \n\n154 - &amp;quot;digital sex arramngements simply create mew ways of assembling [the diagonal lines of social fabric identified by Foucault 1997, p137-138].&amp;quot;\n\nFraming of Sex as Play\n\n156 - &amp;quot;controlled disclosure&amp;quot;. Testing the waters. \n&amp;quot;emphasising... that this capability relies of developing vernacular, digital literacies arround sex, drugs, and hiv prevention possibilities.&amp;quot;\n\nNotes picture collecting v malicious intent. Possible future piece out of this on revenge porn? \n\nSuggestion of screen capture to prove HIV disclosure (159).\n\nSuggests &amp;quot;in-group purification&amp;quot; developing stigmaitism practices. \n\n&amp;quot;Counterpublics are generally concieved... as rhizomatic structures consisting of relays among various forms of media circulation and embodied inhabitances of sexual space&amp;quot; (173). \n\n&amp;quot;the identities and subjectivities of counterpublics are emergent&amp;quot; (176)\n\nDistinction from social networking as dating apps offer &amp;quot;point-to-point communication&amp;quot; on SN friend lists &amp;quot;demarkate shared spheres&amp;quot;. \n\n&amp;quot;identity is always relational and emerges through interaction: there is no underlying authentic self&amp;quot; (180)\n\nRace discusses his hypotehtical app which 'glitches and misfires&amp;quot; to create chance encounters (180) \n\nConsider how this juxtaposes with hinge which goes completely the other way?","number-of-pages":"1-194","publisher":"Routledge","title":"The gay science: Intimate experiments with the problem of HIV","type":"book"},"locator":"53","uris":["http://www.mendeley.com/documents/?uuid=465fbfa0-57cd-32f7-97b2-1e6c97644424"]}],"mendeley":{"formattedCitation":"Race, &lt;i&gt;The Gay Science: Intimate Experiments with the Problem of HIV&lt;/i&gt; (n 38) 53.","plainTextFormattedCitation":"Race, The Gay Science: Intimate Experiments with the Problem of HIV (n 38) 53.","previouslyFormattedCitation":"Race, &lt;i&gt;The Gay Science: Intimate Experiments with the Problem of HIV&lt;/i&gt; (n 38) 53."},"properties":{"noteIndex":124},"schema":"https://github.com/citation-style-language/schema/raw/master/csl-citation.json"}</w:instrText>
      </w:r>
      <w:r>
        <w:fldChar w:fldCharType="separate"/>
      </w:r>
      <w:r w:rsidRPr="0077736F">
        <w:rPr>
          <w:noProof/>
        </w:rPr>
        <w:t xml:space="preserve">Race, </w:t>
      </w:r>
      <w:r w:rsidRPr="0077736F">
        <w:rPr>
          <w:i/>
          <w:noProof/>
        </w:rPr>
        <w:t>The Gay Science: Intimate Experiments with the Problem of HIV</w:t>
      </w:r>
      <w:r w:rsidRPr="0077736F">
        <w:rPr>
          <w:noProof/>
        </w:rPr>
        <w:t xml:space="preserve"> (n 38) 53.</w:t>
      </w:r>
      <w:r>
        <w:fldChar w:fldCharType="end"/>
      </w:r>
    </w:p>
  </w:footnote>
  <w:footnote w:id="126">
    <w:p w14:paraId="153A9063" w14:textId="6B471B73" w:rsidR="003C4498" w:rsidRDefault="003C4498" w:rsidP="00A35D52">
      <w:pPr>
        <w:pStyle w:val="Footnotes"/>
      </w:pPr>
      <w:r w:rsidRPr="00F76894">
        <w:rPr>
          <w:rStyle w:val="FootnoteReference"/>
        </w:rPr>
        <w:footnoteRef/>
      </w:r>
      <w:r>
        <w:t xml:space="preserve"> </w:t>
      </w:r>
      <w:r>
        <w:fldChar w:fldCharType="begin" w:fldLock="1"/>
      </w:r>
      <w:r>
        <w:instrText>ADDIN CSL_CITATION {"citationItems":[{"id":"ITEM-1","itemData":{"URL":"www.bbc.co.uk/news/technology-47668951","accessed":{"date-parts":[["2019","8","26"]]},"author":[{"dropping-particle":"","family":"Fox","given":"Chris","non-dropping-particle":"","parse-names":false,"suffix":""}],"container-title":"BBC News","id":"ITEM-1","issued":{"date-parts":[["2019","3","25"]]},"title":"10 years of Grindr: A rocky relationship","type":"webpage"},"uris":["http://www.mendeley.com/documents/?uuid=10a63ab2-4353-3665-b233-35f47b2b0bb7"]}],"mendeley":{"formattedCitation":"Fox (n 39).","plainTextFormattedCitation":"Fox (n 39).","previouslyFormattedCitation":"Fox (n 39)."},"properties":{"noteIndex":125},"schema":"https://github.com/citation-style-language/schema/raw/master/csl-citation.json"}</w:instrText>
      </w:r>
      <w:r>
        <w:fldChar w:fldCharType="separate"/>
      </w:r>
      <w:r w:rsidRPr="0077736F">
        <w:rPr>
          <w:noProof/>
        </w:rPr>
        <w:t>Fox (n 39).</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t7A0NzYxMzU3NLJQ0lEKTi0uzszPAykwMqkFAJWQaM0tAAAA"/>
  </w:docVars>
  <w:rsids>
    <w:rsidRoot w:val="00D321FC"/>
    <w:rsid w:val="000007DB"/>
    <w:rsid w:val="00001899"/>
    <w:rsid w:val="00003AEA"/>
    <w:rsid w:val="000049AD"/>
    <w:rsid w:val="0000681B"/>
    <w:rsid w:val="00007715"/>
    <w:rsid w:val="00012636"/>
    <w:rsid w:val="00012982"/>
    <w:rsid w:val="000133C0"/>
    <w:rsid w:val="00014C4E"/>
    <w:rsid w:val="000166D6"/>
    <w:rsid w:val="00017107"/>
    <w:rsid w:val="000202E2"/>
    <w:rsid w:val="00020BCD"/>
    <w:rsid w:val="00020C6B"/>
    <w:rsid w:val="0002186A"/>
    <w:rsid w:val="00021E5F"/>
    <w:rsid w:val="00022441"/>
    <w:rsid w:val="0002261E"/>
    <w:rsid w:val="0002295C"/>
    <w:rsid w:val="00022ABA"/>
    <w:rsid w:val="000235DF"/>
    <w:rsid w:val="0002383A"/>
    <w:rsid w:val="00024839"/>
    <w:rsid w:val="00026871"/>
    <w:rsid w:val="0002695F"/>
    <w:rsid w:val="00026C16"/>
    <w:rsid w:val="00026E7E"/>
    <w:rsid w:val="000272E6"/>
    <w:rsid w:val="00027E86"/>
    <w:rsid w:val="0003357E"/>
    <w:rsid w:val="00033FDD"/>
    <w:rsid w:val="0003443A"/>
    <w:rsid w:val="000344E4"/>
    <w:rsid w:val="00035F94"/>
    <w:rsid w:val="00036579"/>
    <w:rsid w:val="00037A98"/>
    <w:rsid w:val="00040645"/>
    <w:rsid w:val="000427FB"/>
    <w:rsid w:val="0004374B"/>
    <w:rsid w:val="00043D40"/>
    <w:rsid w:val="00043DED"/>
    <w:rsid w:val="0004455E"/>
    <w:rsid w:val="00045757"/>
    <w:rsid w:val="00047CB5"/>
    <w:rsid w:val="0005030D"/>
    <w:rsid w:val="00051FAA"/>
    <w:rsid w:val="0005300E"/>
    <w:rsid w:val="00053591"/>
    <w:rsid w:val="000542ED"/>
    <w:rsid w:val="00054F9D"/>
    <w:rsid w:val="00056119"/>
    <w:rsid w:val="000572A9"/>
    <w:rsid w:val="00057333"/>
    <w:rsid w:val="00057665"/>
    <w:rsid w:val="00061325"/>
    <w:rsid w:val="00063B5A"/>
    <w:rsid w:val="00065168"/>
    <w:rsid w:val="0006538D"/>
    <w:rsid w:val="0006605E"/>
    <w:rsid w:val="0006724C"/>
    <w:rsid w:val="00067BD9"/>
    <w:rsid w:val="00067E1B"/>
    <w:rsid w:val="0007000E"/>
    <w:rsid w:val="000706B1"/>
    <w:rsid w:val="000719E7"/>
    <w:rsid w:val="00071A39"/>
    <w:rsid w:val="000722B7"/>
    <w:rsid w:val="0007248F"/>
    <w:rsid w:val="00072F9A"/>
    <w:rsid w:val="000733AC"/>
    <w:rsid w:val="0007477C"/>
    <w:rsid w:val="00074B81"/>
    <w:rsid w:val="00074D22"/>
    <w:rsid w:val="00075081"/>
    <w:rsid w:val="0007528A"/>
    <w:rsid w:val="00076D68"/>
    <w:rsid w:val="000803F2"/>
    <w:rsid w:val="00080B77"/>
    <w:rsid w:val="000811AB"/>
    <w:rsid w:val="0008285E"/>
    <w:rsid w:val="00083C5F"/>
    <w:rsid w:val="00085149"/>
    <w:rsid w:val="00085BC4"/>
    <w:rsid w:val="000909DF"/>
    <w:rsid w:val="0009172C"/>
    <w:rsid w:val="000930EC"/>
    <w:rsid w:val="000937A0"/>
    <w:rsid w:val="00093BF7"/>
    <w:rsid w:val="00094025"/>
    <w:rsid w:val="000946F8"/>
    <w:rsid w:val="000953A4"/>
    <w:rsid w:val="00095E61"/>
    <w:rsid w:val="000966C1"/>
    <w:rsid w:val="000970AC"/>
    <w:rsid w:val="000A0A82"/>
    <w:rsid w:val="000A0DAC"/>
    <w:rsid w:val="000A1167"/>
    <w:rsid w:val="000A4428"/>
    <w:rsid w:val="000A4AD2"/>
    <w:rsid w:val="000A5D95"/>
    <w:rsid w:val="000A6D40"/>
    <w:rsid w:val="000A756E"/>
    <w:rsid w:val="000A7886"/>
    <w:rsid w:val="000A7BC3"/>
    <w:rsid w:val="000B1661"/>
    <w:rsid w:val="000B1F0B"/>
    <w:rsid w:val="000B2E88"/>
    <w:rsid w:val="000B4603"/>
    <w:rsid w:val="000B541C"/>
    <w:rsid w:val="000C09BE"/>
    <w:rsid w:val="000C1380"/>
    <w:rsid w:val="000C1535"/>
    <w:rsid w:val="000C15E8"/>
    <w:rsid w:val="000C1AD3"/>
    <w:rsid w:val="000C1C5D"/>
    <w:rsid w:val="000C2265"/>
    <w:rsid w:val="000C2A6B"/>
    <w:rsid w:val="000C4CB7"/>
    <w:rsid w:val="000C554F"/>
    <w:rsid w:val="000C6243"/>
    <w:rsid w:val="000D043F"/>
    <w:rsid w:val="000D0DC5"/>
    <w:rsid w:val="000D15FF"/>
    <w:rsid w:val="000D1A1F"/>
    <w:rsid w:val="000D28DF"/>
    <w:rsid w:val="000D364D"/>
    <w:rsid w:val="000D3746"/>
    <w:rsid w:val="000D3B95"/>
    <w:rsid w:val="000D488B"/>
    <w:rsid w:val="000D5771"/>
    <w:rsid w:val="000D6626"/>
    <w:rsid w:val="000D671F"/>
    <w:rsid w:val="000D68DF"/>
    <w:rsid w:val="000D6D75"/>
    <w:rsid w:val="000D6FD4"/>
    <w:rsid w:val="000E138D"/>
    <w:rsid w:val="000E187A"/>
    <w:rsid w:val="000E1E22"/>
    <w:rsid w:val="000E2D61"/>
    <w:rsid w:val="000E3348"/>
    <w:rsid w:val="000E4433"/>
    <w:rsid w:val="000E450E"/>
    <w:rsid w:val="000E4C17"/>
    <w:rsid w:val="000E6259"/>
    <w:rsid w:val="000E6C45"/>
    <w:rsid w:val="000E6CB1"/>
    <w:rsid w:val="000E7637"/>
    <w:rsid w:val="000F3F5E"/>
    <w:rsid w:val="000F4677"/>
    <w:rsid w:val="000F5BE0"/>
    <w:rsid w:val="00100587"/>
    <w:rsid w:val="00101EF3"/>
    <w:rsid w:val="0010284E"/>
    <w:rsid w:val="00103122"/>
    <w:rsid w:val="0010336A"/>
    <w:rsid w:val="001044BC"/>
    <w:rsid w:val="00104A6F"/>
    <w:rsid w:val="001050F1"/>
    <w:rsid w:val="00105AEA"/>
    <w:rsid w:val="00106DAF"/>
    <w:rsid w:val="00106E8C"/>
    <w:rsid w:val="00111EBB"/>
    <w:rsid w:val="00114ABE"/>
    <w:rsid w:val="00114C18"/>
    <w:rsid w:val="001157E0"/>
    <w:rsid w:val="00116023"/>
    <w:rsid w:val="0011648A"/>
    <w:rsid w:val="00116D35"/>
    <w:rsid w:val="00124D11"/>
    <w:rsid w:val="00127670"/>
    <w:rsid w:val="00131363"/>
    <w:rsid w:val="0013280E"/>
    <w:rsid w:val="00133CB0"/>
    <w:rsid w:val="00134A51"/>
    <w:rsid w:val="001361A4"/>
    <w:rsid w:val="0013639E"/>
    <w:rsid w:val="00136FB4"/>
    <w:rsid w:val="001372BF"/>
    <w:rsid w:val="00140727"/>
    <w:rsid w:val="00140972"/>
    <w:rsid w:val="0014152A"/>
    <w:rsid w:val="00142B14"/>
    <w:rsid w:val="00142B91"/>
    <w:rsid w:val="00144247"/>
    <w:rsid w:val="001471B2"/>
    <w:rsid w:val="0014797F"/>
    <w:rsid w:val="001509F1"/>
    <w:rsid w:val="00150EE1"/>
    <w:rsid w:val="00151837"/>
    <w:rsid w:val="0015287B"/>
    <w:rsid w:val="00153B85"/>
    <w:rsid w:val="00154284"/>
    <w:rsid w:val="001547F0"/>
    <w:rsid w:val="0015549D"/>
    <w:rsid w:val="0015681F"/>
    <w:rsid w:val="00160628"/>
    <w:rsid w:val="00160EF4"/>
    <w:rsid w:val="00161068"/>
    <w:rsid w:val="00161344"/>
    <w:rsid w:val="00162195"/>
    <w:rsid w:val="001624CC"/>
    <w:rsid w:val="0016322A"/>
    <w:rsid w:val="001632F2"/>
    <w:rsid w:val="001635E6"/>
    <w:rsid w:val="00163F4B"/>
    <w:rsid w:val="00164BFB"/>
    <w:rsid w:val="00165A21"/>
    <w:rsid w:val="00167F04"/>
    <w:rsid w:val="001705CE"/>
    <w:rsid w:val="00172797"/>
    <w:rsid w:val="001747A6"/>
    <w:rsid w:val="00174DC2"/>
    <w:rsid w:val="001756B7"/>
    <w:rsid w:val="00175721"/>
    <w:rsid w:val="00175A8E"/>
    <w:rsid w:val="00175FA0"/>
    <w:rsid w:val="00175FCB"/>
    <w:rsid w:val="0017714B"/>
    <w:rsid w:val="001804DF"/>
    <w:rsid w:val="00180852"/>
    <w:rsid w:val="00180BAD"/>
    <w:rsid w:val="00181BDC"/>
    <w:rsid w:val="00181DB0"/>
    <w:rsid w:val="001829E3"/>
    <w:rsid w:val="00184785"/>
    <w:rsid w:val="00185193"/>
    <w:rsid w:val="00186E31"/>
    <w:rsid w:val="0018747B"/>
    <w:rsid w:val="00187493"/>
    <w:rsid w:val="00190B89"/>
    <w:rsid w:val="00191099"/>
    <w:rsid w:val="00191C36"/>
    <w:rsid w:val="001924C0"/>
    <w:rsid w:val="00192A59"/>
    <w:rsid w:val="00192D0E"/>
    <w:rsid w:val="0019731E"/>
    <w:rsid w:val="001A09FE"/>
    <w:rsid w:val="001A0FDE"/>
    <w:rsid w:val="001A2510"/>
    <w:rsid w:val="001A2F42"/>
    <w:rsid w:val="001A547E"/>
    <w:rsid w:val="001A565A"/>
    <w:rsid w:val="001A67C9"/>
    <w:rsid w:val="001A6897"/>
    <w:rsid w:val="001A69DE"/>
    <w:rsid w:val="001A713C"/>
    <w:rsid w:val="001B1C7C"/>
    <w:rsid w:val="001B28B7"/>
    <w:rsid w:val="001B2A19"/>
    <w:rsid w:val="001B2FFA"/>
    <w:rsid w:val="001B398F"/>
    <w:rsid w:val="001B46C6"/>
    <w:rsid w:val="001B4B48"/>
    <w:rsid w:val="001B4D1F"/>
    <w:rsid w:val="001B5772"/>
    <w:rsid w:val="001B7681"/>
    <w:rsid w:val="001B7CAE"/>
    <w:rsid w:val="001C0772"/>
    <w:rsid w:val="001C0D4F"/>
    <w:rsid w:val="001C1BA3"/>
    <w:rsid w:val="001C1DEC"/>
    <w:rsid w:val="001C40C3"/>
    <w:rsid w:val="001C5736"/>
    <w:rsid w:val="001D1851"/>
    <w:rsid w:val="001D3DD0"/>
    <w:rsid w:val="001D3DFA"/>
    <w:rsid w:val="001D5361"/>
    <w:rsid w:val="001D647F"/>
    <w:rsid w:val="001D6857"/>
    <w:rsid w:val="001D7B31"/>
    <w:rsid w:val="001E0572"/>
    <w:rsid w:val="001E0578"/>
    <w:rsid w:val="001E07BE"/>
    <w:rsid w:val="001E0A67"/>
    <w:rsid w:val="001E1028"/>
    <w:rsid w:val="001E14E2"/>
    <w:rsid w:val="001E1E09"/>
    <w:rsid w:val="001E2102"/>
    <w:rsid w:val="001E2F77"/>
    <w:rsid w:val="001E3671"/>
    <w:rsid w:val="001E60FB"/>
    <w:rsid w:val="001E6302"/>
    <w:rsid w:val="001E694B"/>
    <w:rsid w:val="001E78EA"/>
    <w:rsid w:val="001E7DCB"/>
    <w:rsid w:val="001F3411"/>
    <w:rsid w:val="001F3515"/>
    <w:rsid w:val="001F4287"/>
    <w:rsid w:val="001F4DBA"/>
    <w:rsid w:val="001F679C"/>
    <w:rsid w:val="001F6DC6"/>
    <w:rsid w:val="001F7403"/>
    <w:rsid w:val="00200A06"/>
    <w:rsid w:val="00200A7A"/>
    <w:rsid w:val="00202E70"/>
    <w:rsid w:val="0020415E"/>
    <w:rsid w:val="00204FF4"/>
    <w:rsid w:val="00205986"/>
    <w:rsid w:val="00205C2A"/>
    <w:rsid w:val="002064DF"/>
    <w:rsid w:val="00206E00"/>
    <w:rsid w:val="0021056E"/>
    <w:rsid w:val="0021075D"/>
    <w:rsid w:val="0021075E"/>
    <w:rsid w:val="0021165A"/>
    <w:rsid w:val="00211BC9"/>
    <w:rsid w:val="0021258F"/>
    <w:rsid w:val="00214319"/>
    <w:rsid w:val="00214B9B"/>
    <w:rsid w:val="0021555A"/>
    <w:rsid w:val="00216112"/>
    <w:rsid w:val="0021620C"/>
    <w:rsid w:val="00216E78"/>
    <w:rsid w:val="00217275"/>
    <w:rsid w:val="00217F26"/>
    <w:rsid w:val="00220477"/>
    <w:rsid w:val="002211DD"/>
    <w:rsid w:val="00221D77"/>
    <w:rsid w:val="00224281"/>
    <w:rsid w:val="00224FF4"/>
    <w:rsid w:val="00225353"/>
    <w:rsid w:val="00227D23"/>
    <w:rsid w:val="00232346"/>
    <w:rsid w:val="00232858"/>
    <w:rsid w:val="00232A12"/>
    <w:rsid w:val="0023316F"/>
    <w:rsid w:val="00234A4A"/>
    <w:rsid w:val="00235387"/>
    <w:rsid w:val="00236E69"/>
    <w:rsid w:val="00236F4B"/>
    <w:rsid w:val="00236F78"/>
    <w:rsid w:val="002370F4"/>
    <w:rsid w:val="00240955"/>
    <w:rsid w:val="0024121A"/>
    <w:rsid w:val="00242022"/>
    <w:rsid w:val="00242309"/>
    <w:rsid w:val="002425CB"/>
    <w:rsid w:val="002427F9"/>
    <w:rsid w:val="00242B0D"/>
    <w:rsid w:val="00243013"/>
    <w:rsid w:val="0024347C"/>
    <w:rsid w:val="002434D2"/>
    <w:rsid w:val="00245D08"/>
    <w:rsid w:val="00245DFF"/>
    <w:rsid w:val="002463DD"/>
    <w:rsid w:val="002467C6"/>
    <w:rsid w:val="0024692A"/>
    <w:rsid w:val="00246A1A"/>
    <w:rsid w:val="00246A4A"/>
    <w:rsid w:val="00250E07"/>
    <w:rsid w:val="00251741"/>
    <w:rsid w:val="00252BBA"/>
    <w:rsid w:val="00253123"/>
    <w:rsid w:val="0025383D"/>
    <w:rsid w:val="002550F4"/>
    <w:rsid w:val="0025673E"/>
    <w:rsid w:val="00256C8F"/>
    <w:rsid w:val="002631A5"/>
    <w:rsid w:val="00264001"/>
    <w:rsid w:val="00266354"/>
    <w:rsid w:val="00267A18"/>
    <w:rsid w:val="00270372"/>
    <w:rsid w:val="00270647"/>
    <w:rsid w:val="00272E7C"/>
    <w:rsid w:val="00273462"/>
    <w:rsid w:val="0027395B"/>
    <w:rsid w:val="0027396D"/>
    <w:rsid w:val="00275854"/>
    <w:rsid w:val="00281505"/>
    <w:rsid w:val="00283B41"/>
    <w:rsid w:val="00283CB7"/>
    <w:rsid w:val="00283CFC"/>
    <w:rsid w:val="00283F40"/>
    <w:rsid w:val="00285F28"/>
    <w:rsid w:val="00286398"/>
    <w:rsid w:val="00286A7A"/>
    <w:rsid w:val="00287C36"/>
    <w:rsid w:val="00287E03"/>
    <w:rsid w:val="00290226"/>
    <w:rsid w:val="00292709"/>
    <w:rsid w:val="00296E81"/>
    <w:rsid w:val="002A201F"/>
    <w:rsid w:val="002A2B29"/>
    <w:rsid w:val="002A3C42"/>
    <w:rsid w:val="002A3EFF"/>
    <w:rsid w:val="002A4D1A"/>
    <w:rsid w:val="002A528F"/>
    <w:rsid w:val="002A5D75"/>
    <w:rsid w:val="002B079D"/>
    <w:rsid w:val="002B1B1A"/>
    <w:rsid w:val="002B1D41"/>
    <w:rsid w:val="002B40B7"/>
    <w:rsid w:val="002B7228"/>
    <w:rsid w:val="002C2E98"/>
    <w:rsid w:val="002C38C4"/>
    <w:rsid w:val="002C3A73"/>
    <w:rsid w:val="002C4787"/>
    <w:rsid w:val="002C53EE"/>
    <w:rsid w:val="002C7792"/>
    <w:rsid w:val="002D04A0"/>
    <w:rsid w:val="002D1110"/>
    <w:rsid w:val="002D24F7"/>
    <w:rsid w:val="002D2799"/>
    <w:rsid w:val="002D2CD7"/>
    <w:rsid w:val="002D2FDF"/>
    <w:rsid w:val="002D348E"/>
    <w:rsid w:val="002D4DDC"/>
    <w:rsid w:val="002D4F75"/>
    <w:rsid w:val="002D6493"/>
    <w:rsid w:val="002D7AB6"/>
    <w:rsid w:val="002E06D0"/>
    <w:rsid w:val="002E225C"/>
    <w:rsid w:val="002E338E"/>
    <w:rsid w:val="002E3C27"/>
    <w:rsid w:val="002E403A"/>
    <w:rsid w:val="002E4431"/>
    <w:rsid w:val="002E48CE"/>
    <w:rsid w:val="002E5893"/>
    <w:rsid w:val="002E68B7"/>
    <w:rsid w:val="002E733E"/>
    <w:rsid w:val="002E7F3A"/>
    <w:rsid w:val="002F020F"/>
    <w:rsid w:val="002F0A27"/>
    <w:rsid w:val="002F0AA2"/>
    <w:rsid w:val="002F35FD"/>
    <w:rsid w:val="002F3D34"/>
    <w:rsid w:val="002F4EDB"/>
    <w:rsid w:val="002F6054"/>
    <w:rsid w:val="00300159"/>
    <w:rsid w:val="003005C4"/>
    <w:rsid w:val="003014B1"/>
    <w:rsid w:val="0030373E"/>
    <w:rsid w:val="003075A1"/>
    <w:rsid w:val="0030767F"/>
    <w:rsid w:val="00310E13"/>
    <w:rsid w:val="003112AA"/>
    <w:rsid w:val="003141A3"/>
    <w:rsid w:val="00314980"/>
    <w:rsid w:val="00315713"/>
    <w:rsid w:val="00315BE2"/>
    <w:rsid w:val="0031686C"/>
    <w:rsid w:val="00316FE0"/>
    <w:rsid w:val="00317195"/>
    <w:rsid w:val="00317D5F"/>
    <w:rsid w:val="003203DB"/>
    <w:rsid w:val="003204D2"/>
    <w:rsid w:val="003246A3"/>
    <w:rsid w:val="00324C2A"/>
    <w:rsid w:val="00325CCC"/>
    <w:rsid w:val="0032605E"/>
    <w:rsid w:val="003264D8"/>
    <w:rsid w:val="003275D1"/>
    <w:rsid w:val="003276FB"/>
    <w:rsid w:val="00330B2A"/>
    <w:rsid w:val="0033113D"/>
    <w:rsid w:val="00331E17"/>
    <w:rsid w:val="00333063"/>
    <w:rsid w:val="00333922"/>
    <w:rsid w:val="00336A2D"/>
    <w:rsid w:val="003408E3"/>
    <w:rsid w:val="00343458"/>
    <w:rsid w:val="00343480"/>
    <w:rsid w:val="00343940"/>
    <w:rsid w:val="00344287"/>
    <w:rsid w:val="00345E89"/>
    <w:rsid w:val="00346E61"/>
    <w:rsid w:val="0035087C"/>
    <w:rsid w:val="003522A1"/>
    <w:rsid w:val="0035254B"/>
    <w:rsid w:val="00353555"/>
    <w:rsid w:val="00354601"/>
    <w:rsid w:val="003565D4"/>
    <w:rsid w:val="00356F56"/>
    <w:rsid w:val="0035731E"/>
    <w:rsid w:val="00357C5E"/>
    <w:rsid w:val="003607FB"/>
    <w:rsid w:val="0036091A"/>
    <w:rsid w:val="00360FA6"/>
    <w:rsid w:val="00360FD5"/>
    <w:rsid w:val="00362279"/>
    <w:rsid w:val="0036340D"/>
    <w:rsid w:val="003634A5"/>
    <w:rsid w:val="00365C60"/>
    <w:rsid w:val="00366868"/>
    <w:rsid w:val="00367506"/>
    <w:rsid w:val="00370085"/>
    <w:rsid w:val="003713CB"/>
    <w:rsid w:val="00371C7F"/>
    <w:rsid w:val="00371CE8"/>
    <w:rsid w:val="003720A7"/>
    <w:rsid w:val="00372B85"/>
    <w:rsid w:val="003744A7"/>
    <w:rsid w:val="00374F5B"/>
    <w:rsid w:val="00375038"/>
    <w:rsid w:val="00375826"/>
    <w:rsid w:val="00376235"/>
    <w:rsid w:val="003768EC"/>
    <w:rsid w:val="00377536"/>
    <w:rsid w:val="00377AE3"/>
    <w:rsid w:val="00380601"/>
    <w:rsid w:val="00380986"/>
    <w:rsid w:val="00381102"/>
    <w:rsid w:val="0038134C"/>
    <w:rsid w:val="00381F98"/>
    <w:rsid w:val="00381FB6"/>
    <w:rsid w:val="003836D3"/>
    <w:rsid w:val="00383A52"/>
    <w:rsid w:val="00383F73"/>
    <w:rsid w:val="003840F8"/>
    <w:rsid w:val="0038481F"/>
    <w:rsid w:val="00387B23"/>
    <w:rsid w:val="00390041"/>
    <w:rsid w:val="00391652"/>
    <w:rsid w:val="0039507F"/>
    <w:rsid w:val="00395423"/>
    <w:rsid w:val="00395834"/>
    <w:rsid w:val="003973B4"/>
    <w:rsid w:val="003A10BC"/>
    <w:rsid w:val="003A1260"/>
    <w:rsid w:val="003A1A83"/>
    <w:rsid w:val="003A1DEE"/>
    <w:rsid w:val="003A28D3"/>
    <w:rsid w:val="003A295F"/>
    <w:rsid w:val="003A2DAA"/>
    <w:rsid w:val="003A3F8C"/>
    <w:rsid w:val="003A40A4"/>
    <w:rsid w:val="003A41DD"/>
    <w:rsid w:val="003A5B07"/>
    <w:rsid w:val="003A6D68"/>
    <w:rsid w:val="003A7033"/>
    <w:rsid w:val="003A7139"/>
    <w:rsid w:val="003A73B5"/>
    <w:rsid w:val="003B0093"/>
    <w:rsid w:val="003B2F35"/>
    <w:rsid w:val="003B4312"/>
    <w:rsid w:val="003B47FE"/>
    <w:rsid w:val="003B4E5C"/>
    <w:rsid w:val="003B5673"/>
    <w:rsid w:val="003B6287"/>
    <w:rsid w:val="003B62C9"/>
    <w:rsid w:val="003B6811"/>
    <w:rsid w:val="003B75D6"/>
    <w:rsid w:val="003B7D9C"/>
    <w:rsid w:val="003B7FAC"/>
    <w:rsid w:val="003C0799"/>
    <w:rsid w:val="003C0EF5"/>
    <w:rsid w:val="003C4498"/>
    <w:rsid w:val="003C4A78"/>
    <w:rsid w:val="003C5B20"/>
    <w:rsid w:val="003C6312"/>
    <w:rsid w:val="003C7176"/>
    <w:rsid w:val="003D0929"/>
    <w:rsid w:val="003D14B7"/>
    <w:rsid w:val="003D1AEF"/>
    <w:rsid w:val="003D3837"/>
    <w:rsid w:val="003D3C17"/>
    <w:rsid w:val="003D4729"/>
    <w:rsid w:val="003D7B07"/>
    <w:rsid w:val="003D7DD6"/>
    <w:rsid w:val="003E1556"/>
    <w:rsid w:val="003E24DB"/>
    <w:rsid w:val="003E3B23"/>
    <w:rsid w:val="003E46AF"/>
    <w:rsid w:val="003E5AAF"/>
    <w:rsid w:val="003E600D"/>
    <w:rsid w:val="003E61D2"/>
    <w:rsid w:val="003E64DF"/>
    <w:rsid w:val="003E6A5D"/>
    <w:rsid w:val="003E711F"/>
    <w:rsid w:val="003F0A0C"/>
    <w:rsid w:val="003F1272"/>
    <w:rsid w:val="003F193A"/>
    <w:rsid w:val="003F35A1"/>
    <w:rsid w:val="003F3C7C"/>
    <w:rsid w:val="003F4207"/>
    <w:rsid w:val="003F50C3"/>
    <w:rsid w:val="003F5C46"/>
    <w:rsid w:val="003F670D"/>
    <w:rsid w:val="003F7603"/>
    <w:rsid w:val="003F7CBB"/>
    <w:rsid w:val="003F7D34"/>
    <w:rsid w:val="0040288B"/>
    <w:rsid w:val="00402D31"/>
    <w:rsid w:val="004038F8"/>
    <w:rsid w:val="00404AEB"/>
    <w:rsid w:val="00412C8E"/>
    <w:rsid w:val="00413BE1"/>
    <w:rsid w:val="0041518D"/>
    <w:rsid w:val="00415422"/>
    <w:rsid w:val="004176A3"/>
    <w:rsid w:val="0042017D"/>
    <w:rsid w:val="004214B9"/>
    <w:rsid w:val="0042221D"/>
    <w:rsid w:val="004229DB"/>
    <w:rsid w:val="0042465E"/>
    <w:rsid w:val="004249E5"/>
    <w:rsid w:val="00424DD3"/>
    <w:rsid w:val="00425419"/>
    <w:rsid w:val="0042637D"/>
    <w:rsid w:val="00426702"/>
    <w:rsid w:val="004269C5"/>
    <w:rsid w:val="00426A33"/>
    <w:rsid w:val="004279BF"/>
    <w:rsid w:val="00427E3C"/>
    <w:rsid w:val="00430620"/>
    <w:rsid w:val="0043308F"/>
    <w:rsid w:val="00434D26"/>
    <w:rsid w:val="00435939"/>
    <w:rsid w:val="00437CC7"/>
    <w:rsid w:val="00442B9C"/>
    <w:rsid w:val="004438F2"/>
    <w:rsid w:val="00443E9D"/>
    <w:rsid w:val="0044408A"/>
    <w:rsid w:val="004448D8"/>
    <w:rsid w:val="00444C43"/>
    <w:rsid w:val="00445EFA"/>
    <w:rsid w:val="00447151"/>
    <w:rsid w:val="0044738A"/>
    <w:rsid w:val="004473D3"/>
    <w:rsid w:val="004503D5"/>
    <w:rsid w:val="00452231"/>
    <w:rsid w:val="00452A7A"/>
    <w:rsid w:val="004536DF"/>
    <w:rsid w:val="00454971"/>
    <w:rsid w:val="00455C74"/>
    <w:rsid w:val="00457BC3"/>
    <w:rsid w:val="00460C13"/>
    <w:rsid w:val="00460CEE"/>
    <w:rsid w:val="004630DB"/>
    <w:rsid w:val="00463228"/>
    <w:rsid w:val="00463782"/>
    <w:rsid w:val="00463B37"/>
    <w:rsid w:val="00464BFC"/>
    <w:rsid w:val="00465479"/>
    <w:rsid w:val="004667E0"/>
    <w:rsid w:val="00466C2C"/>
    <w:rsid w:val="0046760E"/>
    <w:rsid w:val="00467E09"/>
    <w:rsid w:val="00470285"/>
    <w:rsid w:val="00470E10"/>
    <w:rsid w:val="00475832"/>
    <w:rsid w:val="004762FE"/>
    <w:rsid w:val="00476998"/>
    <w:rsid w:val="00477A97"/>
    <w:rsid w:val="00477B35"/>
    <w:rsid w:val="0048028A"/>
    <w:rsid w:val="0048071D"/>
    <w:rsid w:val="00481343"/>
    <w:rsid w:val="00481E40"/>
    <w:rsid w:val="004839A4"/>
    <w:rsid w:val="0048549E"/>
    <w:rsid w:val="00487186"/>
    <w:rsid w:val="00490D41"/>
    <w:rsid w:val="004930C6"/>
    <w:rsid w:val="00493347"/>
    <w:rsid w:val="004943E0"/>
    <w:rsid w:val="0049486F"/>
    <w:rsid w:val="00496092"/>
    <w:rsid w:val="004A0210"/>
    <w:rsid w:val="004A08DB"/>
    <w:rsid w:val="004A0A05"/>
    <w:rsid w:val="004A139E"/>
    <w:rsid w:val="004A189E"/>
    <w:rsid w:val="004A24C1"/>
    <w:rsid w:val="004A25D0"/>
    <w:rsid w:val="004A2999"/>
    <w:rsid w:val="004A37E8"/>
    <w:rsid w:val="004A4285"/>
    <w:rsid w:val="004A5065"/>
    <w:rsid w:val="004A7549"/>
    <w:rsid w:val="004B02F2"/>
    <w:rsid w:val="004B0306"/>
    <w:rsid w:val="004B0534"/>
    <w:rsid w:val="004B09D4"/>
    <w:rsid w:val="004B14AF"/>
    <w:rsid w:val="004B309D"/>
    <w:rsid w:val="004B330A"/>
    <w:rsid w:val="004B36E4"/>
    <w:rsid w:val="004B4401"/>
    <w:rsid w:val="004B5AD7"/>
    <w:rsid w:val="004B7C8E"/>
    <w:rsid w:val="004C3D3C"/>
    <w:rsid w:val="004C40D7"/>
    <w:rsid w:val="004C4AFC"/>
    <w:rsid w:val="004D0EDC"/>
    <w:rsid w:val="004D1220"/>
    <w:rsid w:val="004D13ED"/>
    <w:rsid w:val="004D14B3"/>
    <w:rsid w:val="004D1529"/>
    <w:rsid w:val="004D2253"/>
    <w:rsid w:val="004D3078"/>
    <w:rsid w:val="004D3F19"/>
    <w:rsid w:val="004D4ABE"/>
    <w:rsid w:val="004D5514"/>
    <w:rsid w:val="004D56C3"/>
    <w:rsid w:val="004D588E"/>
    <w:rsid w:val="004D58A1"/>
    <w:rsid w:val="004D770F"/>
    <w:rsid w:val="004E0338"/>
    <w:rsid w:val="004E05BD"/>
    <w:rsid w:val="004E069A"/>
    <w:rsid w:val="004E1206"/>
    <w:rsid w:val="004E4733"/>
    <w:rsid w:val="004E4FF3"/>
    <w:rsid w:val="004E56A8"/>
    <w:rsid w:val="004E5E84"/>
    <w:rsid w:val="004E7A2E"/>
    <w:rsid w:val="004F010E"/>
    <w:rsid w:val="004F38AF"/>
    <w:rsid w:val="004F3B55"/>
    <w:rsid w:val="004F428E"/>
    <w:rsid w:val="004F4B5F"/>
    <w:rsid w:val="004F4E46"/>
    <w:rsid w:val="004F6B7D"/>
    <w:rsid w:val="005015F6"/>
    <w:rsid w:val="00502ED6"/>
    <w:rsid w:val="005030C4"/>
    <w:rsid w:val="005031C5"/>
    <w:rsid w:val="00504FDC"/>
    <w:rsid w:val="005053D8"/>
    <w:rsid w:val="00505A83"/>
    <w:rsid w:val="00506870"/>
    <w:rsid w:val="00506BEF"/>
    <w:rsid w:val="00507951"/>
    <w:rsid w:val="00511316"/>
    <w:rsid w:val="005117B4"/>
    <w:rsid w:val="005120CC"/>
    <w:rsid w:val="00512B7B"/>
    <w:rsid w:val="005140E4"/>
    <w:rsid w:val="00514EA1"/>
    <w:rsid w:val="0051798B"/>
    <w:rsid w:val="00521F5A"/>
    <w:rsid w:val="00525322"/>
    <w:rsid w:val="00525E06"/>
    <w:rsid w:val="00526454"/>
    <w:rsid w:val="00530399"/>
    <w:rsid w:val="00531823"/>
    <w:rsid w:val="00534ECC"/>
    <w:rsid w:val="00535903"/>
    <w:rsid w:val="00536ADF"/>
    <w:rsid w:val="0053720D"/>
    <w:rsid w:val="00540E39"/>
    <w:rsid w:val="00540EF5"/>
    <w:rsid w:val="0054116F"/>
    <w:rsid w:val="00541BF3"/>
    <w:rsid w:val="00541CD3"/>
    <w:rsid w:val="005422F3"/>
    <w:rsid w:val="005431F4"/>
    <w:rsid w:val="00544BBD"/>
    <w:rsid w:val="00545BD3"/>
    <w:rsid w:val="005471D5"/>
    <w:rsid w:val="005476FA"/>
    <w:rsid w:val="00547D44"/>
    <w:rsid w:val="00550079"/>
    <w:rsid w:val="00550903"/>
    <w:rsid w:val="00553BEB"/>
    <w:rsid w:val="0055595E"/>
    <w:rsid w:val="00557988"/>
    <w:rsid w:val="00557A87"/>
    <w:rsid w:val="00560002"/>
    <w:rsid w:val="00560055"/>
    <w:rsid w:val="005605EE"/>
    <w:rsid w:val="00560A0D"/>
    <w:rsid w:val="00562C49"/>
    <w:rsid w:val="00562DEF"/>
    <w:rsid w:val="0056321A"/>
    <w:rsid w:val="00563A35"/>
    <w:rsid w:val="00563E1C"/>
    <w:rsid w:val="00564169"/>
    <w:rsid w:val="00566596"/>
    <w:rsid w:val="005677FA"/>
    <w:rsid w:val="00570BC8"/>
    <w:rsid w:val="00570F57"/>
    <w:rsid w:val="00571912"/>
    <w:rsid w:val="00571E35"/>
    <w:rsid w:val="005732C4"/>
    <w:rsid w:val="005734BC"/>
    <w:rsid w:val="00573767"/>
    <w:rsid w:val="005741E9"/>
    <w:rsid w:val="005748CF"/>
    <w:rsid w:val="00574C48"/>
    <w:rsid w:val="00575D27"/>
    <w:rsid w:val="00580867"/>
    <w:rsid w:val="00580EAD"/>
    <w:rsid w:val="0058286A"/>
    <w:rsid w:val="0058317D"/>
    <w:rsid w:val="00584270"/>
    <w:rsid w:val="00584738"/>
    <w:rsid w:val="005857F7"/>
    <w:rsid w:val="00585DDE"/>
    <w:rsid w:val="00586296"/>
    <w:rsid w:val="005869E1"/>
    <w:rsid w:val="00590C83"/>
    <w:rsid w:val="005920B0"/>
    <w:rsid w:val="0059380D"/>
    <w:rsid w:val="0059425B"/>
    <w:rsid w:val="00594EF9"/>
    <w:rsid w:val="00595A8F"/>
    <w:rsid w:val="00595AAD"/>
    <w:rsid w:val="00595F9D"/>
    <w:rsid w:val="005977C2"/>
    <w:rsid w:val="00597BF2"/>
    <w:rsid w:val="005A0351"/>
    <w:rsid w:val="005A1F54"/>
    <w:rsid w:val="005A249C"/>
    <w:rsid w:val="005A2670"/>
    <w:rsid w:val="005A3020"/>
    <w:rsid w:val="005A3FA0"/>
    <w:rsid w:val="005A4A75"/>
    <w:rsid w:val="005A6D8A"/>
    <w:rsid w:val="005A7891"/>
    <w:rsid w:val="005A7C9E"/>
    <w:rsid w:val="005B0958"/>
    <w:rsid w:val="005B134E"/>
    <w:rsid w:val="005B14D6"/>
    <w:rsid w:val="005B2039"/>
    <w:rsid w:val="005B344F"/>
    <w:rsid w:val="005B383D"/>
    <w:rsid w:val="005B3DB1"/>
    <w:rsid w:val="005B3F47"/>
    <w:rsid w:val="005B3FBA"/>
    <w:rsid w:val="005B4A1D"/>
    <w:rsid w:val="005B57C4"/>
    <w:rsid w:val="005B629F"/>
    <w:rsid w:val="005B674D"/>
    <w:rsid w:val="005B74FA"/>
    <w:rsid w:val="005C056D"/>
    <w:rsid w:val="005C0CBE"/>
    <w:rsid w:val="005C1D34"/>
    <w:rsid w:val="005C1FCF"/>
    <w:rsid w:val="005C2D93"/>
    <w:rsid w:val="005C3F41"/>
    <w:rsid w:val="005C4733"/>
    <w:rsid w:val="005C5FD3"/>
    <w:rsid w:val="005D048E"/>
    <w:rsid w:val="005D1885"/>
    <w:rsid w:val="005D38F2"/>
    <w:rsid w:val="005D3A60"/>
    <w:rsid w:val="005D4A38"/>
    <w:rsid w:val="005D4DCF"/>
    <w:rsid w:val="005D5588"/>
    <w:rsid w:val="005D72A5"/>
    <w:rsid w:val="005E08F0"/>
    <w:rsid w:val="005E2252"/>
    <w:rsid w:val="005E2EEA"/>
    <w:rsid w:val="005E3708"/>
    <w:rsid w:val="005E3C39"/>
    <w:rsid w:val="005E3CCD"/>
    <w:rsid w:val="005E3D6B"/>
    <w:rsid w:val="005E5B55"/>
    <w:rsid w:val="005E5E4A"/>
    <w:rsid w:val="005E693D"/>
    <w:rsid w:val="005E75BF"/>
    <w:rsid w:val="005F0E71"/>
    <w:rsid w:val="005F0F4D"/>
    <w:rsid w:val="005F57BA"/>
    <w:rsid w:val="005F61E6"/>
    <w:rsid w:val="005F6C45"/>
    <w:rsid w:val="00603D3A"/>
    <w:rsid w:val="00605032"/>
    <w:rsid w:val="00605A69"/>
    <w:rsid w:val="00605DB1"/>
    <w:rsid w:val="006060B0"/>
    <w:rsid w:val="00606C08"/>
    <w:rsid w:val="00606C54"/>
    <w:rsid w:val="00606FB3"/>
    <w:rsid w:val="00610618"/>
    <w:rsid w:val="006106F0"/>
    <w:rsid w:val="00613E7A"/>
    <w:rsid w:val="00613F54"/>
    <w:rsid w:val="00614375"/>
    <w:rsid w:val="00615B0A"/>
    <w:rsid w:val="006168CF"/>
    <w:rsid w:val="00616EC9"/>
    <w:rsid w:val="00617D90"/>
    <w:rsid w:val="0062011B"/>
    <w:rsid w:val="006215C9"/>
    <w:rsid w:val="0062510D"/>
    <w:rsid w:val="00625876"/>
    <w:rsid w:val="00625D39"/>
    <w:rsid w:val="00626DE0"/>
    <w:rsid w:val="00630901"/>
    <w:rsid w:val="00630AA0"/>
    <w:rsid w:val="00630CB8"/>
    <w:rsid w:val="00631F8E"/>
    <w:rsid w:val="00632E85"/>
    <w:rsid w:val="00635891"/>
    <w:rsid w:val="00636EE9"/>
    <w:rsid w:val="00637767"/>
    <w:rsid w:val="00640950"/>
    <w:rsid w:val="00641AE7"/>
    <w:rsid w:val="00641BF5"/>
    <w:rsid w:val="006421EA"/>
    <w:rsid w:val="00642629"/>
    <w:rsid w:val="006440A5"/>
    <w:rsid w:val="006440AC"/>
    <w:rsid w:val="00644F02"/>
    <w:rsid w:val="006456CE"/>
    <w:rsid w:val="006457BA"/>
    <w:rsid w:val="006466F7"/>
    <w:rsid w:val="0064782B"/>
    <w:rsid w:val="00651322"/>
    <w:rsid w:val="0065293D"/>
    <w:rsid w:val="00653EFC"/>
    <w:rsid w:val="00654021"/>
    <w:rsid w:val="0065462A"/>
    <w:rsid w:val="00656F6E"/>
    <w:rsid w:val="0065706F"/>
    <w:rsid w:val="00657F03"/>
    <w:rsid w:val="00661045"/>
    <w:rsid w:val="006658E0"/>
    <w:rsid w:val="0066597A"/>
    <w:rsid w:val="00666DA8"/>
    <w:rsid w:val="00666EB6"/>
    <w:rsid w:val="00671057"/>
    <w:rsid w:val="006723D4"/>
    <w:rsid w:val="0067498F"/>
    <w:rsid w:val="00674E6E"/>
    <w:rsid w:val="00675AAF"/>
    <w:rsid w:val="0068023F"/>
    <w:rsid w:val="0068031A"/>
    <w:rsid w:val="00681B2F"/>
    <w:rsid w:val="00681DAE"/>
    <w:rsid w:val="0068255B"/>
    <w:rsid w:val="0068335F"/>
    <w:rsid w:val="00683EBF"/>
    <w:rsid w:val="00684F59"/>
    <w:rsid w:val="006858FF"/>
    <w:rsid w:val="00685BA5"/>
    <w:rsid w:val="00687217"/>
    <w:rsid w:val="00691216"/>
    <w:rsid w:val="00691ACB"/>
    <w:rsid w:val="00693302"/>
    <w:rsid w:val="00693B86"/>
    <w:rsid w:val="0069453E"/>
    <w:rsid w:val="00694F4E"/>
    <w:rsid w:val="006952D1"/>
    <w:rsid w:val="006958D8"/>
    <w:rsid w:val="0069640B"/>
    <w:rsid w:val="006965C8"/>
    <w:rsid w:val="006A17D3"/>
    <w:rsid w:val="006A1B83"/>
    <w:rsid w:val="006A1D08"/>
    <w:rsid w:val="006A21A9"/>
    <w:rsid w:val="006A21CD"/>
    <w:rsid w:val="006A27A8"/>
    <w:rsid w:val="006A575F"/>
    <w:rsid w:val="006A5918"/>
    <w:rsid w:val="006B0219"/>
    <w:rsid w:val="006B041C"/>
    <w:rsid w:val="006B041E"/>
    <w:rsid w:val="006B21B2"/>
    <w:rsid w:val="006B4A4A"/>
    <w:rsid w:val="006B4E1D"/>
    <w:rsid w:val="006B5543"/>
    <w:rsid w:val="006B68B8"/>
    <w:rsid w:val="006B722B"/>
    <w:rsid w:val="006C19B2"/>
    <w:rsid w:val="006C207B"/>
    <w:rsid w:val="006C4409"/>
    <w:rsid w:val="006C5BB8"/>
    <w:rsid w:val="006C6936"/>
    <w:rsid w:val="006C7B01"/>
    <w:rsid w:val="006D011E"/>
    <w:rsid w:val="006D0FE8"/>
    <w:rsid w:val="006D1C94"/>
    <w:rsid w:val="006D1FD9"/>
    <w:rsid w:val="006D2DD5"/>
    <w:rsid w:val="006D35B6"/>
    <w:rsid w:val="006D3F7B"/>
    <w:rsid w:val="006D4B2B"/>
    <w:rsid w:val="006D4F3C"/>
    <w:rsid w:val="006D57DA"/>
    <w:rsid w:val="006D5C66"/>
    <w:rsid w:val="006D6840"/>
    <w:rsid w:val="006D7002"/>
    <w:rsid w:val="006D74A8"/>
    <w:rsid w:val="006E1B3C"/>
    <w:rsid w:val="006E23C9"/>
    <w:rsid w:val="006E23FB"/>
    <w:rsid w:val="006E2471"/>
    <w:rsid w:val="006E325A"/>
    <w:rsid w:val="006E33EC"/>
    <w:rsid w:val="006E3802"/>
    <w:rsid w:val="006E3E17"/>
    <w:rsid w:val="006E4786"/>
    <w:rsid w:val="006E6C02"/>
    <w:rsid w:val="006E7454"/>
    <w:rsid w:val="006E7661"/>
    <w:rsid w:val="006E7E23"/>
    <w:rsid w:val="006F0A33"/>
    <w:rsid w:val="006F10DD"/>
    <w:rsid w:val="006F11A1"/>
    <w:rsid w:val="006F231A"/>
    <w:rsid w:val="006F2B98"/>
    <w:rsid w:val="006F3C9F"/>
    <w:rsid w:val="006F6B55"/>
    <w:rsid w:val="006F6E5C"/>
    <w:rsid w:val="006F724F"/>
    <w:rsid w:val="006F788D"/>
    <w:rsid w:val="006F78E1"/>
    <w:rsid w:val="00701072"/>
    <w:rsid w:val="00701305"/>
    <w:rsid w:val="007015CA"/>
    <w:rsid w:val="00702054"/>
    <w:rsid w:val="007035A4"/>
    <w:rsid w:val="0070363B"/>
    <w:rsid w:val="00704786"/>
    <w:rsid w:val="00704D58"/>
    <w:rsid w:val="00704FD8"/>
    <w:rsid w:val="00705A65"/>
    <w:rsid w:val="00706256"/>
    <w:rsid w:val="0070688D"/>
    <w:rsid w:val="0071044D"/>
    <w:rsid w:val="0071091D"/>
    <w:rsid w:val="00711799"/>
    <w:rsid w:val="00712B78"/>
    <w:rsid w:val="00713270"/>
    <w:rsid w:val="0071393B"/>
    <w:rsid w:val="00713EE2"/>
    <w:rsid w:val="00714580"/>
    <w:rsid w:val="00715111"/>
    <w:rsid w:val="007161E8"/>
    <w:rsid w:val="007177FC"/>
    <w:rsid w:val="00720888"/>
    <w:rsid w:val="00720C5E"/>
    <w:rsid w:val="00721701"/>
    <w:rsid w:val="00723B4B"/>
    <w:rsid w:val="00723F3F"/>
    <w:rsid w:val="0072430A"/>
    <w:rsid w:val="007249DB"/>
    <w:rsid w:val="00731835"/>
    <w:rsid w:val="0073248A"/>
    <w:rsid w:val="0073337D"/>
    <w:rsid w:val="0073377F"/>
    <w:rsid w:val="007341F8"/>
    <w:rsid w:val="00734372"/>
    <w:rsid w:val="00734EB8"/>
    <w:rsid w:val="00735306"/>
    <w:rsid w:val="007353FA"/>
    <w:rsid w:val="00735F8B"/>
    <w:rsid w:val="00737AD9"/>
    <w:rsid w:val="007405CF"/>
    <w:rsid w:val="0074090B"/>
    <w:rsid w:val="00741D00"/>
    <w:rsid w:val="00742D1F"/>
    <w:rsid w:val="00743EBA"/>
    <w:rsid w:val="007442A6"/>
    <w:rsid w:val="00744C8E"/>
    <w:rsid w:val="0074707E"/>
    <w:rsid w:val="007516DC"/>
    <w:rsid w:val="00752222"/>
    <w:rsid w:val="00752E58"/>
    <w:rsid w:val="00754AE9"/>
    <w:rsid w:val="00754B80"/>
    <w:rsid w:val="0076046F"/>
    <w:rsid w:val="00760B9E"/>
    <w:rsid w:val="00760D66"/>
    <w:rsid w:val="00761918"/>
    <w:rsid w:val="00761A06"/>
    <w:rsid w:val="00761C03"/>
    <w:rsid w:val="00762F03"/>
    <w:rsid w:val="007634E4"/>
    <w:rsid w:val="0076413B"/>
    <w:rsid w:val="007648AE"/>
    <w:rsid w:val="00764BF8"/>
    <w:rsid w:val="0076514D"/>
    <w:rsid w:val="00770CD3"/>
    <w:rsid w:val="0077142C"/>
    <w:rsid w:val="00771E0A"/>
    <w:rsid w:val="00773D59"/>
    <w:rsid w:val="007740E9"/>
    <w:rsid w:val="007763F4"/>
    <w:rsid w:val="0077736F"/>
    <w:rsid w:val="00781003"/>
    <w:rsid w:val="00781F15"/>
    <w:rsid w:val="007836A7"/>
    <w:rsid w:val="00783B59"/>
    <w:rsid w:val="00783E1C"/>
    <w:rsid w:val="0078462C"/>
    <w:rsid w:val="00784D0D"/>
    <w:rsid w:val="007905B6"/>
    <w:rsid w:val="00790919"/>
    <w:rsid w:val="007911FD"/>
    <w:rsid w:val="00791F11"/>
    <w:rsid w:val="007924DA"/>
    <w:rsid w:val="00793930"/>
    <w:rsid w:val="00793DD1"/>
    <w:rsid w:val="00794318"/>
    <w:rsid w:val="00794FEC"/>
    <w:rsid w:val="00795354"/>
    <w:rsid w:val="00796D8A"/>
    <w:rsid w:val="007A003E"/>
    <w:rsid w:val="007A1965"/>
    <w:rsid w:val="007A1A48"/>
    <w:rsid w:val="007A2647"/>
    <w:rsid w:val="007A2ED1"/>
    <w:rsid w:val="007A317E"/>
    <w:rsid w:val="007A480B"/>
    <w:rsid w:val="007A4BE6"/>
    <w:rsid w:val="007A4F3C"/>
    <w:rsid w:val="007A5477"/>
    <w:rsid w:val="007A628C"/>
    <w:rsid w:val="007A6FEE"/>
    <w:rsid w:val="007B023B"/>
    <w:rsid w:val="007B0DC6"/>
    <w:rsid w:val="007B1094"/>
    <w:rsid w:val="007B14A1"/>
    <w:rsid w:val="007B1762"/>
    <w:rsid w:val="007B2734"/>
    <w:rsid w:val="007B295B"/>
    <w:rsid w:val="007B3320"/>
    <w:rsid w:val="007C071A"/>
    <w:rsid w:val="007C11D6"/>
    <w:rsid w:val="007C1A58"/>
    <w:rsid w:val="007C2155"/>
    <w:rsid w:val="007C2A29"/>
    <w:rsid w:val="007C301F"/>
    <w:rsid w:val="007C4540"/>
    <w:rsid w:val="007C65AF"/>
    <w:rsid w:val="007D1211"/>
    <w:rsid w:val="007D135D"/>
    <w:rsid w:val="007D1C58"/>
    <w:rsid w:val="007D4838"/>
    <w:rsid w:val="007D5F4B"/>
    <w:rsid w:val="007D730F"/>
    <w:rsid w:val="007D7CD8"/>
    <w:rsid w:val="007E049D"/>
    <w:rsid w:val="007E37C4"/>
    <w:rsid w:val="007E3AA7"/>
    <w:rsid w:val="007E5E26"/>
    <w:rsid w:val="007E64DB"/>
    <w:rsid w:val="007F02A6"/>
    <w:rsid w:val="007F1A2F"/>
    <w:rsid w:val="007F2B6F"/>
    <w:rsid w:val="007F2BCE"/>
    <w:rsid w:val="007F6281"/>
    <w:rsid w:val="007F715D"/>
    <w:rsid w:val="007F737D"/>
    <w:rsid w:val="00801206"/>
    <w:rsid w:val="0080308E"/>
    <w:rsid w:val="00803408"/>
    <w:rsid w:val="0080370C"/>
    <w:rsid w:val="00804A18"/>
    <w:rsid w:val="00805154"/>
    <w:rsid w:val="00805303"/>
    <w:rsid w:val="00806705"/>
    <w:rsid w:val="00806738"/>
    <w:rsid w:val="00811F53"/>
    <w:rsid w:val="008121AF"/>
    <w:rsid w:val="00812CC7"/>
    <w:rsid w:val="00814825"/>
    <w:rsid w:val="008151A8"/>
    <w:rsid w:val="0081523C"/>
    <w:rsid w:val="008154EA"/>
    <w:rsid w:val="00816E0E"/>
    <w:rsid w:val="008179A1"/>
    <w:rsid w:val="008216D5"/>
    <w:rsid w:val="00822D38"/>
    <w:rsid w:val="00824366"/>
    <w:rsid w:val="008246BA"/>
    <w:rsid w:val="008249CE"/>
    <w:rsid w:val="00825ADB"/>
    <w:rsid w:val="00826A32"/>
    <w:rsid w:val="0083008F"/>
    <w:rsid w:val="00831A50"/>
    <w:rsid w:val="00831B3C"/>
    <w:rsid w:val="00831B70"/>
    <w:rsid w:val="00831C89"/>
    <w:rsid w:val="00832114"/>
    <w:rsid w:val="00834C46"/>
    <w:rsid w:val="00835AEB"/>
    <w:rsid w:val="00835CAE"/>
    <w:rsid w:val="00837CD0"/>
    <w:rsid w:val="0084093E"/>
    <w:rsid w:val="00841CE1"/>
    <w:rsid w:val="00841F5D"/>
    <w:rsid w:val="008422A0"/>
    <w:rsid w:val="00842A04"/>
    <w:rsid w:val="00843C11"/>
    <w:rsid w:val="00844CE6"/>
    <w:rsid w:val="0084553F"/>
    <w:rsid w:val="008473D8"/>
    <w:rsid w:val="00851921"/>
    <w:rsid w:val="00851F08"/>
    <w:rsid w:val="008528DC"/>
    <w:rsid w:val="00852B8C"/>
    <w:rsid w:val="00854981"/>
    <w:rsid w:val="00856351"/>
    <w:rsid w:val="008578F9"/>
    <w:rsid w:val="008605A3"/>
    <w:rsid w:val="00864B2E"/>
    <w:rsid w:val="00865963"/>
    <w:rsid w:val="00865E4D"/>
    <w:rsid w:val="0086602C"/>
    <w:rsid w:val="008679E9"/>
    <w:rsid w:val="00867BF3"/>
    <w:rsid w:val="0087108C"/>
    <w:rsid w:val="00871C1D"/>
    <w:rsid w:val="00874275"/>
    <w:rsid w:val="0087450E"/>
    <w:rsid w:val="0087569E"/>
    <w:rsid w:val="00875A82"/>
    <w:rsid w:val="00875DEB"/>
    <w:rsid w:val="00876CA3"/>
    <w:rsid w:val="008772FE"/>
    <w:rsid w:val="008775F1"/>
    <w:rsid w:val="00880DFB"/>
    <w:rsid w:val="008821AE"/>
    <w:rsid w:val="00883D3A"/>
    <w:rsid w:val="008853B2"/>
    <w:rsid w:val="008854F7"/>
    <w:rsid w:val="00885A9D"/>
    <w:rsid w:val="00886E4F"/>
    <w:rsid w:val="008873C3"/>
    <w:rsid w:val="00887B4B"/>
    <w:rsid w:val="00890468"/>
    <w:rsid w:val="00890DA2"/>
    <w:rsid w:val="0089159D"/>
    <w:rsid w:val="008925AF"/>
    <w:rsid w:val="008929D2"/>
    <w:rsid w:val="00893636"/>
    <w:rsid w:val="00893B94"/>
    <w:rsid w:val="00895ABF"/>
    <w:rsid w:val="00896E9D"/>
    <w:rsid w:val="00896F11"/>
    <w:rsid w:val="008A058E"/>
    <w:rsid w:val="008A1049"/>
    <w:rsid w:val="008A1C98"/>
    <w:rsid w:val="008A2AE3"/>
    <w:rsid w:val="008A322D"/>
    <w:rsid w:val="008A34F7"/>
    <w:rsid w:val="008A4A10"/>
    <w:rsid w:val="008A4D72"/>
    <w:rsid w:val="008A554F"/>
    <w:rsid w:val="008A5A34"/>
    <w:rsid w:val="008A6285"/>
    <w:rsid w:val="008A63B2"/>
    <w:rsid w:val="008B2349"/>
    <w:rsid w:val="008B31AC"/>
    <w:rsid w:val="008B345D"/>
    <w:rsid w:val="008B41E7"/>
    <w:rsid w:val="008B5048"/>
    <w:rsid w:val="008C0963"/>
    <w:rsid w:val="008C1FC2"/>
    <w:rsid w:val="008C28B2"/>
    <w:rsid w:val="008C2980"/>
    <w:rsid w:val="008C4DD6"/>
    <w:rsid w:val="008C5AFB"/>
    <w:rsid w:val="008C76C4"/>
    <w:rsid w:val="008D035B"/>
    <w:rsid w:val="008D07FB"/>
    <w:rsid w:val="008D0C02"/>
    <w:rsid w:val="008D0D17"/>
    <w:rsid w:val="008D357D"/>
    <w:rsid w:val="008D3FFB"/>
    <w:rsid w:val="008D4190"/>
    <w:rsid w:val="008D435A"/>
    <w:rsid w:val="008D5875"/>
    <w:rsid w:val="008E0A24"/>
    <w:rsid w:val="008E0CC4"/>
    <w:rsid w:val="008E109A"/>
    <w:rsid w:val="008E387B"/>
    <w:rsid w:val="008E4F67"/>
    <w:rsid w:val="008E6087"/>
    <w:rsid w:val="008E6BCC"/>
    <w:rsid w:val="008E758D"/>
    <w:rsid w:val="008F0079"/>
    <w:rsid w:val="008F0345"/>
    <w:rsid w:val="008F10A7"/>
    <w:rsid w:val="008F188C"/>
    <w:rsid w:val="008F3195"/>
    <w:rsid w:val="008F4C2F"/>
    <w:rsid w:val="008F60B0"/>
    <w:rsid w:val="008F755D"/>
    <w:rsid w:val="008F7A39"/>
    <w:rsid w:val="008F7DDF"/>
    <w:rsid w:val="009001C4"/>
    <w:rsid w:val="009021E8"/>
    <w:rsid w:val="009022EF"/>
    <w:rsid w:val="0090315B"/>
    <w:rsid w:val="00904677"/>
    <w:rsid w:val="009046E9"/>
    <w:rsid w:val="00905EE2"/>
    <w:rsid w:val="00906B10"/>
    <w:rsid w:val="00911440"/>
    <w:rsid w:val="009115C0"/>
    <w:rsid w:val="00911712"/>
    <w:rsid w:val="00911B27"/>
    <w:rsid w:val="0091686E"/>
    <w:rsid w:val="009170BE"/>
    <w:rsid w:val="00917224"/>
    <w:rsid w:val="00920B55"/>
    <w:rsid w:val="0092212A"/>
    <w:rsid w:val="009262C9"/>
    <w:rsid w:val="0092693F"/>
    <w:rsid w:val="00927044"/>
    <w:rsid w:val="009279A0"/>
    <w:rsid w:val="00930650"/>
    <w:rsid w:val="00930EB9"/>
    <w:rsid w:val="00933876"/>
    <w:rsid w:val="00933DC7"/>
    <w:rsid w:val="009346DE"/>
    <w:rsid w:val="00935DA5"/>
    <w:rsid w:val="009418F4"/>
    <w:rsid w:val="00942BBC"/>
    <w:rsid w:val="00942C91"/>
    <w:rsid w:val="00943378"/>
    <w:rsid w:val="009438F1"/>
    <w:rsid w:val="00944180"/>
    <w:rsid w:val="00944576"/>
    <w:rsid w:val="00944683"/>
    <w:rsid w:val="00944AA0"/>
    <w:rsid w:val="00946AF5"/>
    <w:rsid w:val="00947380"/>
    <w:rsid w:val="00947D9C"/>
    <w:rsid w:val="00947DA2"/>
    <w:rsid w:val="009509D9"/>
    <w:rsid w:val="00951177"/>
    <w:rsid w:val="00953984"/>
    <w:rsid w:val="0095412C"/>
    <w:rsid w:val="009543FE"/>
    <w:rsid w:val="0095544D"/>
    <w:rsid w:val="0095667D"/>
    <w:rsid w:val="0095675E"/>
    <w:rsid w:val="009573EB"/>
    <w:rsid w:val="009607CC"/>
    <w:rsid w:val="00961879"/>
    <w:rsid w:val="0096197E"/>
    <w:rsid w:val="00962421"/>
    <w:rsid w:val="009666A4"/>
    <w:rsid w:val="009673E8"/>
    <w:rsid w:val="00970EAB"/>
    <w:rsid w:val="009744C4"/>
    <w:rsid w:val="00974DB8"/>
    <w:rsid w:val="00980661"/>
    <w:rsid w:val="0098093B"/>
    <w:rsid w:val="00981479"/>
    <w:rsid w:val="00982388"/>
    <w:rsid w:val="00983CC6"/>
    <w:rsid w:val="009845E5"/>
    <w:rsid w:val="00984D4B"/>
    <w:rsid w:val="009861DA"/>
    <w:rsid w:val="009863FE"/>
    <w:rsid w:val="00986E39"/>
    <w:rsid w:val="009873B4"/>
    <w:rsid w:val="009874EF"/>
    <w:rsid w:val="009876D4"/>
    <w:rsid w:val="009914A5"/>
    <w:rsid w:val="009925BB"/>
    <w:rsid w:val="0099548E"/>
    <w:rsid w:val="00995B8E"/>
    <w:rsid w:val="00996456"/>
    <w:rsid w:val="00996976"/>
    <w:rsid w:val="00996A12"/>
    <w:rsid w:val="0099792E"/>
    <w:rsid w:val="00997B0F"/>
    <w:rsid w:val="009A057F"/>
    <w:rsid w:val="009A076E"/>
    <w:rsid w:val="009A0CC3"/>
    <w:rsid w:val="009A0D26"/>
    <w:rsid w:val="009A0F27"/>
    <w:rsid w:val="009A1CAD"/>
    <w:rsid w:val="009A202E"/>
    <w:rsid w:val="009A2475"/>
    <w:rsid w:val="009A3440"/>
    <w:rsid w:val="009A3C9E"/>
    <w:rsid w:val="009A49A4"/>
    <w:rsid w:val="009A5832"/>
    <w:rsid w:val="009A5A34"/>
    <w:rsid w:val="009A6838"/>
    <w:rsid w:val="009A68AE"/>
    <w:rsid w:val="009B24B5"/>
    <w:rsid w:val="009B286C"/>
    <w:rsid w:val="009B4EBC"/>
    <w:rsid w:val="009B5ABB"/>
    <w:rsid w:val="009B5CFE"/>
    <w:rsid w:val="009B72D4"/>
    <w:rsid w:val="009B73CE"/>
    <w:rsid w:val="009C0492"/>
    <w:rsid w:val="009C2461"/>
    <w:rsid w:val="009C4B55"/>
    <w:rsid w:val="009C4F2B"/>
    <w:rsid w:val="009C50E1"/>
    <w:rsid w:val="009C5A15"/>
    <w:rsid w:val="009C6FE2"/>
    <w:rsid w:val="009C7674"/>
    <w:rsid w:val="009D0001"/>
    <w:rsid w:val="009D004A"/>
    <w:rsid w:val="009D16C1"/>
    <w:rsid w:val="009D2A8B"/>
    <w:rsid w:val="009D2D3B"/>
    <w:rsid w:val="009D2F62"/>
    <w:rsid w:val="009D31BB"/>
    <w:rsid w:val="009D5880"/>
    <w:rsid w:val="009E0853"/>
    <w:rsid w:val="009E1FD4"/>
    <w:rsid w:val="009E3B07"/>
    <w:rsid w:val="009E51D1"/>
    <w:rsid w:val="009E5531"/>
    <w:rsid w:val="009E64E6"/>
    <w:rsid w:val="009E6671"/>
    <w:rsid w:val="009E7A26"/>
    <w:rsid w:val="009F0738"/>
    <w:rsid w:val="009F171E"/>
    <w:rsid w:val="009F18F3"/>
    <w:rsid w:val="009F1F40"/>
    <w:rsid w:val="009F284C"/>
    <w:rsid w:val="009F3D2F"/>
    <w:rsid w:val="009F5561"/>
    <w:rsid w:val="009F603A"/>
    <w:rsid w:val="009F6C22"/>
    <w:rsid w:val="009F7052"/>
    <w:rsid w:val="009F75B8"/>
    <w:rsid w:val="00A012B6"/>
    <w:rsid w:val="00A01D94"/>
    <w:rsid w:val="00A02594"/>
    <w:rsid w:val="00A02668"/>
    <w:rsid w:val="00A02741"/>
    <w:rsid w:val="00A02801"/>
    <w:rsid w:val="00A036E8"/>
    <w:rsid w:val="00A0602F"/>
    <w:rsid w:val="00A06300"/>
    <w:rsid w:val="00A06A39"/>
    <w:rsid w:val="00A07F58"/>
    <w:rsid w:val="00A11149"/>
    <w:rsid w:val="00A1136C"/>
    <w:rsid w:val="00A131CB"/>
    <w:rsid w:val="00A141D3"/>
    <w:rsid w:val="00A14638"/>
    <w:rsid w:val="00A14847"/>
    <w:rsid w:val="00A152EE"/>
    <w:rsid w:val="00A16D6D"/>
    <w:rsid w:val="00A17E19"/>
    <w:rsid w:val="00A17E70"/>
    <w:rsid w:val="00A2040D"/>
    <w:rsid w:val="00A208D2"/>
    <w:rsid w:val="00A20BC9"/>
    <w:rsid w:val="00A21383"/>
    <w:rsid w:val="00A2199F"/>
    <w:rsid w:val="00A21B31"/>
    <w:rsid w:val="00A2215F"/>
    <w:rsid w:val="00A2360E"/>
    <w:rsid w:val="00A23806"/>
    <w:rsid w:val="00A23D4F"/>
    <w:rsid w:val="00A23DD0"/>
    <w:rsid w:val="00A26E03"/>
    <w:rsid w:val="00A26E0C"/>
    <w:rsid w:val="00A314B7"/>
    <w:rsid w:val="00A31A09"/>
    <w:rsid w:val="00A32E21"/>
    <w:rsid w:val="00A32ED3"/>
    <w:rsid w:val="00A32FCB"/>
    <w:rsid w:val="00A332A1"/>
    <w:rsid w:val="00A34C25"/>
    <w:rsid w:val="00A3507D"/>
    <w:rsid w:val="00A35D52"/>
    <w:rsid w:val="00A36778"/>
    <w:rsid w:val="00A3717A"/>
    <w:rsid w:val="00A37C41"/>
    <w:rsid w:val="00A4088C"/>
    <w:rsid w:val="00A41454"/>
    <w:rsid w:val="00A42173"/>
    <w:rsid w:val="00A43EE7"/>
    <w:rsid w:val="00A4456B"/>
    <w:rsid w:val="00A448D4"/>
    <w:rsid w:val="00A452E0"/>
    <w:rsid w:val="00A463B0"/>
    <w:rsid w:val="00A506DF"/>
    <w:rsid w:val="00A50AE0"/>
    <w:rsid w:val="00A5115F"/>
    <w:rsid w:val="00A5140A"/>
    <w:rsid w:val="00A51EA5"/>
    <w:rsid w:val="00A53742"/>
    <w:rsid w:val="00A547B8"/>
    <w:rsid w:val="00A54DEF"/>
    <w:rsid w:val="00A552B8"/>
    <w:rsid w:val="00A557A1"/>
    <w:rsid w:val="00A60501"/>
    <w:rsid w:val="00A61D2E"/>
    <w:rsid w:val="00A63059"/>
    <w:rsid w:val="00A63AE3"/>
    <w:rsid w:val="00A6453D"/>
    <w:rsid w:val="00A650DF"/>
    <w:rsid w:val="00A651A4"/>
    <w:rsid w:val="00A675C4"/>
    <w:rsid w:val="00A70204"/>
    <w:rsid w:val="00A70BFC"/>
    <w:rsid w:val="00A70CFF"/>
    <w:rsid w:val="00A71361"/>
    <w:rsid w:val="00A71630"/>
    <w:rsid w:val="00A71CAC"/>
    <w:rsid w:val="00A746E2"/>
    <w:rsid w:val="00A76C51"/>
    <w:rsid w:val="00A80299"/>
    <w:rsid w:val="00A80EB0"/>
    <w:rsid w:val="00A81FF2"/>
    <w:rsid w:val="00A83904"/>
    <w:rsid w:val="00A8529F"/>
    <w:rsid w:val="00A86D96"/>
    <w:rsid w:val="00A8715D"/>
    <w:rsid w:val="00A87BA8"/>
    <w:rsid w:val="00A90A79"/>
    <w:rsid w:val="00A9168E"/>
    <w:rsid w:val="00A943C0"/>
    <w:rsid w:val="00A94B16"/>
    <w:rsid w:val="00A969CF"/>
    <w:rsid w:val="00A96B30"/>
    <w:rsid w:val="00A978AE"/>
    <w:rsid w:val="00AA2B25"/>
    <w:rsid w:val="00AA3225"/>
    <w:rsid w:val="00AA4169"/>
    <w:rsid w:val="00AA442D"/>
    <w:rsid w:val="00AA49CB"/>
    <w:rsid w:val="00AA508E"/>
    <w:rsid w:val="00AA591D"/>
    <w:rsid w:val="00AA59B5"/>
    <w:rsid w:val="00AA65D9"/>
    <w:rsid w:val="00AA6A0C"/>
    <w:rsid w:val="00AA6F71"/>
    <w:rsid w:val="00AA7777"/>
    <w:rsid w:val="00AA7B84"/>
    <w:rsid w:val="00AB0823"/>
    <w:rsid w:val="00AB2AA9"/>
    <w:rsid w:val="00AB37BE"/>
    <w:rsid w:val="00AB41B5"/>
    <w:rsid w:val="00AB689A"/>
    <w:rsid w:val="00AB727A"/>
    <w:rsid w:val="00AC0B4C"/>
    <w:rsid w:val="00AC1164"/>
    <w:rsid w:val="00AC1664"/>
    <w:rsid w:val="00AC2296"/>
    <w:rsid w:val="00AC2440"/>
    <w:rsid w:val="00AC2754"/>
    <w:rsid w:val="00AC27A3"/>
    <w:rsid w:val="00AC449E"/>
    <w:rsid w:val="00AC48B0"/>
    <w:rsid w:val="00AC4ACD"/>
    <w:rsid w:val="00AC5798"/>
    <w:rsid w:val="00AC5DFB"/>
    <w:rsid w:val="00AC77C1"/>
    <w:rsid w:val="00AC77CC"/>
    <w:rsid w:val="00AD13DC"/>
    <w:rsid w:val="00AD1669"/>
    <w:rsid w:val="00AD2902"/>
    <w:rsid w:val="00AD2918"/>
    <w:rsid w:val="00AD3D15"/>
    <w:rsid w:val="00AD5509"/>
    <w:rsid w:val="00AD6DE2"/>
    <w:rsid w:val="00AD7988"/>
    <w:rsid w:val="00AE0A40"/>
    <w:rsid w:val="00AE1576"/>
    <w:rsid w:val="00AE1ED4"/>
    <w:rsid w:val="00AE21E1"/>
    <w:rsid w:val="00AE26D2"/>
    <w:rsid w:val="00AE2C74"/>
    <w:rsid w:val="00AE2F8D"/>
    <w:rsid w:val="00AE3BAE"/>
    <w:rsid w:val="00AE3FDF"/>
    <w:rsid w:val="00AE63D2"/>
    <w:rsid w:val="00AE6A21"/>
    <w:rsid w:val="00AE7043"/>
    <w:rsid w:val="00AF0FA2"/>
    <w:rsid w:val="00AF1C8F"/>
    <w:rsid w:val="00AF2B68"/>
    <w:rsid w:val="00AF2BF4"/>
    <w:rsid w:val="00AF2C92"/>
    <w:rsid w:val="00AF3EC1"/>
    <w:rsid w:val="00AF473C"/>
    <w:rsid w:val="00AF5025"/>
    <w:rsid w:val="00AF519F"/>
    <w:rsid w:val="00AF5387"/>
    <w:rsid w:val="00AF55F5"/>
    <w:rsid w:val="00AF6277"/>
    <w:rsid w:val="00AF7C23"/>
    <w:rsid w:val="00AF7E86"/>
    <w:rsid w:val="00B024B9"/>
    <w:rsid w:val="00B04C40"/>
    <w:rsid w:val="00B06BB5"/>
    <w:rsid w:val="00B077FA"/>
    <w:rsid w:val="00B10840"/>
    <w:rsid w:val="00B10C87"/>
    <w:rsid w:val="00B11808"/>
    <w:rsid w:val="00B127D7"/>
    <w:rsid w:val="00B13B0C"/>
    <w:rsid w:val="00B14408"/>
    <w:rsid w:val="00B1453A"/>
    <w:rsid w:val="00B153DC"/>
    <w:rsid w:val="00B1700A"/>
    <w:rsid w:val="00B17EC3"/>
    <w:rsid w:val="00B20096"/>
    <w:rsid w:val="00B20F82"/>
    <w:rsid w:val="00B2545C"/>
    <w:rsid w:val="00B25AB4"/>
    <w:rsid w:val="00B25BD5"/>
    <w:rsid w:val="00B2617F"/>
    <w:rsid w:val="00B309B4"/>
    <w:rsid w:val="00B30AEF"/>
    <w:rsid w:val="00B31D0F"/>
    <w:rsid w:val="00B33C79"/>
    <w:rsid w:val="00B34079"/>
    <w:rsid w:val="00B342EE"/>
    <w:rsid w:val="00B36DBE"/>
    <w:rsid w:val="00B3793A"/>
    <w:rsid w:val="00B401BA"/>
    <w:rsid w:val="00B407E4"/>
    <w:rsid w:val="00B425B6"/>
    <w:rsid w:val="00B42A72"/>
    <w:rsid w:val="00B441AE"/>
    <w:rsid w:val="00B444E3"/>
    <w:rsid w:val="00B444EA"/>
    <w:rsid w:val="00B45075"/>
    <w:rsid w:val="00B45A65"/>
    <w:rsid w:val="00B45F33"/>
    <w:rsid w:val="00B46D50"/>
    <w:rsid w:val="00B50296"/>
    <w:rsid w:val="00B51C51"/>
    <w:rsid w:val="00B53170"/>
    <w:rsid w:val="00B533E7"/>
    <w:rsid w:val="00B548B9"/>
    <w:rsid w:val="00B56627"/>
    <w:rsid w:val="00B56DBE"/>
    <w:rsid w:val="00B6080E"/>
    <w:rsid w:val="00B60DB4"/>
    <w:rsid w:val="00B612D7"/>
    <w:rsid w:val="00B61D82"/>
    <w:rsid w:val="00B62999"/>
    <w:rsid w:val="00B62F7D"/>
    <w:rsid w:val="00B63BE3"/>
    <w:rsid w:val="00B64664"/>
    <w:rsid w:val="00B64885"/>
    <w:rsid w:val="00B64FA3"/>
    <w:rsid w:val="00B65A77"/>
    <w:rsid w:val="00B66810"/>
    <w:rsid w:val="00B70FD8"/>
    <w:rsid w:val="00B7103F"/>
    <w:rsid w:val="00B7298A"/>
    <w:rsid w:val="00B72BE3"/>
    <w:rsid w:val="00B73B80"/>
    <w:rsid w:val="00B73CF2"/>
    <w:rsid w:val="00B770C7"/>
    <w:rsid w:val="00B80F26"/>
    <w:rsid w:val="00B822BD"/>
    <w:rsid w:val="00B842F4"/>
    <w:rsid w:val="00B85682"/>
    <w:rsid w:val="00B91A7B"/>
    <w:rsid w:val="00B929DD"/>
    <w:rsid w:val="00B92FEB"/>
    <w:rsid w:val="00B93AF6"/>
    <w:rsid w:val="00B94C5B"/>
    <w:rsid w:val="00B95405"/>
    <w:rsid w:val="00B959E9"/>
    <w:rsid w:val="00B961B0"/>
    <w:rsid w:val="00B963F1"/>
    <w:rsid w:val="00B969C3"/>
    <w:rsid w:val="00B96A67"/>
    <w:rsid w:val="00B973CF"/>
    <w:rsid w:val="00B973FA"/>
    <w:rsid w:val="00B97B10"/>
    <w:rsid w:val="00B97E3F"/>
    <w:rsid w:val="00BA020A"/>
    <w:rsid w:val="00BA0985"/>
    <w:rsid w:val="00BA2963"/>
    <w:rsid w:val="00BA2A59"/>
    <w:rsid w:val="00BA3C40"/>
    <w:rsid w:val="00BA5B59"/>
    <w:rsid w:val="00BB025A"/>
    <w:rsid w:val="00BB02A4"/>
    <w:rsid w:val="00BB1270"/>
    <w:rsid w:val="00BB1E44"/>
    <w:rsid w:val="00BB5267"/>
    <w:rsid w:val="00BB52B8"/>
    <w:rsid w:val="00BB59D8"/>
    <w:rsid w:val="00BB6B69"/>
    <w:rsid w:val="00BB6D07"/>
    <w:rsid w:val="00BB7E69"/>
    <w:rsid w:val="00BC0A53"/>
    <w:rsid w:val="00BC0E51"/>
    <w:rsid w:val="00BC3C1F"/>
    <w:rsid w:val="00BC41A0"/>
    <w:rsid w:val="00BC5761"/>
    <w:rsid w:val="00BC71B2"/>
    <w:rsid w:val="00BC7CE7"/>
    <w:rsid w:val="00BD1FE0"/>
    <w:rsid w:val="00BD24A2"/>
    <w:rsid w:val="00BD24B4"/>
    <w:rsid w:val="00BD295E"/>
    <w:rsid w:val="00BD3239"/>
    <w:rsid w:val="00BD4664"/>
    <w:rsid w:val="00BD4BB3"/>
    <w:rsid w:val="00BD6591"/>
    <w:rsid w:val="00BD690B"/>
    <w:rsid w:val="00BE1193"/>
    <w:rsid w:val="00BE437D"/>
    <w:rsid w:val="00BE467E"/>
    <w:rsid w:val="00BE6281"/>
    <w:rsid w:val="00BE62EF"/>
    <w:rsid w:val="00BE645C"/>
    <w:rsid w:val="00BF0BBB"/>
    <w:rsid w:val="00BF2527"/>
    <w:rsid w:val="00BF2B46"/>
    <w:rsid w:val="00BF4849"/>
    <w:rsid w:val="00BF4EA7"/>
    <w:rsid w:val="00BF5413"/>
    <w:rsid w:val="00BF544F"/>
    <w:rsid w:val="00BF6525"/>
    <w:rsid w:val="00C00EDB"/>
    <w:rsid w:val="00C013E6"/>
    <w:rsid w:val="00C02863"/>
    <w:rsid w:val="00C02A90"/>
    <w:rsid w:val="00C0383A"/>
    <w:rsid w:val="00C03F96"/>
    <w:rsid w:val="00C04219"/>
    <w:rsid w:val="00C04246"/>
    <w:rsid w:val="00C04D09"/>
    <w:rsid w:val="00C067FF"/>
    <w:rsid w:val="00C10337"/>
    <w:rsid w:val="00C10990"/>
    <w:rsid w:val="00C1179F"/>
    <w:rsid w:val="00C12037"/>
    <w:rsid w:val="00C12862"/>
    <w:rsid w:val="00C13D28"/>
    <w:rsid w:val="00C14585"/>
    <w:rsid w:val="00C15D33"/>
    <w:rsid w:val="00C15E1E"/>
    <w:rsid w:val="00C165A0"/>
    <w:rsid w:val="00C20166"/>
    <w:rsid w:val="00C20686"/>
    <w:rsid w:val="00C216CE"/>
    <w:rsid w:val="00C2184F"/>
    <w:rsid w:val="00C21F82"/>
    <w:rsid w:val="00C22A78"/>
    <w:rsid w:val="00C23C7E"/>
    <w:rsid w:val="00C246C5"/>
    <w:rsid w:val="00C25A82"/>
    <w:rsid w:val="00C25F17"/>
    <w:rsid w:val="00C30A2A"/>
    <w:rsid w:val="00C33993"/>
    <w:rsid w:val="00C36042"/>
    <w:rsid w:val="00C36424"/>
    <w:rsid w:val="00C4009C"/>
    <w:rsid w:val="00C4069E"/>
    <w:rsid w:val="00C40A5F"/>
    <w:rsid w:val="00C41ADC"/>
    <w:rsid w:val="00C42CC3"/>
    <w:rsid w:val="00C43557"/>
    <w:rsid w:val="00C44149"/>
    <w:rsid w:val="00C44410"/>
    <w:rsid w:val="00C44A15"/>
    <w:rsid w:val="00C456FB"/>
    <w:rsid w:val="00C46028"/>
    <w:rsid w:val="00C4630A"/>
    <w:rsid w:val="00C47B6E"/>
    <w:rsid w:val="00C511E2"/>
    <w:rsid w:val="00C523F0"/>
    <w:rsid w:val="00C526D2"/>
    <w:rsid w:val="00C52D75"/>
    <w:rsid w:val="00C53A91"/>
    <w:rsid w:val="00C56350"/>
    <w:rsid w:val="00C565BD"/>
    <w:rsid w:val="00C5794E"/>
    <w:rsid w:val="00C57E6B"/>
    <w:rsid w:val="00C60278"/>
    <w:rsid w:val="00C60325"/>
    <w:rsid w:val="00C60968"/>
    <w:rsid w:val="00C60FA2"/>
    <w:rsid w:val="00C6241B"/>
    <w:rsid w:val="00C6259E"/>
    <w:rsid w:val="00C633DB"/>
    <w:rsid w:val="00C63D39"/>
    <w:rsid w:val="00C63EDD"/>
    <w:rsid w:val="00C6541D"/>
    <w:rsid w:val="00C65B36"/>
    <w:rsid w:val="00C65ECF"/>
    <w:rsid w:val="00C669BF"/>
    <w:rsid w:val="00C719ED"/>
    <w:rsid w:val="00C7292E"/>
    <w:rsid w:val="00C74E88"/>
    <w:rsid w:val="00C80924"/>
    <w:rsid w:val="00C819D8"/>
    <w:rsid w:val="00C8286B"/>
    <w:rsid w:val="00C8720C"/>
    <w:rsid w:val="00C91641"/>
    <w:rsid w:val="00C9304A"/>
    <w:rsid w:val="00C93599"/>
    <w:rsid w:val="00C94728"/>
    <w:rsid w:val="00C947F8"/>
    <w:rsid w:val="00C9515F"/>
    <w:rsid w:val="00C95A53"/>
    <w:rsid w:val="00C95C05"/>
    <w:rsid w:val="00C963C5"/>
    <w:rsid w:val="00C97058"/>
    <w:rsid w:val="00CA030C"/>
    <w:rsid w:val="00CA1072"/>
    <w:rsid w:val="00CA1F41"/>
    <w:rsid w:val="00CA3108"/>
    <w:rsid w:val="00CA32EE"/>
    <w:rsid w:val="00CA353D"/>
    <w:rsid w:val="00CA5771"/>
    <w:rsid w:val="00CA6A1A"/>
    <w:rsid w:val="00CB0D21"/>
    <w:rsid w:val="00CB1015"/>
    <w:rsid w:val="00CB2157"/>
    <w:rsid w:val="00CB291C"/>
    <w:rsid w:val="00CB2EC6"/>
    <w:rsid w:val="00CB6333"/>
    <w:rsid w:val="00CC08AF"/>
    <w:rsid w:val="00CC0B09"/>
    <w:rsid w:val="00CC1E75"/>
    <w:rsid w:val="00CC2E0E"/>
    <w:rsid w:val="00CC361C"/>
    <w:rsid w:val="00CC474B"/>
    <w:rsid w:val="00CC55C1"/>
    <w:rsid w:val="00CC658C"/>
    <w:rsid w:val="00CC67BF"/>
    <w:rsid w:val="00CD0843"/>
    <w:rsid w:val="00CD1A4E"/>
    <w:rsid w:val="00CD4A7B"/>
    <w:rsid w:val="00CD4E31"/>
    <w:rsid w:val="00CD5A78"/>
    <w:rsid w:val="00CD7345"/>
    <w:rsid w:val="00CE061B"/>
    <w:rsid w:val="00CE3427"/>
    <w:rsid w:val="00CE372E"/>
    <w:rsid w:val="00CE3F2E"/>
    <w:rsid w:val="00CE4919"/>
    <w:rsid w:val="00CE6353"/>
    <w:rsid w:val="00CE778A"/>
    <w:rsid w:val="00CE7B11"/>
    <w:rsid w:val="00CF0A1B"/>
    <w:rsid w:val="00CF0A7E"/>
    <w:rsid w:val="00CF13AE"/>
    <w:rsid w:val="00CF1637"/>
    <w:rsid w:val="00CF19F6"/>
    <w:rsid w:val="00CF1AC3"/>
    <w:rsid w:val="00CF2F4F"/>
    <w:rsid w:val="00CF4B74"/>
    <w:rsid w:val="00CF4EA0"/>
    <w:rsid w:val="00CF536D"/>
    <w:rsid w:val="00CF602B"/>
    <w:rsid w:val="00D000F0"/>
    <w:rsid w:val="00D006DA"/>
    <w:rsid w:val="00D02DFA"/>
    <w:rsid w:val="00D02E9D"/>
    <w:rsid w:val="00D037F2"/>
    <w:rsid w:val="00D0754B"/>
    <w:rsid w:val="00D10CB8"/>
    <w:rsid w:val="00D11DE9"/>
    <w:rsid w:val="00D12806"/>
    <w:rsid w:val="00D12D44"/>
    <w:rsid w:val="00D13CF6"/>
    <w:rsid w:val="00D15018"/>
    <w:rsid w:val="00D158AC"/>
    <w:rsid w:val="00D16205"/>
    <w:rsid w:val="00D16214"/>
    <w:rsid w:val="00D1694C"/>
    <w:rsid w:val="00D20D5E"/>
    <w:rsid w:val="00D20F5E"/>
    <w:rsid w:val="00D215E8"/>
    <w:rsid w:val="00D21DF4"/>
    <w:rsid w:val="00D23B76"/>
    <w:rsid w:val="00D23C07"/>
    <w:rsid w:val="00D24159"/>
    <w:rsid w:val="00D244CB"/>
    <w:rsid w:val="00D249E5"/>
    <w:rsid w:val="00D24B4A"/>
    <w:rsid w:val="00D31CAE"/>
    <w:rsid w:val="00D31D2E"/>
    <w:rsid w:val="00D321FC"/>
    <w:rsid w:val="00D334A9"/>
    <w:rsid w:val="00D33736"/>
    <w:rsid w:val="00D35821"/>
    <w:rsid w:val="00D37041"/>
    <w:rsid w:val="00D379A3"/>
    <w:rsid w:val="00D37C99"/>
    <w:rsid w:val="00D42170"/>
    <w:rsid w:val="00D426AD"/>
    <w:rsid w:val="00D42C42"/>
    <w:rsid w:val="00D433FD"/>
    <w:rsid w:val="00D43D2F"/>
    <w:rsid w:val="00D45FF3"/>
    <w:rsid w:val="00D512CF"/>
    <w:rsid w:val="00D528B9"/>
    <w:rsid w:val="00D53186"/>
    <w:rsid w:val="00D5487D"/>
    <w:rsid w:val="00D54E9F"/>
    <w:rsid w:val="00D565D1"/>
    <w:rsid w:val="00D5662A"/>
    <w:rsid w:val="00D56BD7"/>
    <w:rsid w:val="00D60140"/>
    <w:rsid w:val="00D6024A"/>
    <w:rsid w:val="00D608B5"/>
    <w:rsid w:val="00D61DBE"/>
    <w:rsid w:val="00D629F9"/>
    <w:rsid w:val="00D64739"/>
    <w:rsid w:val="00D64826"/>
    <w:rsid w:val="00D648D7"/>
    <w:rsid w:val="00D65171"/>
    <w:rsid w:val="00D658A6"/>
    <w:rsid w:val="00D7022A"/>
    <w:rsid w:val="00D719FD"/>
    <w:rsid w:val="00D71F99"/>
    <w:rsid w:val="00D73441"/>
    <w:rsid w:val="00D73CA4"/>
    <w:rsid w:val="00D73D71"/>
    <w:rsid w:val="00D74396"/>
    <w:rsid w:val="00D74C6D"/>
    <w:rsid w:val="00D750D0"/>
    <w:rsid w:val="00D75690"/>
    <w:rsid w:val="00D80284"/>
    <w:rsid w:val="00D819DD"/>
    <w:rsid w:val="00D81F71"/>
    <w:rsid w:val="00D82644"/>
    <w:rsid w:val="00D82E19"/>
    <w:rsid w:val="00D85FF8"/>
    <w:rsid w:val="00D8642D"/>
    <w:rsid w:val="00D90A5E"/>
    <w:rsid w:val="00D91A68"/>
    <w:rsid w:val="00D91F2B"/>
    <w:rsid w:val="00D92621"/>
    <w:rsid w:val="00D9338F"/>
    <w:rsid w:val="00D94285"/>
    <w:rsid w:val="00D95A68"/>
    <w:rsid w:val="00D96D9D"/>
    <w:rsid w:val="00DA17C7"/>
    <w:rsid w:val="00DA19EA"/>
    <w:rsid w:val="00DA32D8"/>
    <w:rsid w:val="00DA4321"/>
    <w:rsid w:val="00DA4D99"/>
    <w:rsid w:val="00DA5902"/>
    <w:rsid w:val="00DA6A9A"/>
    <w:rsid w:val="00DA7527"/>
    <w:rsid w:val="00DA7807"/>
    <w:rsid w:val="00DB1EFD"/>
    <w:rsid w:val="00DB3C36"/>
    <w:rsid w:val="00DB3EAF"/>
    <w:rsid w:val="00DB46C6"/>
    <w:rsid w:val="00DC0F46"/>
    <w:rsid w:val="00DC0F74"/>
    <w:rsid w:val="00DC1567"/>
    <w:rsid w:val="00DC19E3"/>
    <w:rsid w:val="00DC2C33"/>
    <w:rsid w:val="00DC3203"/>
    <w:rsid w:val="00DC3C99"/>
    <w:rsid w:val="00DC3D73"/>
    <w:rsid w:val="00DC52F5"/>
    <w:rsid w:val="00DC5FD0"/>
    <w:rsid w:val="00DC722D"/>
    <w:rsid w:val="00DD0354"/>
    <w:rsid w:val="00DD0F3B"/>
    <w:rsid w:val="00DD0F3C"/>
    <w:rsid w:val="00DD1BF1"/>
    <w:rsid w:val="00DD227F"/>
    <w:rsid w:val="00DD27D7"/>
    <w:rsid w:val="00DD458C"/>
    <w:rsid w:val="00DD5C10"/>
    <w:rsid w:val="00DD72E9"/>
    <w:rsid w:val="00DD7605"/>
    <w:rsid w:val="00DE00EB"/>
    <w:rsid w:val="00DE1849"/>
    <w:rsid w:val="00DE1F72"/>
    <w:rsid w:val="00DE2020"/>
    <w:rsid w:val="00DE2B17"/>
    <w:rsid w:val="00DE2B6A"/>
    <w:rsid w:val="00DE2C51"/>
    <w:rsid w:val="00DE3476"/>
    <w:rsid w:val="00DE3E58"/>
    <w:rsid w:val="00DE5538"/>
    <w:rsid w:val="00DE5E24"/>
    <w:rsid w:val="00DE613E"/>
    <w:rsid w:val="00DE6601"/>
    <w:rsid w:val="00DE7BEA"/>
    <w:rsid w:val="00DF0233"/>
    <w:rsid w:val="00DF25A5"/>
    <w:rsid w:val="00DF35EA"/>
    <w:rsid w:val="00DF532B"/>
    <w:rsid w:val="00DF5B84"/>
    <w:rsid w:val="00DF6476"/>
    <w:rsid w:val="00DF6514"/>
    <w:rsid w:val="00DF6D5B"/>
    <w:rsid w:val="00DF771B"/>
    <w:rsid w:val="00DF7EE2"/>
    <w:rsid w:val="00E01BAA"/>
    <w:rsid w:val="00E0282A"/>
    <w:rsid w:val="00E02F9B"/>
    <w:rsid w:val="00E061A8"/>
    <w:rsid w:val="00E061F6"/>
    <w:rsid w:val="00E0627D"/>
    <w:rsid w:val="00E07E14"/>
    <w:rsid w:val="00E104AB"/>
    <w:rsid w:val="00E10D80"/>
    <w:rsid w:val="00E114B4"/>
    <w:rsid w:val="00E12A17"/>
    <w:rsid w:val="00E13393"/>
    <w:rsid w:val="00E14F94"/>
    <w:rsid w:val="00E156E8"/>
    <w:rsid w:val="00E16C87"/>
    <w:rsid w:val="00E17336"/>
    <w:rsid w:val="00E1758F"/>
    <w:rsid w:val="00E17D15"/>
    <w:rsid w:val="00E201F6"/>
    <w:rsid w:val="00E228BA"/>
    <w:rsid w:val="00E22B95"/>
    <w:rsid w:val="00E27B43"/>
    <w:rsid w:val="00E27D0B"/>
    <w:rsid w:val="00E30331"/>
    <w:rsid w:val="00E304FC"/>
    <w:rsid w:val="00E30BB8"/>
    <w:rsid w:val="00E317C5"/>
    <w:rsid w:val="00E31F9C"/>
    <w:rsid w:val="00E32AB8"/>
    <w:rsid w:val="00E33992"/>
    <w:rsid w:val="00E34EDD"/>
    <w:rsid w:val="00E3754A"/>
    <w:rsid w:val="00E3779A"/>
    <w:rsid w:val="00E40488"/>
    <w:rsid w:val="00E41112"/>
    <w:rsid w:val="00E4533F"/>
    <w:rsid w:val="00E459C6"/>
    <w:rsid w:val="00E459CF"/>
    <w:rsid w:val="00E45FC4"/>
    <w:rsid w:val="00E46209"/>
    <w:rsid w:val="00E465D9"/>
    <w:rsid w:val="00E46984"/>
    <w:rsid w:val="00E473EF"/>
    <w:rsid w:val="00E47515"/>
    <w:rsid w:val="00E50367"/>
    <w:rsid w:val="00E51624"/>
    <w:rsid w:val="00E51ABA"/>
    <w:rsid w:val="00E524CB"/>
    <w:rsid w:val="00E5328B"/>
    <w:rsid w:val="00E53F44"/>
    <w:rsid w:val="00E612F7"/>
    <w:rsid w:val="00E620D0"/>
    <w:rsid w:val="00E65456"/>
    <w:rsid w:val="00E65A91"/>
    <w:rsid w:val="00E66188"/>
    <w:rsid w:val="00E664FB"/>
    <w:rsid w:val="00E66710"/>
    <w:rsid w:val="00E672F0"/>
    <w:rsid w:val="00E67E0C"/>
    <w:rsid w:val="00E67FDB"/>
    <w:rsid w:val="00E70373"/>
    <w:rsid w:val="00E72E40"/>
    <w:rsid w:val="00E73665"/>
    <w:rsid w:val="00E73999"/>
    <w:rsid w:val="00E73BDC"/>
    <w:rsid w:val="00E73E9E"/>
    <w:rsid w:val="00E75481"/>
    <w:rsid w:val="00E756C0"/>
    <w:rsid w:val="00E75C16"/>
    <w:rsid w:val="00E76D7E"/>
    <w:rsid w:val="00E77547"/>
    <w:rsid w:val="00E77DBD"/>
    <w:rsid w:val="00E805E9"/>
    <w:rsid w:val="00E80D12"/>
    <w:rsid w:val="00E8147E"/>
    <w:rsid w:val="00E81660"/>
    <w:rsid w:val="00E81851"/>
    <w:rsid w:val="00E8246E"/>
    <w:rsid w:val="00E84C5B"/>
    <w:rsid w:val="00E854FE"/>
    <w:rsid w:val="00E87C38"/>
    <w:rsid w:val="00E906CC"/>
    <w:rsid w:val="00E91BE6"/>
    <w:rsid w:val="00E9379D"/>
    <w:rsid w:val="00E939A0"/>
    <w:rsid w:val="00E95B0D"/>
    <w:rsid w:val="00E969B5"/>
    <w:rsid w:val="00E979DD"/>
    <w:rsid w:val="00E97B2A"/>
    <w:rsid w:val="00E97E4E"/>
    <w:rsid w:val="00EA1CC2"/>
    <w:rsid w:val="00EA210C"/>
    <w:rsid w:val="00EA24D3"/>
    <w:rsid w:val="00EA2D76"/>
    <w:rsid w:val="00EA35D8"/>
    <w:rsid w:val="00EA3DF0"/>
    <w:rsid w:val="00EA4143"/>
    <w:rsid w:val="00EA4644"/>
    <w:rsid w:val="00EA6824"/>
    <w:rsid w:val="00EA758A"/>
    <w:rsid w:val="00EA7FCC"/>
    <w:rsid w:val="00EB0000"/>
    <w:rsid w:val="00EB096F"/>
    <w:rsid w:val="00EB0BE4"/>
    <w:rsid w:val="00EB148B"/>
    <w:rsid w:val="00EB199F"/>
    <w:rsid w:val="00EB1DE8"/>
    <w:rsid w:val="00EB21A4"/>
    <w:rsid w:val="00EB226C"/>
    <w:rsid w:val="00EB27C4"/>
    <w:rsid w:val="00EB302F"/>
    <w:rsid w:val="00EB425F"/>
    <w:rsid w:val="00EB4E39"/>
    <w:rsid w:val="00EB5387"/>
    <w:rsid w:val="00EB5C10"/>
    <w:rsid w:val="00EB7322"/>
    <w:rsid w:val="00EB7724"/>
    <w:rsid w:val="00EC0197"/>
    <w:rsid w:val="00EC0FE9"/>
    <w:rsid w:val="00EC198B"/>
    <w:rsid w:val="00EC1EE3"/>
    <w:rsid w:val="00EC295A"/>
    <w:rsid w:val="00EC3810"/>
    <w:rsid w:val="00EC426D"/>
    <w:rsid w:val="00EC571B"/>
    <w:rsid w:val="00EC57D7"/>
    <w:rsid w:val="00EC6385"/>
    <w:rsid w:val="00EC67CE"/>
    <w:rsid w:val="00ED020B"/>
    <w:rsid w:val="00ED041D"/>
    <w:rsid w:val="00ED13A6"/>
    <w:rsid w:val="00ED1DE9"/>
    <w:rsid w:val="00ED23D4"/>
    <w:rsid w:val="00ED2BA1"/>
    <w:rsid w:val="00ED2FC5"/>
    <w:rsid w:val="00ED40C2"/>
    <w:rsid w:val="00ED5E0B"/>
    <w:rsid w:val="00ED699B"/>
    <w:rsid w:val="00EE3123"/>
    <w:rsid w:val="00EE37B6"/>
    <w:rsid w:val="00EE3D49"/>
    <w:rsid w:val="00EE5353"/>
    <w:rsid w:val="00EF0182"/>
    <w:rsid w:val="00EF0F45"/>
    <w:rsid w:val="00EF14FD"/>
    <w:rsid w:val="00EF43C0"/>
    <w:rsid w:val="00EF5824"/>
    <w:rsid w:val="00EF7463"/>
    <w:rsid w:val="00EF7971"/>
    <w:rsid w:val="00EF79AF"/>
    <w:rsid w:val="00EF7B3A"/>
    <w:rsid w:val="00F002EF"/>
    <w:rsid w:val="00F00BC1"/>
    <w:rsid w:val="00F01515"/>
    <w:rsid w:val="00F01EE9"/>
    <w:rsid w:val="00F02674"/>
    <w:rsid w:val="00F04900"/>
    <w:rsid w:val="00F04F7F"/>
    <w:rsid w:val="00F065A4"/>
    <w:rsid w:val="00F10ABD"/>
    <w:rsid w:val="00F11A7F"/>
    <w:rsid w:val="00F126B9"/>
    <w:rsid w:val="00F12715"/>
    <w:rsid w:val="00F13414"/>
    <w:rsid w:val="00F13878"/>
    <w:rsid w:val="00F13ED4"/>
    <w:rsid w:val="00F144D5"/>
    <w:rsid w:val="00F146F0"/>
    <w:rsid w:val="00F15039"/>
    <w:rsid w:val="00F15A14"/>
    <w:rsid w:val="00F163F4"/>
    <w:rsid w:val="00F16542"/>
    <w:rsid w:val="00F2082D"/>
    <w:rsid w:val="00F20FF3"/>
    <w:rsid w:val="00F2190B"/>
    <w:rsid w:val="00F228B5"/>
    <w:rsid w:val="00F2328B"/>
    <w:rsid w:val="00F2389C"/>
    <w:rsid w:val="00F2478A"/>
    <w:rsid w:val="00F247C8"/>
    <w:rsid w:val="00F24907"/>
    <w:rsid w:val="00F25C67"/>
    <w:rsid w:val="00F25F07"/>
    <w:rsid w:val="00F27A25"/>
    <w:rsid w:val="00F30DFF"/>
    <w:rsid w:val="00F31D1B"/>
    <w:rsid w:val="00F32B80"/>
    <w:rsid w:val="00F33E0A"/>
    <w:rsid w:val="00F340EB"/>
    <w:rsid w:val="00F3475A"/>
    <w:rsid w:val="00F34D9C"/>
    <w:rsid w:val="00F34DEB"/>
    <w:rsid w:val="00F35285"/>
    <w:rsid w:val="00F352CB"/>
    <w:rsid w:val="00F41B79"/>
    <w:rsid w:val="00F41FBE"/>
    <w:rsid w:val="00F4231A"/>
    <w:rsid w:val="00F43B9D"/>
    <w:rsid w:val="00F44B99"/>
    <w:rsid w:val="00F44D5E"/>
    <w:rsid w:val="00F450E0"/>
    <w:rsid w:val="00F50E61"/>
    <w:rsid w:val="00F51D83"/>
    <w:rsid w:val="00F51DE3"/>
    <w:rsid w:val="00F52954"/>
    <w:rsid w:val="00F53A35"/>
    <w:rsid w:val="00F54610"/>
    <w:rsid w:val="00F55A3D"/>
    <w:rsid w:val="00F55A89"/>
    <w:rsid w:val="00F5688A"/>
    <w:rsid w:val="00F5744B"/>
    <w:rsid w:val="00F578D6"/>
    <w:rsid w:val="00F60BC5"/>
    <w:rsid w:val="00F61209"/>
    <w:rsid w:val="00F614BC"/>
    <w:rsid w:val="00F623D8"/>
    <w:rsid w:val="00F6259E"/>
    <w:rsid w:val="00F63649"/>
    <w:rsid w:val="00F656D4"/>
    <w:rsid w:val="00F65DD4"/>
    <w:rsid w:val="00F672B2"/>
    <w:rsid w:val="00F67C1B"/>
    <w:rsid w:val="00F67FE8"/>
    <w:rsid w:val="00F71392"/>
    <w:rsid w:val="00F7220E"/>
    <w:rsid w:val="00F72F6D"/>
    <w:rsid w:val="00F7474F"/>
    <w:rsid w:val="00F7475D"/>
    <w:rsid w:val="00F74A46"/>
    <w:rsid w:val="00F75995"/>
    <w:rsid w:val="00F75FF4"/>
    <w:rsid w:val="00F76024"/>
    <w:rsid w:val="00F76894"/>
    <w:rsid w:val="00F7745C"/>
    <w:rsid w:val="00F77A03"/>
    <w:rsid w:val="00F809FD"/>
    <w:rsid w:val="00F81365"/>
    <w:rsid w:val="00F83973"/>
    <w:rsid w:val="00F841D3"/>
    <w:rsid w:val="00F85145"/>
    <w:rsid w:val="00F8597B"/>
    <w:rsid w:val="00F875BE"/>
    <w:rsid w:val="00F87DD1"/>
    <w:rsid w:val="00F87FA3"/>
    <w:rsid w:val="00F904A7"/>
    <w:rsid w:val="00F90CCB"/>
    <w:rsid w:val="00F91FA6"/>
    <w:rsid w:val="00F92A42"/>
    <w:rsid w:val="00F92ECE"/>
    <w:rsid w:val="00F93D8C"/>
    <w:rsid w:val="00F9448F"/>
    <w:rsid w:val="00F94CAA"/>
    <w:rsid w:val="00F95920"/>
    <w:rsid w:val="00F964D4"/>
    <w:rsid w:val="00F96538"/>
    <w:rsid w:val="00F96834"/>
    <w:rsid w:val="00F978F5"/>
    <w:rsid w:val="00FA0A27"/>
    <w:rsid w:val="00FA1546"/>
    <w:rsid w:val="00FA23E7"/>
    <w:rsid w:val="00FA3102"/>
    <w:rsid w:val="00FA34DD"/>
    <w:rsid w:val="00FA48D4"/>
    <w:rsid w:val="00FA54FA"/>
    <w:rsid w:val="00FA560D"/>
    <w:rsid w:val="00FA6D39"/>
    <w:rsid w:val="00FA74F8"/>
    <w:rsid w:val="00FB154E"/>
    <w:rsid w:val="00FB227E"/>
    <w:rsid w:val="00FB2A0A"/>
    <w:rsid w:val="00FB32B5"/>
    <w:rsid w:val="00FB3D61"/>
    <w:rsid w:val="00FB44CE"/>
    <w:rsid w:val="00FB5009"/>
    <w:rsid w:val="00FB76AB"/>
    <w:rsid w:val="00FC4443"/>
    <w:rsid w:val="00FC7061"/>
    <w:rsid w:val="00FD03FE"/>
    <w:rsid w:val="00FD0F36"/>
    <w:rsid w:val="00FD126E"/>
    <w:rsid w:val="00FD3178"/>
    <w:rsid w:val="00FD3BD1"/>
    <w:rsid w:val="00FD3C36"/>
    <w:rsid w:val="00FD4D81"/>
    <w:rsid w:val="00FD7498"/>
    <w:rsid w:val="00FD7FB3"/>
    <w:rsid w:val="00FE0E0C"/>
    <w:rsid w:val="00FE37DC"/>
    <w:rsid w:val="00FE4713"/>
    <w:rsid w:val="00FE4D35"/>
    <w:rsid w:val="00FE5E91"/>
    <w:rsid w:val="00FE7065"/>
    <w:rsid w:val="00FF080B"/>
    <w:rsid w:val="00FF0BB7"/>
    <w:rsid w:val="00FF1D91"/>
    <w:rsid w:val="00FF1F44"/>
    <w:rsid w:val="00FF225E"/>
    <w:rsid w:val="00FF5824"/>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044D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1F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ascii="Times New Roman" w:eastAsia="Times New Roman" w:hAnsi="Times New Roman" w:cs="Arial"/>
      <w:b/>
      <w:bCs/>
      <w:i/>
      <w:iCs/>
      <w:sz w:val="24"/>
      <w:szCs w:val="28"/>
      <w:lang w:eastAsia="en-GB"/>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ascii="Times New Roman" w:eastAsia="Times New Roman" w:hAnsi="Times New Roman" w:cs="Arial"/>
      <w:bCs/>
      <w:i/>
      <w:sz w:val="24"/>
      <w:szCs w:val="26"/>
      <w:lang w:eastAsia="en-GB"/>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F04900"/>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F04900"/>
    <w:pPr>
      <w:spacing w:before="240" w:after="0" w:line="360" w:lineRule="auto"/>
    </w:pPr>
    <w:rPr>
      <w:rFonts w:ascii="Times New Roman" w:eastAsia="Times New Roman" w:hAnsi="Times New Roman" w:cs="Times New Roman"/>
      <w:i/>
      <w:sz w:val="24"/>
      <w:szCs w:val="24"/>
      <w:lang w:eastAsia="en-GB"/>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Paragraph"/>
    <w:qFormat/>
    <w:rsid w:val="00BB1270"/>
    <w:pPr>
      <w:spacing w:before="240" w:after="240" w:line="360" w:lineRule="auto"/>
      <w:ind w:left="720" w:right="567"/>
    </w:pPr>
    <w:rPr>
      <w:rFonts w:ascii="Times New Roman" w:eastAsia="Times New Roman" w:hAnsi="Times New Roman" w:cs="Times New Roman"/>
      <w:szCs w:val="24"/>
      <w:lang w:eastAsia="en-GB"/>
    </w:rPr>
  </w:style>
  <w:style w:type="paragraph" w:customStyle="1" w:styleId="Correspondencedetails">
    <w:name w:val="Correspondence details"/>
    <w:basedOn w:val="Normal"/>
    <w:qFormat/>
    <w:rsid w:val="00F04900"/>
    <w:pPr>
      <w:spacing w:before="240" w:after="0" w:line="360" w:lineRule="auto"/>
    </w:pPr>
    <w:rPr>
      <w:rFonts w:ascii="Times New Roman" w:eastAsia="Times New Roman" w:hAnsi="Times New Roman" w:cs="Times New Roman"/>
      <w:sz w:val="24"/>
      <w:szCs w:val="24"/>
      <w:lang w:eastAsia="en-GB"/>
    </w:r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eastAsia="en-GB"/>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line="480" w:lineRule="auto"/>
      <w:jc w:val="center"/>
    </w:pPr>
    <w:rPr>
      <w:rFonts w:ascii="Times New Roman" w:eastAsia="Times New Roman" w:hAnsi="Times New Roman" w:cs="Times New Roman"/>
      <w:sz w:val="24"/>
      <w:szCs w:val="24"/>
      <w:lang w:eastAsia="en-GB"/>
    </w:rPr>
  </w:style>
  <w:style w:type="paragraph" w:customStyle="1" w:styleId="Acknowledgements">
    <w:name w:val="Acknowledgements"/>
    <w:basedOn w:val="Normal"/>
    <w:next w:val="Normal"/>
    <w:qFormat/>
    <w:rsid w:val="00D379A3"/>
    <w:pPr>
      <w:spacing w:before="120" w:after="0" w:line="360" w:lineRule="auto"/>
    </w:pPr>
    <w:rPr>
      <w:rFonts w:ascii="Times New Roman" w:eastAsia="Times New Roman" w:hAnsi="Times New Roman" w:cs="Times New Roman"/>
      <w:szCs w:val="24"/>
      <w:lang w:eastAsia="en-GB"/>
    </w:rPr>
  </w:style>
  <w:style w:type="paragraph" w:customStyle="1" w:styleId="Tabletitle">
    <w:name w:val="Table title"/>
    <w:basedOn w:val="Normal"/>
    <w:next w:val="Normal"/>
    <w:qFormat/>
    <w:rsid w:val="0031686C"/>
    <w:pPr>
      <w:spacing w:before="240" w:after="0" w:line="360" w:lineRule="auto"/>
    </w:pPr>
    <w:rPr>
      <w:rFonts w:ascii="Times New Roman" w:eastAsia="Times New Roman" w:hAnsi="Times New Roman" w:cs="Times New Roman"/>
      <w:sz w:val="24"/>
      <w:szCs w:val="24"/>
      <w:lang w:eastAsia="en-GB"/>
    </w:rPr>
  </w:style>
  <w:style w:type="paragraph" w:customStyle="1" w:styleId="Figurecaption">
    <w:name w:val="Figure caption"/>
    <w:basedOn w:val="Normal"/>
    <w:next w:val="Normal"/>
    <w:qFormat/>
    <w:rsid w:val="0031686C"/>
    <w:pPr>
      <w:spacing w:before="240" w:after="0" w:line="360" w:lineRule="auto"/>
    </w:pPr>
    <w:rPr>
      <w:rFonts w:ascii="Times New Roman" w:eastAsia="Times New Roman" w:hAnsi="Times New Roman" w:cs="Times New Roman"/>
      <w:sz w:val="24"/>
      <w:szCs w:val="24"/>
      <w:lang w:eastAsia="en-GB"/>
    </w:rPr>
  </w:style>
  <w:style w:type="paragraph" w:customStyle="1" w:styleId="Footnotes">
    <w:name w:val="Footnotes"/>
    <w:basedOn w:val="Normal"/>
    <w:qFormat/>
    <w:rsid w:val="006C6936"/>
    <w:pPr>
      <w:spacing w:before="120" w:after="0" w:line="360" w:lineRule="auto"/>
      <w:ind w:left="482" w:hanging="482"/>
      <w:contextualSpacing/>
    </w:pPr>
    <w:rPr>
      <w:rFonts w:ascii="Times New Roman" w:eastAsia="Times New Roman" w:hAnsi="Times New Roman" w:cs="Times New Roman"/>
      <w:szCs w:val="24"/>
      <w:lang w:eastAsia="en-GB"/>
    </w:rPr>
  </w:style>
  <w:style w:type="paragraph" w:customStyle="1" w:styleId="Notesoncontributors">
    <w:name w:val="Notes on contributors"/>
    <w:basedOn w:val="Normal"/>
    <w:qFormat/>
    <w:rsid w:val="00F04900"/>
    <w:pPr>
      <w:spacing w:before="240" w:after="0" w:line="360" w:lineRule="auto"/>
    </w:pPr>
    <w:rPr>
      <w:rFonts w:ascii="Times New Roman" w:eastAsia="Times New Roman" w:hAnsi="Times New Roman" w:cs="Times New Roman"/>
      <w:szCs w:val="24"/>
      <w:lang w:eastAsia="en-GB"/>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AE2F8D"/>
    <w:pPr>
      <w:spacing w:after="0" w:line="480" w:lineRule="auto"/>
      <w:ind w:firstLine="720"/>
    </w:pPr>
    <w:rPr>
      <w:rFonts w:ascii="Times New Roman" w:eastAsia="Times New Roman" w:hAnsi="Times New Roman" w:cs="Times New Roman"/>
      <w:sz w:val="24"/>
      <w:szCs w:val="24"/>
      <w:lang w:eastAsia="en-GB"/>
    </w:rPr>
  </w:style>
  <w:style w:type="paragraph" w:styleId="NormalIndent">
    <w:name w:val="Normal Indent"/>
    <w:basedOn w:val="Normal"/>
    <w:rsid w:val="00526454"/>
    <w:pPr>
      <w:spacing w:after="0" w:line="480" w:lineRule="auto"/>
      <w:ind w:left="720"/>
    </w:pPr>
    <w:rPr>
      <w:rFonts w:ascii="Times New Roman" w:eastAsia="Times New Roman" w:hAnsi="Times New Roman" w:cs="Times New Roman"/>
      <w:sz w:val="24"/>
      <w:szCs w:val="24"/>
      <w:lang w:eastAsia="en-GB"/>
    </w:rPr>
  </w:style>
  <w:style w:type="paragraph" w:customStyle="1" w:styleId="References">
    <w:name w:val="References"/>
    <w:basedOn w:val="Normal"/>
    <w:qFormat/>
    <w:rsid w:val="002C53EE"/>
    <w:pPr>
      <w:spacing w:before="120" w:after="0" w:line="360" w:lineRule="auto"/>
      <w:ind w:left="720" w:hanging="720"/>
      <w:contextualSpacing/>
    </w:pPr>
    <w:rPr>
      <w:rFonts w:ascii="Times New Roman" w:eastAsia="Times New Roman" w:hAnsi="Times New Roman" w:cs="Times New Roman"/>
      <w:sz w:val="24"/>
      <w:szCs w:val="24"/>
      <w:lang w:eastAsia="en-GB"/>
    </w:r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spacing w:after="0" w:line="480" w:lineRule="auto"/>
      <w:ind w:left="284" w:hanging="284"/>
    </w:pPr>
    <w:rPr>
      <w:rFonts w:ascii="Times New Roman" w:eastAsia="Times New Roman" w:hAnsi="Times New Roman" w:cs="Times New Roman"/>
      <w:szCs w:val="20"/>
      <w:lang w:eastAsia="en-GB"/>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spacing w:after="0" w:line="480" w:lineRule="auto"/>
      <w:ind w:left="284" w:hanging="284"/>
    </w:pPr>
    <w:rPr>
      <w:rFonts w:ascii="Times New Roman" w:eastAsia="Times New Roman" w:hAnsi="Times New Roman" w:cs="Times New Roman"/>
      <w:szCs w:val="20"/>
      <w:lang w:eastAsia="en-GB"/>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after="0" w:line="240" w:lineRule="auto"/>
      <w:contextualSpacing/>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vanity-namedomain">
    <w:name w:val="vanity-name__domain"/>
    <w:basedOn w:val="DefaultParagraphFont"/>
    <w:rsid w:val="00D321FC"/>
  </w:style>
  <w:style w:type="character" w:customStyle="1" w:styleId="vanity-namedisplay-name">
    <w:name w:val="vanity-name__display-name"/>
    <w:basedOn w:val="DefaultParagraphFont"/>
    <w:rsid w:val="00D321FC"/>
  </w:style>
  <w:style w:type="character" w:styleId="Hyperlink">
    <w:name w:val="Hyperlink"/>
    <w:basedOn w:val="DefaultParagraphFont"/>
    <w:unhideWhenUsed/>
    <w:rsid w:val="00D42C42"/>
    <w:rPr>
      <w:color w:val="0000FF" w:themeColor="hyperlink"/>
      <w:u w:val="single"/>
    </w:rPr>
  </w:style>
  <w:style w:type="character" w:customStyle="1" w:styleId="UnresolvedMention1">
    <w:name w:val="Unresolved Mention1"/>
    <w:basedOn w:val="DefaultParagraphFont"/>
    <w:uiPriority w:val="99"/>
    <w:semiHidden/>
    <w:unhideWhenUsed/>
    <w:rsid w:val="00D42C42"/>
    <w:rPr>
      <w:color w:val="605E5C"/>
      <w:shd w:val="clear" w:color="auto" w:fill="E1DFDD"/>
    </w:rPr>
  </w:style>
  <w:style w:type="paragraph" w:styleId="BalloonText">
    <w:name w:val="Balloon Text"/>
    <w:basedOn w:val="Normal"/>
    <w:link w:val="BalloonTextChar"/>
    <w:semiHidden/>
    <w:unhideWhenUsed/>
    <w:rsid w:val="003E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E1556"/>
    <w:rPr>
      <w:rFonts w:ascii="Segoe UI" w:eastAsiaTheme="minorHAnsi" w:hAnsi="Segoe UI" w:cs="Segoe UI"/>
      <w:sz w:val="18"/>
      <w:szCs w:val="18"/>
      <w:lang w:eastAsia="en-US"/>
    </w:rPr>
  </w:style>
  <w:style w:type="character" w:styleId="CommentReference">
    <w:name w:val="annotation reference"/>
    <w:basedOn w:val="DefaultParagraphFont"/>
    <w:semiHidden/>
    <w:unhideWhenUsed/>
    <w:rsid w:val="000706B1"/>
    <w:rPr>
      <w:sz w:val="16"/>
      <w:szCs w:val="16"/>
    </w:rPr>
  </w:style>
  <w:style w:type="paragraph" w:styleId="CommentText">
    <w:name w:val="annotation text"/>
    <w:basedOn w:val="Normal"/>
    <w:link w:val="CommentTextChar"/>
    <w:semiHidden/>
    <w:unhideWhenUsed/>
    <w:rsid w:val="000706B1"/>
    <w:pPr>
      <w:spacing w:line="240" w:lineRule="auto"/>
    </w:pPr>
    <w:rPr>
      <w:sz w:val="20"/>
      <w:szCs w:val="20"/>
    </w:rPr>
  </w:style>
  <w:style w:type="character" w:customStyle="1" w:styleId="CommentTextChar">
    <w:name w:val="Comment Text Char"/>
    <w:basedOn w:val="DefaultParagraphFont"/>
    <w:link w:val="CommentText"/>
    <w:semiHidden/>
    <w:rsid w:val="000706B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0706B1"/>
    <w:rPr>
      <w:b/>
      <w:bCs/>
    </w:rPr>
  </w:style>
  <w:style w:type="character" w:customStyle="1" w:styleId="CommentSubjectChar">
    <w:name w:val="Comment Subject Char"/>
    <w:basedOn w:val="CommentTextChar"/>
    <w:link w:val="CommentSubject"/>
    <w:semiHidden/>
    <w:rsid w:val="000706B1"/>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8837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es\AppData\Local\Temp\Temp1_TF_Template_Word_Windows_2016%20(1).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081A-7657-4F69-8C3B-9652123C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C:\Users\giles\AppData\Local\Temp\Temp1_TF_Template_Word_Windows_2016 (1).zip\TF_Template_Word_Windows_2016.dotx</Template>
  <TotalTime>0</TotalTime>
  <Pages>48</Pages>
  <Words>9921</Words>
  <Characters>55859</Characters>
  <Application>Microsoft Office Word</Application>
  <DocSecurity>0</DocSecurity>
  <Lines>886</Lines>
  <Paragraphs>243</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Manager/>
  <Company/>
  <LinksUpToDate>false</LinksUpToDate>
  <CharactersWithSpaces>65537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
  <cp:keywords/>
  <cp:lastModifiedBy/>
  <cp:revision>1</cp:revision>
  <cp:lastPrinted>2019-12-10T19:08:00Z</cp:lastPrinted>
  <dcterms:created xsi:type="dcterms:W3CDTF">2020-12-09T10:29:00Z</dcterms:created>
  <dcterms:modified xsi:type="dcterms:W3CDTF">2020-12-09T10:30:00Z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f4aa8254-643f-3658-a31e-9f3423b1d07c</vt:lpwstr>
  </property>
  <property fmtid="{D5CDD505-2E9C-101B-9397-08002B2CF9AE}" pid="4" name="Mendeley Citation Style_1">
    <vt:lpwstr>http://www.zotero.org/styles/oscola-no-ibid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http://www.zotero.org/styles/oscola</vt:lpwstr>
  </property>
  <property fmtid="{D5CDD505-2E9C-101B-9397-08002B2CF9AE}" pid="22" name="Mendeley Recent Style Name 8_1">
    <vt:lpwstr>OSCOLA (Oxford University Standard for Citation of Legal Authorities)</vt:lpwstr>
  </property>
  <property fmtid="{D5CDD505-2E9C-101B-9397-08002B2CF9AE}" pid="23" name="Mendeley Recent Style Id 9_1">
    <vt:lpwstr>http://www.zotero.org/styles/oscola-no-ibid</vt:lpwstr>
  </property>
  <property fmtid="{D5CDD505-2E9C-101B-9397-08002B2CF9AE}" pid="24" name="Mendeley Recent Style Name 9_1">
    <vt:lpwstr>OSCOLA (Oxford University Standard for Citation of Legal Authorities) (no Ibid.)</vt:lpwstr>
  </property>
</Properties>
</file>