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AA60" w14:textId="71BE1BE1" w:rsidR="00C024AD" w:rsidRDefault="00D019A6" w:rsidP="00D74173">
      <w:pPr>
        <w:pStyle w:val="Heading1"/>
        <w:rPr>
          <w:color w:val="auto"/>
        </w:rPr>
      </w:pPr>
      <w:r w:rsidRPr="00EE0E89">
        <w:rPr>
          <w:color w:val="auto"/>
        </w:rPr>
        <w:t>High Fatalities Risk Found in Gulf Construction</w:t>
      </w:r>
    </w:p>
    <w:p w14:paraId="40B1224E" w14:textId="77777777" w:rsidR="0050649F" w:rsidRDefault="0050649F" w:rsidP="00F729CA">
      <w:pPr>
        <w:spacing w:after="0" w:line="240" w:lineRule="auto"/>
        <w:jc w:val="both"/>
        <w:rPr>
          <w:rFonts w:ascii="Times New Roman" w:eastAsia="SimSun" w:hAnsi="Times New Roman" w:cs="Times New Roman"/>
          <w:b/>
          <w:szCs w:val="20"/>
          <w:lang w:val="en-GB"/>
        </w:rPr>
      </w:pPr>
    </w:p>
    <w:p w14:paraId="2DC084D3"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b/>
          <w:sz w:val="24"/>
          <w:szCs w:val="20"/>
          <w:lang w:val="en-GB"/>
        </w:rPr>
        <w:t>Tariq Umar*</w:t>
      </w:r>
    </w:p>
    <w:p w14:paraId="10757CF2"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Lecturer, Civil Engineering, College of Engineering,</w:t>
      </w:r>
    </w:p>
    <w:p w14:paraId="06471527"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roofErr w:type="spellStart"/>
      <w:r w:rsidRPr="00F729CA">
        <w:rPr>
          <w:rFonts w:ascii="Times New Roman" w:eastAsia="SimSun" w:hAnsi="Times New Roman" w:cs="Times New Roman"/>
          <w:sz w:val="24"/>
          <w:szCs w:val="20"/>
          <w:lang w:val="en-GB"/>
        </w:rPr>
        <w:t>A’Sharqiyah</w:t>
      </w:r>
      <w:proofErr w:type="spellEnd"/>
      <w:r w:rsidRPr="00F729CA">
        <w:rPr>
          <w:rFonts w:ascii="Times New Roman" w:eastAsia="SimSun" w:hAnsi="Times New Roman" w:cs="Times New Roman"/>
          <w:sz w:val="24"/>
          <w:szCs w:val="20"/>
          <w:lang w:val="en-GB"/>
        </w:rPr>
        <w:t xml:space="preserve"> University, </w:t>
      </w:r>
      <w:proofErr w:type="spellStart"/>
      <w:r w:rsidRPr="00F729CA">
        <w:rPr>
          <w:rFonts w:ascii="Times New Roman" w:eastAsia="SimSun" w:hAnsi="Times New Roman" w:cs="Times New Roman"/>
          <w:sz w:val="24"/>
          <w:szCs w:val="20"/>
          <w:lang w:val="en-GB"/>
        </w:rPr>
        <w:t>Ibra</w:t>
      </w:r>
      <w:proofErr w:type="spellEnd"/>
      <w:r w:rsidRPr="00F729CA">
        <w:rPr>
          <w:rFonts w:ascii="Times New Roman" w:eastAsia="SimSun" w:hAnsi="Times New Roman" w:cs="Times New Roman"/>
          <w:sz w:val="24"/>
          <w:szCs w:val="20"/>
          <w:lang w:val="en-GB"/>
        </w:rPr>
        <w:t>, Oman</w:t>
      </w:r>
    </w:p>
    <w:p w14:paraId="700331D9" w14:textId="77777777" w:rsidR="00F729CA" w:rsidRDefault="00F729CA" w:rsidP="00F729CA">
      <w:pPr>
        <w:spacing w:after="0" w:line="240" w:lineRule="auto"/>
        <w:jc w:val="both"/>
        <w:rPr>
          <w:rFonts w:ascii="Times New Roman" w:eastAsia="SimSun" w:hAnsi="Times New Roman" w:cs="Times New Roman"/>
          <w:color w:val="0000FF"/>
          <w:sz w:val="24"/>
          <w:szCs w:val="20"/>
          <w:u w:val="single"/>
          <w:lang w:val="en-GB"/>
        </w:rPr>
      </w:pPr>
      <w:r w:rsidRPr="00F729CA">
        <w:rPr>
          <w:rFonts w:ascii="Times New Roman" w:eastAsia="SimSun" w:hAnsi="Times New Roman" w:cs="Times New Roman"/>
          <w:sz w:val="24"/>
          <w:szCs w:val="20"/>
          <w:lang w:val="en-GB"/>
        </w:rPr>
        <w:t xml:space="preserve">E-mail: </w:t>
      </w:r>
      <w:hyperlink r:id="rId9" w:history="1">
        <w:r w:rsidRPr="0050649F">
          <w:rPr>
            <w:rFonts w:ascii="Times New Roman" w:eastAsia="SimSun" w:hAnsi="Times New Roman" w:cs="Times New Roman"/>
            <w:color w:val="0000FF"/>
            <w:sz w:val="24"/>
            <w:szCs w:val="20"/>
            <w:u w:val="single"/>
            <w:lang w:val="en-GB"/>
          </w:rPr>
          <w:t>tariqumar1984@gmail.com</w:t>
        </w:r>
      </w:hyperlink>
    </w:p>
    <w:p w14:paraId="33684598" w14:textId="316B2457" w:rsidR="000439EB" w:rsidRPr="00F729CA" w:rsidRDefault="00C35898" w:rsidP="00F729CA">
      <w:pPr>
        <w:spacing w:after="0" w:line="240" w:lineRule="auto"/>
        <w:jc w:val="both"/>
        <w:rPr>
          <w:rFonts w:ascii="Times New Roman" w:eastAsia="SimSun" w:hAnsi="Times New Roman" w:cs="Times New Roman"/>
          <w:sz w:val="24"/>
          <w:szCs w:val="20"/>
          <w:lang w:val="en-GB"/>
        </w:rPr>
      </w:pPr>
      <w:hyperlink r:id="rId10" w:history="1">
        <w:r w:rsidR="00D73D73" w:rsidRPr="00903FE5">
          <w:rPr>
            <w:rStyle w:val="Hyperlink"/>
            <w:rFonts w:ascii="Times New Roman" w:eastAsia="SimSun" w:hAnsi="Times New Roman" w:cs="Times New Roman"/>
            <w:sz w:val="24"/>
            <w:szCs w:val="20"/>
            <w:lang w:val="en-GB"/>
          </w:rPr>
          <w:t>https://orcid.org/0000-0002-1197-8181</w:t>
        </w:r>
      </w:hyperlink>
      <w:r w:rsidR="00D73D73">
        <w:rPr>
          <w:rFonts w:ascii="Times New Roman" w:eastAsia="SimSun" w:hAnsi="Times New Roman" w:cs="Times New Roman"/>
          <w:sz w:val="24"/>
          <w:szCs w:val="20"/>
          <w:lang w:val="en-GB"/>
        </w:rPr>
        <w:t xml:space="preserve"> </w:t>
      </w:r>
    </w:p>
    <w:p w14:paraId="459C4EA0"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 Corresponding Author</w:t>
      </w:r>
    </w:p>
    <w:p w14:paraId="18812ADE"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
    <w:p w14:paraId="2E5638DA"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b/>
          <w:sz w:val="24"/>
          <w:szCs w:val="20"/>
          <w:lang w:val="en-GB"/>
        </w:rPr>
        <w:t xml:space="preserve">Charles </w:t>
      </w:r>
      <w:proofErr w:type="spellStart"/>
      <w:r w:rsidRPr="00F729CA">
        <w:rPr>
          <w:rFonts w:ascii="Times New Roman" w:eastAsia="SimSun" w:hAnsi="Times New Roman" w:cs="Times New Roman"/>
          <w:b/>
          <w:sz w:val="24"/>
          <w:szCs w:val="20"/>
          <w:lang w:val="en-GB"/>
        </w:rPr>
        <w:t>Egbu</w:t>
      </w:r>
      <w:proofErr w:type="spellEnd"/>
    </w:p>
    <w:p w14:paraId="3CCFD17F"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Pro-Vice Chancellor (Education and Experience)</w:t>
      </w:r>
    </w:p>
    <w:p w14:paraId="0BA4C7DC"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University of East London, UK</w:t>
      </w:r>
    </w:p>
    <w:p w14:paraId="4B940AC7" w14:textId="77777777" w:rsidR="00F729CA" w:rsidRPr="0050649F" w:rsidRDefault="00F729CA" w:rsidP="00F729CA">
      <w:pPr>
        <w:spacing w:after="0" w:line="240" w:lineRule="auto"/>
        <w:jc w:val="both"/>
        <w:rPr>
          <w:rFonts w:ascii="Times New Roman" w:eastAsia="SimSun" w:hAnsi="Times New Roman" w:cs="Times New Roman"/>
          <w:color w:val="0000FF"/>
          <w:sz w:val="24"/>
          <w:szCs w:val="20"/>
          <w:u w:val="single"/>
          <w:lang w:val="en-GB"/>
        </w:rPr>
      </w:pPr>
      <w:r w:rsidRPr="00F729CA">
        <w:rPr>
          <w:rFonts w:ascii="Times New Roman" w:eastAsia="SimSun" w:hAnsi="Times New Roman" w:cs="Times New Roman"/>
          <w:sz w:val="24"/>
          <w:szCs w:val="20"/>
          <w:lang w:val="en-GB"/>
        </w:rPr>
        <w:t>E-mail:</w:t>
      </w:r>
      <w:r w:rsidRPr="00F729CA">
        <w:rPr>
          <w:rFonts w:ascii="Times New Roman" w:eastAsia="SimSun" w:hAnsi="Times New Roman" w:cs="Times New Roman"/>
          <w:sz w:val="24"/>
          <w:szCs w:val="20"/>
        </w:rPr>
        <w:t xml:space="preserve"> </w:t>
      </w:r>
      <w:hyperlink r:id="rId11" w:history="1">
        <w:r w:rsidRPr="0050649F">
          <w:rPr>
            <w:rFonts w:ascii="Times New Roman" w:eastAsia="SimSun" w:hAnsi="Times New Roman" w:cs="Times New Roman"/>
            <w:color w:val="0000FF"/>
            <w:sz w:val="24"/>
            <w:szCs w:val="20"/>
            <w:u w:val="single"/>
            <w:lang w:val="en-GB"/>
          </w:rPr>
          <w:t>C.Egbu@uel.ac.uk</w:t>
        </w:r>
      </w:hyperlink>
    </w:p>
    <w:p w14:paraId="096E558E" w14:textId="77777777" w:rsidR="00F729CA" w:rsidRPr="0050649F" w:rsidRDefault="00F729CA" w:rsidP="00F729CA">
      <w:pPr>
        <w:spacing w:after="0" w:line="240" w:lineRule="auto"/>
        <w:jc w:val="both"/>
        <w:rPr>
          <w:rFonts w:ascii="Times New Roman" w:eastAsia="SimSun" w:hAnsi="Times New Roman" w:cs="Times New Roman"/>
          <w:color w:val="0000FF"/>
          <w:sz w:val="24"/>
          <w:szCs w:val="20"/>
          <w:u w:val="single"/>
          <w:lang w:val="en-GB"/>
        </w:rPr>
      </w:pPr>
    </w:p>
    <w:p w14:paraId="68D4D338"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b/>
          <w:sz w:val="24"/>
          <w:szCs w:val="20"/>
          <w:lang w:val="en-GB"/>
        </w:rPr>
        <w:t xml:space="preserve">George </w:t>
      </w:r>
      <w:proofErr w:type="spellStart"/>
      <w:r w:rsidRPr="00F729CA">
        <w:rPr>
          <w:rFonts w:ascii="Times New Roman" w:eastAsia="SimSun" w:hAnsi="Times New Roman" w:cs="Times New Roman"/>
          <w:b/>
          <w:sz w:val="24"/>
          <w:szCs w:val="20"/>
          <w:lang w:val="en-GB"/>
        </w:rPr>
        <w:t>Ofori</w:t>
      </w:r>
      <w:proofErr w:type="spellEnd"/>
    </w:p>
    <w:p w14:paraId="47B7F2BF"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Director of Research, School of Built Environment and Architecture</w:t>
      </w:r>
    </w:p>
    <w:p w14:paraId="76E85656"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London South Bank University, UK</w:t>
      </w:r>
    </w:p>
    <w:p w14:paraId="4A450FFC"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E-mail: oforig3@lsbu.ac.uk</w:t>
      </w:r>
    </w:p>
    <w:p w14:paraId="56832238"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
    <w:p w14:paraId="7FC498DB"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b/>
          <w:sz w:val="24"/>
          <w:szCs w:val="20"/>
          <w:lang w:val="en-GB"/>
        </w:rPr>
        <w:t>Mohamed Shaik Honnurvali</w:t>
      </w:r>
    </w:p>
    <w:p w14:paraId="3428F395"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Lecturer, College of Engineering</w:t>
      </w:r>
    </w:p>
    <w:p w14:paraId="221575DF"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roofErr w:type="spellStart"/>
      <w:r w:rsidRPr="00F729CA">
        <w:rPr>
          <w:rFonts w:ascii="Times New Roman" w:eastAsia="SimSun" w:hAnsi="Times New Roman" w:cs="Times New Roman"/>
          <w:sz w:val="24"/>
          <w:szCs w:val="20"/>
          <w:lang w:val="en-GB"/>
        </w:rPr>
        <w:t>A’Sharqiyah</w:t>
      </w:r>
      <w:proofErr w:type="spellEnd"/>
      <w:r w:rsidRPr="00F729CA">
        <w:rPr>
          <w:rFonts w:ascii="Times New Roman" w:eastAsia="SimSun" w:hAnsi="Times New Roman" w:cs="Times New Roman"/>
          <w:sz w:val="24"/>
          <w:szCs w:val="20"/>
          <w:lang w:val="en-GB"/>
        </w:rPr>
        <w:t xml:space="preserve"> University, </w:t>
      </w:r>
      <w:proofErr w:type="spellStart"/>
      <w:r w:rsidRPr="00F729CA">
        <w:rPr>
          <w:rFonts w:ascii="Times New Roman" w:eastAsia="SimSun" w:hAnsi="Times New Roman" w:cs="Times New Roman"/>
          <w:sz w:val="24"/>
          <w:szCs w:val="20"/>
          <w:lang w:val="en-GB"/>
        </w:rPr>
        <w:t>Ibra</w:t>
      </w:r>
      <w:proofErr w:type="spellEnd"/>
      <w:r w:rsidRPr="00F729CA">
        <w:rPr>
          <w:rFonts w:ascii="Times New Roman" w:eastAsia="SimSun" w:hAnsi="Times New Roman" w:cs="Times New Roman"/>
          <w:sz w:val="24"/>
          <w:szCs w:val="20"/>
          <w:lang w:val="en-GB"/>
        </w:rPr>
        <w:t>, Oman</w:t>
      </w:r>
    </w:p>
    <w:p w14:paraId="2C579E37"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 xml:space="preserve">E-mail: </w:t>
      </w:r>
      <w:hyperlink r:id="rId12" w:history="1">
        <w:r w:rsidRPr="0050649F">
          <w:rPr>
            <w:rFonts w:ascii="Times New Roman" w:eastAsia="SimSun" w:hAnsi="Times New Roman" w:cs="Times New Roman"/>
            <w:color w:val="0000FF"/>
            <w:sz w:val="24"/>
            <w:szCs w:val="20"/>
            <w:u w:val="single"/>
            <w:lang w:val="en-GB"/>
          </w:rPr>
          <w:t>m.shaik@asu.edu.om</w:t>
        </w:r>
      </w:hyperlink>
    </w:p>
    <w:p w14:paraId="385D7248"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
    <w:p w14:paraId="73F606E0"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proofErr w:type="spellStart"/>
      <w:r w:rsidRPr="00F729CA">
        <w:rPr>
          <w:rFonts w:ascii="Times New Roman" w:eastAsia="SimSun" w:hAnsi="Times New Roman" w:cs="Times New Roman"/>
          <w:b/>
          <w:sz w:val="24"/>
          <w:szCs w:val="20"/>
          <w:lang w:val="en-GB"/>
        </w:rPr>
        <w:t>Messaoud</w:t>
      </w:r>
      <w:proofErr w:type="spellEnd"/>
      <w:r w:rsidRPr="00F729CA">
        <w:rPr>
          <w:rFonts w:ascii="Times New Roman" w:eastAsia="SimSun" w:hAnsi="Times New Roman" w:cs="Times New Roman"/>
          <w:b/>
          <w:sz w:val="24"/>
          <w:szCs w:val="20"/>
          <w:lang w:val="en-GB"/>
        </w:rPr>
        <w:t xml:space="preserve"> </w:t>
      </w:r>
      <w:proofErr w:type="spellStart"/>
      <w:r w:rsidRPr="00F729CA">
        <w:rPr>
          <w:rFonts w:ascii="Times New Roman" w:eastAsia="SimSun" w:hAnsi="Times New Roman" w:cs="Times New Roman"/>
          <w:b/>
          <w:sz w:val="24"/>
          <w:szCs w:val="20"/>
          <w:lang w:val="en-GB"/>
        </w:rPr>
        <w:t>Saidani</w:t>
      </w:r>
      <w:proofErr w:type="spellEnd"/>
    </w:p>
    <w:p w14:paraId="4072AD98"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Head of Research, School of Energy, Construction and Environment</w:t>
      </w:r>
    </w:p>
    <w:p w14:paraId="0A7A818E"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Faculty of Engineering, Environment and Computing,</w:t>
      </w:r>
    </w:p>
    <w:p w14:paraId="18C8D631"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Coventry University, UK</w:t>
      </w:r>
    </w:p>
    <w:p w14:paraId="6BCDD2B7"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sz w:val="24"/>
          <w:szCs w:val="20"/>
          <w:lang w:val="en-GB"/>
        </w:rPr>
        <w:t>E-mail: cbx086@coventry.ac.uk</w:t>
      </w:r>
    </w:p>
    <w:p w14:paraId="5219AA2B"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p>
    <w:p w14:paraId="3DA21ED8" w14:textId="77777777" w:rsidR="00F729CA" w:rsidRPr="00F729CA" w:rsidRDefault="00F729CA" w:rsidP="00F729CA">
      <w:pPr>
        <w:spacing w:after="0" w:line="240" w:lineRule="auto"/>
        <w:jc w:val="both"/>
        <w:rPr>
          <w:rFonts w:ascii="Times New Roman" w:eastAsia="SimSun" w:hAnsi="Times New Roman" w:cs="Times New Roman"/>
          <w:b/>
          <w:sz w:val="24"/>
          <w:szCs w:val="20"/>
          <w:lang w:val="en-GB"/>
        </w:rPr>
      </w:pPr>
      <w:r w:rsidRPr="00F729CA">
        <w:rPr>
          <w:rFonts w:ascii="Times New Roman" w:eastAsia="SimSun" w:hAnsi="Times New Roman" w:cs="Times New Roman"/>
          <w:b/>
          <w:sz w:val="24"/>
          <w:szCs w:val="20"/>
          <w:lang w:val="en-GB"/>
        </w:rPr>
        <w:t xml:space="preserve">Alex </w:t>
      </w:r>
      <w:proofErr w:type="spellStart"/>
      <w:r w:rsidRPr="00F729CA">
        <w:rPr>
          <w:rFonts w:ascii="Times New Roman" w:eastAsia="SimSun" w:hAnsi="Times New Roman" w:cs="Times New Roman"/>
          <w:b/>
          <w:sz w:val="24"/>
          <w:szCs w:val="20"/>
          <w:lang w:val="en-GB"/>
        </w:rPr>
        <w:t>Opoku</w:t>
      </w:r>
      <w:proofErr w:type="spellEnd"/>
    </w:p>
    <w:p w14:paraId="0F861B8A"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 xml:space="preserve">Associate Professor, UCL Bartlett School of Construction &amp; Project Management, </w:t>
      </w:r>
    </w:p>
    <w:p w14:paraId="26DB3328"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University College London, London-UK</w:t>
      </w:r>
    </w:p>
    <w:p w14:paraId="42465DF2" w14:textId="77777777" w:rsidR="00F729CA" w:rsidRPr="00F729CA" w:rsidRDefault="00F729CA" w:rsidP="00F729CA">
      <w:pPr>
        <w:spacing w:after="0" w:line="240" w:lineRule="auto"/>
        <w:jc w:val="both"/>
        <w:rPr>
          <w:rFonts w:ascii="Times New Roman" w:eastAsia="SimSun" w:hAnsi="Times New Roman" w:cs="Times New Roman"/>
          <w:sz w:val="24"/>
          <w:szCs w:val="20"/>
          <w:lang w:val="en-GB"/>
        </w:rPr>
      </w:pPr>
      <w:r w:rsidRPr="00F729CA">
        <w:rPr>
          <w:rFonts w:ascii="Times New Roman" w:eastAsia="SimSun" w:hAnsi="Times New Roman" w:cs="Times New Roman"/>
          <w:sz w:val="24"/>
          <w:szCs w:val="20"/>
          <w:lang w:val="en-GB"/>
        </w:rPr>
        <w:t>E-mail: alex.opoku@ucl.ac.uk</w:t>
      </w:r>
    </w:p>
    <w:p w14:paraId="5FFF9DDC" w14:textId="6C57E6E6" w:rsidR="00492B95" w:rsidRPr="00EE0E89" w:rsidRDefault="00492B95" w:rsidP="009E0761">
      <w:pPr>
        <w:pStyle w:val="Heading1"/>
        <w:rPr>
          <w:color w:val="auto"/>
        </w:rPr>
      </w:pPr>
      <w:r w:rsidRPr="00EE0E89">
        <w:rPr>
          <w:color w:val="auto"/>
        </w:rPr>
        <w:t>Abstract:</w:t>
      </w:r>
    </w:p>
    <w:p w14:paraId="170346BC" w14:textId="037E2D93" w:rsidR="00344EF9" w:rsidRPr="00EE0E89" w:rsidRDefault="4D164855" w:rsidP="00DA7B63">
      <w:pPr>
        <w:spacing w:line="360" w:lineRule="auto"/>
        <w:jc w:val="both"/>
        <w:rPr>
          <w:rFonts w:ascii="Times New Roman" w:hAnsi="Times New Roman" w:cs="Times New Roman"/>
          <w:sz w:val="24"/>
          <w:szCs w:val="24"/>
        </w:rPr>
      </w:pPr>
      <w:r w:rsidRPr="00EE0E89">
        <w:rPr>
          <w:rFonts w:ascii="Times New Roman" w:hAnsi="Times New Roman" w:cs="Times New Roman"/>
          <w:sz w:val="24"/>
          <w:szCs w:val="24"/>
        </w:rPr>
        <w:t xml:space="preserve">It is predicted that </w:t>
      </w:r>
      <w:r w:rsidR="00EF5C62" w:rsidRPr="00EE0E89">
        <w:rPr>
          <w:rFonts w:ascii="Times New Roman" w:hAnsi="Times New Roman" w:cs="Times New Roman"/>
          <w:sz w:val="24"/>
          <w:szCs w:val="24"/>
        </w:rPr>
        <w:t xml:space="preserve">the </w:t>
      </w:r>
      <w:r w:rsidRPr="00EE0E89">
        <w:rPr>
          <w:rFonts w:ascii="Times New Roman" w:hAnsi="Times New Roman" w:cs="Times New Roman"/>
          <w:sz w:val="24"/>
          <w:szCs w:val="24"/>
        </w:rPr>
        <w:t>construction industry will be growing in the future</w:t>
      </w:r>
      <w:r w:rsidR="00EF5C62" w:rsidRPr="00EE0E89">
        <w:rPr>
          <w:rFonts w:ascii="Times New Roman" w:hAnsi="Times New Roman" w:cs="Times New Roman"/>
          <w:sz w:val="24"/>
          <w:szCs w:val="24"/>
        </w:rPr>
        <w:t>,</w:t>
      </w:r>
      <w:r w:rsidRPr="00EE0E89">
        <w:rPr>
          <w:rFonts w:ascii="Times New Roman" w:hAnsi="Times New Roman" w:cs="Times New Roman"/>
          <w:sz w:val="24"/>
          <w:szCs w:val="24"/>
        </w:rPr>
        <w:t xml:space="preserve"> </w:t>
      </w:r>
      <w:r w:rsidR="005A5D49" w:rsidRPr="00EE0E89">
        <w:rPr>
          <w:rFonts w:ascii="Times New Roman" w:hAnsi="Times New Roman" w:cs="Times New Roman"/>
          <w:sz w:val="24"/>
          <w:szCs w:val="24"/>
        </w:rPr>
        <w:t>and that</w:t>
      </w:r>
      <w:r w:rsidRPr="00EE0E89">
        <w:rPr>
          <w:rFonts w:ascii="Times New Roman" w:hAnsi="Times New Roman" w:cs="Times New Roman"/>
          <w:sz w:val="24"/>
          <w:szCs w:val="24"/>
        </w:rPr>
        <w:t xml:space="preserve"> </w:t>
      </w:r>
      <w:r w:rsidR="00467760" w:rsidRPr="00EE0E89">
        <w:rPr>
          <w:rFonts w:ascii="Times New Roman" w:hAnsi="Times New Roman" w:cs="Times New Roman"/>
          <w:sz w:val="24"/>
          <w:szCs w:val="24"/>
        </w:rPr>
        <w:t>could</w:t>
      </w:r>
      <w:r w:rsidR="005A5D49" w:rsidRPr="00EE0E89">
        <w:rPr>
          <w:rFonts w:ascii="Times New Roman" w:hAnsi="Times New Roman" w:cs="Times New Roman"/>
          <w:sz w:val="24"/>
          <w:szCs w:val="24"/>
        </w:rPr>
        <w:t xml:space="preserve"> lead</w:t>
      </w:r>
      <w:r w:rsidR="00EF5C62" w:rsidRPr="00EE0E89">
        <w:rPr>
          <w:rFonts w:ascii="Times New Roman" w:hAnsi="Times New Roman" w:cs="Times New Roman"/>
          <w:sz w:val="24"/>
          <w:szCs w:val="24"/>
        </w:rPr>
        <w:t xml:space="preserve"> </w:t>
      </w:r>
      <w:r w:rsidR="005A5D49" w:rsidRPr="00EE0E89">
        <w:rPr>
          <w:rFonts w:ascii="Times New Roman" w:hAnsi="Times New Roman" w:cs="Times New Roman"/>
          <w:sz w:val="24"/>
          <w:szCs w:val="24"/>
        </w:rPr>
        <w:t xml:space="preserve">to an </w:t>
      </w:r>
      <w:r w:rsidR="00EF5C62" w:rsidRPr="00EE0E89">
        <w:rPr>
          <w:rFonts w:ascii="Times New Roman" w:hAnsi="Times New Roman" w:cs="Times New Roman"/>
          <w:sz w:val="24"/>
          <w:szCs w:val="24"/>
        </w:rPr>
        <w:t xml:space="preserve">increase </w:t>
      </w:r>
      <w:r w:rsidR="00976EC9" w:rsidRPr="00EE0E89">
        <w:rPr>
          <w:rFonts w:ascii="Times New Roman" w:hAnsi="Times New Roman" w:cs="Times New Roman"/>
          <w:sz w:val="24"/>
          <w:szCs w:val="24"/>
        </w:rPr>
        <w:t>in</w:t>
      </w:r>
      <w:r w:rsidR="00B55ADB" w:rsidRPr="00EE0E89">
        <w:rPr>
          <w:rFonts w:ascii="Times New Roman" w:hAnsi="Times New Roman" w:cs="Times New Roman"/>
          <w:sz w:val="24"/>
          <w:szCs w:val="24"/>
        </w:rPr>
        <w:t xml:space="preserve"> </w:t>
      </w:r>
      <w:r w:rsidR="00EF5C62" w:rsidRPr="00EE0E89">
        <w:rPr>
          <w:rFonts w:ascii="Times New Roman" w:hAnsi="Times New Roman" w:cs="Times New Roman"/>
          <w:sz w:val="24"/>
          <w:szCs w:val="24"/>
        </w:rPr>
        <w:t>risks</w:t>
      </w:r>
      <w:r w:rsidR="003561B7" w:rsidRPr="00EE0E89">
        <w:rPr>
          <w:rFonts w:ascii="Times New Roman" w:hAnsi="Times New Roman" w:cs="Times New Roman"/>
          <w:sz w:val="24"/>
          <w:szCs w:val="24"/>
        </w:rPr>
        <w:t xml:space="preserve"> </w:t>
      </w:r>
      <w:r w:rsidR="00B55ADB" w:rsidRPr="00EE0E89">
        <w:rPr>
          <w:rFonts w:ascii="Times New Roman" w:hAnsi="Times New Roman" w:cs="Times New Roman"/>
          <w:sz w:val="24"/>
          <w:szCs w:val="24"/>
        </w:rPr>
        <w:t xml:space="preserve">in </w:t>
      </w:r>
      <w:r w:rsidR="003561B7" w:rsidRPr="00EE0E89">
        <w:rPr>
          <w:rFonts w:ascii="Times New Roman" w:hAnsi="Times New Roman" w:cs="Times New Roman"/>
          <w:sz w:val="24"/>
          <w:szCs w:val="24"/>
        </w:rPr>
        <w:t>work safety and accidents.</w:t>
      </w:r>
      <w:r w:rsidR="00EF6D35" w:rsidRPr="00EE0E89">
        <w:rPr>
          <w:rFonts w:ascii="Times New Roman" w:hAnsi="Times New Roman" w:cs="Times New Roman"/>
          <w:sz w:val="24"/>
          <w:szCs w:val="24"/>
        </w:rPr>
        <w:t xml:space="preserve"> </w:t>
      </w:r>
      <w:r w:rsidRPr="00EE0E89">
        <w:rPr>
          <w:rFonts w:ascii="Times New Roman" w:hAnsi="Times New Roman" w:cs="Times New Roman"/>
          <w:sz w:val="24"/>
          <w:szCs w:val="24"/>
        </w:rPr>
        <w:t>Th</w:t>
      </w:r>
      <w:r w:rsidR="00E66123" w:rsidRPr="00EE0E89">
        <w:rPr>
          <w:rFonts w:ascii="Times New Roman" w:hAnsi="Times New Roman" w:cs="Times New Roman"/>
          <w:sz w:val="24"/>
          <w:szCs w:val="24"/>
        </w:rPr>
        <w:t>is</w:t>
      </w:r>
      <w:r w:rsidRPr="00EE0E89">
        <w:rPr>
          <w:rFonts w:ascii="Times New Roman" w:hAnsi="Times New Roman" w:cs="Times New Roman"/>
          <w:sz w:val="24"/>
          <w:szCs w:val="24"/>
        </w:rPr>
        <w:t xml:space="preserve"> paper pr</w:t>
      </w:r>
      <w:r w:rsidR="00DC3E9D" w:rsidRPr="00EE0E89">
        <w:rPr>
          <w:rFonts w:ascii="Times New Roman" w:hAnsi="Times New Roman" w:cs="Times New Roman"/>
          <w:sz w:val="24"/>
          <w:szCs w:val="24"/>
        </w:rPr>
        <w:t>esents the current status of</w:t>
      </w:r>
      <w:r w:rsidRPr="00EE0E89">
        <w:rPr>
          <w:rFonts w:ascii="Times New Roman" w:hAnsi="Times New Roman" w:cs="Times New Roman"/>
          <w:sz w:val="24"/>
          <w:szCs w:val="24"/>
        </w:rPr>
        <w:t xml:space="preserve"> occupational safety and health in the </w:t>
      </w:r>
      <w:r w:rsidR="00E66123" w:rsidRPr="00EE0E89">
        <w:rPr>
          <w:rFonts w:ascii="Times New Roman" w:hAnsi="Times New Roman" w:cs="Times New Roman"/>
          <w:sz w:val="24"/>
          <w:szCs w:val="24"/>
        </w:rPr>
        <w:t xml:space="preserve">Gulf </w:t>
      </w:r>
      <w:r w:rsidRPr="00EE0E89">
        <w:rPr>
          <w:rFonts w:ascii="Times New Roman" w:hAnsi="Times New Roman" w:cs="Times New Roman"/>
          <w:sz w:val="24"/>
          <w:szCs w:val="24"/>
        </w:rPr>
        <w:t xml:space="preserve">region by providing a comparison with </w:t>
      </w:r>
      <w:r w:rsidR="00DC3E9D" w:rsidRPr="00EE0E89">
        <w:rPr>
          <w:rFonts w:ascii="Times New Roman" w:hAnsi="Times New Roman" w:cs="Times New Roman"/>
          <w:sz w:val="24"/>
          <w:szCs w:val="24"/>
        </w:rPr>
        <w:t xml:space="preserve">those of </w:t>
      </w:r>
      <w:r w:rsidRPr="00EE0E89">
        <w:rPr>
          <w:rFonts w:ascii="Times New Roman" w:hAnsi="Times New Roman" w:cs="Times New Roman"/>
          <w:sz w:val="24"/>
          <w:szCs w:val="24"/>
        </w:rPr>
        <w:t xml:space="preserve">some of the </w:t>
      </w:r>
      <w:r w:rsidR="00E66123" w:rsidRPr="00EE0E89">
        <w:rPr>
          <w:rFonts w:ascii="Times New Roman" w:hAnsi="Times New Roman" w:cs="Times New Roman"/>
          <w:sz w:val="24"/>
          <w:szCs w:val="24"/>
        </w:rPr>
        <w:t>most</w:t>
      </w:r>
      <w:r w:rsidRPr="00EE0E89">
        <w:rPr>
          <w:rFonts w:ascii="Times New Roman" w:hAnsi="Times New Roman" w:cs="Times New Roman"/>
          <w:sz w:val="24"/>
          <w:szCs w:val="24"/>
        </w:rPr>
        <w:t xml:space="preserve"> advanced countries </w:t>
      </w:r>
      <w:r w:rsidR="00E66123" w:rsidRPr="00EE0E89">
        <w:rPr>
          <w:rFonts w:ascii="Times New Roman" w:hAnsi="Times New Roman" w:cs="Times New Roman"/>
          <w:sz w:val="24"/>
          <w:szCs w:val="24"/>
        </w:rPr>
        <w:t>in the world</w:t>
      </w:r>
      <w:r w:rsidRPr="00EE0E89">
        <w:rPr>
          <w:rFonts w:ascii="Times New Roman" w:hAnsi="Times New Roman" w:cs="Times New Roman"/>
          <w:sz w:val="24"/>
          <w:szCs w:val="24"/>
        </w:rPr>
        <w:t xml:space="preserve">. </w:t>
      </w:r>
      <w:r w:rsidR="00467760" w:rsidRPr="00EE0E89">
        <w:rPr>
          <w:rFonts w:ascii="Times New Roman" w:hAnsi="Times New Roman" w:cs="Times New Roman"/>
          <w:sz w:val="24"/>
          <w:szCs w:val="24"/>
        </w:rPr>
        <w:t>According</w:t>
      </w:r>
      <w:r w:rsidR="00DC3E9D" w:rsidRPr="00EE0E89">
        <w:rPr>
          <w:rFonts w:ascii="Times New Roman" w:hAnsi="Times New Roman" w:cs="Times New Roman"/>
          <w:sz w:val="24"/>
          <w:szCs w:val="24"/>
        </w:rPr>
        <w:t xml:space="preserve"> to our </w:t>
      </w:r>
      <w:r w:rsidRPr="00EE0E89">
        <w:rPr>
          <w:rFonts w:ascii="Times New Roman" w:hAnsi="Times New Roman" w:cs="Times New Roman"/>
          <w:sz w:val="24"/>
          <w:szCs w:val="24"/>
        </w:rPr>
        <w:t xml:space="preserve">data, </w:t>
      </w:r>
      <w:r w:rsidR="00467760" w:rsidRPr="00EE0E89">
        <w:rPr>
          <w:rFonts w:ascii="Times New Roman" w:hAnsi="Times New Roman" w:cs="Times New Roman"/>
          <w:sz w:val="24"/>
          <w:szCs w:val="24"/>
        </w:rPr>
        <w:t xml:space="preserve">the </w:t>
      </w:r>
      <w:r w:rsidR="00976EC9" w:rsidRPr="00EE0E89">
        <w:rPr>
          <w:rFonts w:ascii="Times New Roman" w:hAnsi="Times New Roman" w:cs="Times New Roman"/>
          <w:sz w:val="24"/>
          <w:szCs w:val="24"/>
        </w:rPr>
        <w:t>G</w:t>
      </w:r>
      <w:r w:rsidR="00E95F4D" w:rsidRPr="00EE0E89">
        <w:rPr>
          <w:rFonts w:ascii="Times New Roman" w:hAnsi="Times New Roman" w:cs="Times New Roman"/>
          <w:sz w:val="24"/>
          <w:szCs w:val="24"/>
        </w:rPr>
        <w:t>ulf</w:t>
      </w:r>
      <w:r w:rsidR="00467760" w:rsidRPr="00EE0E89">
        <w:rPr>
          <w:rFonts w:ascii="Times New Roman" w:hAnsi="Times New Roman" w:cs="Times New Roman"/>
          <w:sz w:val="24"/>
          <w:szCs w:val="24"/>
        </w:rPr>
        <w:t xml:space="preserve"> countries have</w:t>
      </w:r>
      <w:r w:rsidRPr="00EE0E89">
        <w:rPr>
          <w:rFonts w:ascii="Times New Roman" w:hAnsi="Times New Roman" w:cs="Times New Roman"/>
          <w:sz w:val="24"/>
          <w:szCs w:val="24"/>
        </w:rPr>
        <w:t xml:space="preserve"> a</w:t>
      </w:r>
      <w:r w:rsidR="00467760" w:rsidRPr="00EE0E89">
        <w:rPr>
          <w:rFonts w:ascii="Times New Roman" w:hAnsi="Times New Roman" w:cs="Times New Roman"/>
          <w:sz w:val="24"/>
          <w:szCs w:val="24"/>
        </w:rPr>
        <w:t xml:space="preserve"> </w:t>
      </w:r>
      <w:r w:rsidRPr="00EE0E89">
        <w:rPr>
          <w:rFonts w:ascii="Times New Roman" w:hAnsi="Times New Roman" w:cs="Times New Roman"/>
          <w:sz w:val="24"/>
          <w:szCs w:val="24"/>
        </w:rPr>
        <w:t xml:space="preserve">poor </w:t>
      </w:r>
      <w:r w:rsidR="00467760" w:rsidRPr="00EE0E89">
        <w:rPr>
          <w:rFonts w:ascii="Times New Roman" w:hAnsi="Times New Roman" w:cs="Times New Roman"/>
          <w:sz w:val="24"/>
          <w:szCs w:val="24"/>
        </w:rPr>
        <w:t>record of work</w:t>
      </w:r>
      <w:r w:rsidRPr="00EE0E89">
        <w:rPr>
          <w:rFonts w:ascii="Times New Roman" w:hAnsi="Times New Roman" w:cs="Times New Roman"/>
          <w:sz w:val="24"/>
          <w:szCs w:val="24"/>
        </w:rPr>
        <w:t xml:space="preserve"> safety and health. </w:t>
      </w:r>
      <w:r w:rsidR="00467760" w:rsidRPr="00EE0E89">
        <w:rPr>
          <w:rFonts w:ascii="Times New Roman" w:hAnsi="Times New Roman" w:cs="Times New Roman"/>
          <w:sz w:val="24"/>
          <w:szCs w:val="24"/>
        </w:rPr>
        <w:t>Th</w:t>
      </w:r>
      <w:r w:rsidR="00513387" w:rsidRPr="00EE0E89">
        <w:rPr>
          <w:rFonts w:ascii="Times New Roman" w:hAnsi="Times New Roman" w:cs="Times New Roman"/>
          <w:sz w:val="24"/>
          <w:szCs w:val="24"/>
        </w:rPr>
        <w:t xml:space="preserve">erefore, </w:t>
      </w:r>
      <w:r w:rsidR="00A92DB9" w:rsidRPr="00EE0E89">
        <w:rPr>
          <w:rFonts w:ascii="Times New Roman" w:hAnsi="Times New Roman" w:cs="Times New Roman"/>
          <w:sz w:val="24"/>
          <w:szCs w:val="24"/>
        </w:rPr>
        <w:t>this</w:t>
      </w:r>
      <w:r w:rsidR="00467760" w:rsidRPr="00EE0E89">
        <w:rPr>
          <w:rFonts w:ascii="Times New Roman" w:hAnsi="Times New Roman" w:cs="Times New Roman"/>
          <w:sz w:val="24"/>
          <w:szCs w:val="24"/>
        </w:rPr>
        <w:t xml:space="preserve"> research </w:t>
      </w:r>
      <w:r w:rsidR="00513387" w:rsidRPr="00EE0E89">
        <w:rPr>
          <w:rFonts w:ascii="Times New Roman" w:hAnsi="Times New Roman" w:cs="Times New Roman"/>
          <w:sz w:val="24"/>
          <w:szCs w:val="24"/>
        </w:rPr>
        <w:t xml:space="preserve">aimed to identify the main </w:t>
      </w:r>
      <w:r w:rsidR="00EC293F" w:rsidRPr="00EE0E89">
        <w:rPr>
          <w:rFonts w:ascii="Times New Roman" w:hAnsi="Times New Roman" w:cs="Times New Roman"/>
          <w:sz w:val="24"/>
          <w:szCs w:val="24"/>
        </w:rPr>
        <w:t>factors</w:t>
      </w:r>
      <w:r w:rsidR="00513387" w:rsidRPr="00EE0E89">
        <w:rPr>
          <w:rFonts w:ascii="Times New Roman" w:hAnsi="Times New Roman" w:cs="Times New Roman"/>
          <w:sz w:val="24"/>
          <w:szCs w:val="24"/>
        </w:rPr>
        <w:t xml:space="preserve"> </w:t>
      </w:r>
      <w:r w:rsidR="00513387" w:rsidRPr="00EE0E89">
        <w:rPr>
          <w:rFonts w:ascii="Times New Roman" w:hAnsi="Times New Roman" w:cs="Times New Roman"/>
          <w:sz w:val="24"/>
          <w:szCs w:val="24"/>
        </w:rPr>
        <w:lastRenderedPageBreak/>
        <w:t xml:space="preserve">and provide some solutions </w:t>
      </w:r>
      <w:r w:rsidR="00EC293F" w:rsidRPr="00EE0E89">
        <w:rPr>
          <w:rFonts w:ascii="Times New Roman" w:hAnsi="Times New Roman" w:cs="Times New Roman"/>
          <w:sz w:val="24"/>
          <w:szCs w:val="24"/>
        </w:rPr>
        <w:t>for</w:t>
      </w:r>
      <w:r w:rsidRPr="00EE0E89">
        <w:rPr>
          <w:rFonts w:ascii="Times New Roman" w:hAnsi="Times New Roman" w:cs="Times New Roman"/>
          <w:sz w:val="24"/>
          <w:szCs w:val="24"/>
        </w:rPr>
        <w:t xml:space="preserve"> key areas</w:t>
      </w:r>
      <w:r w:rsidR="00513387" w:rsidRPr="00EE0E89">
        <w:rPr>
          <w:rFonts w:ascii="Times New Roman" w:hAnsi="Times New Roman" w:cs="Times New Roman"/>
          <w:sz w:val="24"/>
          <w:szCs w:val="24"/>
        </w:rPr>
        <w:t>,</w:t>
      </w:r>
      <w:r w:rsidRPr="00EE0E89">
        <w:rPr>
          <w:rFonts w:ascii="Times New Roman" w:hAnsi="Times New Roman" w:cs="Times New Roman"/>
          <w:sz w:val="24"/>
          <w:szCs w:val="24"/>
        </w:rPr>
        <w:t xml:space="preserve"> </w:t>
      </w:r>
      <w:r w:rsidR="00513387" w:rsidRPr="00EE0E89">
        <w:rPr>
          <w:rFonts w:ascii="Times New Roman" w:hAnsi="Times New Roman" w:cs="Times New Roman"/>
          <w:sz w:val="24"/>
          <w:szCs w:val="24"/>
        </w:rPr>
        <w:t xml:space="preserve">so that the </w:t>
      </w:r>
      <w:r w:rsidRPr="00EE0E89">
        <w:rPr>
          <w:rFonts w:ascii="Times New Roman" w:hAnsi="Times New Roman" w:cs="Times New Roman"/>
          <w:sz w:val="24"/>
          <w:szCs w:val="24"/>
        </w:rPr>
        <w:t>construction industry</w:t>
      </w:r>
      <w:r w:rsidR="00DB387D" w:rsidRPr="00EE0E89">
        <w:rPr>
          <w:rFonts w:ascii="Times New Roman" w:hAnsi="Times New Roman" w:cs="Times New Roman"/>
          <w:sz w:val="24"/>
          <w:szCs w:val="24"/>
        </w:rPr>
        <w:t xml:space="preserve"> </w:t>
      </w:r>
      <w:r w:rsidR="00513387" w:rsidRPr="00EE0E89">
        <w:rPr>
          <w:rFonts w:ascii="Times New Roman" w:hAnsi="Times New Roman" w:cs="Times New Roman"/>
          <w:sz w:val="24"/>
          <w:szCs w:val="24"/>
        </w:rPr>
        <w:t xml:space="preserve">could </w:t>
      </w:r>
      <w:r w:rsidRPr="00EE0E89">
        <w:rPr>
          <w:rFonts w:ascii="Times New Roman" w:hAnsi="Times New Roman" w:cs="Times New Roman"/>
          <w:sz w:val="24"/>
          <w:szCs w:val="24"/>
        </w:rPr>
        <w:t>improve its</w:t>
      </w:r>
      <w:r w:rsidR="00513387" w:rsidRPr="00EE0E89">
        <w:rPr>
          <w:rFonts w:ascii="Times New Roman" w:hAnsi="Times New Roman" w:cs="Times New Roman"/>
          <w:sz w:val="24"/>
          <w:szCs w:val="24"/>
        </w:rPr>
        <w:t xml:space="preserve"> safety</w:t>
      </w:r>
      <w:r w:rsidRPr="00EE0E89">
        <w:rPr>
          <w:rFonts w:ascii="Times New Roman" w:hAnsi="Times New Roman" w:cs="Times New Roman"/>
          <w:sz w:val="24"/>
          <w:szCs w:val="24"/>
        </w:rPr>
        <w:t xml:space="preserve"> performance. </w:t>
      </w:r>
      <w:r w:rsidR="00513387" w:rsidRPr="00EE0E89">
        <w:rPr>
          <w:rFonts w:ascii="Times New Roman" w:hAnsi="Times New Roman" w:cs="Times New Roman"/>
          <w:sz w:val="24"/>
          <w:szCs w:val="24"/>
        </w:rPr>
        <w:t xml:space="preserve">Our </w:t>
      </w:r>
      <w:r w:rsidR="00014157" w:rsidRPr="00EE0E89">
        <w:rPr>
          <w:rFonts w:ascii="Times New Roman" w:hAnsi="Times New Roman" w:cs="Times New Roman"/>
          <w:sz w:val="24"/>
          <w:szCs w:val="24"/>
        </w:rPr>
        <w:t>findings</w:t>
      </w:r>
      <w:r w:rsidR="00A92DB9" w:rsidRPr="00EE0E89">
        <w:rPr>
          <w:rFonts w:ascii="Times New Roman" w:hAnsi="Times New Roman" w:cs="Times New Roman"/>
          <w:sz w:val="24"/>
          <w:szCs w:val="24"/>
        </w:rPr>
        <w:t xml:space="preserve"> from the literature and from the semi-structured interview</w:t>
      </w:r>
      <w:r w:rsidR="009D4A05" w:rsidRPr="00EE0E89">
        <w:rPr>
          <w:rFonts w:ascii="Times New Roman" w:hAnsi="Times New Roman" w:cs="Times New Roman"/>
          <w:sz w:val="24"/>
          <w:szCs w:val="24"/>
        </w:rPr>
        <w:t>s</w:t>
      </w:r>
      <w:r w:rsidR="00A92DB9" w:rsidRPr="00EE0E89">
        <w:rPr>
          <w:rFonts w:ascii="Times New Roman" w:hAnsi="Times New Roman" w:cs="Times New Roman"/>
          <w:sz w:val="24"/>
          <w:szCs w:val="24"/>
        </w:rPr>
        <w:t xml:space="preserve"> held with the selected professionals</w:t>
      </w:r>
      <w:r w:rsidR="00513387" w:rsidRPr="00EE0E89">
        <w:rPr>
          <w:rFonts w:ascii="Times New Roman" w:hAnsi="Times New Roman" w:cs="Times New Roman"/>
          <w:sz w:val="24"/>
          <w:szCs w:val="24"/>
        </w:rPr>
        <w:t xml:space="preserve"> </w:t>
      </w:r>
      <w:r w:rsidR="00D153C3" w:rsidRPr="00EE0E89">
        <w:rPr>
          <w:rFonts w:ascii="Times New Roman" w:hAnsi="Times New Roman" w:cs="Times New Roman"/>
          <w:sz w:val="24"/>
          <w:szCs w:val="24"/>
        </w:rPr>
        <w:t>suggest that the major</w:t>
      </w:r>
      <w:r w:rsidR="00513387" w:rsidRPr="00EE0E89">
        <w:rPr>
          <w:rFonts w:ascii="Times New Roman" w:hAnsi="Times New Roman" w:cs="Times New Roman"/>
          <w:sz w:val="24"/>
          <w:szCs w:val="24"/>
        </w:rPr>
        <w:t xml:space="preserve"> </w:t>
      </w:r>
      <w:r w:rsidR="00D153C3" w:rsidRPr="00EE0E89">
        <w:rPr>
          <w:rFonts w:ascii="Times New Roman" w:hAnsi="Times New Roman" w:cs="Times New Roman"/>
          <w:sz w:val="24"/>
          <w:szCs w:val="24"/>
        </w:rPr>
        <w:t>areas</w:t>
      </w:r>
      <w:r w:rsidR="00513387" w:rsidRPr="00EE0E89">
        <w:rPr>
          <w:rFonts w:ascii="Times New Roman" w:hAnsi="Times New Roman" w:cs="Times New Roman"/>
          <w:sz w:val="24"/>
          <w:szCs w:val="24"/>
        </w:rPr>
        <w:t xml:space="preserve"> </w:t>
      </w:r>
      <w:r w:rsidR="00D153C3" w:rsidRPr="00EE0E89">
        <w:rPr>
          <w:rFonts w:ascii="Times New Roman" w:hAnsi="Times New Roman" w:cs="Times New Roman"/>
          <w:sz w:val="24"/>
          <w:szCs w:val="24"/>
        </w:rPr>
        <w:t>are: lack of</w:t>
      </w:r>
      <w:r w:rsidRPr="00EE0E89">
        <w:rPr>
          <w:rFonts w:ascii="Times New Roman" w:hAnsi="Times New Roman" w:cs="Times New Roman"/>
          <w:sz w:val="24"/>
          <w:szCs w:val="24"/>
        </w:rPr>
        <w:t xml:space="preserve"> awareness </w:t>
      </w:r>
      <w:r w:rsidR="00D153C3" w:rsidRPr="00EE0E89">
        <w:rPr>
          <w:rFonts w:ascii="Times New Roman" w:hAnsi="Times New Roman" w:cs="Times New Roman"/>
          <w:sz w:val="24"/>
          <w:szCs w:val="24"/>
        </w:rPr>
        <w:t xml:space="preserve">of </w:t>
      </w:r>
      <w:r w:rsidR="00014157" w:rsidRPr="00EE0E89">
        <w:rPr>
          <w:rFonts w:ascii="Times New Roman" w:hAnsi="Times New Roman" w:cs="Times New Roman"/>
          <w:sz w:val="24"/>
          <w:szCs w:val="24"/>
        </w:rPr>
        <w:t>the importance of safety and</w:t>
      </w:r>
      <w:r w:rsidR="00D153C3" w:rsidRPr="00EE0E89">
        <w:rPr>
          <w:rFonts w:ascii="Times New Roman" w:hAnsi="Times New Roman" w:cs="Times New Roman"/>
          <w:sz w:val="24"/>
          <w:szCs w:val="24"/>
        </w:rPr>
        <w:t xml:space="preserve"> </w:t>
      </w:r>
      <w:r w:rsidRPr="00EE0E89">
        <w:rPr>
          <w:rFonts w:ascii="Times New Roman" w:hAnsi="Times New Roman" w:cs="Times New Roman"/>
          <w:sz w:val="24"/>
          <w:szCs w:val="24"/>
        </w:rPr>
        <w:t>cost</w:t>
      </w:r>
      <w:r w:rsidR="00D153C3" w:rsidRPr="00EE0E89">
        <w:rPr>
          <w:rFonts w:ascii="Times New Roman" w:hAnsi="Times New Roman" w:cs="Times New Roman"/>
          <w:sz w:val="24"/>
          <w:szCs w:val="24"/>
        </w:rPr>
        <w:t>s</w:t>
      </w:r>
      <w:r w:rsidRPr="00EE0E89">
        <w:rPr>
          <w:rFonts w:ascii="Times New Roman" w:hAnsi="Times New Roman" w:cs="Times New Roman"/>
          <w:sz w:val="24"/>
          <w:szCs w:val="24"/>
        </w:rPr>
        <w:t xml:space="preserve"> </w:t>
      </w:r>
      <w:r w:rsidR="00111B3C" w:rsidRPr="00EE0E89">
        <w:rPr>
          <w:rFonts w:ascii="Times New Roman" w:hAnsi="Times New Roman" w:cs="Times New Roman"/>
          <w:sz w:val="24"/>
          <w:szCs w:val="24"/>
        </w:rPr>
        <w:t xml:space="preserve">resulting from </w:t>
      </w:r>
      <w:r w:rsidRPr="00EE0E89">
        <w:rPr>
          <w:rFonts w:ascii="Times New Roman" w:hAnsi="Times New Roman" w:cs="Times New Roman"/>
          <w:sz w:val="24"/>
          <w:szCs w:val="24"/>
        </w:rPr>
        <w:t>accidents</w:t>
      </w:r>
      <w:r w:rsidR="00D153C3" w:rsidRPr="00EE0E89">
        <w:rPr>
          <w:rFonts w:ascii="Times New Roman" w:hAnsi="Times New Roman" w:cs="Times New Roman"/>
          <w:sz w:val="24"/>
          <w:szCs w:val="24"/>
        </w:rPr>
        <w:t xml:space="preserve">; </w:t>
      </w:r>
      <w:r w:rsidRPr="00EE0E89">
        <w:rPr>
          <w:rFonts w:ascii="Times New Roman" w:hAnsi="Times New Roman" w:cs="Times New Roman"/>
          <w:sz w:val="24"/>
          <w:szCs w:val="24"/>
        </w:rPr>
        <w:t>env</w:t>
      </w:r>
      <w:r w:rsidR="00D153C3" w:rsidRPr="00EE0E89">
        <w:rPr>
          <w:rFonts w:ascii="Times New Roman" w:hAnsi="Times New Roman" w:cs="Times New Roman"/>
          <w:sz w:val="24"/>
          <w:szCs w:val="24"/>
        </w:rPr>
        <w:t>ironmental and climatic factors;</w:t>
      </w:r>
      <w:r w:rsidRPr="00EE0E89">
        <w:rPr>
          <w:rFonts w:ascii="Times New Roman" w:hAnsi="Times New Roman" w:cs="Times New Roman"/>
          <w:sz w:val="24"/>
          <w:szCs w:val="24"/>
        </w:rPr>
        <w:t xml:space="preserve"> </w:t>
      </w:r>
      <w:r w:rsidR="00EC175A" w:rsidRPr="00EE0E89">
        <w:rPr>
          <w:rFonts w:ascii="Times New Roman" w:hAnsi="Times New Roman" w:cs="Times New Roman"/>
          <w:sz w:val="24"/>
          <w:szCs w:val="24"/>
        </w:rPr>
        <w:t xml:space="preserve">implementation of </w:t>
      </w:r>
      <w:r w:rsidR="00014157" w:rsidRPr="00EE0E89">
        <w:rPr>
          <w:rFonts w:ascii="Times New Roman" w:hAnsi="Times New Roman" w:cs="Times New Roman"/>
          <w:sz w:val="24"/>
          <w:szCs w:val="24"/>
        </w:rPr>
        <w:t xml:space="preserve">rules for </w:t>
      </w:r>
      <w:r w:rsidR="00EC175A" w:rsidRPr="00EE0E89">
        <w:rPr>
          <w:rFonts w:ascii="Times New Roman" w:hAnsi="Times New Roman" w:cs="Times New Roman"/>
          <w:sz w:val="24"/>
          <w:szCs w:val="24"/>
        </w:rPr>
        <w:t>develop</w:t>
      </w:r>
      <w:r w:rsidR="00014157" w:rsidRPr="00EE0E89">
        <w:rPr>
          <w:rFonts w:ascii="Times New Roman" w:hAnsi="Times New Roman" w:cs="Times New Roman"/>
          <w:sz w:val="24"/>
          <w:szCs w:val="24"/>
        </w:rPr>
        <w:t>ing</w:t>
      </w:r>
      <w:r w:rsidR="00111B3C" w:rsidRPr="00EE0E89">
        <w:rPr>
          <w:rFonts w:ascii="Times New Roman" w:hAnsi="Times New Roman" w:cs="Times New Roman"/>
          <w:sz w:val="24"/>
          <w:szCs w:val="24"/>
        </w:rPr>
        <w:t xml:space="preserve"> a culture </w:t>
      </w:r>
      <w:r w:rsidR="00EC175A" w:rsidRPr="00EE0E89">
        <w:rPr>
          <w:rFonts w:ascii="Times New Roman" w:hAnsi="Times New Roman" w:cs="Times New Roman"/>
          <w:sz w:val="24"/>
          <w:szCs w:val="24"/>
        </w:rPr>
        <w:t xml:space="preserve">of </w:t>
      </w:r>
      <w:r w:rsidR="00014157" w:rsidRPr="00EE0E89">
        <w:rPr>
          <w:rFonts w:ascii="Times New Roman" w:hAnsi="Times New Roman" w:cs="Times New Roman"/>
          <w:sz w:val="24"/>
          <w:szCs w:val="24"/>
        </w:rPr>
        <w:t>harmless</w:t>
      </w:r>
      <w:r w:rsidR="00EC175A" w:rsidRPr="00EE0E89">
        <w:rPr>
          <w:rFonts w:ascii="Times New Roman" w:hAnsi="Times New Roman" w:cs="Times New Roman"/>
          <w:sz w:val="24"/>
          <w:szCs w:val="24"/>
        </w:rPr>
        <w:t xml:space="preserve"> working conditions</w:t>
      </w:r>
      <w:r w:rsidRPr="00EE0E89">
        <w:rPr>
          <w:rFonts w:ascii="Times New Roman" w:hAnsi="Times New Roman" w:cs="Times New Roman"/>
          <w:sz w:val="24"/>
          <w:szCs w:val="24"/>
        </w:rPr>
        <w:t xml:space="preserve">.     </w:t>
      </w:r>
    </w:p>
    <w:p w14:paraId="2D88E6EE" w14:textId="6CB25C9A" w:rsidR="009F1BF0" w:rsidRDefault="4D164855" w:rsidP="4D164855">
      <w:pPr>
        <w:spacing w:line="360" w:lineRule="auto"/>
        <w:jc w:val="both"/>
        <w:rPr>
          <w:rFonts w:ascii="Times New Roman" w:hAnsi="Times New Roman" w:cs="Times New Roman"/>
          <w:b/>
          <w:sz w:val="24"/>
        </w:rPr>
      </w:pPr>
      <w:r w:rsidRPr="4D164855">
        <w:rPr>
          <w:rFonts w:ascii="Times New Roman" w:hAnsi="Times New Roman" w:cs="Times New Roman"/>
          <w:b/>
          <w:bCs/>
          <w:sz w:val="24"/>
          <w:szCs w:val="24"/>
        </w:rPr>
        <w:t xml:space="preserve">Keywords: </w:t>
      </w:r>
      <w:r w:rsidR="00764B06">
        <w:rPr>
          <w:rFonts w:ascii="Times New Roman" w:hAnsi="Times New Roman" w:cs="Times New Roman"/>
          <w:b/>
          <w:bCs/>
          <w:sz w:val="24"/>
          <w:szCs w:val="24"/>
        </w:rPr>
        <w:t xml:space="preserve">Project Management, Construction Management, </w:t>
      </w:r>
      <w:r w:rsidR="00C62B3F">
        <w:rPr>
          <w:rFonts w:ascii="Times New Roman" w:hAnsi="Times New Roman" w:cs="Times New Roman"/>
          <w:b/>
          <w:sz w:val="24"/>
        </w:rPr>
        <w:t xml:space="preserve">Safety &amp; hazards, Management, Health &amp; </w:t>
      </w:r>
      <w:r w:rsidR="00267433">
        <w:rPr>
          <w:rFonts w:ascii="Times New Roman" w:hAnsi="Times New Roman" w:cs="Times New Roman"/>
          <w:b/>
          <w:sz w:val="24"/>
        </w:rPr>
        <w:t>S</w:t>
      </w:r>
      <w:r w:rsidR="00C62B3F">
        <w:rPr>
          <w:rFonts w:ascii="Times New Roman" w:hAnsi="Times New Roman" w:cs="Times New Roman"/>
          <w:b/>
          <w:sz w:val="24"/>
        </w:rPr>
        <w:t>afety</w:t>
      </w:r>
      <w:r w:rsidR="00267433">
        <w:rPr>
          <w:rFonts w:ascii="Times New Roman" w:hAnsi="Times New Roman" w:cs="Times New Roman"/>
          <w:b/>
          <w:sz w:val="24"/>
        </w:rPr>
        <w:t>, Heat Stress, Safety Climate, Health Factors,</w:t>
      </w:r>
      <w:r w:rsidR="00F729CA">
        <w:rPr>
          <w:rFonts w:ascii="Times New Roman" w:hAnsi="Times New Roman" w:cs="Times New Roman"/>
          <w:b/>
          <w:sz w:val="24"/>
        </w:rPr>
        <w:t xml:space="preserve"> Systematic Review,</w:t>
      </w:r>
      <w:r w:rsidR="00267433">
        <w:rPr>
          <w:rFonts w:ascii="Times New Roman" w:hAnsi="Times New Roman" w:cs="Times New Roman"/>
          <w:b/>
          <w:sz w:val="24"/>
        </w:rPr>
        <w:t xml:space="preserve"> GCC Countries</w:t>
      </w:r>
      <w:r w:rsidR="00C62B3F">
        <w:rPr>
          <w:rFonts w:ascii="Times New Roman" w:hAnsi="Times New Roman" w:cs="Times New Roman"/>
          <w:b/>
          <w:sz w:val="24"/>
        </w:rPr>
        <w:t>.</w:t>
      </w:r>
    </w:p>
    <w:p w14:paraId="7003C060" w14:textId="5598B0E7" w:rsidR="00F729CA" w:rsidRPr="00F729CA" w:rsidRDefault="00F729CA" w:rsidP="00F729CA">
      <w:pPr>
        <w:spacing w:after="0" w:line="360" w:lineRule="auto"/>
        <w:jc w:val="both"/>
        <w:rPr>
          <w:rFonts w:ascii="Times New Roman" w:eastAsia="SimSun" w:hAnsi="Times New Roman" w:cs="Times New Roman"/>
          <w:sz w:val="24"/>
          <w:lang w:val="en-GB"/>
        </w:rPr>
      </w:pPr>
      <w:r w:rsidRPr="00F729CA">
        <w:rPr>
          <w:rFonts w:ascii="Times New Roman" w:eastAsia="SimSun" w:hAnsi="Times New Roman" w:cs="Times New Roman"/>
          <w:b/>
          <w:sz w:val="24"/>
          <w:lang w:val="en-GB"/>
        </w:rPr>
        <w:t xml:space="preserve">Biographical notes: </w:t>
      </w:r>
      <w:r w:rsidRPr="00F729CA">
        <w:rPr>
          <w:rFonts w:ascii="Times New Roman" w:eastAsia="SimSun" w:hAnsi="Times New Roman" w:cs="Times New Roman"/>
          <w:sz w:val="24"/>
          <w:lang w:val="en-GB"/>
        </w:rPr>
        <w:t>Tariq Umar</w:t>
      </w:r>
      <w:r>
        <w:rPr>
          <w:rFonts w:ascii="Times New Roman" w:eastAsia="SimSun" w:hAnsi="Times New Roman" w:cs="Times New Roman"/>
          <w:sz w:val="24"/>
          <w:lang w:val="en-GB"/>
        </w:rPr>
        <w:t xml:space="preserve"> has completed his Ph.D. </w:t>
      </w:r>
      <w:r w:rsidRPr="00F729CA">
        <w:rPr>
          <w:rFonts w:ascii="Times New Roman" w:eastAsia="SimSun" w:hAnsi="Times New Roman" w:cs="Times New Roman"/>
          <w:sz w:val="24"/>
          <w:lang w:val="en-GB"/>
        </w:rPr>
        <w:t xml:space="preserve">degree in </w:t>
      </w:r>
      <w:r>
        <w:rPr>
          <w:rFonts w:ascii="Times New Roman" w:eastAsia="SimSun" w:hAnsi="Times New Roman" w:cs="Times New Roman"/>
          <w:sz w:val="24"/>
          <w:lang w:val="en-GB"/>
        </w:rPr>
        <w:t>Construction Management from London South Bank University, UK</w:t>
      </w:r>
      <w:r w:rsidRPr="00F729CA">
        <w:rPr>
          <w:rFonts w:ascii="Times New Roman" w:eastAsia="SimSun" w:hAnsi="Times New Roman" w:cs="Times New Roman"/>
          <w:sz w:val="24"/>
          <w:lang w:val="en-GB"/>
        </w:rPr>
        <w:t xml:space="preserve"> and registered as a Chartered Civil Engineer (CEng)/ International Professional Engineer (</w:t>
      </w:r>
      <w:proofErr w:type="spellStart"/>
      <w:r w:rsidRPr="00F729CA">
        <w:rPr>
          <w:rFonts w:ascii="Times New Roman" w:eastAsia="SimSun" w:hAnsi="Times New Roman" w:cs="Times New Roman"/>
          <w:sz w:val="24"/>
          <w:lang w:val="en-GB"/>
        </w:rPr>
        <w:t>IntPE</w:t>
      </w:r>
      <w:proofErr w:type="spellEnd"/>
      <w:r w:rsidRPr="00F729CA">
        <w:rPr>
          <w:rFonts w:ascii="Times New Roman" w:eastAsia="SimSun" w:hAnsi="Times New Roman" w:cs="Times New Roman"/>
          <w:sz w:val="24"/>
          <w:lang w:val="en-GB"/>
        </w:rPr>
        <w:t xml:space="preserve">) with Engineering Council UK. He has more than 15 years of academic research and teaching experience and has published several research articles in the area of construction management, renewable energy, engineering sustainability, </w:t>
      </w:r>
      <w:r w:rsidR="000B5AC5">
        <w:rPr>
          <w:rFonts w:ascii="Times New Roman" w:eastAsia="SimSun" w:hAnsi="Times New Roman" w:cs="Times New Roman"/>
          <w:sz w:val="24"/>
          <w:lang w:val="en-GB"/>
        </w:rPr>
        <w:t xml:space="preserve">construction </w:t>
      </w:r>
      <w:r w:rsidRPr="00F729CA">
        <w:rPr>
          <w:rFonts w:ascii="Times New Roman" w:eastAsia="SimSun" w:hAnsi="Times New Roman" w:cs="Times New Roman"/>
          <w:sz w:val="24"/>
          <w:lang w:val="en-GB"/>
        </w:rPr>
        <w:t>materials</w:t>
      </w:r>
      <w:r w:rsidR="000B5AC5">
        <w:rPr>
          <w:rFonts w:ascii="Times New Roman" w:eastAsia="SimSun" w:hAnsi="Times New Roman" w:cs="Times New Roman"/>
          <w:sz w:val="24"/>
          <w:lang w:val="en-GB"/>
        </w:rPr>
        <w:t>, and waste and resource management</w:t>
      </w:r>
      <w:r w:rsidRPr="00F729CA">
        <w:rPr>
          <w:rFonts w:ascii="Times New Roman" w:eastAsia="SimSun" w:hAnsi="Times New Roman" w:cs="Times New Roman"/>
          <w:sz w:val="24"/>
          <w:lang w:val="en-GB"/>
        </w:rPr>
        <w:t>. Additionally, he has served in the civil engineering industry for 4 years. He is an approved mento</w:t>
      </w:r>
      <w:bookmarkStart w:id="0" w:name="_GoBack"/>
      <w:bookmarkEnd w:id="0"/>
      <w:r w:rsidRPr="00F729CA">
        <w:rPr>
          <w:rFonts w:ascii="Times New Roman" w:eastAsia="SimSun" w:hAnsi="Times New Roman" w:cs="Times New Roman"/>
          <w:sz w:val="24"/>
          <w:lang w:val="en-GB"/>
        </w:rPr>
        <w:t>r of the Institution of Civil Engineers</w:t>
      </w:r>
      <w:r w:rsidR="003B78D3">
        <w:rPr>
          <w:rFonts w:ascii="Times New Roman" w:eastAsia="SimSun" w:hAnsi="Times New Roman" w:cs="Times New Roman"/>
          <w:sz w:val="24"/>
          <w:lang w:val="en-GB"/>
        </w:rPr>
        <w:t xml:space="preserve"> (ICE, </w:t>
      </w:r>
      <w:r w:rsidRPr="00F729CA">
        <w:rPr>
          <w:rFonts w:ascii="Times New Roman" w:eastAsia="SimSun" w:hAnsi="Times New Roman" w:cs="Times New Roman"/>
          <w:sz w:val="24"/>
          <w:lang w:val="en-GB"/>
        </w:rPr>
        <w:t>UK)</w:t>
      </w:r>
      <w:r w:rsidR="003B78D3">
        <w:rPr>
          <w:rFonts w:ascii="Times New Roman" w:eastAsia="SimSun" w:hAnsi="Times New Roman" w:cs="Times New Roman"/>
          <w:sz w:val="24"/>
          <w:lang w:val="en-GB"/>
        </w:rPr>
        <w:t xml:space="preserve"> and a member of the ICE Oman management committee. He is also serving as member of the editorial board/advisor for a number of journals. </w:t>
      </w:r>
      <w:r>
        <w:rPr>
          <w:rFonts w:ascii="Times New Roman" w:eastAsia="SimSun" w:hAnsi="Times New Roman" w:cs="Times New Roman"/>
          <w:sz w:val="24"/>
          <w:lang w:val="en-GB"/>
        </w:rPr>
        <w:t xml:space="preserve">His research </w:t>
      </w:r>
      <w:r w:rsidR="003419F8">
        <w:rPr>
          <w:rFonts w:ascii="Times New Roman" w:eastAsia="SimSun" w:hAnsi="Times New Roman" w:cs="Times New Roman"/>
          <w:sz w:val="24"/>
          <w:lang w:val="en-GB"/>
        </w:rPr>
        <w:t xml:space="preserve">interest </w:t>
      </w:r>
      <w:r>
        <w:rPr>
          <w:rFonts w:ascii="Times New Roman" w:eastAsia="SimSun" w:hAnsi="Times New Roman" w:cs="Times New Roman"/>
          <w:sz w:val="24"/>
          <w:lang w:val="en-GB"/>
        </w:rPr>
        <w:t xml:space="preserve">includes but not limited to, Construction Management, Safety and Health, Engineering Sustainability, Construction Materials, Renewable Energy, and Waste and Resources Management. </w:t>
      </w:r>
    </w:p>
    <w:p w14:paraId="5AF819A3" w14:textId="77777777" w:rsidR="00F729CA" w:rsidRPr="00F729CA" w:rsidRDefault="00F729CA" w:rsidP="00F729CA">
      <w:pPr>
        <w:spacing w:after="0" w:line="360" w:lineRule="auto"/>
        <w:jc w:val="both"/>
        <w:rPr>
          <w:rFonts w:ascii="Times New Roman" w:eastAsia="SimSun" w:hAnsi="Times New Roman" w:cs="Times New Roman"/>
          <w:sz w:val="24"/>
          <w:lang w:val="en-GB"/>
        </w:rPr>
      </w:pPr>
    </w:p>
    <w:p w14:paraId="7AFC584E" w14:textId="77777777" w:rsidR="00F729CA" w:rsidRPr="00F729CA" w:rsidRDefault="00F729CA" w:rsidP="00F729CA">
      <w:pPr>
        <w:spacing w:after="0" w:line="360" w:lineRule="auto"/>
        <w:jc w:val="both"/>
        <w:rPr>
          <w:rFonts w:ascii="Times New Roman" w:eastAsia="SimSun" w:hAnsi="Times New Roman" w:cs="Times New Roman"/>
          <w:sz w:val="24"/>
          <w:lang w:val="en-GB"/>
        </w:rPr>
      </w:pPr>
      <w:r w:rsidRPr="00F729CA">
        <w:rPr>
          <w:rFonts w:ascii="Times New Roman" w:eastAsia="SimSun" w:hAnsi="Times New Roman" w:cs="Times New Roman"/>
          <w:sz w:val="24"/>
          <w:lang w:val="en-GB"/>
        </w:rPr>
        <w:t xml:space="preserve">Professor Charles </w:t>
      </w:r>
      <w:proofErr w:type="spellStart"/>
      <w:r w:rsidRPr="00F729CA">
        <w:rPr>
          <w:rFonts w:ascii="Times New Roman" w:eastAsia="SimSun" w:hAnsi="Times New Roman" w:cs="Times New Roman"/>
          <w:sz w:val="24"/>
          <w:lang w:val="en-GB"/>
        </w:rPr>
        <w:t>Egbu</w:t>
      </w:r>
      <w:proofErr w:type="spellEnd"/>
      <w:r w:rsidRPr="00F729CA">
        <w:rPr>
          <w:rFonts w:ascii="Times New Roman" w:eastAsia="SimSun" w:hAnsi="Times New Roman" w:cs="Times New Roman"/>
          <w:sz w:val="24"/>
          <w:lang w:val="en-GB"/>
        </w:rPr>
        <w:t xml:space="preserve"> is Pro-Vice Chancellor (Education &amp; Experience) at the University </w:t>
      </w:r>
      <w:proofErr w:type="gramStart"/>
      <w:r w:rsidRPr="00F729CA">
        <w:rPr>
          <w:rFonts w:ascii="Times New Roman" w:eastAsia="SimSun" w:hAnsi="Times New Roman" w:cs="Times New Roman"/>
          <w:sz w:val="24"/>
          <w:lang w:val="en-GB"/>
        </w:rPr>
        <w:t>of</w:t>
      </w:r>
      <w:proofErr w:type="gramEnd"/>
      <w:r w:rsidRPr="00F729CA">
        <w:rPr>
          <w:rFonts w:ascii="Times New Roman" w:eastAsia="SimSun" w:hAnsi="Times New Roman" w:cs="Times New Roman"/>
          <w:sz w:val="24"/>
          <w:lang w:val="en-GB"/>
        </w:rPr>
        <w:t xml:space="preserve"> East London, England, UK. He was formerly the Dean of School of the Built Environment and Architecture, London South Bank University, UK, where he held the Chair in Project Management and Strategic Management in Construction. He has also held academic posts at University College London (UCL), University of Salford, Leeds Metropolitan University, and Glasgow Caledonian University. He has contributed over 350 publications in various international journals and conferences and has hosted, chaired and spoken at many conferences in his areas of expertise.</w:t>
      </w:r>
    </w:p>
    <w:p w14:paraId="3DD49D39" w14:textId="77777777" w:rsidR="00F729CA" w:rsidRPr="00F729CA" w:rsidRDefault="00F729CA" w:rsidP="00F729CA">
      <w:pPr>
        <w:spacing w:after="0" w:line="360" w:lineRule="auto"/>
        <w:jc w:val="both"/>
        <w:rPr>
          <w:rFonts w:ascii="Times New Roman" w:eastAsia="SimSun" w:hAnsi="Times New Roman" w:cs="Times New Roman"/>
          <w:sz w:val="24"/>
          <w:lang w:val="en-GB"/>
        </w:rPr>
      </w:pPr>
    </w:p>
    <w:p w14:paraId="20A07B56" w14:textId="77777777" w:rsidR="00F729CA" w:rsidRPr="00F729CA" w:rsidRDefault="00F729CA" w:rsidP="00F729CA">
      <w:pPr>
        <w:spacing w:after="0" w:line="360" w:lineRule="auto"/>
        <w:jc w:val="both"/>
        <w:rPr>
          <w:rFonts w:ascii="Times New Roman" w:eastAsia="SimSun" w:hAnsi="Times New Roman" w:cs="Times New Roman"/>
          <w:sz w:val="24"/>
          <w:lang w:val="en-GB"/>
        </w:rPr>
      </w:pPr>
      <w:proofErr w:type="spellStart"/>
      <w:r w:rsidRPr="00F729CA">
        <w:rPr>
          <w:rFonts w:ascii="Times New Roman" w:eastAsia="SimSun" w:hAnsi="Times New Roman" w:cs="Times New Roman"/>
          <w:sz w:val="24"/>
          <w:lang w:val="en-GB"/>
        </w:rPr>
        <w:lastRenderedPageBreak/>
        <w:t>Prof.</w:t>
      </w:r>
      <w:proofErr w:type="spellEnd"/>
      <w:r w:rsidRPr="00F729CA">
        <w:rPr>
          <w:rFonts w:ascii="Times New Roman" w:eastAsia="SimSun" w:hAnsi="Times New Roman" w:cs="Times New Roman"/>
          <w:sz w:val="24"/>
          <w:lang w:val="en-GB"/>
        </w:rPr>
        <w:t xml:space="preserve"> </w:t>
      </w:r>
      <w:proofErr w:type="spellStart"/>
      <w:r w:rsidRPr="00F729CA">
        <w:rPr>
          <w:rFonts w:ascii="Times New Roman" w:eastAsia="SimSun" w:hAnsi="Times New Roman" w:cs="Times New Roman"/>
          <w:sz w:val="24"/>
          <w:lang w:val="en-GB"/>
        </w:rPr>
        <w:t>Ofori</w:t>
      </w:r>
      <w:proofErr w:type="spellEnd"/>
      <w:r w:rsidRPr="00F729CA">
        <w:rPr>
          <w:rFonts w:ascii="Times New Roman" w:eastAsia="SimSun" w:hAnsi="Times New Roman" w:cs="Times New Roman"/>
          <w:sz w:val="24"/>
          <w:lang w:val="en-GB"/>
        </w:rPr>
        <w:t xml:space="preserve"> specialises in Construction Management and Economics, at the project, company and industry levels. His main subject of research is the improvement of the capacity and capability of the construction industry, especially in developing countries. </w:t>
      </w:r>
      <w:proofErr w:type="spellStart"/>
      <w:r w:rsidRPr="00F729CA">
        <w:rPr>
          <w:rFonts w:ascii="Times New Roman" w:eastAsia="SimSun" w:hAnsi="Times New Roman" w:cs="Times New Roman"/>
          <w:sz w:val="24"/>
          <w:lang w:val="en-GB"/>
        </w:rPr>
        <w:t>Prof.</w:t>
      </w:r>
      <w:proofErr w:type="spellEnd"/>
      <w:r w:rsidRPr="00F729CA">
        <w:rPr>
          <w:rFonts w:ascii="Times New Roman" w:eastAsia="SimSun" w:hAnsi="Times New Roman" w:cs="Times New Roman"/>
          <w:sz w:val="24"/>
          <w:lang w:val="en-GB"/>
        </w:rPr>
        <w:t xml:space="preserve"> </w:t>
      </w:r>
      <w:proofErr w:type="spellStart"/>
      <w:r w:rsidRPr="00F729CA">
        <w:rPr>
          <w:rFonts w:ascii="Times New Roman" w:eastAsia="SimSun" w:hAnsi="Times New Roman" w:cs="Times New Roman"/>
          <w:sz w:val="24"/>
          <w:lang w:val="en-GB"/>
        </w:rPr>
        <w:t>Ofori</w:t>
      </w:r>
      <w:proofErr w:type="spellEnd"/>
      <w:r w:rsidRPr="00F729CA">
        <w:rPr>
          <w:rFonts w:ascii="Times New Roman" w:eastAsia="SimSun" w:hAnsi="Times New Roman" w:cs="Times New Roman"/>
          <w:sz w:val="24"/>
          <w:lang w:val="en-GB"/>
        </w:rPr>
        <w:t xml:space="preserve"> was educated at the University of Science and Technology in Kumasi, Ghana where he obtained a BSc (Building Technology in Quantity Surveying). He worked briefly in that university as a Teaching Assistant before proceeding to the UK to study for an MSc (Building Economics and Management) (Distinction) degree at University College London, from where he also obtained a Ph.D. degree in 1981. </w:t>
      </w:r>
    </w:p>
    <w:p w14:paraId="47A84DBC" w14:textId="77777777" w:rsidR="00F729CA" w:rsidRPr="00F729CA" w:rsidRDefault="00F729CA" w:rsidP="00F729CA">
      <w:pPr>
        <w:spacing w:after="0" w:line="360" w:lineRule="auto"/>
        <w:jc w:val="both"/>
        <w:rPr>
          <w:rFonts w:ascii="Times New Roman" w:eastAsia="SimSun" w:hAnsi="Times New Roman" w:cs="Times New Roman"/>
          <w:sz w:val="24"/>
          <w:lang w:val="en-GB"/>
        </w:rPr>
      </w:pPr>
    </w:p>
    <w:p w14:paraId="1EBB07AE" w14:textId="5FB75B07" w:rsidR="00F729CA" w:rsidRPr="00F729CA" w:rsidRDefault="00F729CA" w:rsidP="00F729CA">
      <w:pPr>
        <w:spacing w:after="0" w:line="360" w:lineRule="auto"/>
        <w:jc w:val="both"/>
        <w:rPr>
          <w:rFonts w:ascii="Times New Roman" w:eastAsia="SimSun" w:hAnsi="Times New Roman" w:cs="Times New Roman"/>
          <w:sz w:val="24"/>
          <w:lang w:val="en-GB"/>
        </w:rPr>
      </w:pPr>
      <w:r w:rsidRPr="00F729CA">
        <w:rPr>
          <w:rFonts w:ascii="Times New Roman" w:eastAsia="SimSun" w:hAnsi="Times New Roman" w:cs="Times New Roman"/>
          <w:sz w:val="24"/>
          <w:lang w:val="en-GB"/>
        </w:rPr>
        <w:t xml:space="preserve">Mr. Mohamed Shaik </w:t>
      </w:r>
      <w:proofErr w:type="spellStart"/>
      <w:r w:rsidRPr="00F729CA">
        <w:rPr>
          <w:rFonts w:ascii="Times New Roman" w:eastAsia="SimSun" w:hAnsi="Times New Roman" w:cs="Times New Roman"/>
          <w:sz w:val="24"/>
          <w:lang w:val="en-GB"/>
        </w:rPr>
        <w:t>Honnur</w:t>
      </w:r>
      <w:proofErr w:type="spellEnd"/>
      <w:r w:rsidRPr="00F729CA">
        <w:rPr>
          <w:rFonts w:ascii="Times New Roman" w:eastAsia="SimSun" w:hAnsi="Times New Roman" w:cs="Times New Roman"/>
          <w:sz w:val="24"/>
          <w:lang w:val="en-GB"/>
        </w:rPr>
        <w:t xml:space="preserve"> Vali is currently a lecturer in </w:t>
      </w:r>
      <w:r>
        <w:rPr>
          <w:rFonts w:ascii="Times New Roman" w:eastAsia="SimSun" w:hAnsi="Times New Roman" w:cs="Times New Roman"/>
          <w:sz w:val="24"/>
          <w:lang w:val="en-GB"/>
        </w:rPr>
        <w:t xml:space="preserve">the </w:t>
      </w:r>
      <w:r w:rsidRPr="00F729CA">
        <w:rPr>
          <w:rFonts w:ascii="Times New Roman" w:eastAsia="SimSun" w:hAnsi="Times New Roman" w:cs="Times New Roman"/>
          <w:sz w:val="24"/>
          <w:lang w:val="en-GB"/>
        </w:rPr>
        <w:t xml:space="preserve">Electronics and Communication </w:t>
      </w:r>
      <w:r>
        <w:rPr>
          <w:rFonts w:ascii="Times New Roman" w:eastAsia="SimSun" w:hAnsi="Times New Roman" w:cs="Times New Roman"/>
          <w:sz w:val="24"/>
          <w:lang w:val="en-GB"/>
        </w:rPr>
        <w:t>D</w:t>
      </w:r>
      <w:r w:rsidRPr="00F729CA">
        <w:rPr>
          <w:rFonts w:ascii="Times New Roman" w:eastAsia="SimSun" w:hAnsi="Times New Roman" w:cs="Times New Roman"/>
          <w:sz w:val="24"/>
          <w:lang w:val="en-GB"/>
        </w:rPr>
        <w:t xml:space="preserve">epartment, College of Engineering at </w:t>
      </w:r>
      <w:proofErr w:type="spellStart"/>
      <w:r w:rsidRPr="00F729CA">
        <w:rPr>
          <w:rFonts w:ascii="Times New Roman" w:eastAsia="SimSun" w:hAnsi="Times New Roman" w:cs="Times New Roman"/>
          <w:sz w:val="24"/>
          <w:lang w:val="en-GB"/>
        </w:rPr>
        <w:t>A’Sharqiyah</w:t>
      </w:r>
      <w:proofErr w:type="spellEnd"/>
      <w:r w:rsidRPr="00F729CA">
        <w:rPr>
          <w:rFonts w:ascii="Times New Roman" w:eastAsia="SimSun" w:hAnsi="Times New Roman" w:cs="Times New Roman"/>
          <w:sz w:val="24"/>
          <w:lang w:val="en-GB"/>
        </w:rPr>
        <w:t xml:space="preserve"> University, Sultanate of Oman. He has four years of experience in academics and research with several international journals and conference publications. His research interests are renewable energies, smart cities, </w:t>
      </w:r>
      <w:proofErr w:type="gramStart"/>
      <w:r w:rsidRPr="00F729CA">
        <w:rPr>
          <w:rFonts w:ascii="Times New Roman" w:eastAsia="SimSun" w:hAnsi="Times New Roman" w:cs="Times New Roman"/>
          <w:sz w:val="24"/>
          <w:lang w:val="en-GB"/>
        </w:rPr>
        <w:t>wireless</w:t>
      </w:r>
      <w:proofErr w:type="gramEnd"/>
      <w:r w:rsidRPr="00F729CA">
        <w:rPr>
          <w:rFonts w:ascii="Times New Roman" w:eastAsia="SimSun" w:hAnsi="Times New Roman" w:cs="Times New Roman"/>
          <w:sz w:val="24"/>
          <w:lang w:val="en-GB"/>
        </w:rPr>
        <w:t xml:space="preserve"> communications. He is a member of the institution of Engineers (UK) and is working towards his professional registration with the engineering council. Prior to joining academics, he has an industrial experience of two years. He is also serving as IET Young Professionals Mentor in the Oman section.</w:t>
      </w:r>
    </w:p>
    <w:p w14:paraId="082264A6" w14:textId="77777777" w:rsidR="00F729CA" w:rsidRPr="00F729CA" w:rsidRDefault="00F729CA" w:rsidP="00F729CA">
      <w:pPr>
        <w:spacing w:after="0" w:line="360" w:lineRule="auto"/>
        <w:jc w:val="both"/>
        <w:rPr>
          <w:rFonts w:ascii="Times New Roman" w:eastAsia="SimSun" w:hAnsi="Times New Roman" w:cs="Times New Roman"/>
          <w:sz w:val="24"/>
          <w:lang w:val="en-GB"/>
        </w:rPr>
      </w:pPr>
    </w:p>
    <w:p w14:paraId="2A7BDDE4" w14:textId="182C1322" w:rsidR="00F729CA" w:rsidRPr="00F729CA" w:rsidRDefault="00F729CA" w:rsidP="00F729CA">
      <w:pPr>
        <w:spacing w:after="0" w:line="360" w:lineRule="auto"/>
        <w:jc w:val="both"/>
        <w:rPr>
          <w:rFonts w:ascii="Times New Roman" w:eastAsia="SimSun" w:hAnsi="Times New Roman" w:cs="Times New Roman"/>
          <w:sz w:val="24"/>
          <w:lang w:val="en-GB"/>
        </w:rPr>
      </w:pPr>
      <w:r w:rsidRPr="00F729CA">
        <w:rPr>
          <w:rFonts w:ascii="Times New Roman" w:eastAsia="SimSun" w:hAnsi="Times New Roman" w:cs="Times New Roman"/>
          <w:sz w:val="24"/>
          <w:lang w:val="en-GB"/>
        </w:rPr>
        <w:t xml:space="preserve">After completing his first degree in Civil Engineering, </w:t>
      </w:r>
      <w:proofErr w:type="spellStart"/>
      <w:r w:rsidRPr="00F729CA">
        <w:rPr>
          <w:rFonts w:ascii="Times New Roman" w:eastAsia="SimSun" w:hAnsi="Times New Roman" w:cs="Times New Roman"/>
          <w:sz w:val="24"/>
          <w:lang w:val="en-GB"/>
        </w:rPr>
        <w:t>Messaoud</w:t>
      </w:r>
      <w:proofErr w:type="spellEnd"/>
      <w:r w:rsidRPr="00F729CA">
        <w:rPr>
          <w:rFonts w:ascii="Times New Roman" w:eastAsia="SimSun" w:hAnsi="Times New Roman" w:cs="Times New Roman"/>
          <w:sz w:val="24"/>
          <w:lang w:val="en-GB"/>
        </w:rPr>
        <w:t xml:space="preserve"> embarked on a Ph.D. in Structural Engineering at The University of Nottingham, which he successfully completed in 1991. He then stayed on as a post-doctoral research fellow working on a number of pan-European and UK projects. He joined Coventry University in 1995 where is currently a Reader and Head of Research in the School of Energy, Construction and Environment. </w:t>
      </w:r>
      <w:proofErr w:type="spellStart"/>
      <w:r w:rsidRPr="00F729CA">
        <w:rPr>
          <w:rFonts w:ascii="Times New Roman" w:eastAsia="SimSun" w:hAnsi="Times New Roman" w:cs="Times New Roman"/>
          <w:sz w:val="24"/>
          <w:lang w:val="en-GB"/>
        </w:rPr>
        <w:t>Messaoud</w:t>
      </w:r>
      <w:proofErr w:type="spellEnd"/>
      <w:r w:rsidRPr="00F729CA">
        <w:rPr>
          <w:rFonts w:ascii="Times New Roman" w:eastAsia="SimSun" w:hAnsi="Times New Roman" w:cs="Times New Roman"/>
          <w:sz w:val="24"/>
          <w:lang w:val="en-GB"/>
        </w:rPr>
        <w:t xml:space="preserve"> is a Chartered Engineer and Member of the Institution of Structural Engineers, with over 25 years’ experience in teaching, research</w:t>
      </w:r>
      <w:r>
        <w:rPr>
          <w:rFonts w:ascii="Times New Roman" w:eastAsia="SimSun" w:hAnsi="Times New Roman" w:cs="Times New Roman"/>
          <w:sz w:val="24"/>
          <w:lang w:val="en-GB"/>
        </w:rPr>
        <w:t>,</w:t>
      </w:r>
      <w:r w:rsidRPr="00F729CA">
        <w:rPr>
          <w:rFonts w:ascii="Times New Roman" w:eastAsia="SimSun" w:hAnsi="Times New Roman" w:cs="Times New Roman"/>
          <w:sz w:val="24"/>
          <w:lang w:val="en-GB"/>
        </w:rPr>
        <w:t xml:space="preserve"> and consultancy. He is the author of over 100 papers and technical reports.</w:t>
      </w:r>
    </w:p>
    <w:p w14:paraId="6CFC4666" w14:textId="77777777" w:rsidR="00F729CA" w:rsidRPr="00F729CA" w:rsidRDefault="00F729CA" w:rsidP="00F729CA">
      <w:pPr>
        <w:spacing w:after="0" w:line="360" w:lineRule="auto"/>
        <w:jc w:val="both"/>
        <w:rPr>
          <w:rFonts w:ascii="Times New Roman" w:eastAsia="SimSun" w:hAnsi="Times New Roman" w:cs="Times New Roman"/>
          <w:sz w:val="24"/>
          <w:lang w:val="en-GB"/>
        </w:rPr>
      </w:pPr>
    </w:p>
    <w:p w14:paraId="25259757" w14:textId="77777777" w:rsidR="00F729CA" w:rsidRPr="00F729CA" w:rsidRDefault="00F729CA" w:rsidP="00F729CA">
      <w:pPr>
        <w:spacing w:after="0" w:line="360" w:lineRule="auto"/>
        <w:jc w:val="both"/>
        <w:rPr>
          <w:rFonts w:ascii="Times New Roman" w:eastAsia="SimSun" w:hAnsi="Times New Roman" w:cs="Times New Roman"/>
          <w:sz w:val="24"/>
          <w:lang w:val="en-GB"/>
        </w:rPr>
      </w:pPr>
      <w:proofErr w:type="spellStart"/>
      <w:r w:rsidRPr="00F729CA">
        <w:rPr>
          <w:rFonts w:ascii="Times New Roman" w:eastAsia="SimSun" w:hAnsi="Times New Roman" w:cs="Times New Roman"/>
          <w:sz w:val="24"/>
          <w:lang w:val="en-GB"/>
        </w:rPr>
        <w:t>Dr.</w:t>
      </w:r>
      <w:proofErr w:type="spellEnd"/>
      <w:r w:rsidRPr="00F729CA">
        <w:rPr>
          <w:rFonts w:ascii="Times New Roman" w:eastAsia="SimSun" w:hAnsi="Times New Roman" w:cs="Times New Roman"/>
          <w:sz w:val="24"/>
          <w:lang w:val="en-GB"/>
        </w:rPr>
        <w:t xml:space="preserve"> Alex </w:t>
      </w:r>
      <w:proofErr w:type="spellStart"/>
      <w:r w:rsidRPr="00F729CA">
        <w:rPr>
          <w:rFonts w:ascii="Times New Roman" w:eastAsia="SimSun" w:hAnsi="Times New Roman" w:cs="Times New Roman"/>
          <w:sz w:val="24"/>
          <w:lang w:val="en-GB"/>
        </w:rPr>
        <w:t>Opoku</w:t>
      </w:r>
      <w:proofErr w:type="spellEnd"/>
      <w:r w:rsidRPr="00F729CA">
        <w:rPr>
          <w:rFonts w:ascii="Times New Roman" w:eastAsia="SimSun" w:hAnsi="Times New Roman" w:cs="Times New Roman"/>
          <w:sz w:val="24"/>
          <w:lang w:val="en-GB"/>
        </w:rPr>
        <w:t xml:space="preserve"> is currently an Associate Professor in Project Management and Quantity Surveying at the Bartlett School of Construction &amp; Project Management, University College London (UCL). He is a Fellow of the Higher Education Academy (FHEA), Chartered Quantity Surveyor (MRICS) and Chartered Construction Manager (MCIOB) with experience in the UK </w:t>
      </w:r>
      <w:r w:rsidRPr="00F729CA">
        <w:rPr>
          <w:rFonts w:ascii="Times New Roman" w:eastAsia="SimSun" w:hAnsi="Times New Roman" w:cs="Times New Roman"/>
          <w:sz w:val="24"/>
          <w:lang w:val="en-GB"/>
        </w:rPr>
        <w:lastRenderedPageBreak/>
        <w:t>Higher Education sector. His research interest is in the area of Sustainable Built Environment with publication in various high impact academic journals. His current research project focuses on the link between the Sustainable Development Goals (SDGs) and the Built Environment.</w:t>
      </w:r>
    </w:p>
    <w:p w14:paraId="5A1104D2" w14:textId="77777777" w:rsidR="00805AE6" w:rsidRPr="00E2539C" w:rsidRDefault="006B775B" w:rsidP="00D74173">
      <w:pPr>
        <w:pStyle w:val="Heading1"/>
        <w:rPr>
          <w:color w:val="auto"/>
        </w:rPr>
      </w:pPr>
      <w:r w:rsidRPr="00E2539C">
        <w:rPr>
          <w:color w:val="auto"/>
        </w:rPr>
        <w:t xml:space="preserve">1. </w:t>
      </w:r>
      <w:r w:rsidR="006F207B" w:rsidRPr="00E2539C">
        <w:rPr>
          <w:color w:val="auto"/>
        </w:rPr>
        <w:t>The Construction Industry:</w:t>
      </w:r>
    </w:p>
    <w:p w14:paraId="5CE76D67" w14:textId="64210093" w:rsidR="00D52E8F" w:rsidRPr="00EE0E89" w:rsidRDefault="00CF591E" w:rsidP="4D164855">
      <w:pPr>
        <w:spacing w:line="360" w:lineRule="auto"/>
        <w:jc w:val="both"/>
        <w:rPr>
          <w:rFonts w:ascii="Times New Roman" w:hAnsi="Times New Roman" w:cs="Times New Roman"/>
          <w:sz w:val="24"/>
          <w:szCs w:val="24"/>
        </w:rPr>
      </w:pPr>
      <w:r w:rsidRPr="00EE0E89">
        <w:rPr>
          <w:rFonts w:ascii="Times New Roman" w:hAnsi="Times New Roman" w:cs="Times New Roman"/>
          <w:sz w:val="24"/>
          <w:szCs w:val="24"/>
        </w:rPr>
        <w:t>Today</w:t>
      </w:r>
      <w:r w:rsidR="00976EC9" w:rsidRPr="00EE0E89">
        <w:rPr>
          <w:rFonts w:ascii="Times New Roman" w:hAnsi="Times New Roman" w:cs="Times New Roman"/>
          <w:sz w:val="24"/>
          <w:szCs w:val="24"/>
        </w:rPr>
        <w:t>,</w:t>
      </w:r>
      <w:r w:rsidRPr="00EE0E89">
        <w:rPr>
          <w:rFonts w:ascii="Times New Roman" w:hAnsi="Times New Roman" w:cs="Times New Roman"/>
          <w:sz w:val="24"/>
          <w:szCs w:val="24"/>
        </w:rPr>
        <w:t xml:space="preserve"> </w:t>
      </w:r>
      <w:r w:rsidR="00976EC9" w:rsidRPr="00EE0E89">
        <w:rPr>
          <w:rFonts w:ascii="Times New Roman" w:hAnsi="Times New Roman" w:cs="Times New Roman"/>
          <w:sz w:val="24"/>
          <w:szCs w:val="24"/>
        </w:rPr>
        <w:t xml:space="preserve">the </w:t>
      </w:r>
      <w:r w:rsidRPr="00EE0E89">
        <w:rPr>
          <w:rFonts w:ascii="Times New Roman" w:hAnsi="Times New Roman" w:cs="Times New Roman"/>
          <w:sz w:val="24"/>
          <w:szCs w:val="24"/>
        </w:rPr>
        <w:t xml:space="preserve">construction industry is not only contributing to the social and economic development of countries but is also a major industry around the world that provides jobs to millions of people and contributes to the economy of countries and the whole world. This fact has been confirmed by different studies, including </w:t>
      </w:r>
      <w:proofErr w:type="spellStart"/>
      <w:r w:rsidRPr="00EE0E89">
        <w:rPr>
          <w:rFonts w:ascii="Times New Roman" w:hAnsi="Times New Roman" w:cs="Times New Roman"/>
          <w:sz w:val="24"/>
          <w:szCs w:val="24"/>
        </w:rPr>
        <w:t>Beven</w:t>
      </w:r>
      <w:proofErr w:type="spellEnd"/>
      <w:r w:rsidRPr="00EE0E89">
        <w:rPr>
          <w:rFonts w:ascii="Times New Roman" w:hAnsi="Times New Roman" w:cs="Times New Roman"/>
          <w:sz w:val="24"/>
          <w:szCs w:val="24"/>
        </w:rPr>
        <w:t xml:space="preserve"> (2010), Umar and </w:t>
      </w:r>
      <w:proofErr w:type="spellStart"/>
      <w:r w:rsidRPr="00EE0E89">
        <w:rPr>
          <w:rFonts w:ascii="Times New Roman" w:hAnsi="Times New Roman" w:cs="Times New Roman"/>
          <w:sz w:val="24"/>
          <w:szCs w:val="24"/>
        </w:rPr>
        <w:t>Egbu</w:t>
      </w:r>
      <w:proofErr w:type="spellEnd"/>
      <w:r w:rsidRPr="00EE0E89">
        <w:rPr>
          <w:rFonts w:ascii="Times New Roman" w:hAnsi="Times New Roman" w:cs="Times New Roman"/>
          <w:sz w:val="24"/>
          <w:szCs w:val="24"/>
        </w:rPr>
        <w:t xml:space="preserve"> (2018</w:t>
      </w:r>
      <w:r w:rsidR="005D5148" w:rsidRPr="00EE0E89">
        <w:rPr>
          <w:rFonts w:ascii="Times New Roman" w:hAnsi="Times New Roman" w:cs="Times New Roman"/>
          <w:sz w:val="24"/>
          <w:szCs w:val="24"/>
        </w:rPr>
        <w:t>-a</w:t>
      </w:r>
      <w:r w:rsidR="00497B1D" w:rsidRPr="00EE0E89">
        <w:rPr>
          <w:rFonts w:ascii="Times New Roman" w:hAnsi="Times New Roman" w:cs="Times New Roman"/>
          <w:sz w:val="24"/>
          <w:szCs w:val="24"/>
        </w:rPr>
        <w:t xml:space="preserve">). </w:t>
      </w:r>
      <w:r w:rsidRPr="00EE0E89">
        <w:rPr>
          <w:rFonts w:ascii="Times New Roman" w:hAnsi="Times New Roman" w:cs="Times New Roman"/>
          <w:sz w:val="24"/>
          <w:szCs w:val="24"/>
        </w:rPr>
        <w:t xml:space="preserve">The construction industry is further reported to be contributing a major portion of the gross domestic product (GDP) in different countries.  For instance, it is 6.10% in the United Kingdom, 5.50% in Japan and 9.0% in Oman (ONS, 2017; SHJ, 2017; NCSI, 2017). Only, in the European Union (EU), the construction sector provides jobs to approximately 18 million people and contributes up to 9% of the total EU’s GDP (EUCS, 2016). Globally, </w:t>
      </w:r>
      <w:r w:rsidR="4D164855" w:rsidRPr="00EE0E89">
        <w:rPr>
          <w:rFonts w:ascii="Times New Roman" w:hAnsi="Times New Roman" w:cs="Times New Roman"/>
          <w:sz w:val="24"/>
          <w:szCs w:val="24"/>
        </w:rPr>
        <w:t>the construction industry employs 7% of the total world’s workforce and accumulates 13% of the</w:t>
      </w:r>
      <w:r w:rsidR="00497B1D" w:rsidRPr="00EE0E89">
        <w:rPr>
          <w:rFonts w:ascii="Times New Roman" w:hAnsi="Times New Roman" w:cs="Times New Roman"/>
          <w:sz w:val="24"/>
          <w:szCs w:val="24"/>
        </w:rPr>
        <w:t xml:space="preserve"> global GDP (Deloitte, 2017). </w:t>
      </w:r>
      <w:r w:rsidR="00480FF7" w:rsidRPr="00EE0E89">
        <w:rPr>
          <w:rFonts w:ascii="Times New Roman" w:hAnsi="Times New Roman" w:cs="Times New Roman"/>
          <w:sz w:val="24"/>
          <w:szCs w:val="24"/>
        </w:rPr>
        <w:t>Due to the nature of the work, there are normally more employment opportunities in construction companies. For example, i</w:t>
      </w:r>
      <w:r w:rsidR="4D164855" w:rsidRPr="00EE0E89">
        <w:rPr>
          <w:rFonts w:ascii="Times New Roman" w:hAnsi="Times New Roman" w:cs="Times New Roman"/>
          <w:sz w:val="24"/>
          <w:szCs w:val="24"/>
        </w:rPr>
        <w:t xml:space="preserve">n the United Kingdom, there are 296,096 construction firms that employ approximately 2,731,370 people, giving a firm to employment ratio of 1:11 (Statista, 2018). The world population review shows the UK population in 2018 </w:t>
      </w:r>
      <w:r w:rsidR="00480FF7" w:rsidRPr="00EE0E89">
        <w:rPr>
          <w:rFonts w:ascii="Times New Roman" w:hAnsi="Times New Roman" w:cs="Times New Roman"/>
          <w:sz w:val="24"/>
          <w:szCs w:val="24"/>
        </w:rPr>
        <w:t>was</w:t>
      </w:r>
      <w:r w:rsidR="4D164855" w:rsidRPr="00EE0E89">
        <w:rPr>
          <w:rFonts w:ascii="Times New Roman" w:hAnsi="Times New Roman" w:cs="Times New Roman"/>
          <w:sz w:val="24"/>
          <w:szCs w:val="24"/>
        </w:rPr>
        <w:t xml:space="preserve"> 66,723,105. Thus, the percentage of construction workers in the UK </w:t>
      </w:r>
      <w:r w:rsidR="00A57E52" w:rsidRPr="00EE0E89">
        <w:rPr>
          <w:rFonts w:ascii="Times New Roman" w:hAnsi="Times New Roman" w:cs="Times New Roman"/>
          <w:sz w:val="24"/>
          <w:szCs w:val="24"/>
        </w:rPr>
        <w:t xml:space="preserve">was </w:t>
      </w:r>
      <w:r w:rsidR="4D164855" w:rsidRPr="00EE0E89">
        <w:rPr>
          <w:rFonts w:ascii="Times New Roman" w:hAnsi="Times New Roman" w:cs="Times New Roman"/>
          <w:sz w:val="24"/>
          <w:szCs w:val="24"/>
        </w:rPr>
        <w:t>4% of the total population</w:t>
      </w:r>
      <w:r w:rsidR="00A57E52" w:rsidRPr="00EE0E89">
        <w:rPr>
          <w:rFonts w:ascii="Times New Roman" w:hAnsi="Times New Roman" w:cs="Times New Roman"/>
          <w:sz w:val="24"/>
          <w:szCs w:val="24"/>
        </w:rPr>
        <w:t xml:space="preserve"> in 2018</w:t>
      </w:r>
      <w:r w:rsidR="4D164855" w:rsidRPr="00EE0E89">
        <w:rPr>
          <w:rFonts w:ascii="Times New Roman" w:hAnsi="Times New Roman" w:cs="Times New Roman"/>
          <w:sz w:val="24"/>
          <w:szCs w:val="24"/>
        </w:rPr>
        <w:t xml:space="preserve">. </w:t>
      </w:r>
      <w:r w:rsidR="00D52E8F" w:rsidRPr="00EE0E89">
        <w:rPr>
          <w:rFonts w:ascii="Times New Roman" w:hAnsi="Times New Roman" w:cs="Times New Roman"/>
          <w:sz w:val="24"/>
          <w:szCs w:val="24"/>
        </w:rPr>
        <w:t>Similarly, i</w:t>
      </w:r>
      <w:r w:rsidR="00A57E52" w:rsidRPr="00EE0E89">
        <w:rPr>
          <w:rFonts w:ascii="Times New Roman" w:hAnsi="Times New Roman" w:cs="Times New Roman"/>
          <w:sz w:val="24"/>
          <w:szCs w:val="24"/>
        </w:rPr>
        <w:t xml:space="preserve">n Australia, </w:t>
      </w:r>
      <w:r w:rsidR="00D52E8F" w:rsidRPr="00EE0E89">
        <w:rPr>
          <w:rFonts w:ascii="Times New Roman" w:hAnsi="Times New Roman" w:cs="Times New Roman"/>
          <w:sz w:val="24"/>
          <w:szCs w:val="24"/>
        </w:rPr>
        <w:t>employment in the construction industry rose from 1.0 million people to 1.10 million within a year (from November 2016 to November 2017), resulting in an employment increase rate of 8.5% (Parliament of Australia, 2018). During the same period</w:t>
      </w:r>
      <w:r w:rsidR="00E2539C">
        <w:rPr>
          <w:rFonts w:ascii="Times New Roman" w:hAnsi="Times New Roman" w:cs="Times New Roman"/>
          <w:sz w:val="24"/>
          <w:szCs w:val="24"/>
        </w:rPr>
        <w:t>,</w:t>
      </w:r>
      <w:r w:rsidR="00D52E8F" w:rsidRPr="00EE0E89">
        <w:rPr>
          <w:rFonts w:ascii="Times New Roman" w:hAnsi="Times New Roman" w:cs="Times New Roman"/>
          <w:sz w:val="24"/>
          <w:szCs w:val="24"/>
        </w:rPr>
        <w:t xml:space="preserve"> the percentage of employment in construction in Australia (out of the total employment) rose from 8.9% to 9.4% (figure 2). The total population in Australia by the end of 2017 was 24.6 million, thus the percentage of the population employed in construction </w:t>
      </w:r>
      <w:r w:rsidR="00A57E52" w:rsidRPr="00EE0E89">
        <w:rPr>
          <w:rFonts w:ascii="Times New Roman" w:hAnsi="Times New Roman" w:cs="Times New Roman"/>
          <w:sz w:val="24"/>
          <w:szCs w:val="24"/>
        </w:rPr>
        <w:t>in 2017 stood at</w:t>
      </w:r>
      <w:r w:rsidR="00D52E8F" w:rsidRPr="00EE0E89">
        <w:rPr>
          <w:rFonts w:ascii="Times New Roman" w:hAnsi="Times New Roman" w:cs="Times New Roman"/>
          <w:sz w:val="24"/>
          <w:szCs w:val="24"/>
        </w:rPr>
        <w:t xml:space="preserve"> 5% (ABS, 2018). </w:t>
      </w:r>
      <w:r w:rsidR="00A57E52" w:rsidRPr="00EE0E89">
        <w:rPr>
          <w:rFonts w:ascii="Times New Roman" w:hAnsi="Times New Roman" w:cs="Times New Roman"/>
          <w:sz w:val="24"/>
          <w:szCs w:val="24"/>
        </w:rPr>
        <w:t xml:space="preserve">Similarly, the statistics </w:t>
      </w:r>
      <w:r w:rsidR="00D52E8F" w:rsidRPr="00EE0E89">
        <w:rPr>
          <w:rFonts w:ascii="Times New Roman" w:hAnsi="Times New Roman" w:cs="Times New Roman"/>
          <w:sz w:val="24"/>
          <w:szCs w:val="24"/>
        </w:rPr>
        <w:t xml:space="preserve">of the United States show that </w:t>
      </w:r>
      <w:r w:rsidR="00A57E52" w:rsidRPr="00EE0E89">
        <w:rPr>
          <w:rFonts w:ascii="Times New Roman" w:hAnsi="Times New Roman" w:cs="Times New Roman"/>
          <w:sz w:val="24"/>
        </w:rPr>
        <w:t>i</w:t>
      </w:r>
      <w:r w:rsidR="00D52E8F" w:rsidRPr="00EE0E89">
        <w:rPr>
          <w:rFonts w:ascii="Times New Roman" w:hAnsi="Times New Roman" w:cs="Times New Roman"/>
          <w:sz w:val="24"/>
        </w:rPr>
        <w:t xml:space="preserve">n September 2018, employment in the construction industry was 7,286,000 representing 2.23% of the total population. </w:t>
      </w:r>
      <w:r w:rsidR="00A57E52" w:rsidRPr="00EE0E89">
        <w:rPr>
          <w:rFonts w:ascii="Times New Roman" w:hAnsi="Times New Roman" w:cs="Times New Roman"/>
          <w:sz w:val="24"/>
        </w:rPr>
        <w:t>Ap</w:t>
      </w:r>
      <w:r w:rsidR="00937F12" w:rsidRPr="00EE0E89">
        <w:rPr>
          <w:rFonts w:ascii="Times New Roman" w:hAnsi="Times New Roman" w:cs="Times New Roman"/>
          <w:sz w:val="24"/>
        </w:rPr>
        <w:t>ar</w:t>
      </w:r>
      <w:r w:rsidR="00A57E52" w:rsidRPr="00EE0E89">
        <w:rPr>
          <w:rFonts w:ascii="Times New Roman" w:hAnsi="Times New Roman" w:cs="Times New Roman"/>
          <w:sz w:val="24"/>
        </w:rPr>
        <w:t>t from this</w:t>
      </w:r>
      <w:r w:rsidR="00937F12" w:rsidRPr="00EE0E89">
        <w:rPr>
          <w:rFonts w:ascii="Times New Roman" w:hAnsi="Times New Roman" w:cs="Times New Roman"/>
          <w:sz w:val="24"/>
        </w:rPr>
        <w:t>,</w:t>
      </w:r>
      <w:r w:rsidR="00A57E52" w:rsidRPr="00EE0E89">
        <w:rPr>
          <w:rFonts w:ascii="Times New Roman" w:hAnsi="Times New Roman" w:cs="Times New Roman"/>
          <w:sz w:val="24"/>
        </w:rPr>
        <w:t xml:space="preserve"> the </w:t>
      </w:r>
      <w:r w:rsidR="00D52E8F" w:rsidRPr="00EE0E89">
        <w:rPr>
          <w:rFonts w:ascii="Times New Roman" w:hAnsi="Times New Roman" w:cs="Times New Roman"/>
          <w:sz w:val="24"/>
        </w:rPr>
        <w:t xml:space="preserve">USA Census Bureau data shows that a total of </w:t>
      </w:r>
      <w:r w:rsidR="00A57E52" w:rsidRPr="00EE0E89">
        <w:rPr>
          <w:rFonts w:ascii="Times New Roman" w:hAnsi="Times New Roman" w:cs="Times New Roman"/>
          <w:sz w:val="24"/>
        </w:rPr>
        <w:t xml:space="preserve">US $ </w:t>
      </w:r>
      <w:r w:rsidR="00D52E8F" w:rsidRPr="00EE0E89">
        <w:rPr>
          <w:rFonts w:ascii="Times New Roman" w:hAnsi="Times New Roman" w:cs="Times New Roman"/>
          <w:sz w:val="24"/>
        </w:rPr>
        <w:t xml:space="preserve">1,329,452 million </w:t>
      </w:r>
      <w:r w:rsidR="00937F12" w:rsidRPr="00EE0E89">
        <w:rPr>
          <w:rFonts w:ascii="Times New Roman" w:hAnsi="Times New Roman" w:cs="Times New Roman"/>
          <w:sz w:val="24"/>
        </w:rPr>
        <w:t>spent</w:t>
      </w:r>
      <w:r w:rsidR="00D52E8F" w:rsidRPr="00EE0E89">
        <w:rPr>
          <w:rFonts w:ascii="Times New Roman" w:hAnsi="Times New Roman" w:cs="Times New Roman"/>
          <w:sz w:val="24"/>
        </w:rPr>
        <w:t xml:space="preserve"> on construction only in the month of September of 2018 (Census Bureau, 2018). The value of the private </w:t>
      </w:r>
      <w:r w:rsidR="00D52E8F" w:rsidRPr="00EE0E89">
        <w:rPr>
          <w:rFonts w:ascii="Times New Roman" w:hAnsi="Times New Roman" w:cs="Times New Roman"/>
          <w:sz w:val="24"/>
        </w:rPr>
        <w:lastRenderedPageBreak/>
        <w:t xml:space="preserve">construction spending was the highest which stood at 1,020,358 Million US $ as shown in table 1.      </w:t>
      </w:r>
    </w:p>
    <w:p w14:paraId="0F80BA2E" w14:textId="6D62F992" w:rsidR="007F4AA8" w:rsidRDefault="4D164855" w:rsidP="4D164855">
      <w:pPr>
        <w:spacing w:line="360" w:lineRule="auto"/>
        <w:jc w:val="both"/>
        <w:rPr>
          <w:rFonts w:ascii="Times New Roman" w:hAnsi="Times New Roman" w:cs="Times New Roman"/>
          <w:sz w:val="24"/>
          <w:szCs w:val="24"/>
        </w:rPr>
      </w:pPr>
      <w:r w:rsidRPr="00EE0E89">
        <w:rPr>
          <w:rFonts w:ascii="Times New Roman" w:hAnsi="Times New Roman" w:cs="Times New Roman"/>
          <w:sz w:val="24"/>
          <w:szCs w:val="24"/>
        </w:rPr>
        <w:t xml:space="preserve">It is expected that the construction industry will </w:t>
      </w:r>
      <w:r w:rsidR="00A57E52" w:rsidRPr="00EE0E89">
        <w:rPr>
          <w:rFonts w:ascii="Times New Roman" w:hAnsi="Times New Roman" w:cs="Times New Roman"/>
          <w:sz w:val="24"/>
          <w:szCs w:val="24"/>
        </w:rPr>
        <w:t xml:space="preserve">be </w:t>
      </w:r>
      <w:r w:rsidRPr="00EE0E89">
        <w:rPr>
          <w:rFonts w:ascii="Times New Roman" w:hAnsi="Times New Roman" w:cs="Times New Roman"/>
          <w:sz w:val="24"/>
          <w:szCs w:val="24"/>
        </w:rPr>
        <w:t>more than double in size (of 2010) by 2020</w:t>
      </w:r>
      <w:r w:rsidR="00480FF7" w:rsidRPr="00EE0E89">
        <w:rPr>
          <w:rFonts w:ascii="Times New Roman" w:hAnsi="Times New Roman" w:cs="Times New Roman"/>
          <w:sz w:val="24"/>
          <w:szCs w:val="24"/>
        </w:rPr>
        <w:t xml:space="preserve">. This </w:t>
      </w:r>
      <w:r w:rsidRPr="00EE0E89">
        <w:rPr>
          <w:rFonts w:ascii="Times New Roman" w:hAnsi="Times New Roman" w:cs="Times New Roman"/>
          <w:sz w:val="24"/>
          <w:szCs w:val="24"/>
        </w:rPr>
        <w:t>represent</w:t>
      </w:r>
      <w:r w:rsidR="00480FF7" w:rsidRPr="00EE0E89">
        <w:rPr>
          <w:rFonts w:ascii="Times New Roman" w:hAnsi="Times New Roman" w:cs="Times New Roman"/>
          <w:sz w:val="24"/>
          <w:szCs w:val="24"/>
        </w:rPr>
        <w:t>s</w:t>
      </w:r>
      <w:r w:rsidRPr="00EE0E89">
        <w:rPr>
          <w:rFonts w:ascii="Times New Roman" w:hAnsi="Times New Roman" w:cs="Times New Roman"/>
          <w:sz w:val="24"/>
          <w:szCs w:val="24"/>
        </w:rPr>
        <w:t xml:space="preserve"> a growth rate of 110%, </w:t>
      </w:r>
      <w:r w:rsidR="00480FF7" w:rsidRPr="00EE0E89">
        <w:rPr>
          <w:rFonts w:ascii="Times New Roman" w:hAnsi="Times New Roman" w:cs="Times New Roman"/>
          <w:sz w:val="24"/>
          <w:szCs w:val="24"/>
        </w:rPr>
        <w:t>which will make</w:t>
      </w:r>
      <w:r w:rsidRPr="00EE0E89">
        <w:rPr>
          <w:rFonts w:ascii="Times New Roman" w:hAnsi="Times New Roman" w:cs="Times New Roman"/>
          <w:sz w:val="24"/>
          <w:szCs w:val="24"/>
        </w:rPr>
        <w:t xml:space="preserve"> the construction industry worth $7 trillion</w:t>
      </w:r>
      <w:r w:rsidR="00A57E52" w:rsidRPr="00EE0E89">
        <w:rPr>
          <w:rFonts w:ascii="Times New Roman" w:hAnsi="Times New Roman" w:cs="Times New Roman"/>
          <w:sz w:val="24"/>
          <w:szCs w:val="24"/>
        </w:rPr>
        <w:t xml:space="preserve">. This growth further translates </w:t>
      </w:r>
      <w:r w:rsidRPr="00EE0E89">
        <w:rPr>
          <w:rFonts w:ascii="Times New Roman" w:hAnsi="Times New Roman" w:cs="Times New Roman"/>
          <w:sz w:val="24"/>
          <w:szCs w:val="24"/>
        </w:rPr>
        <w:t>into an overall proportion of 17.2% of the GDP in 2020 (</w:t>
      </w:r>
      <w:proofErr w:type="spellStart"/>
      <w:r w:rsidRPr="00EE0E89">
        <w:rPr>
          <w:rFonts w:ascii="Times New Roman" w:hAnsi="Times New Roman" w:cs="Times New Roman"/>
          <w:sz w:val="24"/>
          <w:szCs w:val="24"/>
        </w:rPr>
        <w:t>Beven</w:t>
      </w:r>
      <w:proofErr w:type="spellEnd"/>
      <w:r w:rsidRPr="00EE0E89">
        <w:rPr>
          <w:rFonts w:ascii="Times New Roman" w:hAnsi="Times New Roman" w:cs="Times New Roman"/>
          <w:sz w:val="24"/>
          <w:szCs w:val="24"/>
        </w:rPr>
        <w:t xml:space="preserve">, 2010). Similarly, another forecast indicated that the global construction industry will reach 14 trillion US$ in 2025 from 9.5 trillion US$ in 2014, reflecting a 67% growth as shown in figure 1 (Statista, 2017). Although </w:t>
      </w:r>
      <w:r w:rsidR="006D417B" w:rsidRPr="00EE0E89">
        <w:rPr>
          <w:rFonts w:ascii="Times New Roman" w:hAnsi="Times New Roman" w:cs="Times New Roman"/>
          <w:sz w:val="24"/>
          <w:szCs w:val="24"/>
        </w:rPr>
        <w:t>both</w:t>
      </w:r>
      <w:r w:rsidRPr="00EE0E89">
        <w:rPr>
          <w:rFonts w:ascii="Times New Roman" w:hAnsi="Times New Roman" w:cs="Times New Roman"/>
          <w:sz w:val="24"/>
          <w:szCs w:val="24"/>
        </w:rPr>
        <w:t xml:space="preserve"> forecasts estimate a different value of the growth, what is evident</w:t>
      </w:r>
      <w:r w:rsidR="004C3515" w:rsidRPr="00EE0E89">
        <w:rPr>
          <w:rFonts w:ascii="Times New Roman" w:hAnsi="Times New Roman" w:cs="Times New Roman"/>
          <w:sz w:val="24"/>
          <w:szCs w:val="24"/>
        </w:rPr>
        <w:t xml:space="preserve"> clearly</w:t>
      </w:r>
      <w:r w:rsidRPr="00EE0E89">
        <w:rPr>
          <w:rFonts w:ascii="Times New Roman" w:hAnsi="Times New Roman" w:cs="Times New Roman"/>
          <w:sz w:val="24"/>
          <w:szCs w:val="24"/>
        </w:rPr>
        <w:t xml:space="preserve"> is that the construction industry is rapidly growing. The growth in </w:t>
      </w:r>
      <w:r w:rsidR="00497B1D" w:rsidRPr="00EE0E89">
        <w:rPr>
          <w:rFonts w:ascii="Times New Roman" w:hAnsi="Times New Roman" w:cs="Times New Roman"/>
          <w:sz w:val="24"/>
          <w:szCs w:val="24"/>
        </w:rPr>
        <w:t xml:space="preserve">the </w:t>
      </w:r>
      <w:r w:rsidRPr="00EE0E89">
        <w:rPr>
          <w:rFonts w:ascii="Times New Roman" w:hAnsi="Times New Roman" w:cs="Times New Roman"/>
          <w:sz w:val="24"/>
          <w:szCs w:val="24"/>
        </w:rPr>
        <w:t xml:space="preserve">construction industry is further expected to </w:t>
      </w:r>
      <w:r w:rsidR="00D939BC" w:rsidRPr="00EE0E89">
        <w:rPr>
          <w:rFonts w:ascii="Times New Roman" w:hAnsi="Times New Roman" w:cs="Times New Roman"/>
          <w:sz w:val="24"/>
          <w:szCs w:val="24"/>
        </w:rPr>
        <w:t>continue</w:t>
      </w:r>
      <w:r w:rsidRPr="00EE0E89">
        <w:rPr>
          <w:rFonts w:ascii="Times New Roman" w:hAnsi="Times New Roman" w:cs="Times New Roman"/>
          <w:sz w:val="24"/>
          <w:szCs w:val="24"/>
        </w:rPr>
        <w:t xml:space="preserve"> as this </w:t>
      </w:r>
      <w:r w:rsidR="004C3515" w:rsidRPr="00EE0E89">
        <w:rPr>
          <w:rFonts w:ascii="Times New Roman" w:hAnsi="Times New Roman" w:cs="Times New Roman"/>
          <w:sz w:val="24"/>
          <w:szCs w:val="24"/>
        </w:rPr>
        <w:t>industry needs to</w:t>
      </w:r>
      <w:r w:rsidRPr="00EE0E89">
        <w:rPr>
          <w:rFonts w:ascii="Times New Roman" w:hAnsi="Times New Roman" w:cs="Times New Roman"/>
          <w:sz w:val="24"/>
          <w:szCs w:val="24"/>
        </w:rPr>
        <w:t xml:space="preserve"> address some of the key challenges </w:t>
      </w:r>
      <w:r w:rsidR="00D939BC" w:rsidRPr="00EE0E89">
        <w:rPr>
          <w:rFonts w:ascii="Times New Roman" w:hAnsi="Times New Roman" w:cs="Times New Roman"/>
          <w:sz w:val="24"/>
          <w:szCs w:val="24"/>
        </w:rPr>
        <w:t>faced by</w:t>
      </w:r>
      <w:r w:rsidRPr="00EE0E89">
        <w:rPr>
          <w:rFonts w:ascii="Times New Roman" w:hAnsi="Times New Roman" w:cs="Times New Roman"/>
          <w:sz w:val="24"/>
          <w:szCs w:val="24"/>
        </w:rPr>
        <w:t xml:space="preserve"> hum</w:t>
      </w:r>
      <w:r w:rsidR="004C3515" w:rsidRPr="00EE0E89">
        <w:rPr>
          <w:rFonts w:ascii="Times New Roman" w:hAnsi="Times New Roman" w:cs="Times New Roman"/>
          <w:sz w:val="24"/>
          <w:szCs w:val="24"/>
        </w:rPr>
        <w:t>an</w:t>
      </w:r>
      <w:r w:rsidRPr="00EE0E89">
        <w:rPr>
          <w:rFonts w:ascii="Times New Roman" w:hAnsi="Times New Roman" w:cs="Times New Roman"/>
          <w:sz w:val="24"/>
          <w:szCs w:val="24"/>
        </w:rPr>
        <w:t xml:space="preserve">. </w:t>
      </w:r>
      <w:r w:rsidR="00DB37FA" w:rsidRPr="00EE0E89">
        <w:rPr>
          <w:rFonts w:ascii="Times New Roman" w:hAnsi="Times New Roman" w:cs="Times New Roman"/>
          <w:sz w:val="24"/>
          <w:szCs w:val="24"/>
        </w:rPr>
        <w:t>These challenges are outlined by many international organizations. For example, a</w:t>
      </w:r>
      <w:r w:rsidRPr="00EE0E89">
        <w:rPr>
          <w:rFonts w:ascii="Times New Roman" w:hAnsi="Times New Roman" w:cs="Times New Roman"/>
          <w:sz w:val="24"/>
          <w:szCs w:val="24"/>
        </w:rPr>
        <w:t xml:space="preserve"> report published by the World Resources Institute</w:t>
      </w:r>
      <w:r w:rsidR="00D939BC" w:rsidRPr="00EE0E89">
        <w:rPr>
          <w:rFonts w:ascii="Times New Roman" w:hAnsi="Times New Roman" w:cs="Times New Roman"/>
          <w:sz w:val="24"/>
          <w:szCs w:val="24"/>
        </w:rPr>
        <w:t xml:space="preserve"> (WRI)</w:t>
      </w:r>
      <w:r w:rsidRPr="00EE0E89">
        <w:rPr>
          <w:rFonts w:ascii="Times New Roman" w:hAnsi="Times New Roman" w:cs="Times New Roman"/>
          <w:sz w:val="24"/>
          <w:szCs w:val="24"/>
        </w:rPr>
        <w:t xml:space="preserve"> shows that approximately 1.2 billion people in urban areas around the world do not have access to affordable housing. The report further indicate</w:t>
      </w:r>
      <w:r w:rsidR="00D939BC" w:rsidRPr="00EE0E89">
        <w:rPr>
          <w:rFonts w:ascii="Times New Roman" w:hAnsi="Times New Roman" w:cs="Times New Roman"/>
          <w:sz w:val="24"/>
          <w:szCs w:val="24"/>
        </w:rPr>
        <w:t>s</w:t>
      </w:r>
      <w:r w:rsidRPr="00EE0E89">
        <w:rPr>
          <w:rFonts w:ascii="Times New Roman" w:hAnsi="Times New Roman" w:cs="Times New Roman"/>
          <w:sz w:val="24"/>
          <w:szCs w:val="24"/>
        </w:rPr>
        <w:t xml:space="preserve"> that this number will r</w:t>
      </w:r>
      <w:r w:rsidR="00D939BC" w:rsidRPr="00EE0E89">
        <w:rPr>
          <w:rFonts w:ascii="Times New Roman" w:hAnsi="Times New Roman" w:cs="Times New Roman"/>
          <w:sz w:val="24"/>
          <w:szCs w:val="24"/>
        </w:rPr>
        <w:t>i</w:t>
      </w:r>
      <w:r w:rsidRPr="00EE0E89">
        <w:rPr>
          <w:rFonts w:ascii="Times New Roman" w:hAnsi="Times New Roman" w:cs="Times New Roman"/>
          <w:sz w:val="24"/>
          <w:szCs w:val="24"/>
        </w:rPr>
        <w:t xml:space="preserve">se by 30% by 2025, </w:t>
      </w:r>
      <w:r w:rsidR="00DB37FA" w:rsidRPr="00EE0E89">
        <w:rPr>
          <w:rFonts w:ascii="Times New Roman" w:hAnsi="Times New Roman" w:cs="Times New Roman"/>
          <w:sz w:val="24"/>
          <w:szCs w:val="24"/>
        </w:rPr>
        <w:t xml:space="preserve">and will </w:t>
      </w:r>
      <w:r w:rsidR="00D939BC" w:rsidRPr="00EE0E89">
        <w:rPr>
          <w:rFonts w:ascii="Times New Roman" w:hAnsi="Times New Roman" w:cs="Times New Roman"/>
          <w:sz w:val="24"/>
          <w:szCs w:val="24"/>
        </w:rPr>
        <w:t>reach</w:t>
      </w:r>
      <w:r w:rsidR="00DB37FA" w:rsidRPr="00EE0E89">
        <w:rPr>
          <w:rFonts w:ascii="Times New Roman" w:hAnsi="Times New Roman" w:cs="Times New Roman"/>
          <w:sz w:val="24"/>
          <w:szCs w:val="24"/>
        </w:rPr>
        <w:t xml:space="preserve"> to</w:t>
      </w:r>
      <w:r w:rsidR="00D939BC" w:rsidRPr="00EE0E89">
        <w:rPr>
          <w:rFonts w:ascii="Times New Roman" w:hAnsi="Times New Roman" w:cs="Times New Roman"/>
          <w:sz w:val="24"/>
          <w:szCs w:val="24"/>
        </w:rPr>
        <w:t xml:space="preserve"> </w:t>
      </w:r>
      <w:r w:rsidRPr="00EE0E89">
        <w:rPr>
          <w:rFonts w:ascii="Times New Roman" w:hAnsi="Times New Roman" w:cs="Times New Roman"/>
          <w:sz w:val="24"/>
          <w:szCs w:val="24"/>
        </w:rPr>
        <w:t xml:space="preserve">1.60 billion people (WRI, 2017). Similarly, the World Health Organization </w:t>
      </w:r>
      <w:r w:rsidR="00D939BC" w:rsidRPr="00EE0E89">
        <w:rPr>
          <w:rFonts w:ascii="Times New Roman" w:hAnsi="Times New Roman" w:cs="Times New Roman"/>
          <w:sz w:val="24"/>
          <w:szCs w:val="24"/>
        </w:rPr>
        <w:t xml:space="preserve">(WHO) </w:t>
      </w:r>
      <w:r w:rsidRPr="00EE0E89">
        <w:rPr>
          <w:rFonts w:ascii="Times New Roman" w:hAnsi="Times New Roman" w:cs="Times New Roman"/>
          <w:sz w:val="24"/>
          <w:szCs w:val="24"/>
        </w:rPr>
        <w:t xml:space="preserve">report published in 2017 shows that 2.1 billion people have no access to clean and reliable water. The </w:t>
      </w:r>
      <w:r w:rsidR="00221041" w:rsidRPr="00EE0E89">
        <w:rPr>
          <w:rFonts w:ascii="Times New Roman" w:hAnsi="Times New Roman" w:cs="Times New Roman"/>
          <w:sz w:val="24"/>
          <w:szCs w:val="24"/>
        </w:rPr>
        <w:t>people,</w:t>
      </w:r>
      <w:r w:rsidR="00DB37FA" w:rsidRPr="00EE0E89">
        <w:rPr>
          <w:rFonts w:ascii="Times New Roman" w:hAnsi="Times New Roman" w:cs="Times New Roman"/>
          <w:sz w:val="24"/>
          <w:szCs w:val="24"/>
        </w:rPr>
        <w:t xml:space="preserve"> </w:t>
      </w:r>
      <w:r w:rsidRPr="00EE0E89">
        <w:rPr>
          <w:rFonts w:ascii="Times New Roman" w:hAnsi="Times New Roman" w:cs="Times New Roman"/>
          <w:sz w:val="24"/>
          <w:szCs w:val="24"/>
        </w:rPr>
        <w:t>who have</w:t>
      </w:r>
      <w:r w:rsidR="00DB37FA" w:rsidRPr="00EE0E89">
        <w:rPr>
          <w:rFonts w:ascii="Times New Roman" w:hAnsi="Times New Roman" w:cs="Times New Roman"/>
          <w:sz w:val="24"/>
          <w:szCs w:val="24"/>
        </w:rPr>
        <w:t xml:space="preserve"> no</w:t>
      </w:r>
      <w:r w:rsidRPr="00EE0E89">
        <w:rPr>
          <w:rFonts w:ascii="Times New Roman" w:hAnsi="Times New Roman" w:cs="Times New Roman"/>
          <w:sz w:val="24"/>
          <w:szCs w:val="24"/>
        </w:rPr>
        <w:t xml:space="preserve"> access to clean sanitation, stand at 4.5 billion (WHO, 2017). The</w:t>
      </w:r>
      <w:r w:rsidR="00DB37FA" w:rsidRPr="00EE0E89">
        <w:rPr>
          <w:rFonts w:ascii="Times New Roman" w:hAnsi="Times New Roman" w:cs="Times New Roman"/>
          <w:sz w:val="24"/>
          <w:szCs w:val="24"/>
        </w:rPr>
        <w:t>se</w:t>
      </w:r>
      <w:r w:rsidRPr="00EE0E89">
        <w:rPr>
          <w:rFonts w:ascii="Times New Roman" w:hAnsi="Times New Roman" w:cs="Times New Roman"/>
          <w:sz w:val="24"/>
          <w:szCs w:val="24"/>
        </w:rPr>
        <w:t xml:space="preserve"> challenges clearly indicate that the </w:t>
      </w:r>
      <w:r w:rsidR="00DB37FA" w:rsidRPr="00EE0E89">
        <w:rPr>
          <w:rFonts w:ascii="Times New Roman" w:hAnsi="Times New Roman" w:cs="Times New Roman"/>
          <w:sz w:val="24"/>
          <w:szCs w:val="24"/>
        </w:rPr>
        <w:t>growth</w:t>
      </w:r>
      <w:r w:rsidRPr="00EE0E89">
        <w:rPr>
          <w:rFonts w:ascii="Times New Roman" w:hAnsi="Times New Roman" w:cs="Times New Roman"/>
          <w:sz w:val="24"/>
          <w:szCs w:val="24"/>
        </w:rPr>
        <w:t xml:space="preserve"> of </w:t>
      </w:r>
      <w:r w:rsidR="00267433" w:rsidRPr="00EE0E89">
        <w:rPr>
          <w:rFonts w:ascii="Times New Roman" w:hAnsi="Times New Roman" w:cs="Times New Roman"/>
          <w:sz w:val="24"/>
          <w:szCs w:val="24"/>
        </w:rPr>
        <w:t xml:space="preserve">the </w:t>
      </w:r>
      <w:r w:rsidRPr="00EE0E89">
        <w:rPr>
          <w:rFonts w:ascii="Times New Roman" w:hAnsi="Times New Roman" w:cs="Times New Roman"/>
          <w:sz w:val="24"/>
          <w:szCs w:val="24"/>
        </w:rPr>
        <w:t xml:space="preserve">construction industry </w:t>
      </w:r>
      <w:r w:rsidR="00DB37FA" w:rsidRPr="00EE0E89">
        <w:rPr>
          <w:rFonts w:ascii="Times New Roman" w:hAnsi="Times New Roman" w:cs="Times New Roman"/>
          <w:sz w:val="24"/>
          <w:szCs w:val="24"/>
        </w:rPr>
        <w:t>will be mandatory to address these issues</w:t>
      </w:r>
      <w:r w:rsidRPr="00EE0E89">
        <w:rPr>
          <w:rFonts w:ascii="Times New Roman" w:hAnsi="Times New Roman" w:cs="Times New Roman"/>
          <w:sz w:val="24"/>
          <w:szCs w:val="24"/>
        </w:rPr>
        <w:t xml:space="preserve">.   </w:t>
      </w:r>
    </w:p>
    <w:p w14:paraId="4B419FFE" w14:textId="51D252AD" w:rsidR="00EF26CB" w:rsidRPr="00EE0E89" w:rsidRDefault="0069564A" w:rsidP="0069564A">
      <w:pPr>
        <w:spacing w:line="360" w:lineRule="auto"/>
        <w:jc w:val="center"/>
        <w:rPr>
          <w:rFonts w:ascii="Times New Roman" w:eastAsia="SimSun" w:hAnsi="Times New Roman" w:cs="Times New Roman"/>
          <w:b/>
          <w:sz w:val="24"/>
        </w:rPr>
      </w:pPr>
      <w:r>
        <w:rPr>
          <w:noProof/>
        </w:rPr>
        <w:lastRenderedPageBreak/>
        <w:drawing>
          <wp:inline distT="0" distB="0" distL="0" distR="0" wp14:anchorId="2D76EC88" wp14:editId="5429E429">
            <wp:extent cx="5943600" cy="3538855"/>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26CB" w:rsidRPr="00EE0E89">
        <w:rPr>
          <w:rFonts w:ascii="Times New Roman" w:eastAsia="SimSun" w:hAnsi="Times New Roman" w:cs="Times New Roman"/>
          <w:b/>
          <w:sz w:val="24"/>
        </w:rPr>
        <w:t>Figure 1: Global Construction Industry Growth (Statista, 2017).</w:t>
      </w:r>
    </w:p>
    <w:p w14:paraId="5E5A52F1" w14:textId="77777777" w:rsidR="0069564A" w:rsidRDefault="0069564A" w:rsidP="00EF26CB">
      <w:pPr>
        <w:tabs>
          <w:tab w:val="left" w:pos="1399"/>
        </w:tabs>
        <w:spacing w:line="360" w:lineRule="auto"/>
        <w:jc w:val="center"/>
        <w:rPr>
          <w:rFonts w:ascii="Times New Roman" w:hAnsi="Times New Roman" w:cs="Times New Roman"/>
          <w:b/>
          <w:sz w:val="24"/>
        </w:rPr>
      </w:pPr>
      <w:r w:rsidRPr="009C3AAF">
        <w:rPr>
          <w:rFonts w:ascii="Times New Roman" w:hAnsi="Times New Roman" w:cs="Times New Roman"/>
          <w:noProof/>
        </w:rPr>
        <w:drawing>
          <wp:inline distT="0" distB="0" distL="0" distR="0" wp14:anchorId="6BE4C61A" wp14:editId="4290BC1F">
            <wp:extent cx="5210174" cy="3095625"/>
            <wp:effectExtent l="0" t="0" r="1016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C59BC7" w14:textId="4A2CE13D" w:rsidR="00EF26CB" w:rsidRDefault="00EF26CB" w:rsidP="0069564A">
      <w:pPr>
        <w:tabs>
          <w:tab w:val="left" w:pos="1399"/>
        </w:tabs>
        <w:spacing w:line="360" w:lineRule="auto"/>
        <w:jc w:val="center"/>
        <w:rPr>
          <w:rFonts w:ascii="Times New Roman" w:hAnsi="Times New Roman" w:cs="Times New Roman"/>
          <w:b/>
          <w:sz w:val="24"/>
        </w:rPr>
      </w:pPr>
      <w:r w:rsidRPr="00EE0E89">
        <w:rPr>
          <w:rFonts w:ascii="Times New Roman" w:hAnsi="Times New Roman" w:cs="Times New Roman"/>
          <w:b/>
          <w:sz w:val="24"/>
        </w:rPr>
        <w:t>Figure 2: Employment in the Australian Construction Industry.</w:t>
      </w:r>
    </w:p>
    <w:p w14:paraId="4875C0D2" w14:textId="77777777" w:rsidR="00FD12AF" w:rsidRPr="00EE0E89" w:rsidRDefault="00FD12AF" w:rsidP="0069564A">
      <w:pPr>
        <w:tabs>
          <w:tab w:val="left" w:pos="1399"/>
        </w:tabs>
        <w:spacing w:line="360" w:lineRule="auto"/>
        <w:jc w:val="center"/>
        <w:rPr>
          <w:rFonts w:ascii="Times New Roman" w:hAnsi="Times New Roman" w:cs="Times New Roman"/>
          <w:b/>
          <w:sz w:val="24"/>
        </w:rPr>
      </w:pPr>
    </w:p>
    <w:tbl>
      <w:tblPr>
        <w:tblW w:w="5055" w:type="dxa"/>
        <w:jc w:val="center"/>
        <w:tblLook w:val="04A0" w:firstRow="1" w:lastRow="0" w:firstColumn="1" w:lastColumn="0" w:noHBand="0" w:noVBand="1"/>
      </w:tblPr>
      <w:tblGrid>
        <w:gridCol w:w="2440"/>
        <w:gridCol w:w="2615"/>
      </w:tblGrid>
      <w:tr w:rsidR="0069564A" w:rsidRPr="00070032" w14:paraId="57C95B13" w14:textId="77777777" w:rsidTr="00F86B6C">
        <w:trPr>
          <w:trHeight w:val="3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0E31B" w14:textId="77777777" w:rsidR="0069564A" w:rsidRPr="00070032" w:rsidRDefault="0069564A" w:rsidP="00F86B6C">
            <w:pPr>
              <w:spacing w:after="0" w:line="240" w:lineRule="auto"/>
              <w:rPr>
                <w:rFonts w:ascii="Times New Roman" w:eastAsia="Times New Roman" w:hAnsi="Times New Roman" w:cs="Times New Roman"/>
                <w:b/>
                <w:bCs/>
                <w:color w:val="000000"/>
                <w:sz w:val="24"/>
                <w:szCs w:val="24"/>
              </w:rPr>
            </w:pPr>
            <w:r w:rsidRPr="00070032">
              <w:rPr>
                <w:rFonts w:ascii="Times New Roman" w:eastAsia="Times New Roman" w:hAnsi="Times New Roman" w:cs="Times New Roman"/>
                <w:b/>
                <w:bCs/>
                <w:color w:val="000000"/>
                <w:sz w:val="24"/>
                <w:szCs w:val="24"/>
              </w:rPr>
              <w:lastRenderedPageBreak/>
              <w:t>Construction Sector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ED54BC9" w14:textId="77777777" w:rsidR="0069564A" w:rsidRPr="00070032" w:rsidRDefault="0069564A" w:rsidP="00F86B6C">
            <w:pPr>
              <w:spacing w:after="0" w:line="240" w:lineRule="auto"/>
              <w:rPr>
                <w:rFonts w:ascii="Times New Roman" w:eastAsia="Times New Roman" w:hAnsi="Times New Roman" w:cs="Times New Roman"/>
                <w:b/>
                <w:bCs/>
                <w:color w:val="000000"/>
                <w:sz w:val="24"/>
                <w:szCs w:val="24"/>
              </w:rPr>
            </w:pPr>
            <w:r w:rsidRPr="00070032">
              <w:rPr>
                <w:rFonts w:ascii="Times New Roman" w:eastAsia="Times New Roman" w:hAnsi="Times New Roman" w:cs="Times New Roman"/>
                <w:b/>
                <w:bCs/>
                <w:color w:val="000000"/>
                <w:sz w:val="24"/>
                <w:szCs w:val="24"/>
              </w:rPr>
              <w:t>Sending (US$ Million)</w:t>
            </w:r>
          </w:p>
        </w:tc>
      </w:tr>
      <w:tr w:rsidR="0069564A" w:rsidRPr="00070032" w14:paraId="1774DC17" w14:textId="77777777" w:rsidTr="00F86B6C">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2B7C7E2" w14:textId="77777777" w:rsidR="0069564A" w:rsidRPr="00070032" w:rsidRDefault="0069564A" w:rsidP="00F86B6C">
            <w:pPr>
              <w:spacing w:after="0" w:line="240" w:lineRule="auto"/>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Private (Residential)</w:t>
            </w:r>
          </w:p>
        </w:tc>
        <w:tc>
          <w:tcPr>
            <w:tcW w:w="2615" w:type="dxa"/>
            <w:tcBorders>
              <w:top w:val="nil"/>
              <w:left w:val="nil"/>
              <w:bottom w:val="single" w:sz="4" w:space="0" w:color="auto"/>
              <w:right w:val="single" w:sz="4" w:space="0" w:color="auto"/>
            </w:tcBorders>
            <w:shd w:val="clear" w:color="auto" w:fill="auto"/>
            <w:noWrap/>
            <w:vAlign w:val="bottom"/>
            <w:hideMark/>
          </w:tcPr>
          <w:p w14:paraId="3F7C1D17" w14:textId="77777777" w:rsidR="0069564A" w:rsidRPr="00070032" w:rsidRDefault="0069564A" w:rsidP="00F86B6C">
            <w:pPr>
              <w:spacing w:after="0" w:line="240" w:lineRule="auto"/>
              <w:jc w:val="right"/>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556</w:t>
            </w:r>
            <w:r>
              <w:rPr>
                <w:rFonts w:ascii="Times New Roman" w:eastAsia="Times New Roman" w:hAnsi="Times New Roman" w:cs="Times New Roman"/>
                <w:color w:val="333333"/>
                <w:sz w:val="24"/>
                <w:szCs w:val="24"/>
              </w:rPr>
              <w:t>,</w:t>
            </w:r>
            <w:r w:rsidRPr="00070032">
              <w:rPr>
                <w:rFonts w:ascii="Times New Roman" w:eastAsia="Times New Roman" w:hAnsi="Times New Roman" w:cs="Times New Roman"/>
                <w:color w:val="333333"/>
                <w:sz w:val="24"/>
                <w:szCs w:val="24"/>
              </w:rPr>
              <w:t>424</w:t>
            </w:r>
          </w:p>
        </w:tc>
      </w:tr>
      <w:tr w:rsidR="0069564A" w:rsidRPr="00070032" w14:paraId="51A7484E" w14:textId="77777777" w:rsidTr="00F86B6C">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92C24EF" w14:textId="77777777" w:rsidR="0069564A" w:rsidRPr="00070032" w:rsidRDefault="0069564A" w:rsidP="00F86B6C">
            <w:pPr>
              <w:spacing w:after="0" w:line="240" w:lineRule="auto"/>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Private (Nonresidential)</w:t>
            </w:r>
          </w:p>
        </w:tc>
        <w:tc>
          <w:tcPr>
            <w:tcW w:w="2615" w:type="dxa"/>
            <w:tcBorders>
              <w:top w:val="nil"/>
              <w:left w:val="nil"/>
              <w:bottom w:val="single" w:sz="4" w:space="0" w:color="auto"/>
              <w:right w:val="single" w:sz="4" w:space="0" w:color="auto"/>
            </w:tcBorders>
            <w:shd w:val="clear" w:color="auto" w:fill="auto"/>
            <w:noWrap/>
            <w:vAlign w:val="bottom"/>
            <w:hideMark/>
          </w:tcPr>
          <w:p w14:paraId="2D91E913" w14:textId="77777777" w:rsidR="0069564A" w:rsidRPr="00070032" w:rsidRDefault="0069564A" w:rsidP="00F86B6C">
            <w:pPr>
              <w:spacing w:after="0" w:line="240" w:lineRule="auto"/>
              <w:jc w:val="right"/>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463</w:t>
            </w:r>
            <w:r>
              <w:rPr>
                <w:rFonts w:ascii="Times New Roman" w:eastAsia="Times New Roman" w:hAnsi="Times New Roman" w:cs="Times New Roman"/>
                <w:color w:val="333333"/>
                <w:sz w:val="24"/>
                <w:szCs w:val="24"/>
              </w:rPr>
              <w:t>,</w:t>
            </w:r>
            <w:r w:rsidRPr="00070032">
              <w:rPr>
                <w:rFonts w:ascii="Times New Roman" w:eastAsia="Times New Roman" w:hAnsi="Times New Roman" w:cs="Times New Roman"/>
                <w:color w:val="333333"/>
                <w:sz w:val="24"/>
                <w:szCs w:val="24"/>
              </w:rPr>
              <w:t>934</w:t>
            </w:r>
          </w:p>
        </w:tc>
      </w:tr>
      <w:tr w:rsidR="0069564A" w:rsidRPr="00070032" w14:paraId="3D2FD88B" w14:textId="77777777" w:rsidTr="00F86B6C">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98DC057" w14:textId="77777777" w:rsidR="0069564A" w:rsidRPr="00070032" w:rsidRDefault="0069564A" w:rsidP="00F86B6C">
            <w:pPr>
              <w:spacing w:after="0" w:line="240" w:lineRule="auto"/>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Public (State and Local)</w:t>
            </w:r>
          </w:p>
        </w:tc>
        <w:tc>
          <w:tcPr>
            <w:tcW w:w="2615" w:type="dxa"/>
            <w:tcBorders>
              <w:top w:val="nil"/>
              <w:left w:val="nil"/>
              <w:bottom w:val="single" w:sz="4" w:space="0" w:color="auto"/>
              <w:right w:val="single" w:sz="4" w:space="0" w:color="auto"/>
            </w:tcBorders>
            <w:shd w:val="clear" w:color="auto" w:fill="auto"/>
            <w:noWrap/>
            <w:vAlign w:val="bottom"/>
            <w:hideMark/>
          </w:tcPr>
          <w:p w14:paraId="6E188193" w14:textId="77777777" w:rsidR="0069564A" w:rsidRPr="00070032" w:rsidRDefault="0069564A" w:rsidP="00F86B6C">
            <w:pPr>
              <w:spacing w:after="0" w:line="240" w:lineRule="auto"/>
              <w:jc w:val="right"/>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 288</w:t>
            </w:r>
            <w:r>
              <w:rPr>
                <w:rFonts w:ascii="Times New Roman" w:eastAsia="Times New Roman" w:hAnsi="Times New Roman" w:cs="Times New Roman"/>
                <w:color w:val="333333"/>
                <w:sz w:val="24"/>
                <w:szCs w:val="24"/>
              </w:rPr>
              <w:t>,</w:t>
            </w:r>
            <w:r w:rsidRPr="00070032">
              <w:rPr>
                <w:rFonts w:ascii="Times New Roman" w:eastAsia="Times New Roman" w:hAnsi="Times New Roman" w:cs="Times New Roman"/>
                <w:color w:val="333333"/>
                <w:sz w:val="24"/>
                <w:szCs w:val="24"/>
              </w:rPr>
              <w:t>112</w:t>
            </w:r>
          </w:p>
        </w:tc>
      </w:tr>
      <w:tr w:rsidR="0069564A" w:rsidRPr="00070032" w14:paraId="0F7859FC" w14:textId="77777777" w:rsidTr="00F86B6C">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F9314CD" w14:textId="77777777" w:rsidR="0069564A" w:rsidRPr="00070032" w:rsidRDefault="0069564A" w:rsidP="00F86B6C">
            <w:pPr>
              <w:spacing w:after="0" w:line="240" w:lineRule="auto"/>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Public (Federal)</w:t>
            </w:r>
          </w:p>
        </w:tc>
        <w:tc>
          <w:tcPr>
            <w:tcW w:w="2615" w:type="dxa"/>
            <w:tcBorders>
              <w:top w:val="nil"/>
              <w:left w:val="nil"/>
              <w:bottom w:val="single" w:sz="4" w:space="0" w:color="auto"/>
              <w:right w:val="single" w:sz="4" w:space="0" w:color="auto"/>
            </w:tcBorders>
            <w:shd w:val="clear" w:color="auto" w:fill="auto"/>
            <w:noWrap/>
            <w:vAlign w:val="bottom"/>
            <w:hideMark/>
          </w:tcPr>
          <w:p w14:paraId="7891E12C" w14:textId="77777777" w:rsidR="0069564A" w:rsidRPr="00070032" w:rsidRDefault="0069564A" w:rsidP="00F86B6C">
            <w:pPr>
              <w:spacing w:after="0" w:line="240" w:lineRule="auto"/>
              <w:jc w:val="right"/>
              <w:rPr>
                <w:rFonts w:ascii="Times New Roman" w:eastAsia="Times New Roman" w:hAnsi="Times New Roman" w:cs="Times New Roman"/>
                <w:color w:val="333333"/>
                <w:sz w:val="24"/>
                <w:szCs w:val="24"/>
              </w:rPr>
            </w:pPr>
            <w:r w:rsidRPr="00070032">
              <w:rPr>
                <w:rFonts w:ascii="Times New Roman" w:eastAsia="Times New Roman" w:hAnsi="Times New Roman" w:cs="Times New Roman"/>
                <w:color w:val="333333"/>
                <w:sz w:val="24"/>
                <w:szCs w:val="24"/>
              </w:rPr>
              <w:t>20</w:t>
            </w:r>
            <w:r>
              <w:rPr>
                <w:rFonts w:ascii="Times New Roman" w:eastAsia="Times New Roman" w:hAnsi="Times New Roman" w:cs="Times New Roman"/>
                <w:color w:val="333333"/>
                <w:sz w:val="24"/>
                <w:szCs w:val="24"/>
              </w:rPr>
              <w:t>,</w:t>
            </w:r>
            <w:r w:rsidRPr="00070032">
              <w:rPr>
                <w:rFonts w:ascii="Times New Roman" w:eastAsia="Times New Roman" w:hAnsi="Times New Roman" w:cs="Times New Roman"/>
                <w:color w:val="333333"/>
                <w:sz w:val="24"/>
                <w:szCs w:val="24"/>
              </w:rPr>
              <w:t>982</w:t>
            </w:r>
          </w:p>
        </w:tc>
      </w:tr>
      <w:tr w:rsidR="0069564A" w:rsidRPr="00070032" w14:paraId="5DFEDC67" w14:textId="77777777" w:rsidTr="00F86B6C">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720DBE9" w14:textId="77777777" w:rsidR="0069564A" w:rsidRPr="00070032" w:rsidRDefault="0069564A" w:rsidP="00F86B6C">
            <w:pPr>
              <w:spacing w:after="0" w:line="240" w:lineRule="auto"/>
              <w:rPr>
                <w:rFonts w:ascii="Times New Roman" w:eastAsia="Times New Roman" w:hAnsi="Times New Roman" w:cs="Times New Roman"/>
                <w:b/>
                <w:bCs/>
                <w:color w:val="333333"/>
                <w:sz w:val="24"/>
                <w:szCs w:val="24"/>
              </w:rPr>
            </w:pPr>
            <w:r w:rsidRPr="00070032">
              <w:rPr>
                <w:rFonts w:ascii="Times New Roman" w:eastAsia="Times New Roman" w:hAnsi="Times New Roman" w:cs="Times New Roman"/>
                <w:b/>
                <w:bCs/>
                <w:color w:val="333333"/>
                <w:sz w:val="24"/>
                <w:szCs w:val="24"/>
              </w:rPr>
              <w:t>Total</w:t>
            </w:r>
          </w:p>
        </w:tc>
        <w:tc>
          <w:tcPr>
            <w:tcW w:w="2615" w:type="dxa"/>
            <w:tcBorders>
              <w:top w:val="nil"/>
              <w:left w:val="nil"/>
              <w:bottom w:val="single" w:sz="4" w:space="0" w:color="auto"/>
              <w:right w:val="single" w:sz="4" w:space="0" w:color="auto"/>
            </w:tcBorders>
            <w:shd w:val="clear" w:color="auto" w:fill="auto"/>
            <w:noWrap/>
            <w:vAlign w:val="bottom"/>
            <w:hideMark/>
          </w:tcPr>
          <w:p w14:paraId="62A1386F" w14:textId="77777777" w:rsidR="0069564A" w:rsidRPr="00070032" w:rsidRDefault="0069564A" w:rsidP="00F86B6C">
            <w:pPr>
              <w:spacing w:after="0" w:line="240" w:lineRule="auto"/>
              <w:jc w:val="right"/>
              <w:rPr>
                <w:rFonts w:ascii="Times New Roman" w:eastAsia="Times New Roman" w:hAnsi="Times New Roman" w:cs="Times New Roman"/>
                <w:b/>
                <w:bCs/>
                <w:color w:val="333333"/>
                <w:sz w:val="24"/>
                <w:szCs w:val="24"/>
              </w:rPr>
            </w:pPr>
            <w:r w:rsidRPr="00070032">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w:t>
            </w:r>
            <w:r w:rsidRPr="00070032">
              <w:rPr>
                <w:rFonts w:ascii="Times New Roman" w:eastAsia="Times New Roman" w:hAnsi="Times New Roman" w:cs="Times New Roman"/>
                <w:b/>
                <w:bCs/>
                <w:color w:val="333333"/>
                <w:sz w:val="24"/>
                <w:szCs w:val="24"/>
              </w:rPr>
              <w:t>329</w:t>
            </w:r>
            <w:r>
              <w:rPr>
                <w:rFonts w:ascii="Times New Roman" w:eastAsia="Times New Roman" w:hAnsi="Times New Roman" w:cs="Times New Roman"/>
                <w:b/>
                <w:bCs/>
                <w:color w:val="333333"/>
                <w:sz w:val="24"/>
                <w:szCs w:val="24"/>
              </w:rPr>
              <w:t>,</w:t>
            </w:r>
            <w:r w:rsidRPr="00070032">
              <w:rPr>
                <w:rFonts w:ascii="Times New Roman" w:eastAsia="Times New Roman" w:hAnsi="Times New Roman" w:cs="Times New Roman"/>
                <w:b/>
                <w:bCs/>
                <w:color w:val="333333"/>
                <w:sz w:val="24"/>
                <w:szCs w:val="24"/>
              </w:rPr>
              <w:t>452</w:t>
            </w:r>
          </w:p>
        </w:tc>
      </w:tr>
    </w:tbl>
    <w:p w14:paraId="5476319A" w14:textId="77777777" w:rsidR="00EF26CB" w:rsidRPr="00EE0E89" w:rsidRDefault="00EF26CB" w:rsidP="00EF26CB">
      <w:pPr>
        <w:tabs>
          <w:tab w:val="left" w:pos="1399"/>
        </w:tabs>
        <w:spacing w:line="360" w:lineRule="auto"/>
        <w:jc w:val="center"/>
        <w:rPr>
          <w:rFonts w:ascii="Times New Roman" w:hAnsi="Times New Roman" w:cs="Times New Roman"/>
          <w:b/>
          <w:sz w:val="24"/>
        </w:rPr>
      </w:pPr>
      <w:r w:rsidRPr="00EE0E89">
        <w:rPr>
          <w:rFonts w:ascii="Times New Roman" w:hAnsi="Times New Roman" w:cs="Times New Roman"/>
          <w:b/>
          <w:sz w:val="24"/>
        </w:rPr>
        <w:t>Table 1: Value of Construction Work Done in September 2018 in USA.</w:t>
      </w:r>
    </w:p>
    <w:p w14:paraId="77F8AF49" w14:textId="1B222642" w:rsidR="00070032" w:rsidRPr="00EE0E89" w:rsidRDefault="001F05EF" w:rsidP="00EF26CB">
      <w:pPr>
        <w:spacing w:line="360" w:lineRule="auto"/>
        <w:jc w:val="both"/>
        <w:rPr>
          <w:rFonts w:ascii="Times New Roman" w:hAnsi="Times New Roman" w:cs="Times New Roman"/>
          <w:b/>
          <w:sz w:val="24"/>
        </w:rPr>
      </w:pPr>
      <w:r w:rsidRPr="00EE0E89">
        <w:rPr>
          <w:rFonts w:ascii="Times New Roman" w:hAnsi="Times New Roman" w:cs="Times New Roman"/>
          <w:sz w:val="24"/>
          <w:szCs w:val="24"/>
        </w:rPr>
        <w:t>With all these growth</w:t>
      </w:r>
      <w:r w:rsidR="00432C11" w:rsidRPr="00EE0E89">
        <w:rPr>
          <w:rFonts w:ascii="Times New Roman" w:hAnsi="Times New Roman" w:cs="Times New Roman"/>
          <w:sz w:val="24"/>
          <w:szCs w:val="24"/>
        </w:rPr>
        <w:t>s</w:t>
      </w:r>
      <w:r w:rsidRPr="00EE0E89">
        <w:rPr>
          <w:rFonts w:ascii="Times New Roman" w:hAnsi="Times New Roman" w:cs="Times New Roman"/>
          <w:sz w:val="24"/>
          <w:szCs w:val="24"/>
        </w:rPr>
        <w:t xml:space="preserve">, </w:t>
      </w:r>
      <w:r w:rsidR="00267433" w:rsidRPr="00EE0E89">
        <w:rPr>
          <w:rFonts w:ascii="Times New Roman" w:hAnsi="Times New Roman" w:cs="Times New Roman"/>
          <w:sz w:val="24"/>
          <w:szCs w:val="24"/>
        </w:rPr>
        <w:t xml:space="preserve">the </w:t>
      </w:r>
      <w:r w:rsidRPr="00EE0E89">
        <w:rPr>
          <w:rFonts w:ascii="Times New Roman" w:hAnsi="Times New Roman" w:cs="Times New Roman"/>
          <w:sz w:val="24"/>
          <w:szCs w:val="24"/>
        </w:rPr>
        <w:t xml:space="preserve">construction industry is regarded as one of the </w:t>
      </w:r>
      <w:r w:rsidR="00EF26CB" w:rsidRPr="00EE0E89">
        <w:rPr>
          <w:rFonts w:ascii="Times New Roman" w:hAnsi="Times New Roman" w:cs="Times New Roman"/>
          <w:sz w:val="24"/>
          <w:szCs w:val="24"/>
        </w:rPr>
        <w:t>hazardous</w:t>
      </w:r>
      <w:r w:rsidRPr="00EE0E89">
        <w:rPr>
          <w:rFonts w:ascii="Times New Roman" w:hAnsi="Times New Roman" w:cs="Times New Roman"/>
          <w:sz w:val="24"/>
          <w:szCs w:val="24"/>
        </w:rPr>
        <w:t xml:space="preserve"> industr</w:t>
      </w:r>
      <w:r w:rsidR="00432C11" w:rsidRPr="00EE0E89">
        <w:rPr>
          <w:rFonts w:ascii="Times New Roman" w:hAnsi="Times New Roman" w:cs="Times New Roman"/>
          <w:sz w:val="24"/>
          <w:szCs w:val="24"/>
        </w:rPr>
        <w:t>ies</w:t>
      </w:r>
      <w:r w:rsidRPr="00EE0E89">
        <w:rPr>
          <w:rFonts w:ascii="Times New Roman" w:hAnsi="Times New Roman" w:cs="Times New Roman"/>
          <w:sz w:val="24"/>
          <w:szCs w:val="24"/>
        </w:rPr>
        <w:t xml:space="preserve"> where the number of accidents resulting injuries and fatalities </w:t>
      </w:r>
      <w:r w:rsidR="00432C11" w:rsidRPr="00EE0E89">
        <w:rPr>
          <w:rFonts w:ascii="Times New Roman" w:hAnsi="Times New Roman" w:cs="Times New Roman"/>
          <w:sz w:val="24"/>
          <w:szCs w:val="24"/>
        </w:rPr>
        <w:t>is</w:t>
      </w:r>
      <w:r w:rsidRPr="00EE0E89">
        <w:rPr>
          <w:rFonts w:ascii="Times New Roman" w:hAnsi="Times New Roman" w:cs="Times New Roman"/>
          <w:sz w:val="24"/>
          <w:szCs w:val="24"/>
        </w:rPr>
        <w:t xml:space="preserve"> comparatively high</w:t>
      </w:r>
      <w:r w:rsidR="00EF26CB" w:rsidRPr="00EE0E89">
        <w:rPr>
          <w:rFonts w:ascii="Times New Roman" w:hAnsi="Times New Roman" w:cs="Times New Roman"/>
          <w:sz w:val="24"/>
          <w:szCs w:val="24"/>
        </w:rPr>
        <w:t xml:space="preserve"> (</w:t>
      </w:r>
      <w:r w:rsidR="0072059D" w:rsidRPr="00EE0E89">
        <w:rPr>
          <w:rFonts w:ascii="Times New Roman" w:hAnsi="Times New Roman" w:cs="Times New Roman"/>
          <w:sz w:val="24"/>
          <w:szCs w:val="24"/>
        </w:rPr>
        <w:t xml:space="preserve">Li and Poon, 2013; </w:t>
      </w:r>
      <w:r w:rsidR="00EF26CB" w:rsidRPr="00EE0E89">
        <w:rPr>
          <w:rFonts w:ascii="Times New Roman" w:hAnsi="Times New Roman" w:cs="Times New Roman"/>
          <w:sz w:val="24"/>
          <w:szCs w:val="24"/>
        </w:rPr>
        <w:t>Umar et al., 2019)</w:t>
      </w:r>
      <w:r w:rsidRPr="00EE0E89">
        <w:rPr>
          <w:rFonts w:ascii="Times New Roman" w:hAnsi="Times New Roman" w:cs="Times New Roman"/>
          <w:sz w:val="24"/>
          <w:szCs w:val="24"/>
        </w:rPr>
        <w:t>.</w:t>
      </w:r>
      <w:r w:rsidR="00EF26CB" w:rsidRPr="00EE0E89">
        <w:rPr>
          <w:rFonts w:ascii="Times New Roman" w:hAnsi="Times New Roman" w:cs="Times New Roman"/>
          <w:sz w:val="24"/>
          <w:szCs w:val="24"/>
        </w:rPr>
        <w:t xml:space="preserve"> </w:t>
      </w:r>
      <w:r w:rsidR="001958CA" w:rsidRPr="00EE0E89">
        <w:rPr>
          <w:rFonts w:ascii="Times New Roman" w:hAnsi="Times New Roman" w:cs="Times New Roman"/>
          <w:sz w:val="24"/>
          <w:szCs w:val="24"/>
        </w:rPr>
        <w:t>Site safety is not only a big issue during new construction projects but it is also one of the critical factors affecting the sustainability of skyscrapers and decoration, repair, and maintenance project</w:t>
      </w:r>
      <w:r w:rsidR="00432C11" w:rsidRPr="00EE0E89">
        <w:rPr>
          <w:rFonts w:ascii="Times New Roman" w:hAnsi="Times New Roman" w:cs="Times New Roman"/>
          <w:sz w:val="24"/>
          <w:szCs w:val="24"/>
        </w:rPr>
        <w:t>s</w:t>
      </w:r>
      <w:r w:rsidR="001958CA" w:rsidRPr="00EE0E89">
        <w:rPr>
          <w:rFonts w:ascii="Times New Roman" w:hAnsi="Times New Roman" w:cs="Times New Roman"/>
          <w:sz w:val="24"/>
          <w:szCs w:val="24"/>
        </w:rPr>
        <w:t xml:space="preserve"> (Li et al., 2019). </w:t>
      </w:r>
      <w:r w:rsidR="00EF26CB" w:rsidRPr="00EE0E89">
        <w:rPr>
          <w:rFonts w:ascii="Times New Roman" w:hAnsi="Times New Roman" w:cs="Times New Roman"/>
          <w:sz w:val="24"/>
          <w:szCs w:val="24"/>
        </w:rPr>
        <w:t>The risk associated with this industry in the developing countries is further high as compared with the developed countries. This article</w:t>
      </w:r>
      <w:r w:rsidR="00432C11" w:rsidRPr="00EE0E89">
        <w:rPr>
          <w:rFonts w:ascii="Times New Roman" w:hAnsi="Times New Roman" w:cs="Times New Roman"/>
          <w:sz w:val="24"/>
          <w:szCs w:val="24"/>
        </w:rPr>
        <w:t>, therefore,</w:t>
      </w:r>
      <w:r w:rsidR="00EF26CB" w:rsidRPr="00EE0E89">
        <w:rPr>
          <w:rFonts w:ascii="Times New Roman" w:hAnsi="Times New Roman" w:cs="Times New Roman"/>
          <w:sz w:val="24"/>
          <w:szCs w:val="24"/>
        </w:rPr>
        <w:t xml:space="preserve"> aim</w:t>
      </w:r>
      <w:r w:rsidR="00432C11" w:rsidRPr="00EE0E89">
        <w:rPr>
          <w:rFonts w:ascii="Times New Roman" w:hAnsi="Times New Roman" w:cs="Times New Roman"/>
          <w:sz w:val="24"/>
          <w:szCs w:val="24"/>
        </w:rPr>
        <w:t>s</w:t>
      </w:r>
      <w:r w:rsidR="00EF26CB" w:rsidRPr="00EE0E89">
        <w:rPr>
          <w:rFonts w:ascii="Times New Roman" w:hAnsi="Times New Roman" w:cs="Times New Roman"/>
          <w:sz w:val="24"/>
          <w:szCs w:val="24"/>
        </w:rPr>
        <w:t xml:space="preserve"> to investigate the status of the construction industry in the </w:t>
      </w:r>
      <w:r w:rsidR="00483BA4" w:rsidRPr="00EE0E89">
        <w:rPr>
          <w:rFonts w:ascii="Times New Roman" w:hAnsi="Times New Roman" w:cs="Times New Roman"/>
          <w:sz w:val="24"/>
          <w:szCs w:val="24"/>
        </w:rPr>
        <w:t>Gulf Cooperation Council (</w:t>
      </w:r>
      <w:r w:rsidR="00EF26CB" w:rsidRPr="00EE0E89">
        <w:rPr>
          <w:rFonts w:ascii="Times New Roman" w:hAnsi="Times New Roman" w:cs="Times New Roman"/>
          <w:sz w:val="24"/>
          <w:szCs w:val="24"/>
        </w:rPr>
        <w:t>GCC</w:t>
      </w:r>
      <w:r w:rsidR="00483BA4" w:rsidRPr="00EE0E89">
        <w:rPr>
          <w:rFonts w:ascii="Times New Roman" w:hAnsi="Times New Roman" w:cs="Times New Roman"/>
          <w:sz w:val="24"/>
          <w:szCs w:val="24"/>
        </w:rPr>
        <w:t>)</w:t>
      </w:r>
      <w:r w:rsidR="00EF26CB" w:rsidRPr="00EE0E89">
        <w:rPr>
          <w:rFonts w:ascii="Times New Roman" w:hAnsi="Times New Roman" w:cs="Times New Roman"/>
          <w:sz w:val="24"/>
          <w:szCs w:val="24"/>
        </w:rPr>
        <w:t xml:space="preserve"> region with an emphasi</w:t>
      </w:r>
      <w:r w:rsidR="00432C11" w:rsidRPr="00EE0E89">
        <w:rPr>
          <w:rFonts w:ascii="Times New Roman" w:hAnsi="Times New Roman" w:cs="Times New Roman"/>
          <w:sz w:val="24"/>
          <w:szCs w:val="24"/>
        </w:rPr>
        <w:t>s</w:t>
      </w:r>
      <w:r w:rsidR="00EF26CB" w:rsidRPr="00EE0E89">
        <w:rPr>
          <w:rFonts w:ascii="Times New Roman" w:hAnsi="Times New Roman" w:cs="Times New Roman"/>
          <w:sz w:val="24"/>
          <w:szCs w:val="24"/>
        </w:rPr>
        <w:t xml:space="preserve"> on safety performance. The article further aim</w:t>
      </w:r>
      <w:r w:rsidR="00F1299A" w:rsidRPr="00EE0E89">
        <w:rPr>
          <w:rFonts w:ascii="Times New Roman" w:hAnsi="Times New Roman" w:cs="Times New Roman"/>
          <w:sz w:val="24"/>
          <w:szCs w:val="24"/>
        </w:rPr>
        <w:t>s</w:t>
      </w:r>
      <w:r w:rsidR="00EF26CB" w:rsidRPr="00EE0E89">
        <w:rPr>
          <w:rFonts w:ascii="Times New Roman" w:hAnsi="Times New Roman" w:cs="Times New Roman"/>
          <w:sz w:val="24"/>
          <w:szCs w:val="24"/>
        </w:rPr>
        <w:t xml:space="preserve"> to propose some areas which can be helpful to improve the safety performance of the construction industry in the region. The methodology adopted for this purpose i</w:t>
      </w:r>
      <w:r w:rsidR="00F1299A" w:rsidRPr="00EE0E89">
        <w:rPr>
          <w:rFonts w:ascii="Times New Roman" w:hAnsi="Times New Roman" w:cs="Times New Roman"/>
          <w:sz w:val="24"/>
          <w:szCs w:val="24"/>
        </w:rPr>
        <w:t>s</w:t>
      </w:r>
      <w:r w:rsidR="00EF26CB" w:rsidRPr="00EE0E89">
        <w:rPr>
          <w:rFonts w:ascii="Times New Roman" w:hAnsi="Times New Roman" w:cs="Times New Roman"/>
          <w:sz w:val="24"/>
          <w:szCs w:val="24"/>
        </w:rPr>
        <w:t xml:space="preserve"> explained in the next section. </w:t>
      </w:r>
      <w:r w:rsidRPr="00EE0E89">
        <w:rPr>
          <w:rFonts w:ascii="Times New Roman" w:hAnsi="Times New Roman" w:cs="Times New Roman"/>
          <w:sz w:val="24"/>
          <w:szCs w:val="24"/>
        </w:rPr>
        <w:t xml:space="preserve"> </w:t>
      </w:r>
    </w:p>
    <w:p w14:paraId="5CA0D91E" w14:textId="26726CDC" w:rsidR="00EF26CB" w:rsidRPr="00EE0E89" w:rsidRDefault="00EF26CB" w:rsidP="00EF26CB">
      <w:pPr>
        <w:pStyle w:val="Heading1"/>
        <w:rPr>
          <w:color w:val="auto"/>
        </w:rPr>
      </w:pPr>
      <w:r w:rsidRPr="00EE0E89">
        <w:rPr>
          <w:color w:val="auto"/>
        </w:rPr>
        <w:t xml:space="preserve">2. Research Methodology: </w:t>
      </w:r>
    </w:p>
    <w:p w14:paraId="65F56E89" w14:textId="3FA36C4F" w:rsidR="00A36C3C" w:rsidRPr="00EE0E89" w:rsidRDefault="00EF26CB" w:rsidP="00EF26CB">
      <w:pPr>
        <w:spacing w:line="360" w:lineRule="auto"/>
        <w:jc w:val="both"/>
        <w:rPr>
          <w:rFonts w:ascii="Times New Roman" w:hAnsi="Times New Roman" w:cs="Times New Roman"/>
          <w:sz w:val="24"/>
        </w:rPr>
      </w:pPr>
      <w:r w:rsidRPr="00EE0E89">
        <w:rPr>
          <w:rFonts w:ascii="Times New Roman" w:hAnsi="Times New Roman" w:cs="Times New Roman"/>
          <w:sz w:val="24"/>
        </w:rPr>
        <w:t>Generally, the research methods in construction management are broadly divided into two categories know</w:t>
      </w:r>
      <w:r w:rsidR="00F1299A" w:rsidRPr="00EE0E89">
        <w:rPr>
          <w:rFonts w:ascii="Times New Roman" w:hAnsi="Times New Roman" w:cs="Times New Roman"/>
          <w:sz w:val="24"/>
        </w:rPr>
        <w:t>n</w:t>
      </w:r>
      <w:r w:rsidRPr="00EE0E89">
        <w:rPr>
          <w:rFonts w:ascii="Times New Roman" w:hAnsi="Times New Roman" w:cs="Times New Roman"/>
          <w:sz w:val="24"/>
        </w:rPr>
        <w:t xml:space="preserve"> as quantitative and qualitative research methods</w:t>
      </w:r>
      <w:r w:rsidR="00784129" w:rsidRPr="00EE0E89">
        <w:rPr>
          <w:rFonts w:ascii="Times New Roman" w:hAnsi="Times New Roman" w:cs="Times New Roman"/>
          <w:sz w:val="24"/>
        </w:rPr>
        <w:t xml:space="preserve"> (</w:t>
      </w:r>
      <w:r w:rsidR="00C15010" w:rsidRPr="00EE0E89">
        <w:rPr>
          <w:rFonts w:ascii="Times New Roman" w:hAnsi="Times New Roman" w:cs="Times New Roman"/>
          <w:sz w:val="24"/>
        </w:rPr>
        <w:t xml:space="preserve">Umar and </w:t>
      </w:r>
      <w:proofErr w:type="spellStart"/>
      <w:r w:rsidR="00C15010" w:rsidRPr="00EE0E89">
        <w:rPr>
          <w:rFonts w:ascii="Times New Roman" w:hAnsi="Times New Roman" w:cs="Times New Roman"/>
          <w:sz w:val="24"/>
        </w:rPr>
        <w:t>Egbu</w:t>
      </w:r>
      <w:proofErr w:type="spellEnd"/>
      <w:r w:rsidR="00C15010" w:rsidRPr="00EE0E89">
        <w:rPr>
          <w:rFonts w:ascii="Times New Roman" w:hAnsi="Times New Roman" w:cs="Times New Roman"/>
          <w:sz w:val="24"/>
        </w:rPr>
        <w:t>, 2018</w:t>
      </w:r>
      <w:r w:rsidR="00B10D82" w:rsidRPr="00EE0E89">
        <w:rPr>
          <w:rFonts w:ascii="Times New Roman" w:hAnsi="Times New Roman" w:cs="Times New Roman"/>
          <w:sz w:val="24"/>
        </w:rPr>
        <w:t>; Umar et al., 2019</w:t>
      </w:r>
      <w:r w:rsidR="002528CC" w:rsidRPr="00EE0E89">
        <w:rPr>
          <w:rFonts w:ascii="Times New Roman" w:hAnsi="Times New Roman" w:cs="Times New Roman"/>
          <w:sz w:val="24"/>
        </w:rPr>
        <w:t>-a</w:t>
      </w:r>
      <w:r w:rsidR="00C15010" w:rsidRPr="00EE0E89">
        <w:rPr>
          <w:rFonts w:ascii="Times New Roman" w:hAnsi="Times New Roman" w:cs="Times New Roman"/>
          <w:sz w:val="24"/>
        </w:rPr>
        <w:t>)</w:t>
      </w:r>
      <w:r w:rsidRPr="00EE0E89">
        <w:rPr>
          <w:rFonts w:ascii="Times New Roman" w:hAnsi="Times New Roman" w:cs="Times New Roman"/>
          <w:sz w:val="24"/>
        </w:rPr>
        <w:t>.</w:t>
      </w:r>
      <w:r w:rsidR="002979EE" w:rsidRPr="00EE0E89">
        <w:rPr>
          <w:rFonts w:ascii="Times New Roman" w:hAnsi="Times New Roman" w:cs="Times New Roman"/>
          <w:sz w:val="24"/>
        </w:rPr>
        <w:t xml:space="preserve"> Considering the nature of this research, a qualitative research approach was deemed fit to achieve set aims and objective</w:t>
      </w:r>
      <w:r w:rsidR="00F1299A" w:rsidRPr="00EE0E89">
        <w:rPr>
          <w:rFonts w:ascii="Times New Roman" w:hAnsi="Times New Roman" w:cs="Times New Roman"/>
          <w:sz w:val="24"/>
        </w:rPr>
        <w:t>s</w:t>
      </w:r>
      <w:r w:rsidR="002979EE" w:rsidRPr="00EE0E89">
        <w:rPr>
          <w:rFonts w:ascii="Times New Roman" w:hAnsi="Times New Roman" w:cs="Times New Roman"/>
          <w:sz w:val="24"/>
        </w:rPr>
        <w:t>.</w:t>
      </w:r>
      <w:r w:rsidRPr="00EE0E89">
        <w:rPr>
          <w:rFonts w:ascii="Times New Roman" w:hAnsi="Times New Roman" w:cs="Times New Roman"/>
          <w:sz w:val="24"/>
        </w:rPr>
        <w:t xml:space="preserve"> </w:t>
      </w:r>
      <w:r w:rsidR="00105BE0" w:rsidRPr="00EE0E89">
        <w:rPr>
          <w:rFonts w:ascii="Times New Roman" w:hAnsi="Times New Roman" w:cs="Times New Roman"/>
          <w:sz w:val="24"/>
        </w:rPr>
        <w:t>The required data w</w:t>
      </w:r>
      <w:r w:rsidR="00F1299A" w:rsidRPr="00EE0E89">
        <w:rPr>
          <w:rFonts w:ascii="Times New Roman" w:hAnsi="Times New Roman" w:cs="Times New Roman"/>
          <w:sz w:val="24"/>
        </w:rPr>
        <w:t>ere</w:t>
      </w:r>
      <w:r w:rsidR="00105BE0" w:rsidRPr="00EE0E89">
        <w:rPr>
          <w:rFonts w:ascii="Times New Roman" w:hAnsi="Times New Roman" w:cs="Times New Roman"/>
          <w:sz w:val="24"/>
        </w:rPr>
        <w:t xml:space="preserve"> collected in two different stages. The data related to the GCC construction industry, safety and health in construction particularly in </w:t>
      </w:r>
      <w:r w:rsidR="00E2539C">
        <w:rPr>
          <w:rFonts w:ascii="Times New Roman" w:hAnsi="Times New Roman" w:cs="Times New Roman"/>
          <w:sz w:val="24"/>
        </w:rPr>
        <w:t xml:space="preserve">the </w:t>
      </w:r>
      <w:r w:rsidR="00105BE0" w:rsidRPr="00EE0E89">
        <w:rPr>
          <w:rFonts w:ascii="Times New Roman" w:hAnsi="Times New Roman" w:cs="Times New Roman"/>
          <w:sz w:val="24"/>
        </w:rPr>
        <w:t>GCC region and methods to improve the safety performance in construction were collected using systematic literature review.</w:t>
      </w:r>
      <w:r w:rsidR="004B7B21" w:rsidRPr="00EE0E89">
        <w:rPr>
          <w:rFonts w:ascii="Times New Roman" w:hAnsi="Times New Roman" w:cs="Times New Roman"/>
          <w:sz w:val="24"/>
        </w:rPr>
        <w:t xml:space="preserve"> </w:t>
      </w:r>
      <w:r w:rsidR="00844596" w:rsidRPr="00EE0E89">
        <w:rPr>
          <w:rFonts w:ascii="Times New Roman" w:hAnsi="Times New Roman" w:cs="Times New Roman"/>
          <w:sz w:val="24"/>
        </w:rPr>
        <w:t xml:space="preserve">A similar approach was also adopted by Wu et al., (2019) in their study related to the impacts of lean construction on safety systems. </w:t>
      </w:r>
      <w:r w:rsidR="004B7B21" w:rsidRPr="00EE0E89">
        <w:rPr>
          <w:rFonts w:ascii="Times New Roman" w:hAnsi="Times New Roman" w:cs="Times New Roman"/>
          <w:sz w:val="24"/>
        </w:rPr>
        <w:t xml:space="preserve">Different databases including Web of Science, Scopus, </w:t>
      </w:r>
      <w:proofErr w:type="spellStart"/>
      <w:r w:rsidR="004B7B21" w:rsidRPr="00EE0E89">
        <w:rPr>
          <w:rFonts w:ascii="Times New Roman" w:hAnsi="Times New Roman" w:cs="Times New Roman"/>
          <w:sz w:val="24"/>
        </w:rPr>
        <w:t>Proquest</w:t>
      </w:r>
      <w:proofErr w:type="spellEnd"/>
      <w:r w:rsidR="004B7B21" w:rsidRPr="00EE0E89">
        <w:rPr>
          <w:rFonts w:ascii="Times New Roman" w:hAnsi="Times New Roman" w:cs="Times New Roman"/>
          <w:sz w:val="24"/>
        </w:rPr>
        <w:t xml:space="preserve"> and Science Direct</w:t>
      </w:r>
      <w:r w:rsidR="007C7FE2" w:rsidRPr="00EE0E89">
        <w:rPr>
          <w:rFonts w:ascii="Times New Roman" w:hAnsi="Times New Roman" w:cs="Times New Roman"/>
          <w:sz w:val="24"/>
        </w:rPr>
        <w:t xml:space="preserve"> were used for the systematic review. The search period was kept </w:t>
      </w:r>
      <w:r w:rsidR="00F1299A" w:rsidRPr="00EE0E89">
        <w:rPr>
          <w:rFonts w:ascii="Times New Roman" w:hAnsi="Times New Roman" w:cs="Times New Roman"/>
          <w:sz w:val="24"/>
        </w:rPr>
        <w:t>from</w:t>
      </w:r>
      <w:r w:rsidR="007C7FE2" w:rsidRPr="00EE0E89">
        <w:rPr>
          <w:rFonts w:ascii="Times New Roman" w:hAnsi="Times New Roman" w:cs="Times New Roman"/>
          <w:sz w:val="24"/>
        </w:rPr>
        <w:t xml:space="preserve"> 2000 to 2019. The keywords used for the dataset search were GCC construction industry, Safety</w:t>
      </w:r>
      <w:r w:rsidR="00F1299A" w:rsidRPr="00EE0E89">
        <w:rPr>
          <w:rFonts w:ascii="Times New Roman" w:hAnsi="Times New Roman" w:cs="Times New Roman"/>
          <w:sz w:val="24"/>
        </w:rPr>
        <w:t>,</w:t>
      </w:r>
      <w:r w:rsidR="007C7FE2" w:rsidRPr="00EE0E89">
        <w:rPr>
          <w:rFonts w:ascii="Times New Roman" w:hAnsi="Times New Roman" w:cs="Times New Roman"/>
          <w:sz w:val="24"/>
        </w:rPr>
        <w:t xml:space="preserve"> and Health in Construction, Safety </w:t>
      </w:r>
      <w:r w:rsidR="007C7FE2" w:rsidRPr="00EE0E89">
        <w:rPr>
          <w:rFonts w:ascii="Times New Roman" w:hAnsi="Times New Roman" w:cs="Times New Roman"/>
          <w:sz w:val="24"/>
        </w:rPr>
        <w:lastRenderedPageBreak/>
        <w:t>Performance, Accidents, Injuries</w:t>
      </w:r>
      <w:r w:rsidR="00F1299A" w:rsidRPr="00EE0E89">
        <w:rPr>
          <w:rFonts w:ascii="Times New Roman" w:hAnsi="Times New Roman" w:cs="Times New Roman"/>
          <w:sz w:val="24"/>
        </w:rPr>
        <w:t>,</w:t>
      </w:r>
      <w:r w:rsidR="007C7FE2" w:rsidRPr="00EE0E89">
        <w:rPr>
          <w:rFonts w:ascii="Times New Roman" w:hAnsi="Times New Roman" w:cs="Times New Roman"/>
          <w:sz w:val="24"/>
        </w:rPr>
        <w:t xml:space="preserve"> and Fatalities.</w:t>
      </w:r>
      <w:r w:rsidR="00D67F11" w:rsidRPr="00EE0E89">
        <w:rPr>
          <w:rFonts w:ascii="Times New Roman" w:hAnsi="Times New Roman" w:cs="Times New Roman"/>
          <w:sz w:val="24"/>
        </w:rPr>
        <w:t xml:space="preserve"> The reports related to the construction industry presenting the statistics related to safety and health published by the authoritative organizations were also considered in this review process. </w:t>
      </w:r>
      <w:r w:rsidR="00BF793B" w:rsidRPr="00EE0E89">
        <w:rPr>
          <w:rFonts w:ascii="Times New Roman" w:hAnsi="Times New Roman" w:cs="Times New Roman"/>
          <w:sz w:val="24"/>
        </w:rPr>
        <w:t>Preferred reporting items for systematic reviews and meta-analyses (PRISMA) guidelines adhered during this review process (Moher, 2009</w:t>
      </w:r>
      <w:r w:rsidR="002528CC" w:rsidRPr="00EE0E89">
        <w:rPr>
          <w:rFonts w:ascii="Times New Roman" w:hAnsi="Times New Roman" w:cs="Times New Roman"/>
          <w:sz w:val="24"/>
        </w:rPr>
        <w:t>;</w:t>
      </w:r>
      <w:r w:rsidR="00BF793B" w:rsidRPr="00EE0E89">
        <w:rPr>
          <w:rFonts w:ascii="Times New Roman" w:hAnsi="Times New Roman" w:cs="Times New Roman"/>
          <w:sz w:val="24"/>
        </w:rPr>
        <w:t xml:space="preserve"> Umar, 2019</w:t>
      </w:r>
      <w:r w:rsidR="002528CC" w:rsidRPr="00EE0E89">
        <w:rPr>
          <w:rFonts w:ascii="Times New Roman" w:hAnsi="Times New Roman" w:cs="Times New Roman"/>
          <w:sz w:val="24"/>
        </w:rPr>
        <w:t>; Umar et al., 2019-b</w:t>
      </w:r>
      <w:r w:rsidR="00BF793B" w:rsidRPr="00EE0E89">
        <w:rPr>
          <w:rFonts w:ascii="Times New Roman" w:hAnsi="Times New Roman" w:cs="Times New Roman"/>
          <w:sz w:val="24"/>
        </w:rPr>
        <w:t>).</w:t>
      </w:r>
      <w:r w:rsidR="001654BB" w:rsidRPr="00EE0E89">
        <w:rPr>
          <w:rFonts w:ascii="Times New Roman" w:hAnsi="Times New Roman" w:cs="Times New Roman"/>
          <w:sz w:val="24"/>
        </w:rPr>
        <w:t xml:space="preserve"> In the second part of the research, semi-structured interviews were conducted with the selected participants. The aim of this interview was to </w:t>
      </w:r>
      <w:r w:rsidR="00B75BF8" w:rsidRPr="00EE0E89">
        <w:rPr>
          <w:rFonts w:ascii="Times New Roman" w:hAnsi="Times New Roman" w:cs="Times New Roman"/>
          <w:sz w:val="24"/>
        </w:rPr>
        <w:t>investigate how much the methods for the improvement of safety performance found through systematic review could be effective in the GCC construction. This was achieved through a total of 12 interview</w:t>
      </w:r>
      <w:r w:rsidR="00F1299A" w:rsidRPr="00EE0E89">
        <w:rPr>
          <w:rFonts w:ascii="Times New Roman" w:hAnsi="Times New Roman" w:cs="Times New Roman"/>
          <w:sz w:val="24"/>
        </w:rPr>
        <w:t>s</w:t>
      </w:r>
      <w:r w:rsidR="00B75BF8" w:rsidRPr="00EE0E89">
        <w:rPr>
          <w:rFonts w:ascii="Times New Roman" w:hAnsi="Times New Roman" w:cs="Times New Roman"/>
          <w:sz w:val="24"/>
        </w:rPr>
        <w:t xml:space="preserve"> with the selected respondents from academic</w:t>
      </w:r>
      <w:r w:rsidR="00F1299A" w:rsidRPr="00EE0E89">
        <w:rPr>
          <w:rFonts w:ascii="Times New Roman" w:hAnsi="Times New Roman" w:cs="Times New Roman"/>
          <w:sz w:val="24"/>
        </w:rPr>
        <w:t>s</w:t>
      </w:r>
      <w:r w:rsidR="00B75BF8" w:rsidRPr="00EE0E89">
        <w:rPr>
          <w:rFonts w:ascii="Times New Roman" w:hAnsi="Times New Roman" w:cs="Times New Roman"/>
          <w:sz w:val="24"/>
        </w:rPr>
        <w:t xml:space="preserve"> and industry. </w:t>
      </w:r>
      <w:r w:rsidR="00A36C3C" w:rsidRPr="00EE0E89">
        <w:rPr>
          <w:rFonts w:ascii="Times New Roman" w:hAnsi="Times New Roman" w:cs="Times New Roman"/>
          <w:sz w:val="24"/>
        </w:rPr>
        <w:t xml:space="preserve">Six interviewees were selected </w:t>
      </w:r>
      <w:r w:rsidR="00E2539C">
        <w:rPr>
          <w:rFonts w:ascii="Times New Roman" w:hAnsi="Times New Roman" w:cs="Times New Roman"/>
          <w:sz w:val="24"/>
        </w:rPr>
        <w:t>from</w:t>
      </w:r>
      <w:r w:rsidR="00A36C3C" w:rsidRPr="00EE0E89">
        <w:rPr>
          <w:rFonts w:ascii="Times New Roman" w:hAnsi="Times New Roman" w:cs="Times New Roman"/>
          <w:sz w:val="24"/>
        </w:rPr>
        <w:t xml:space="preserve"> academic and six </w:t>
      </w:r>
      <w:r w:rsidR="00E2539C">
        <w:rPr>
          <w:rFonts w:ascii="Times New Roman" w:hAnsi="Times New Roman" w:cs="Times New Roman"/>
          <w:sz w:val="24"/>
        </w:rPr>
        <w:t>from</w:t>
      </w:r>
      <w:r w:rsidR="00A36C3C" w:rsidRPr="00EE0E89">
        <w:rPr>
          <w:rFonts w:ascii="Times New Roman" w:hAnsi="Times New Roman" w:cs="Times New Roman"/>
          <w:sz w:val="24"/>
        </w:rPr>
        <w:t xml:space="preserve"> the construction industry. Interviews within Oman were conducted face-to-face, while interviews from other GCC countries were conducted telephonically.  The interviewees were selected in a way so that more accurate and reliable information could be obtained. Academic interviewees were selected from across the GCC countries representing the top leading universities. The condition for academic interviewees was that respondents should be at the rank of full-time professor with a research interest in construction management. The interviewee should have their academic qualifications in civil or a closer field of engineering. Likewise, the interviewees from the industry were also selected from all over GCC countries representing the leading construction organizations. The respondents were chosen on the criteria that they must be at a managerial role who have safety-related responsibilities. The minimum experience at managerial roles for interviewees was set as 10 years. Their organizations must be registered as an excellent grade company in any GCC country and should be able to participate in all tenders in that country. During the interview process, the interviewees were given an insight into the current research with the key areas to improve safety and health in the GCC construction.</w:t>
      </w:r>
    </w:p>
    <w:p w14:paraId="306ED71B" w14:textId="139E72BC" w:rsidR="00B75BF8" w:rsidRPr="00EE0E89" w:rsidRDefault="00B75BF8" w:rsidP="00EF26CB">
      <w:pPr>
        <w:spacing w:line="360" w:lineRule="auto"/>
        <w:jc w:val="both"/>
        <w:rPr>
          <w:rFonts w:ascii="Times New Roman" w:hAnsi="Times New Roman" w:cs="Times New Roman"/>
          <w:sz w:val="24"/>
        </w:rPr>
      </w:pPr>
      <w:r w:rsidRPr="00EE0E89">
        <w:rPr>
          <w:rFonts w:ascii="Times New Roman" w:hAnsi="Times New Roman" w:cs="Times New Roman"/>
          <w:sz w:val="24"/>
        </w:rPr>
        <w:t>The next section presents the result and discussion on different parameters of the research.</w:t>
      </w:r>
    </w:p>
    <w:p w14:paraId="0143F6E7" w14:textId="07F762BB" w:rsidR="00EF26CB" w:rsidRPr="00EE0E89" w:rsidRDefault="00B75BF8" w:rsidP="0092348F">
      <w:pPr>
        <w:pStyle w:val="Heading1"/>
        <w:rPr>
          <w:color w:val="auto"/>
        </w:rPr>
      </w:pPr>
      <w:r w:rsidRPr="00EE0E89">
        <w:rPr>
          <w:color w:val="auto"/>
        </w:rPr>
        <w:t xml:space="preserve">3. Results and Discussion:   </w:t>
      </w:r>
    </w:p>
    <w:p w14:paraId="0531F68F" w14:textId="6369AE6D" w:rsidR="00C250DD" w:rsidRPr="00EE0E89" w:rsidRDefault="00A36C3C" w:rsidP="00C250DD">
      <w:pPr>
        <w:spacing w:line="360" w:lineRule="auto"/>
        <w:jc w:val="both"/>
        <w:rPr>
          <w:rFonts w:ascii="Times New Roman" w:hAnsi="Times New Roman" w:cs="Times New Roman"/>
          <w:sz w:val="24"/>
        </w:rPr>
      </w:pPr>
      <w:r w:rsidRPr="00EE0E89">
        <w:rPr>
          <w:rFonts w:ascii="Times New Roman" w:hAnsi="Times New Roman" w:cs="Times New Roman"/>
          <w:sz w:val="24"/>
        </w:rPr>
        <w:t xml:space="preserve">A total of 137 papers and reports were downloaded during the systematic review process. After adopting the screening process, 69 papers and reports were rejected, thus the total number of papers and reports considered in this paper stand at 68. </w:t>
      </w:r>
      <w:r w:rsidR="00C250DD" w:rsidRPr="00EE0E89">
        <w:rPr>
          <w:rFonts w:ascii="Times New Roman" w:hAnsi="Times New Roman" w:cs="Times New Roman"/>
          <w:sz w:val="24"/>
        </w:rPr>
        <w:t>Considering different parameter</w:t>
      </w:r>
      <w:r w:rsidR="00CC3B68" w:rsidRPr="00EE0E89">
        <w:rPr>
          <w:rFonts w:ascii="Times New Roman" w:hAnsi="Times New Roman" w:cs="Times New Roman"/>
          <w:sz w:val="24"/>
        </w:rPr>
        <w:t>s</w:t>
      </w:r>
      <w:r w:rsidR="00C250DD" w:rsidRPr="00EE0E89">
        <w:rPr>
          <w:rFonts w:ascii="Times New Roman" w:hAnsi="Times New Roman" w:cs="Times New Roman"/>
          <w:sz w:val="24"/>
        </w:rPr>
        <w:t xml:space="preserve"> of the </w:t>
      </w:r>
      <w:r w:rsidR="00C250DD" w:rsidRPr="00EE0E89">
        <w:rPr>
          <w:rFonts w:ascii="Times New Roman" w:hAnsi="Times New Roman" w:cs="Times New Roman"/>
          <w:sz w:val="24"/>
        </w:rPr>
        <w:lastRenderedPageBreak/>
        <w:t xml:space="preserve">research, the results and discussion are divided into several parts. The first part provides an overview of the GCC construction industry. </w:t>
      </w:r>
    </w:p>
    <w:p w14:paraId="7C292539" w14:textId="115BF69E" w:rsidR="00643C62" w:rsidRPr="00EE0E89" w:rsidRDefault="00C250DD" w:rsidP="00D74173">
      <w:pPr>
        <w:pStyle w:val="Heading2"/>
      </w:pPr>
      <w:r w:rsidRPr="00EE0E89">
        <w:t>3</w:t>
      </w:r>
      <w:r w:rsidR="00643C62" w:rsidRPr="00EE0E89">
        <w:t>.1</w:t>
      </w:r>
      <w:r w:rsidR="00BC749B" w:rsidRPr="00EE0E89">
        <w:t xml:space="preserve"> </w:t>
      </w:r>
      <w:r w:rsidR="00643C62" w:rsidRPr="00EE0E89">
        <w:t xml:space="preserve">GCC’s Construction Industry: </w:t>
      </w:r>
    </w:p>
    <w:p w14:paraId="241F6C2F" w14:textId="265CC086" w:rsidR="006F5CE3" w:rsidRPr="00EE0E89" w:rsidRDefault="00643C62" w:rsidP="00AB5255">
      <w:pPr>
        <w:spacing w:line="360" w:lineRule="auto"/>
        <w:jc w:val="both"/>
        <w:rPr>
          <w:rFonts w:ascii="Times New Roman" w:hAnsi="Times New Roman" w:cs="Times New Roman"/>
          <w:sz w:val="24"/>
        </w:rPr>
      </w:pPr>
      <w:r w:rsidRPr="00EE0E89">
        <w:rPr>
          <w:rFonts w:ascii="Times New Roman" w:hAnsi="Times New Roman" w:cs="Times New Roman"/>
          <w:sz w:val="24"/>
        </w:rPr>
        <w:t>The</w:t>
      </w:r>
      <w:r w:rsidR="0095634D" w:rsidRPr="00EE0E89">
        <w:rPr>
          <w:rFonts w:ascii="Times New Roman" w:hAnsi="Times New Roman" w:cs="Times New Roman"/>
          <w:sz w:val="24"/>
        </w:rPr>
        <w:t>re are five</w:t>
      </w:r>
      <w:r w:rsidR="00A37D74" w:rsidRPr="00EE0E89">
        <w:rPr>
          <w:rFonts w:ascii="Times New Roman" w:hAnsi="Times New Roman" w:cs="Times New Roman"/>
          <w:sz w:val="24"/>
        </w:rPr>
        <w:t>-</w:t>
      </w:r>
      <w:r w:rsidRPr="00EE0E89">
        <w:rPr>
          <w:rFonts w:ascii="Times New Roman" w:hAnsi="Times New Roman" w:cs="Times New Roman"/>
          <w:sz w:val="24"/>
        </w:rPr>
        <w:t>member countries of the GCC</w:t>
      </w:r>
      <w:r w:rsidR="0095634D" w:rsidRPr="00EE0E89">
        <w:rPr>
          <w:rFonts w:ascii="Times New Roman" w:hAnsi="Times New Roman" w:cs="Times New Roman"/>
          <w:sz w:val="24"/>
        </w:rPr>
        <w:t>,</w:t>
      </w:r>
      <w:r w:rsidRPr="00EE0E89">
        <w:rPr>
          <w:rFonts w:ascii="Times New Roman" w:hAnsi="Times New Roman" w:cs="Times New Roman"/>
          <w:sz w:val="24"/>
        </w:rPr>
        <w:t xml:space="preserve"> </w:t>
      </w:r>
      <w:r w:rsidR="00E4646D" w:rsidRPr="00EE0E89">
        <w:rPr>
          <w:rFonts w:ascii="Times New Roman" w:hAnsi="Times New Roman" w:cs="Times New Roman"/>
          <w:sz w:val="24"/>
        </w:rPr>
        <w:t>which includes</w:t>
      </w:r>
      <w:r w:rsidRPr="00EE0E89">
        <w:rPr>
          <w:rFonts w:ascii="Times New Roman" w:hAnsi="Times New Roman" w:cs="Times New Roman"/>
          <w:sz w:val="24"/>
        </w:rPr>
        <w:t xml:space="preserve"> Saudi Arabia, Oman, Qatar, Bahrain</w:t>
      </w:r>
      <w:r w:rsidR="00937F12" w:rsidRPr="00EE0E89">
        <w:rPr>
          <w:rFonts w:ascii="Times New Roman" w:hAnsi="Times New Roman" w:cs="Times New Roman"/>
          <w:sz w:val="24"/>
        </w:rPr>
        <w:t>,</w:t>
      </w:r>
      <w:r w:rsidRPr="00EE0E89">
        <w:rPr>
          <w:rFonts w:ascii="Times New Roman" w:hAnsi="Times New Roman" w:cs="Times New Roman"/>
          <w:sz w:val="24"/>
        </w:rPr>
        <w:t xml:space="preserve"> and Kuwait</w:t>
      </w:r>
      <w:r w:rsidR="0095634D" w:rsidRPr="00EE0E89">
        <w:rPr>
          <w:rFonts w:ascii="Times New Roman" w:hAnsi="Times New Roman" w:cs="Times New Roman"/>
          <w:sz w:val="24"/>
        </w:rPr>
        <w:t xml:space="preserve">. </w:t>
      </w:r>
      <w:r w:rsidR="00E4646D" w:rsidRPr="00EE0E89">
        <w:rPr>
          <w:rFonts w:ascii="Times New Roman" w:hAnsi="Times New Roman" w:cs="Times New Roman"/>
          <w:sz w:val="24"/>
        </w:rPr>
        <w:t>T</w:t>
      </w:r>
      <w:r w:rsidR="0095634D" w:rsidRPr="00EE0E89">
        <w:rPr>
          <w:rFonts w:ascii="Times New Roman" w:hAnsi="Times New Roman" w:cs="Times New Roman"/>
          <w:sz w:val="24"/>
        </w:rPr>
        <w:t xml:space="preserve">he economy </w:t>
      </w:r>
      <w:r w:rsidR="00E4646D" w:rsidRPr="00EE0E89">
        <w:rPr>
          <w:rFonts w:ascii="Times New Roman" w:hAnsi="Times New Roman" w:cs="Times New Roman"/>
          <w:sz w:val="24"/>
        </w:rPr>
        <w:t xml:space="preserve">of the region </w:t>
      </w:r>
      <w:r w:rsidR="0095634D" w:rsidRPr="00EE0E89">
        <w:rPr>
          <w:rFonts w:ascii="Times New Roman" w:hAnsi="Times New Roman" w:cs="Times New Roman"/>
          <w:sz w:val="24"/>
        </w:rPr>
        <w:t>is heavily reliant on the oil and gas export</w:t>
      </w:r>
      <w:r w:rsidR="001D4361" w:rsidRPr="00EE0E89">
        <w:rPr>
          <w:rFonts w:ascii="Times New Roman" w:hAnsi="Times New Roman" w:cs="Times New Roman"/>
          <w:sz w:val="24"/>
        </w:rPr>
        <w:t>s</w:t>
      </w:r>
      <w:r w:rsidR="0095634D" w:rsidRPr="00EE0E89">
        <w:rPr>
          <w:rFonts w:ascii="Times New Roman" w:hAnsi="Times New Roman" w:cs="Times New Roman"/>
          <w:sz w:val="24"/>
        </w:rPr>
        <w:t xml:space="preserve"> </w:t>
      </w:r>
      <w:r w:rsidR="001D4361" w:rsidRPr="00EE0E89">
        <w:rPr>
          <w:rFonts w:ascii="Times New Roman" w:hAnsi="Times New Roman" w:cs="Times New Roman"/>
          <w:sz w:val="24"/>
        </w:rPr>
        <w:t>that</w:t>
      </w:r>
      <w:r w:rsidR="0095634D" w:rsidRPr="00EE0E89">
        <w:rPr>
          <w:rFonts w:ascii="Times New Roman" w:hAnsi="Times New Roman" w:cs="Times New Roman"/>
          <w:sz w:val="24"/>
        </w:rPr>
        <w:t xml:space="preserve"> constitute more than 50% of its GDP</w:t>
      </w:r>
      <w:r w:rsidR="005114F9" w:rsidRPr="00EE0E89">
        <w:rPr>
          <w:rFonts w:ascii="Times New Roman" w:hAnsi="Times New Roman" w:cs="Times New Roman"/>
          <w:sz w:val="24"/>
        </w:rPr>
        <w:t xml:space="preserve"> (</w:t>
      </w:r>
      <w:r w:rsidR="00456592" w:rsidRPr="00EE0E89">
        <w:rPr>
          <w:rFonts w:ascii="Times New Roman" w:hAnsi="Times New Roman" w:cs="Times New Roman"/>
          <w:sz w:val="24"/>
        </w:rPr>
        <w:t xml:space="preserve">Umar and Wamuziri, 2016-a; </w:t>
      </w:r>
      <w:r w:rsidR="00875E4A" w:rsidRPr="00EE0E89">
        <w:rPr>
          <w:rFonts w:ascii="Times New Roman" w:hAnsi="Times New Roman" w:cs="Times New Roman"/>
          <w:sz w:val="24"/>
        </w:rPr>
        <w:t>Umar, 2017</w:t>
      </w:r>
      <w:r w:rsidR="00093E37">
        <w:rPr>
          <w:rFonts w:ascii="Times New Roman" w:hAnsi="Times New Roman" w:cs="Times New Roman"/>
          <w:sz w:val="24"/>
        </w:rPr>
        <w:t>-a</w:t>
      </w:r>
      <w:r w:rsidR="00875E4A" w:rsidRPr="00EE0E89">
        <w:rPr>
          <w:rFonts w:ascii="Times New Roman" w:hAnsi="Times New Roman" w:cs="Times New Roman"/>
          <w:sz w:val="24"/>
        </w:rPr>
        <w:t xml:space="preserve">; </w:t>
      </w:r>
      <w:r w:rsidR="005114F9" w:rsidRPr="00EE0E89">
        <w:rPr>
          <w:rFonts w:ascii="Times New Roman" w:hAnsi="Times New Roman" w:cs="Times New Roman"/>
          <w:sz w:val="24"/>
        </w:rPr>
        <w:t>Umar</w:t>
      </w:r>
      <w:r w:rsidR="006F5CE3" w:rsidRPr="00EE0E89">
        <w:rPr>
          <w:rFonts w:ascii="Times New Roman" w:hAnsi="Times New Roman" w:cs="Times New Roman"/>
          <w:sz w:val="24"/>
        </w:rPr>
        <w:t>, 2018</w:t>
      </w:r>
      <w:r w:rsidR="005114F9" w:rsidRPr="00EE0E89">
        <w:rPr>
          <w:rFonts w:ascii="Times New Roman" w:hAnsi="Times New Roman" w:cs="Times New Roman"/>
          <w:sz w:val="24"/>
        </w:rPr>
        <w:t>)</w:t>
      </w:r>
      <w:r w:rsidR="0095634D" w:rsidRPr="00EE0E89">
        <w:rPr>
          <w:rFonts w:ascii="Times New Roman" w:hAnsi="Times New Roman" w:cs="Times New Roman"/>
          <w:sz w:val="24"/>
        </w:rPr>
        <w:t>.</w:t>
      </w:r>
      <w:r w:rsidR="006F5CE3" w:rsidRPr="00EE0E89">
        <w:rPr>
          <w:rFonts w:ascii="Times New Roman" w:hAnsi="Times New Roman" w:cs="Times New Roman"/>
          <w:sz w:val="24"/>
        </w:rPr>
        <w:t xml:space="preserve"> Despite the dip in oil price</w:t>
      </w:r>
      <w:r w:rsidR="00937F12" w:rsidRPr="00EE0E89">
        <w:rPr>
          <w:rFonts w:ascii="Times New Roman" w:hAnsi="Times New Roman" w:cs="Times New Roman"/>
          <w:sz w:val="24"/>
        </w:rPr>
        <w:t>s</w:t>
      </w:r>
      <w:r w:rsidR="006F5CE3" w:rsidRPr="00EE0E89">
        <w:rPr>
          <w:rFonts w:ascii="Times New Roman" w:hAnsi="Times New Roman" w:cs="Times New Roman"/>
          <w:sz w:val="24"/>
        </w:rPr>
        <w:t xml:space="preserve"> in recent years and its </w:t>
      </w:r>
      <w:r w:rsidR="00BC749B" w:rsidRPr="00EE0E89">
        <w:rPr>
          <w:rFonts w:ascii="Times New Roman" w:hAnsi="Times New Roman" w:cs="Times New Roman"/>
          <w:sz w:val="24"/>
        </w:rPr>
        <w:t xml:space="preserve">negative </w:t>
      </w:r>
      <w:r w:rsidR="001D4361" w:rsidRPr="00EE0E89">
        <w:rPr>
          <w:rFonts w:ascii="Times New Roman" w:hAnsi="Times New Roman" w:cs="Times New Roman"/>
          <w:sz w:val="24"/>
        </w:rPr>
        <w:t>impact</w:t>
      </w:r>
      <w:r w:rsidR="006F5CE3" w:rsidRPr="00EE0E89">
        <w:rPr>
          <w:rFonts w:ascii="Times New Roman" w:hAnsi="Times New Roman" w:cs="Times New Roman"/>
          <w:sz w:val="24"/>
        </w:rPr>
        <w:t xml:space="preserve"> on the GCC</w:t>
      </w:r>
      <w:r w:rsidR="00BC749B" w:rsidRPr="00EE0E89">
        <w:rPr>
          <w:rFonts w:ascii="Times New Roman" w:hAnsi="Times New Roman" w:cs="Times New Roman"/>
          <w:sz w:val="24"/>
        </w:rPr>
        <w:t xml:space="preserve"> countries</w:t>
      </w:r>
      <w:r w:rsidR="00937F12" w:rsidRPr="00EE0E89">
        <w:rPr>
          <w:rFonts w:ascii="Times New Roman" w:hAnsi="Times New Roman" w:cs="Times New Roman"/>
          <w:sz w:val="24"/>
        </w:rPr>
        <w:t>'</w:t>
      </w:r>
      <w:r w:rsidR="00BC749B" w:rsidRPr="00EE0E89">
        <w:rPr>
          <w:rFonts w:ascii="Times New Roman" w:hAnsi="Times New Roman" w:cs="Times New Roman"/>
          <w:sz w:val="24"/>
        </w:rPr>
        <w:t xml:space="preserve"> </w:t>
      </w:r>
      <w:r w:rsidR="006F5CE3" w:rsidRPr="00EE0E89">
        <w:rPr>
          <w:rFonts w:ascii="Times New Roman" w:hAnsi="Times New Roman" w:cs="Times New Roman"/>
          <w:sz w:val="24"/>
        </w:rPr>
        <w:t>economy, investment in infrastructure projects continues</w:t>
      </w:r>
      <w:r w:rsidR="003E6D3C" w:rsidRPr="00EE0E89">
        <w:rPr>
          <w:rFonts w:ascii="Times New Roman" w:hAnsi="Times New Roman" w:cs="Times New Roman"/>
          <w:sz w:val="24"/>
        </w:rPr>
        <w:t xml:space="preserve"> to increase</w:t>
      </w:r>
      <w:r w:rsidR="006F5CE3" w:rsidRPr="00EE0E89">
        <w:rPr>
          <w:rFonts w:ascii="Times New Roman" w:hAnsi="Times New Roman" w:cs="Times New Roman"/>
          <w:sz w:val="24"/>
        </w:rPr>
        <w:t xml:space="preserve">. </w:t>
      </w:r>
      <w:r w:rsidR="00BC749B" w:rsidRPr="00EE0E89">
        <w:rPr>
          <w:rFonts w:ascii="Times New Roman" w:hAnsi="Times New Roman" w:cs="Times New Roman"/>
          <w:sz w:val="24"/>
        </w:rPr>
        <w:t>This is clearly evident from t</w:t>
      </w:r>
      <w:r w:rsidR="00180DF8" w:rsidRPr="00EE0E89">
        <w:rPr>
          <w:rFonts w:ascii="Times New Roman" w:hAnsi="Times New Roman" w:cs="Times New Roman"/>
          <w:sz w:val="24"/>
        </w:rPr>
        <w:t xml:space="preserve">he value of the </w:t>
      </w:r>
      <w:r w:rsidR="008E1429" w:rsidRPr="00EE0E89">
        <w:rPr>
          <w:rFonts w:ascii="Times New Roman" w:hAnsi="Times New Roman" w:cs="Times New Roman"/>
          <w:sz w:val="24"/>
        </w:rPr>
        <w:t xml:space="preserve">planned and ongoing </w:t>
      </w:r>
      <w:r w:rsidR="00180DF8" w:rsidRPr="00EE0E89">
        <w:rPr>
          <w:rFonts w:ascii="Times New Roman" w:hAnsi="Times New Roman" w:cs="Times New Roman"/>
          <w:sz w:val="24"/>
        </w:rPr>
        <w:t>construction project</w:t>
      </w:r>
      <w:r w:rsidR="003E6D3C" w:rsidRPr="00EE0E89">
        <w:rPr>
          <w:rFonts w:ascii="Times New Roman" w:hAnsi="Times New Roman" w:cs="Times New Roman"/>
          <w:sz w:val="24"/>
        </w:rPr>
        <w:t>s</w:t>
      </w:r>
      <w:r w:rsidR="00180DF8" w:rsidRPr="00EE0E89">
        <w:rPr>
          <w:rFonts w:ascii="Times New Roman" w:hAnsi="Times New Roman" w:cs="Times New Roman"/>
          <w:sz w:val="24"/>
        </w:rPr>
        <w:t xml:space="preserve"> in all GCC countries</w:t>
      </w:r>
      <w:r w:rsidR="00FA57C4" w:rsidRPr="00EE0E89">
        <w:rPr>
          <w:rFonts w:ascii="Times New Roman" w:hAnsi="Times New Roman" w:cs="Times New Roman"/>
          <w:sz w:val="24"/>
        </w:rPr>
        <w:t xml:space="preserve">, which was </w:t>
      </w:r>
      <w:r w:rsidR="00180DF8" w:rsidRPr="00EE0E89">
        <w:rPr>
          <w:rFonts w:ascii="Times New Roman" w:hAnsi="Times New Roman" w:cs="Times New Roman"/>
          <w:sz w:val="24"/>
        </w:rPr>
        <w:t xml:space="preserve"> </w:t>
      </w:r>
      <w:r w:rsidR="008E1429" w:rsidRPr="00EE0E89">
        <w:rPr>
          <w:rFonts w:ascii="Times New Roman" w:hAnsi="Times New Roman" w:cs="Times New Roman"/>
          <w:sz w:val="24"/>
        </w:rPr>
        <w:t>1</w:t>
      </w:r>
      <w:r w:rsidR="00BC749B" w:rsidRPr="00EE0E89">
        <w:rPr>
          <w:rFonts w:ascii="Times New Roman" w:hAnsi="Times New Roman" w:cs="Times New Roman"/>
          <w:sz w:val="24"/>
        </w:rPr>
        <w:t>,</w:t>
      </w:r>
      <w:r w:rsidR="008E1429" w:rsidRPr="00EE0E89">
        <w:rPr>
          <w:rFonts w:ascii="Times New Roman" w:hAnsi="Times New Roman" w:cs="Times New Roman"/>
          <w:sz w:val="24"/>
        </w:rPr>
        <w:t>300 billion</w:t>
      </w:r>
      <w:r w:rsidR="00FA57C4" w:rsidRPr="00EE0E89">
        <w:rPr>
          <w:rFonts w:ascii="Times New Roman" w:hAnsi="Times New Roman" w:cs="Times New Roman"/>
          <w:sz w:val="24"/>
        </w:rPr>
        <w:t xml:space="preserve"> in the year 2015</w:t>
      </w:r>
      <w:r w:rsidR="003E6D3C" w:rsidRPr="00EE0E89">
        <w:rPr>
          <w:rFonts w:ascii="Times New Roman" w:hAnsi="Times New Roman" w:cs="Times New Roman"/>
          <w:sz w:val="24"/>
        </w:rPr>
        <w:t xml:space="preserve">, </w:t>
      </w:r>
      <w:r w:rsidR="0017701C" w:rsidRPr="00EE0E89">
        <w:rPr>
          <w:rFonts w:ascii="Times New Roman" w:hAnsi="Times New Roman" w:cs="Times New Roman"/>
          <w:sz w:val="24"/>
        </w:rPr>
        <w:t xml:space="preserve">as shown in figure </w:t>
      </w:r>
      <w:r w:rsidR="001222B3" w:rsidRPr="00EE0E89">
        <w:rPr>
          <w:rFonts w:ascii="Times New Roman" w:hAnsi="Times New Roman" w:cs="Times New Roman"/>
          <w:sz w:val="24"/>
        </w:rPr>
        <w:t>3</w:t>
      </w:r>
      <w:r w:rsidR="00D04F21" w:rsidRPr="00EE0E89">
        <w:rPr>
          <w:rFonts w:ascii="Times New Roman" w:hAnsi="Times New Roman" w:cs="Times New Roman"/>
          <w:sz w:val="24"/>
        </w:rPr>
        <w:t xml:space="preserve"> (Deloitte</w:t>
      </w:r>
      <w:r w:rsidR="00087018" w:rsidRPr="00EE0E89">
        <w:rPr>
          <w:rFonts w:ascii="Times New Roman" w:hAnsi="Times New Roman" w:cs="Times New Roman"/>
          <w:sz w:val="24"/>
        </w:rPr>
        <w:t>,</w:t>
      </w:r>
      <w:r w:rsidR="00D04F21" w:rsidRPr="00EE0E89">
        <w:rPr>
          <w:rFonts w:ascii="Times New Roman" w:hAnsi="Times New Roman" w:cs="Times New Roman"/>
          <w:sz w:val="24"/>
        </w:rPr>
        <w:t xml:space="preserve"> 2015)</w:t>
      </w:r>
      <w:r w:rsidR="008E1429" w:rsidRPr="00EE0E89">
        <w:rPr>
          <w:rFonts w:ascii="Times New Roman" w:hAnsi="Times New Roman" w:cs="Times New Roman"/>
          <w:sz w:val="24"/>
        </w:rPr>
        <w:t xml:space="preserve">. </w:t>
      </w:r>
      <w:r w:rsidR="00180DF8" w:rsidRPr="00EE0E89">
        <w:rPr>
          <w:rFonts w:ascii="Times New Roman" w:hAnsi="Times New Roman" w:cs="Times New Roman"/>
          <w:sz w:val="24"/>
        </w:rPr>
        <w:t xml:space="preserve"> </w:t>
      </w:r>
      <w:r w:rsidR="00FA57C4" w:rsidRPr="00EE0E89">
        <w:rPr>
          <w:rFonts w:ascii="Times New Roman" w:hAnsi="Times New Roman" w:cs="Times New Roman"/>
          <w:sz w:val="24"/>
        </w:rPr>
        <w:t>Similarly, a</w:t>
      </w:r>
      <w:r w:rsidR="006F5CE3" w:rsidRPr="00EE0E89">
        <w:rPr>
          <w:rFonts w:ascii="Times New Roman" w:hAnsi="Times New Roman" w:cs="Times New Roman"/>
          <w:sz w:val="24"/>
        </w:rPr>
        <w:t xml:space="preserve"> report published in Arabian Business (AB, 2017) in late 2017 indicates that there were 20</w:t>
      </w:r>
      <w:r w:rsidR="00180DF8" w:rsidRPr="00EE0E89">
        <w:rPr>
          <w:rFonts w:ascii="Times New Roman" w:hAnsi="Times New Roman" w:cs="Times New Roman"/>
          <w:sz w:val="24"/>
        </w:rPr>
        <w:t>,</w:t>
      </w:r>
      <w:r w:rsidR="006F5CE3" w:rsidRPr="00EE0E89">
        <w:rPr>
          <w:rFonts w:ascii="Times New Roman" w:hAnsi="Times New Roman" w:cs="Times New Roman"/>
          <w:sz w:val="24"/>
        </w:rPr>
        <w:t xml:space="preserve">000 active construction projects worth US$2.4 trillion. </w:t>
      </w:r>
      <w:r w:rsidR="00AB5255" w:rsidRPr="00EE0E89">
        <w:rPr>
          <w:rFonts w:ascii="Times New Roman" w:hAnsi="Times New Roman" w:cs="Times New Roman"/>
          <w:sz w:val="24"/>
        </w:rPr>
        <w:t>According to Oman’s budget report, the spending on development projects was estimated at US$ 3</w:t>
      </w:r>
      <w:r w:rsidR="00FA57C4" w:rsidRPr="00EE0E89">
        <w:rPr>
          <w:rFonts w:ascii="Times New Roman" w:hAnsi="Times New Roman" w:cs="Times New Roman"/>
          <w:sz w:val="24"/>
        </w:rPr>
        <w:t>.</w:t>
      </w:r>
      <w:r w:rsidR="00AB5255" w:rsidRPr="00EE0E89">
        <w:rPr>
          <w:rFonts w:ascii="Times New Roman" w:hAnsi="Times New Roman" w:cs="Times New Roman"/>
          <w:sz w:val="24"/>
        </w:rPr>
        <w:t>12 billion (</w:t>
      </w:r>
      <w:r w:rsidR="00FA57C4" w:rsidRPr="00EE0E89">
        <w:rPr>
          <w:rFonts w:ascii="Times New Roman" w:hAnsi="Times New Roman" w:cs="Times New Roman"/>
          <w:sz w:val="24"/>
        </w:rPr>
        <w:t>~</w:t>
      </w:r>
      <w:r w:rsidR="00AB5255" w:rsidRPr="00EE0E89">
        <w:rPr>
          <w:rFonts w:ascii="Times New Roman" w:hAnsi="Times New Roman" w:cs="Times New Roman"/>
          <w:sz w:val="24"/>
        </w:rPr>
        <w:t>1.20 billion</w:t>
      </w:r>
      <w:r w:rsidR="00FA57C4" w:rsidRPr="00EE0E89">
        <w:rPr>
          <w:rFonts w:ascii="Times New Roman" w:hAnsi="Times New Roman" w:cs="Times New Roman"/>
          <w:sz w:val="24"/>
        </w:rPr>
        <w:t xml:space="preserve"> Omani </w:t>
      </w:r>
      <w:proofErr w:type="spellStart"/>
      <w:r w:rsidR="00FA57C4" w:rsidRPr="00EE0E89">
        <w:rPr>
          <w:rFonts w:ascii="Times New Roman" w:hAnsi="Times New Roman" w:cs="Times New Roman"/>
          <w:sz w:val="24"/>
        </w:rPr>
        <w:t>Rial</w:t>
      </w:r>
      <w:proofErr w:type="spellEnd"/>
      <w:r w:rsidR="00AB5255" w:rsidRPr="00EE0E89">
        <w:rPr>
          <w:rFonts w:ascii="Times New Roman" w:hAnsi="Times New Roman" w:cs="Times New Roman"/>
          <w:sz w:val="24"/>
        </w:rPr>
        <w:t>), representing the amount to paid during the year 2017 as the actual work progress</w:t>
      </w:r>
      <w:r w:rsidR="00FA57C4" w:rsidRPr="00EE0E89">
        <w:rPr>
          <w:rFonts w:ascii="Times New Roman" w:hAnsi="Times New Roman" w:cs="Times New Roman"/>
          <w:sz w:val="24"/>
        </w:rPr>
        <w:t>ed</w:t>
      </w:r>
      <w:r w:rsidR="00AB5255" w:rsidRPr="00EE0E89">
        <w:rPr>
          <w:rFonts w:ascii="Times New Roman" w:hAnsi="Times New Roman" w:cs="Times New Roman"/>
          <w:sz w:val="24"/>
        </w:rPr>
        <w:t xml:space="preserve"> (TOM, 2017). </w:t>
      </w:r>
      <w:r w:rsidR="006F5CE3" w:rsidRPr="00EE0E89">
        <w:rPr>
          <w:rFonts w:ascii="Times New Roman" w:hAnsi="Times New Roman" w:cs="Times New Roman"/>
          <w:sz w:val="24"/>
        </w:rPr>
        <w:t>A comparison of the contract</w:t>
      </w:r>
      <w:r w:rsidR="00956D9E" w:rsidRPr="00EE0E89">
        <w:rPr>
          <w:rFonts w:ascii="Times New Roman" w:hAnsi="Times New Roman" w:cs="Times New Roman"/>
          <w:sz w:val="24"/>
        </w:rPr>
        <w:t>s</w:t>
      </w:r>
      <w:r w:rsidR="006F5CE3" w:rsidRPr="00EE0E89">
        <w:rPr>
          <w:rFonts w:ascii="Times New Roman" w:hAnsi="Times New Roman" w:cs="Times New Roman"/>
          <w:sz w:val="24"/>
        </w:rPr>
        <w:t xml:space="preserve"> awarded in the GCC countries, in the first quarter of 2017 </w:t>
      </w:r>
      <w:r w:rsidR="00FA57C4" w:rsidRPr="00EE0E89">
        <w:rPr>
          <w:rFonts w:ascii="Times New Roman" w:hAnsi="Times New Roman" w:cs="Times New Roman"/>
          <w:sz w:val="24"/>
        </w:rPr>
        <w:t>with</w:t>
      </w:r>
      <w:r w:rsidR="006F5CE3" w:rsidRPr="00EE0E89">
        <w:rPr>
          <w:rFonts w:ascii="Times New Roman" w:hAnsi="Times New Roman" w:cs="Times New Roman"/>
          <w:sz w:val="24"/>
        </w:rPr>
        <w:t xml:space="preserve"> </w:t>
      </w:r>
      <w:r w:rsidR="00956D9E" w:rsidRPr="00EE0E89">
        <w:rPr>
          <w:rFonts w:ascii="Times New Roman" w:hAnsi="Times New Roman" w:cs="Times New Roman"/>
          <w:sz w:val="24"/>
        </w:rPr>
        <w:t>those</w:t>
      </w:r>
      <w:r w:rsidR="00FA57C4" w:rsidRPr="00EE0E89">
        <w:rPr>
          <w:rFonts w:ascii="Times New Roman" w:hAnsi="Times New Roman" w:cs="Times New Roman"/>
          <w:sz w:val="24"/>
        </w:rPr>
        <w:t xml:space="preserve"> awarded</w:t>
      </w:r>
      <w:r w:rsidR="00956D9E" w:rsidRPr="00EE0E89">
        <w:rPr>
          <w:rFonts w:ascii="Times New Roman" w:hAnsi="Times New Roman" w:cs="Times New Roman"/>
          <w:sz w:val="24"/>
        </w:rPr>
        <w:t xml:space="preserve"> in </w:t>
      </w:r>
      <w:r w:rsidR="006F5CE3" w:rsidRPr="00EE0E89">
        <w:rPr>
          <w:rFonts w:ascii="Times New Roman" w:hAnsi="Times New Roman" w:cs="Times New Roman"/>
          <w:sz w:val="24"/>
        </w:rPr>
        <w:t xml:space="preserve">2018 shows an overall decline of US $ 5.0 Billion </w:t>
      </w:r>
      <w:r w:rsidR="00FA57C4" w:rsidRPr="00EE0E89">
        <w:rPr>
          <w:rFonts w:ascii="Times New Roman" w:hAnsi="Times New Roman" w:cs="Times New Roman"/>
          <w:sz w:val="24"/>
        </w:rPr>
        <w:t xml:space="preserve">as shown in figure 4 </w:t>
      </w:r>
      <w:r w:rsidR="006F5CE3" w:rsidRPr="00EE0E89">
        <w:rPr>
          <w:rFonts w:ascii="Times New Roman" w:hAnsi="Times New Roman" w:cs="Times New Roman"/>
          <w:sz w:val="24"/>
        </w:rPr>
        <w:t>(Ventures, 2018).</w:t>
      </w:r>
      <w:r w:rsidR="00FA57C4" w:rsidRPr="00EE0E89">
        <w:rPr>
          <w:rFonts w:ascii="Times New Roman" w:hAnsi="Times New Roman" w:cs="Times New Roman"/>
          <w:sz w:val="24"/>
        </w:rPr>
        <w:t xml:space="preserve"> </w:t>
      </w:r>
      <w:r w:rsidR="006F5CE3" w:rsidRPr="00EE0E89">
        <w:rPr>
          <w:rFonts w:ascii="Times New Roman" w:hAnsi="Times New Roman" w:cs="Times New Roman"/>
          <w:sz w:val="24"/>
        </w:rPr>
        <w:t>While there is an impact on</w:t>
      </w:r>
      <w:r w:rsidR="00F458DF" w:rsidRPr="00EE0E89">
        <w:rPr>
          <w:rFonts w:ascii="Times New Roman" w:hAnsi="Times New Roman" w:cs="Times New Roman"/>
          <w:sz w:val="24"/>
        </w:rPr>
        <w:t xml:space="preserve"> the</w:t>
      </w:r>
      <w:r w:rsidR="006F5CE3" w:rsidRPr="00EE0E89">
        <w:rPr>
          <w:rFonts w:ascii="Times New Roman" w:hAnsi="Times New Roman" w:cs="Times New Roman"/>
          <w:sz w:val="24"/>
        </w:rPr>
        <w:t xml:space="preserve"> construction industry due to </w:t>
      </w:r>
      <w:r w:rsidR="00E74BFE" w:rsidRPr="00EE0E89">
        <w:rPr>
          <w:rFonts w:ascii="Times New Roman" w:hAnsi="Times New Roman" w:cs="Times New Roman"/>
          <w:sz w:val="24"/>
        </w:rPr>
        <w:t xml:space="preserve">the </w:t>
      </w:r>
      <w:r w:rsidR="006F5CE3" w:rsidRPr="00EE0E89">
        <w:rPr>
          <w:rFonts w:ascii="Times New Roman" w:hAnsi="Times New Roman" w:cs="Times New Roman"/>
          <w:sz w:val="24"/>
        </w:rPr>
        <w:t xml:space="preserve">economic situation, different studies </w:t>
      </w:r>
      <w:r w:rsidR="00FA57C4" w:rsidRPr="00EE0E89">
        <w:rPr>
          <w:rFonts w:ascii="Times New Roman" w:hAnsi="Times New Roman" w:cs="Times New Roman"/>
          <w:sz w:val="24"/>
        </w:rPr>
        <w:t xml:space="preserve">have </w:t>
      </w:r>
      <w:r w:rsidR="006F5CE3" w:rsidRPr="00EE0E89">
        <w:rPr>
          <w:rFonts w:ascii="Times New Roman" w:hAnsi="Times New Roman" w:cs="Times New Roman"/>
          <w:sz w:val="24"/>
        </w:rPr>
        <w:t>show</w:t>
      </w:r>
      <w:r w:rsidR="00FA57C4" w:rsidRPr="00EE0E89">
        <w:rPr>
          <w:rFonts w:ascii="Times New Roman" w:hAnsi="Times New Roman" w:cs="Times New Roman"/>
          <w:sz w:val="24"/>
        </w:rPr>
        <w:t>n</w:t>
      </w:r>
      <w:r w:rsidR="006F5CE3" w:rsidRPr="00EE0E89">
        <w:rPr>
          <w:rFonts w:ascii="Times New Roman" w:hAnsi="Times New Roman" w:cs="Times New Roman"/>
          <w:sz w:val="24"/>
        </w:rPr>
        <w:t xml:space="preserve"> that </w:t>
      </w:r>
      <w:r w:rsidR="00FA57C4" w:rsidRPr="00EE0E89">
        <w:rPr>
          <w:rFonts w:ascii="Times New Roman" w:hAnsi="Times New Roman" w:cs="Times New Roman"/>
          <w:sz w:val="24"/>
        </w:rPr>
        <w:t xml:space="preserve">the </w:t>
      </w:r>
      <w:r w:rsidR="006F5CE3" w:rsidRPr="00EE0E89">
        <w:rPr>
          <w:rFonts w:ascii="Times New Roman" w:hAnsi="Times New Roman" w:cs="Times New Roman"/>
          <w:sz w:val="24"/>
        </w:rPr>
        <w:t xml:space="preserve">construction </w:t>
      </w:r>
      <w:r w:rsidR="00FA57C4" w:rsidRPr="00EE0E89">
        <w:rPr>
          <w:rFonts w:ascii="Times New Roman" w:hAnsi="Times New Roman" w:cs="Times New Roman"/>
          <w:sz w:val="24"/>
        </w:rPr>
        <w:t xml:space="preserve">industry </w:t>
      </w:r>
      <w:r w:rsidR="006F5CE3" w:rsidRPr="00EE0E89">
        <w:rPr>
          <w:rFonts w:ascii="Times New Roman" w:hAnsi="Times New Roman" w:cs="Times New Roman"/>
          <w:sz w:val="24"/>
        </w:rPr>
        <w:t xml:space="preserve">will </w:t>
      </w:r>
      <w:r w:rsidR="00F458DF" w:rsidRPr="00EE0E89">
        <w:rPr>
          <w:rFonts w:ascii="Times New Roman" w:hAnsi="Times New Roman" w:cs="Times New Roman"/>
          <w:sz w:val="24"/>
        </w:rPr>
        <w:t>continue to grow in the</w:t>
      </w:r>
      <w:r w:rsidR="00A770CA" w:rsidRPr="00EE0E89">
        <w:rPr>
          <w:rFonts w:ascii="Times New Roman" w:hAnsi="Times New Roman" w:cs="Times New Roman"/>
          <w:sz w:val="24"/>
        </w:rPr>
        <w:t xml:space="preserve"> </w:t>
      </w:r>
      <w:r w:rsidR="00FA57C4" w:rsidRPr="00EE0E89">
        <w:rPr>
          <w:rFonts w:ascii="Times New Roman" w:hAnsi="Times New Roman" w:cs="Times New Roman"/>
          <w:sz w:val="24"/>
        </w:rPr>
        <w:t xml:space="preserve">near </w:t>
      </w:r>
      <w:r w:rsidR="006F5CE3" w:rsidRPr="00EE0E89">
        <w:rPr>
          <w:rFonts w:ascii="Times New Roman" w:hAnsi="Times New Roman" w:cs="Times New Roman"/>
          <w:sz w:val="24"/>
        </w:rPr>
        <w:t xml:space="preserve">future. Umar et al., (2018) while discussing the occupational safety and health regulations, reported that the value of the construction industry in Oman will grow </w:t>
      </w:r>
      <w:proofErr w:type="gramStart"/>
      <w:r w:rsidR="006F5CE3" w:rsidRPr="00EE0E89">
        <w:rPr>
          <w:rFonts w:ascii="Times New Roman" w:hAnsi="Times New Roman" w:cs="Times New Roman"/>
          <w:sz w:val="24"/>
        </w:rPr>
        <w:t xml:space="preserve">to 6.88 </w:t>
      </w:r>
      <w:r w:rsidR="009655C1" w:rsidRPr="00EE0E89">
        <w:rPr>
          <w:rFonts w:ascii="Times New Roman" w:hAnsi="Times New Roman" w:cs="Times New Roman"/>
          <w:sz w:val="24"/>
        </w:rPr>
        <w:t>b</w:t>
      </w:r>
      <w:r w:rsidR="006F5CE3" w:rsidRPr="00EE0E89">
        <w:rPr>
          <w:rFonts w:ascii="Times New Roman" w:hAnsi="Times New Roman" w:cs="Times New Roman"/>
          <w:sz w:val="24"/>
        </w:rPr>
        <w:t xml:space="preserve">illion Omani </w:t>
      </w:r>
      <w:proofErr w:type="spellStart"/>
      <w:r w:rsidR="006F5CE3" w:rsidRPr="00EE0E89">
        <w:rPr>
          <w:rFonts w:ascii="Times New Roman" w:hAnsi="Times New Roman" w:cs="Times New Roman"/>
          <w:sz w:val="24"/>
        </w:rPr>
        <w:t>Rial</w:t>
      </w:r>
      <w:proofErr w:type="spellEnd"/>
      <w:r w:rsidR="006F5CE3" w:rsidRPr="00EE0E89">
        <w:rPr>
          <w:rFonts w:ascii="Times New Roman" w:hAnsi="Times New Roman" w:cs="Times New Roman"/>
          <w:sz w:val="24"/>
        </w:rPr>
        <w:t>,</w:t>
      </w:r>
      <w:proofErr w:type="gramEnd"/>
      <w:r w:rsidR="006F5CE3" w:rsidRPr="00EE0E89">
        <w:rPr>
          <w:rFonts w:ascii="Times New Roman" w:hAnsi="Times New Roman" w:cs="Times New Roman"/>
          <w:sz w:val="24"/>
        </w:rPr>
        <w:t xml:space="preserve"> which was 2.26 </w:t>
      </w:r>
      <w:r w:rsidR="009655C1" w:rsidRPr="00EE0E89">
        <w:rPr>
          <w:rFonts w:ascii="Times New Roman" w:hAnsi="Times New Roman" w:cs="Times New Roman"/>
          <w:sz w:val="24"/>
        </w:rPr>
        <w:t>b</w:t>
      </w:r>
      <w:r w:rsidR="006F5CE3" w:rsidRPr="00EE0E89">
        <w:rPr>
          <w:rFonts w:ascii="Times New Roman" w:hAnsi="Times New Roman" w:cs="Times New Roman"/>
          <w:sz w:val="24"/>
        </w:rPr>
        <w:t xml:space="preserve">illion Omani </w:t>
      </w:r>
      <w:proofErr w:type="spellStart"/>
      <w:r w:rsidR="006F5CE3" w:rsidRPr="00EE0E89">
        <w:rPr>
          <w:rFonts w:ascii="Times New Roman" w:hAnsi="Times New Roman" w:cs="Times New Roman"/>
          <w:sz w:val="24"/>
        </w:rPr>
        <w:t>Rial</w:t>
      </w:r>
      <w:proofErr w:type="spellEnd"/>
      <w:r w:rsidR="006F5CE3" w:rsidRPr="00EE0E89">
        <w:rPr>
          <w:rFonts w:ascii="Times New Roman" w:hAnsi="Times New Roman" w:cs="Times New Roman"/>
          <w:sz w:val="24"/>
        </w:rPr>
        <w:t xml:space="preserve"> in 2016. Moreover, the construction GDP in Oman is forecast</w:t>
      </w:r>
      <w:r w:rsidR="009655C1" w:rsidRPr="00EE0E89">
        <w:rPr>
          <w:rFonts w:ascii="Times New Roman" w:hAnsi="Times New Roman" w:cs="Times New Roman"/>
          <w:sz w:val="24"/>
        </w:rPr>
        <w:t>ed</w:t>
      </w:r>
      <w:r w:rsidR="006F5CE3" w:rsidRPr="00EE0E89">
        <w:rPr>
          <w:rFonts w:ascii="Times New Roman" w:hAnsi="Times New Roman" w:cs="Times New Roman"/>
          <w:sz w:val="24"/>
        </w:rPr>
        <w:t xml:space="preserve"> to grow to 15.4% of the total GDP by 2026. Overall, they reported that the construction growth rate is forecasted to </w:t>
      </w:r>
      <w:r w:rsidR="00FB3890" w:rsidRPr="00EE0E89">
        <w:rPr>
          <w:rFonts w:ascii="Times New Roman" w:hAnsi="Times New Roman" w:cs="Times New Roman"/>
          <w:sz w:val="24"/>
        </w:rPr>
        <w:t xml:space="preserve">reach </w:t>
      </w:r>
      <w:r w:rsidR="00383E97" w:rsidRPr="00EE0E89">
        <w:rPr>
          <w:rFonts w:ascii="Times New Roman" w:hAnsi="Times New Roman" w:cs="Times New Roman"/>
          <w:sz w:val="24"/>
        </w:rPr>
        <w:t>its</w:t>
      </w:r>
      <w:r w:rsidR="00FB3890" w:rsidRPr="00EE0E89">
        <w:rPr>
          <w:rFonts w:ascii="Times New Roman" w:hAnsi="Times New Roman" w:cs="Times New Roman"/>
          <w:sz w:val="24"/>
        </w:rPr>
        <w:t xml:space="preserve"> </w:t>
      </w:r>
      <w:r w:rsidR="006F5CE3" w:rsidRPr="00EE0E89">
        <w:rPr>
          <w:rFonts w:ascii="Times New Roman" w:hAnsi="Times New Roman" w:cs="Times New Roman"/>
          <w:sz w:val="24"/>
        </w:rPr>
        <w:t xml:space="preserve">peak in 2020 (figure </w:t>
      </w:r>
      <w:r w:rsidR="0017701C" w:rsidRPr="00EE0E89">
        <w:rPr>
          <w:rFonts w:ascii="Times New Roman" w:hAnsi="Times New Roman" w:cs="Times New Roman"/>
          <w:sz w:val="24"/>
        </w:rPr>
        <w:t>5</w:t>
      </w:r>
      <w:r w:rsidR="006F5CE3" w:rsidRPr="00EE0E89">
        <w:rPr>
          <w:rFonts w:ascii="Times New Roman" w:hAnsi="Times New Roman" w:cs="Times New Roman"/>
          <w:sz w:val="24"/>
        </w:rPr>
        <w:t>).</w:t>
      </w:r>
    </w:p>
    <w:p w14:paraId="068F8BA0" w14:textId="3CAB6882" w:rsidR="0069564A" w:rsidRDefault="0069564A" w:rsidP="008130B9">
      <w:pPr>
        <w:spacing w:line="360" w:lineRule="auto"/>
        <w:jc w:val="center"/>
        <w:rPr>
          <w:rFonts w:ascii="Times New Roman" w:hAnsi="Times New Roman" w:cs="Times New Roman"/>
          <w:b/>
          <w:sz w:val="24"/>
        </w:rPr>
      </w:pPr>
      <w:r>
        <w:rPr>
          <w:noProof/>
        </w:rPr>
        <w:lastRenderedPageBreak/>
        <w:drawing>
          <wp:inline distT="0" distB="0" distL="0" distR="0" wp14:anchorId="16D52682" wp14:editId="0A33168E">
            <wp:extent cx="4848225" cy="2814637"/>
            <wp:effectExtent l="0" t="0" r="9525"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6588A8" w14:textId="22505AA9" w:rsidR="008130B9" w:rsidRPr="00EE0E89" w:rsidRDefault="00B40DCA" w:rsidP="008130B9">
      <w:pPr>
        <w:spacing w:line="360" w:lineRule="auto"/>
        <w:jc w:val="center"/>
        <w:rPr>
          <w:rFonts w:ascii="Times New Roman" w:hAnsi="Times New Roman" w:cs="Times New Roman"/>
          <w:b/>
          <w:sz w:val="24"/>
        </w:rPr>
      </w:pPr>
      <w:r w:rsidRPr="00EE0E89">
        <w:rPr>
          <w:rFonts w:ascii="Times New Roman" w:hAnsi="Times New Roman" w:cs="Times New Roman"/>
          <w:b/>
          <w:sz w:val="24"/>
        </w:rPr>
        <w:t xml:space="preserve">Figure </w:t>
      </w:r>
      <w:r w:rsidR="001222B3" w:rsidRPr="00EE0E89">
        <w:rPr>
          <w:rFonts w:ascii="Times New Roman" w:hAnsi="Times New Roman" w:cs="Times New Roman"/>
          <w:b/>
          <w:sz w:val="24"/>
        </w:rPr>
        <w:t>3</w:t>
      </w:r>
      <w:r w:rsidR="008130B9" w:rsidRPr="00EE0E89">
        <w:rPr>
          <w:rFonts w:ascii="Times New Roman" w:hAnsi="Times New Roman" w:cs="Times New Roman"/>
          <w:b/>
          <w:sz w:val="24"/>
        </w:rPr>
        <w:t xml:space="preserve">: Planned and Ongoing Construction Projects in Oman </w:t>
      </w:r>
      <w:r w:rsidR="00D04F21" w:rsidRPr="00EE0E89">
        <w:rPr>
          <w:rFonts w:ascii="Times New Roman" w:hAnsi="Times New Roman" w:cs="Times New Roman"/>
          <w:b/>
          <w:sz w:val="24"/>
        </w:rPr>
        <w:t>(Deloitte</w:t>
      </w:r>
      <w:r w:rsidR="00C23292" w:rsidRPr="00EE0E89">
        <w:rPr>
          <w:rFonts w:ascii="Times New Roman" w:hAnsi="Times New Roman" w:cs="Times New Roman"/>
          <w:b/>
          <w:sz w:val="24"/>
        </w:rPr>
        <w:t>,</w:t>
      </w:r>
      <w:r w:rsidR="00D04F21" w:rsidRPr="00EE0E89">
        <w:rPr>
          <w:rFonts w:ascii="Times New Roman" w:hAnsi="Times New Roman" w:cs="Times New Roman"/>
          <w:b/>
          <w:sz w:val="24"/>
        </w:rPr>
        <w:t xml:space="preserve"> 2015</w:t>
      </w:r>
      <w:r w:rsidR="00C23292" w:rsidRPr="00EE0E89">
        <w:rPr>
          <w:rFonts w:ascii="Times New Roman" w:hAnsi="Times New Roman" w:cs="Times New Roman"/>
          <w:b/>
          <w:sz w:val="24"/>
        </w:rPr>
        <w:t xml:space="preserve">; </w:t>
      </w:r>
      <w:r w:rsidR="00F54297" w:rsidRPr="00EE0E89">
        <w:rPr>
          <w:rFonts w:ascii="Times New Roman" w:hAnsi="Times New Roman" w:cs="Times New Roman"/>
          <w:b/>
          <w:sz w:val="24"/>
        </w:rPr>
        <w:t>Umar et al., 2019</w:t>
      </w:r>
      <w:r w:rsidR="008D6910" w:rsidRPr="00EE0E89">
        <w:rPr>
          <w:rFonts w:ascii="Times New Roman" w:hAnsi="Times New Roman" w:cs="Times New Roman"/>
          <w:b/>
          <w:sz w:val="24"/>
        </w:rPr>
        <w:t>-c</w:t>
      </w:r>
      <w:r w:rsidR="00D04F21" w:rsidRPr="00EE0E89">
        <w:rPr>
          <w:rFonts w:ascii="Times New Roman" w:hAnsi="Times New Roman" w:cs="Times New Roman"/>
          <w:b/>
          <w:sz w:val="24"/>
        </w:rPr>
        <w:t>)</w:t>
      </w:r>
    </w:p>
    <w:p w14:paraId="57451482" w14:textId="0438C242" w:rsidR="0069564A" w:rsidRDefault="0069564A" w:rsidP="006F5CE3">
      <w:pPr>
        <w:spacing w:line="360" w:lineRule="auto"/>
        <w:jc w:val="center"/>
        <w:rPr>
          <w:rFonts w:ascii="Times New Roman" w:hAnsi="Times New Roman" w:cs="Times New Roman"/>
          <w:b/>
          <w:sz w:val="24"/>
        </w:rPr>
      </w:pPr>
      <w:r w:rsidRPr="00674260">
        <w:rPr>
          <w:noProof/>
          <w:color w:val="1F497D" w:themeColor="text2"/>
        </w:rPr>
        <w:drawing>
          <wp:inline distT="0" distB="0" distL="0" distR="0" wp14:anchorId="108105D7" wp14:editId="40C9D4DC">
            <wp:extent cx="5448300" cy="3181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D2167C" w14:textId="524D9102" w:rsidR="006F5CE3" w:rsidRPr="00EE0E89" w:rsidRDefault="006F5CE3" w:rsidP="006F5CE3">
      <w:pPr>
        <w:spacing w:line="360" w:lineRule="auto"/>
        <w:jc w:val="center"/>
        <w:rPr>
          <w:rFonts w:ascii="Times New Roman" w:hAnsi="Times New Roman" w:cs="Times New Roman"/>
          <w:b/>
          <w:sz w:val="24"/>
        </w:rPr>
      </w:pPr>
      <w:r w:rsidRPr="00EE0E89">
        <w:rPr>
          <w:rFonts w:ascii="Times New Roman" w:hAnsi="Times New Roman" w:cs="Times New Roman"/>
          <w:b/>
          <w:sz w:val="24"/>
        </w:rPr>
        <w:t xml:space="preserve">Figure </w:t>
      </w:r>
      <w:r w:rsidR="00B40DCA" w:rsidRPr="00EE0E89">
        <w:rPr>
          <w:rFonts w:ascii="Times New Roman" w:hAnsi="Times New Roman" w:cs="Times New Roman"/>
          <w:b/>
          <w:sz w:val="24"/>
        </w:rPr>
        <w:t>4</w:t>
      </w:r>
      <w:r w:rsidRPr="00EE0E89">
        <w:rPr>
          <w:rFonts w:ascii="Times New Roman" w:hAnsi="Times New Roman" w:cs="Times New Roman"/>
          <w:b/>
          <w:sz w:val="24"/>
        </w:rPr>
        <w:t xml:space="preserve">: Comparison of Awarded Construction Contracts </w:t>
      </w:r>
      <w:r w:rsidR="00FB3890" w:rsidRPr="00EE0E89">
        <w:rPr>
          <w:rFonts w:ascii="Times New Roman" w:hAnsi="Times New Roman" w:cs="Times New Roman"/>
          <w:b/>
          <w:sz w:val="24"/>
        </w:rPr>
        <w:t>i</w:t>
      </w:r>
      <w:r w:rsidRPr="00EE0E89">
        <w:rPr>
          <w:rFonts w:ascii="Times New Roman" w:hAnsi="Times New Roman" w:cs="Times New Roman"/>
          <w:b/>
          <w:sz w:val="24"/>
        </w:rPr>
        <w:t>n GCC (Ventures, 2018</w:t>
      </w:r>
      <w:r w:rsidR="001F5800">
        <w:rPr>
          <w:rFonts w:ascii="Times New Roman" w:hAnsi="Times New Roman" w:cs="Times New Roman"/>
          <w:b/>
          <w:sz w:val="24"/>
        </w:rPr>
        <w:t>; Umar et al., 201</w:t>
      </w:r>
      <w:r w:rsidR="00A84D3D">
        <w:rPr>
          <w:rFonts w:ascii="Times New Roman" w:hAnsi="Times New Roman" w:cs="Times New Roman"/>
          <w:b/>
          <w:sz w:val="24"/>
        </w:rPr>
        <w:t>8</w:t>
      </w:r>
      <w:r w:rsidR="001F5800">
        <w:rPr>
          <w:rFonts w:ascii="Times New Roman" w:hAnsi="Times New Roman" w:cs="Times New Roman"/>
          <w:b/>
          <w:sz w:val="24"/>
        </w:rPr>
        <w:t>-</w:t>
      </w:r>
      <w:r w:rsidR="00A84D3D">
        <w:rPr>
          <w:rFonts w:ascii="Times New Roman" w:hAnsi="Times New Roman" w:cs="Times New Roman"/>
          <w:b/>
          <w:sz w:val="24"/>
        </w:rPr>
        <w:t>a</w:t>
      </w:r>
      <w:r w:rsidRPr="00EE0E89">
        <w:rPr>
          <w:rFonts w:ascii="Times New Roman" w:hAnsi="Times New Roman" w:cs="Times New Roman"/>
          <w:b/>
          <w:sz w:val="24"/>
        </w:rPr>
        <w:t>).</w:t>
      </w:r>
    </w:p>
    <w:p w14:paraId="53E9A931" w14:textId="5D4FE44E" w:rsidR="0069564A" w:rsidRDefault="0069564A" w:rsidP="00403E5C">
      <w:pPr>
        <w:spacing w:line="360" w:lineRule="auto"/>
        <w:jc w:val="center"/>
        <w:rPr>
          <w:rFonts w:ascii="Times New Roman" w:hAnsi="Times New Roman" w:cs="Times New Roman"/>
          <w:b/>
          <w:sz w:val="24"/>
        </w:rPr>
      </w:pPr>
      <w:r>
        <w:rPr>
          <w:noProof/>
        </w:rPr>
        <w:lastRenderedPageBreak/>
        <w:drawing>
          <wp:inline distT="0" distB="0" distL="0" distR="0" wp14:anchorId="5CF6673D" wp14:editId="0288B038">
            <wp:extent cx="5943600" cy="3366063"/>
            <wp:effectExtent l="0" t="0" r="1905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F8E6F7" w14:textId="0CC2E35F" w:rsidR="00403E5C" w:rsidRPr="00EE0E89" w:rsidRDefault="00403E5C" w:rsidP="00403E5C">
      <w:pPr>
        <w:spacing w:line="360" w:lineRule="auto"/>
        <w:jc w:val="center"/>
        <w:rPr>
          <w:rFonts w:ascii="Times New Roman" w:hAnsi="Times New Roman" w:cs="Times New Roman"/>
          <w:b/>
          <w:sz w:val="24"/>
        </w:rPr>
      </w:pPr>
      <w:r w:rsidRPr="00EE0E89">
        <w:rPr>
          <w:rFonts w:ascii="Times New Roman" w:hAnsi="Times New Roman" w:cs="Times New Roman"/>
          <w:b/>
          <w:sz w:val="24"/>
        </w:rPr>
        <w:t xml:space="preserve">Figure </w:t>
      </w:r>
      <w:r w:rsidR="00221D09" w:rsidRPr="00EE0E89">
        <w:rPr>
          <w:rFonts w:ascii="Times New Roman" w:hAnsi="Times New Roman" w:cs="Times New Roman"/>
          <w:b/>
          <w:sz w:val="24"/>
        </w:rPr>
        <w:t>5</w:t>
      </w:r>
      <w:r w:rsidRPr="00EE0E89">
        <w:rPr>
          <w:rFonts w:ascii="Times New Roman" w:hAnsi="Times New Roman" w:cs="Times New Roman"/>
          <w:b/>
          <w:sz w:val="24"/>
        </w:rPr>
        <w:t>: Oman Infrastructure and Construction Industry Forecasts (2016-2026).</w:t>
      </w:r>
      <w:r w:rsidR="00FF7A03" w:rsidRPr="00EE0E89">
        <w:rPr>
          <w:rFonts w:ascii="Times New Roman" w:hAnsi="Times New Roman" w:cs="Times New Roman"/>
          <w:b/>
          <w:sz w:val="24"/>
        </w:rPr>
        <w:t xml:space="preserve"> </w:t>
      </w:r>
    </w:p>
    <w:p w14:paraId="538ED803" w14:textId="7ECCC47F" w:rsidR="00403E5C" w:rsidRPr="00EE0E89" w:rsidRDefault="00267433" w:rsidP="0036636B">
      <w:pPr>
        <w:spacing w:line="360" w:lineRule="auto"/>
        <w:jc w:val="both"/>
        <w:rPr>
          <w:rFonts w:ascii="Times New Roman" w:hAnsi="Times New Roman" w:cs="Times New Roman"/>
          <w:sz w:val="24"/>
        </w:rPr>
      </w:pPr>
      <w:r w:rsidRPr="00EE0E89">
        <w:rPr>
          <w:rFonts w:ascii="Times New Roman" w:hAnsi="Times New Roman" w:cs="Times New Roman"/>
          <w:sz w:val="24"/>
        </w:rPr>
        <w:t xml:space="preserve">The </w:t>
      </w:r>
      <w:r w:rsidR="0036636B" w:rsidRPr="00EE0E89">
        <w:rPr>
          <w:rFonts w:ascii="Times New Roman" w:hAnsi="Times New Roman" w:cs="Times New Roman"/>
          <w:sz w:val="24"/>
        </w:rPr>
        <w:t xml:space="preserve">GCC countries are highly dependent on foreign workforce. Statistics published by the GCC Centre for Statistics show that the number of expatriate workers in </w:t>
      </w:r>
      <w:r w:rsidR="006841EB" w:rsidRPr="00EE0E89">
        <w:rPr>
          <w:rFonts w:ascii="Times New Roman" w:hAnsi="Times New Roman" w:cs="Times New Roman"/>
          <w:sz w:val="24"/>
        </w:rPr>
        <w:t>the</w:t>
      </w:r>
      <w:r w:rsidR="0036636B" w:rsidRPr="00EE0E89">
        <w:rPr>
          <w:rFonts w:ascii="Times New Roman" w:hAnsi="Times New Roman" w:cs="Times New Roman"/>
          <w:sz w:val="24"/>
        </w:rPr>
        <w:t xml:space="preserve"> GCC </w:t>
      </w:r>
      <w:r w:rsidR="001222B3" w:rsidRPr="00EE0E89">
        <w:rPr>
          <w:rFonts w:ascii="Times New Roman" w:hAnsi="Times New Roman" w:cs="Times New Roman"/>
          <w:sz w:val="24"/>
        </w:rPr>
        <w:t>countries was 13.</w:t>
      </w:r>
      <w:r w:rsidR="0036636B" w:rsidRPr="00EE0E89">
        <w:rPr>
          <w:rFonts w:ascii="Times New Roman" w:hAnsi="Times New Roman" w:cs="Times New Roman"/>
          <w:sz w:val="24"/>
        </w:rPr>
        <w:t>86 million by the end of December 2017,</w:t>
      </w:r>
      <w:r w:rsidR="006841EB" w:rsidRPr="00EE0E89">
        <w:rPr>
          <w:rFonts w:ascii="Times New Roman" w:hAnsi="Times New Roman" w:cs="Times New Roman"/>
          <w:sz w:val="24"/>
        </w:rPr>
        <w:t xml:space="preserve"> </w:t>
      </w:r>
      <w:r w:rsidR="0036636B" w:rsidRPr="00EE0E89">
        <w:rPr>
          <w:rFonts w:ascii="Times New Roman" w:hAnsi="Times New Roman" w:cs="Times New Roman"/>
          <w:sz w:val="24"/>
        </w:rPr>
        <w:t>account</w:t>
      </w:r>
      <w:r w:rsidR="006841EB" w:rsidRPr="00EE0E89">
        <w:rPr>
          <w:rFonts w:ascii="Times New Roman" w:hAnsi="Times New Roman" w:cs="Times New Roman"/>
          <w:sz w:val="24"/>
        </w:rPr>
        <w:t>ing</w:t>
      </w:r>
      <w:r w:rsidR="0036636B" w:rsidRPr="00EE0E89">
        <w:rPr>
          <w:rFonts w:ascii="Times New Roman" w:hAnsi="Times New Roman" w:cs="Times New Roman"/>
          <w:sz w:val="24"/>
        </w:rPr>
        <w:t xml:space="preserve"> for 69.3% of the total workforce in these countries (GCC Stat, 2018). </w:t>
      </w:r>
      <w:r w:rsidR="006841EB" w:rsidRPr="00EE0E89">
        <w:rPr>
          <w:rFonts w:ascii="Times New Roman" w:hAnsi="Times New Roman" w:cs="Times New Roman"/>
          <w:sz w:val="24"/>
        </w:rPr>
        <w:t>Most of</w:t>
      </w:r>
      <w:r w:rsidR="0036636B" w:rsidRPr="00EE0E89">
        <w:rPr>
          <w:rFonts w:ascii="Times New Roman" w:hAnsi="Times New Roman" w:cs="Times New Roman"/>
          <w:sz w:val="24"/>
        </w:rPr>
        <w:t xml:space="preserve"> these workers are from Asian and African countries. For example, workers from Bangladesh constitute the largest group of expatriate workers in Oman (NCSI, 2017</w:t>
      </w:r>
      <w:r w:rsidR="002E5F90" w:rsidRPr="00EE0E89">
        <w:rPr>
          <w:rFonts w:ascii="Times New Roman" w:hAnsi="Times New Roman" w:cs="Times New Roman"/>
          <w:sz w:val="24"/>
        </w:rPr>
        <w:t>-</w:t>
      </w:r>
      <w:r w:rsidR="0036636B" w:rsidRPr="00EE0E89">
        <w:rPr>
          <w:rFonts w:ascii="Times New Roman" w:hAnsi="Times New Roman" w:cs="Times New Roman"/>
          <w:sz w:val="24"/>
        </w:rPr>
        <w:t xml:space="preserve">b). </w:t>
      </w:r>
      <w:r w:rsidR="00EA2FF8" w:rsidRPr="00EE0E89">
        <w:rPr>
          <w:rFonts w:ascii="Times New Roman" w:hAnsi="Times New Roman" w:cs="Times New Roman"/>
          <w:sz w:val="24"/>
        </w:rPr>
        <w:t>The total population of Oman in 2018 was 4,655,435 with an expatriate population of 2,047,788 making up 44% of the total Omani population (</w:t>
      </w:r>
      <w:r w:rsidR="00A25B6F" w:rsidRPr="00EE0E89">
        <w:rPr>
          <w:rFonts w:ascii="Times New Roman" w:hAnsi="Times New Roman" w:cs="Times New Roman"/>
          <w:sz w:val="24"/>
        </w:rPr>
        <w:t>PC, 2018)</w:t>
      </w:r>
      <w:r w:rsidR="00EA2FF8" w:rsidRPr="00EE0E89">
        <w:rPr>
          <w:rFonts w:ascii="Times New Roman" w:hAnsi="Times New Roman" w:cs="Times New Roman"/>
          <w:sz w:val="24"/>
        </w:rPr>
        <w:t>.   I</w:t>
      </w:r>
      <w:r w:rsidR="0036636B" w:rsidRPr="00EE0E89">
        <w:rPr>
          <w:rFonts w:ascii="Times New Roman" w:hAnsi="Times New Roman" w:cs="Times New Roman"/>
          <w:sz w:val="24"/>
        </w:rPr>
        <w:t>n 2016, the construction workforce in Oman was approximately 725</w:t>
      </w:r>
      <w:r w:rsidR="00A25B6F" w:rsidRPr="00EE0E89">
        <w:rPr>
          <w:rFonts w:ascii="Times New Roman" w:hAnsi="Times New Roman" w:cs="Times New Roman"/>
          <w:sz w:val="24"/>
        </w:rPr>
        <w:t>,</w:t>
      </w:r>
      <w:r w:rsidR="0036636B" w:rsidRPr="00EE0E89">
        <w:rPr>
          <w:rFonts w:ascii="Times New Roman" w:hAnsi="Times New Roman" w:cs="Times New Roman"/>
          <w:sz w:val="24"/>
        </w:rPr>
        <w:t>000</w:t>
      </w:r>
      <w:r w:rsidR="00952EA0" w:rsidRPr="00EE0E89">
        <w:rPr>
          <w:rFonts w:ascii="Times New Roman" w:hAnsi="Times New Roman" w:cs="Times New Roman"/>
          <w:sz w:val="24"/>
        </w:rPr>
        <w:t xml:space="preserve">; out </w:t>
      </w:r>
      <w:r w:rsidR="0036636B" w:rsidRPr="00EE0E89">
        <w:rPr>
          <w:rFonts w:ascii="Times New Roman" w:hAnsi="Times New Roman" w:cs="Times New Roman"/>
          <w:sz w:val="24"/>
        </w:rPr>
        <w:t xml:space="preserve">of which 92% were foreign workers (Umar, 2016). </w:t>
      </w:r>
      <w:r w:rsidR="001236DA" w:rsidRPr="00EE0E89">
        <w:rPr>
          <w:rFonts w:ascii="Times New Roman" w:hAnsi="Times New Roman" w:cs="Times New Roman"/>
          <w:sz w:val="24"/>
        </w:rPr>
        <w:t>The c</w:t>
      </w:r>
      <w:r w:rsidR="00A36410" w:rsidRPr="00EE0E89">
        <w:rPr>
          <w:rFonts w:ascii="Times New Roman" w:hAnsi="Times New Roman" w:cs="Times New Roman"/>
          <w:sz w:val="24"/>
        </w:rPr>
        <w:t xml:space="preserve">onstruction </w:t>
      </w:r>
      <w:r w:rsidR="001236DA" w:rsidRPr="00EE0E89">
        <w:rPr>
          <w:rFonts w:ascii="Times New Roman" w:hAnsi="Times New Roman" w:cs="Times New Roman"/>
          <w:sz w:val="24"/>
        </w:rPr>
        <w:t>workforce,</w:t>
      </w:r>
      <w:r w:rsidR="00A36410" w:rsidRPr="00EE0E89">
        <w:rPr>
          <w:rFonts w:ascii="Times New Roman" w:hAnsi="Times New Roman" w:cs="Times New Roman"/>
          <w:sz w:val="24"/>
        </w:rPr>
        <w:t xml:space="preserve"> therefore, </w:t>
      </w:r>
      <w:r w:rsidR="00952EA0" w:rsidRPr="00EE0E89">
        <w:rPr>
          <w:rFonts w:ascii="Times New Roman" w:hAnsi="Times New Roman" w:cs="Times New Roman"/>
          <w:sz w:val="24"/>
        </w:rPr>
        <w:t xml:space="preserve">represented </w:t>
      </w:r>
      <w:r w:rsidR="00A36410" w:rsidRPr="00EE0E89">
        <w:rPr>
          <w:rFonts w:ascii="Times New Roman" w:hAnsi="Times New Roman" w:cs="Times New Roman"/>
          <w:sz w:val="24"/>
        </w:rPr>
        <w:t>16% of the total population of Oman</w:t>
      </w:r>
      <w:r w:rsidR="00952EA0" w:rsidRPr="00EE0E89">
        <w:rPr>
          <w:rFonts w:ascii="Times New Roman" w:hAnsi="Times New Roman" w:cs="Times New Roman"/>
          <w:sz w:val="24"/>
        </w:rPr>
        <w:t xml:space="preserve"> in 2016</w:t>
      </w:r>
      <w:r w:rsidR="00A36410" w:rsidRPr="00EE0E89">
        <w:rPr>
          <w:rFonts w:ascii="Times New Roman" w:hAnsi="Times New Roman" w:cs="Times New Roman"/>
          <w:sz w:val="24"/>
        </w:rPr>
        <w:t xml:space="preserve">. </w:t>
      </w:r>
      <w:r w:rsidR="0036636B" w:rsidRPr="00EE0E89">
        <w:rPr>
          <w:rFonts w:ascii="Times New Roman" w:hAnsi="Times New Roman" w:cs="Times New Roman"/>
          <w:sz w:val="24"/>
        </w:rPr>
        <w:t xml:space="preserve">These </w:t>
      </w:r>
      <w:r w:rsidR="00A36410" w:rsidRPr="00EE0E89">
        <w:rPr>
          <w:rFonts w:ascii="Times New Roman" w:hAnsi="Times New Roman" w:cs="Times New Roman"/>
          <w:sz w:val="24"/>
        </w:rPr>
        <w:t>calculation</w:t>
      </w:r>
      <w:r w:rsidR="006540A8" w:rsidRPr="00EE0E89">
        <w:rPr>
          <w:rFonts w:ascii="Times New Roman" w:hAnsi="Times New Roman" w:cs="Times New Roman"/>
          <w:sz w:val="24"/>
        </w:rPr>
        <w:t>s</w:t>
      </w:r>
      <w:r w:rsidR="00A36410" w:rsidRPr="00EE0E89">
        <w:rPr>
          <w:rFonts w:ascii="Times New Roman" w:hAnsi="Times New Roman" w:cs="Times New Roman"/>
          <w:sz w:val="24"/>
        </w:rPr>
        <w:t xml:space="preserve"> </w:t>
      </w:r>
      <w:r w:rsidR="0036636B" w:rsidRPr="00EE0E89">
        <w:rPr>
          <w:rFonts w:ascii="Times New Roman" w:hAnsi="Times New Roman" w:cs="Times New Roman"/>
          <w:sz w:val="24"/>
        </w:rPr>
        <w:t xml:space="preserve">are the official data, which represent the workers who have a work permit related to the construction profession. It is possible that the actual number of the workforce </w:t>
      </w:r>
      <w:r w:rsidR="00952EA0" w:rsidRPr="00EE0E89">
        <w:rPr>
          <w:rFonts w:ascii="Times New Roman" w:hAnsi="Times New Roman" w:cs="Times New Roman"/>
          <w:sz w:val="24"/>
        </w:rPr>
        <w:t xml:space="preserve">in construction </w:t>
      </w:r>
      <w:r w:rsidR="0036636B" w:rsidRPr="00EE0E89">
        <w:rPr>
          <w:rFonts w:ascii="Times New Roman" w:hAnsi="Times New Roman" w:cs="Times New Roman"/>
          <w:sz w:val="24"/>
        </w:rPr>
        <w:t>may be higher</w:t>
      </w:r>
      <w:r w:rsidR="00952EA0" w:rsidRPr="00EE0E89">
        <w:rPr>
          <w:rFonts w:ascii="Times New Roman" w:hAnsi="Times New Roman" w:cs="Times New Roman"/>
          <w:sz w:val="24"/>
        </w:rPr>
        <w:t xml:space="preserve"> than what is quoted in their study</w:t>
      </w:r>
      <w:r w:rsidR="0036636B" w:rsidRPr="00EE0E89">
        <w:rPr>
          <w:rFonts w:ascii="Times New Roman" w:hAnsi="Times New Roman" w:cs="Times New Roman"/>
          <w:sz w:val="24"/>
        </w:rPr>
        <w:t xml:space="preserve">. </w:t>
      </w:r>
      <w:r w:rsidR="004C4FE1" w:rsidRPr="00EE0E89">
        <w:rPr>
          <w:rFonts w:ascii="Times New Roman" w:hAnsi="Times New Roman" w:cs="Times New Roman"/>
          <w:sz w:val="24"/>
        </w:rPr>
        <w:t>To represent an insight</w:t>
      </w:r>
      <w:r w:rsidR="00AB5255" w:rsidRPr="00EE0E89">
        <w:rPr>
          <w:rFonts w:ascii="Times New Roman" w:hAnsi="Times New Roman" w:cs="Times New Roman"/>
          <w:sz w:val="24"/>
        </w:rPr>
        <w:t xml:space="preserve"> of the GCC’s construction workers</w:t>
      </w:r>
      <w:r w:rsidR="004C4FE1" w:rsidRPr="00EE0E89">
        <w:rPr>
          <w:rFonts w:ascii="Times New Roman" w:hAnsi="Times New Roman" w:cs="Times New Roman"/>
          <w:sz w:val="24"/>
        </w:rPr>
        <w:t>, f</w:t>
      </w:r>
      <w:r w:rsidR="0036636B" w:rsidRPr="00EE0E89">
        <w:rPr>
          <w:rFonts w:ascii="Times New Roman" w:hAnsi="Times New Roman" w:cs="Times New Roman"/>
          <w:sz w:val="24"/>
        </w:rPr>
        <w:t xml:space="preserve">igure </w:t>
      </w:r>
      <w:r w:rsidR="00A45228" w:rsidRPr="00EE0E89">
        <w:rPr>
          <w:rFonts w:ascii="Times New Roman" w:hAnsi="Times New Roman" w:cs="Times New Roman"/>
          <w:sz w:val="24"/>
        </w:rPr>
        <w:t>6</w:t>
      </w:r>
      <w:r w:rsidR="00AB5255" w:rsidRPr="00EE0E89">
        <w:rPr>
          <w:rFonts w:ascii="Times New Roman" w:hAnsi="Times New Roman" w:cs="Times New Roman"/>
          <w:sz w:val="24"/>
        </w:rPr>
        <w:t xml:space="preserve"> </w:t>
      </w:r>
      <w:r w:rsidR="0036636B" w:rsidRPr="00EE0E89">
        <w:rPr>
          <w:rFonts w:ascii="Times New Roman" w:hAnsi="Times New Roman" w:cs="Times New Roman"/>
          <w:sz w:val="24"/>
        </w:rPr>
        <w:t xml:space="preserve">shows the </w:t>
      </w:r>
      <w:r w:rsidR="00AB5255" w:rsidRPr="00EE0E89">
        <w:rPr>
          <w:rFonts w:ascii="Times New Roman" w:hAnsi="Times New Roman" w:cs="Times New Roman"/>
          <w:sz w:val="24"/>
        </w:rPr>
        <w:t>classifications</w:t>
      </w:r>
      <w:r w:rsidR="0036636B" w:rsidRPr="00EE0E89">
        <w:rPr>
          <w:rFonts w:ascii="Times New Roman" w:hAnsi="Times New Roman" w:cs="Times New Roman"/>
          <w:sz w:val="24"/>
        </w:rPr>
        <w:t xml:space="preserve"> of foreigner workers in the construction industry in Oman (OSC, 2016).</w:t>
      </w:r>
      <w:r w:rsidR="00A403C8" w:rsidRPr="00EE0E89">
        <w:rPr>
          <w:rFonts w:ascii="Times New Roman" w:hAnsi="Times New Roman" w:cs="Times New Roman"/>
          <w:sz w:val="24"/>
        </w:rPr>
        <w:t xml:space="preserve"> Similarly, </w:t>
      </w:r>
      <w:r w:rsidR="00952EA0" w:rsidRPr="00EE0E89">
        <w:rPr>
          <w:rFonts w:ascii="Times New Roman" w:hAnsi="Times New Roman" w:cs="Times New Roman"/>
          <w:sz w:val="24"/>
        </w:rPr>
        <w:t xml:space="preserve">the data related to the United Arab Emirates workforce for the year 2018 is </w:t>
      </w:r>
      <w:r w:rsidR="00A403C8" w:rsidRPr="00EE0E89">
        <w:rPr>
          <w:rFonts w:ascii="Times New Roman" w:hAnsi="Times New Roman" w:cs="Times New Roman"/>
          <w:sz w:val="24"/>
        </w:rPr>
        <w:t>show</w:t>
      </w:r>
      <w:r w:rsidR="003C737A" w:rsidRPr="00EE0E89">
        <w:rPr>
          <w:rFonts w:ascii="Times New Roman" w:hAnsi="Times New Roman" w:cs="Times New Roman"/>
          <w:sz w:val="24"/>
        </w:rPr>
        <w:t>n</w:t>
      </w:r>
      <w:r w:rsidR="00A403C8" w:rsidRPr="00EE0E89">
        <w:rPr>
          <w:rFonts w:ascii="Times New Roman" w:hAnsi="Times New Roman" w:cs="Times New Roman"/>
          <w:sz w:val="24"/>
        </w:rPr>
        <w:t xml:space="preserve"> </w:t>
      </w:r>
      <w:r w:rsidR="00952EA0" w:rsidRPr="00EE0E89">
        <w:rPr>
          <w:rFonts w:ascii="Times New Roman" w:hAnsi="Times New Roman" w:cs="Times New Roman"/>
          <w:sz w:val="24"/>
        </w:rPr>
        <w:t xml:space="preserve">in table 2, which represents </w:t>
      </w:r>
      <w:r w:rsidR="00A403C8" w:rsidRPr="00EE0E89">
        <w:rPr>
          <w:rFonts w:ascii="Times New Roman" w:hAnsi="Times New Roman" w:cs="Times New Roman"/>
          <w:sz w:val="24"/>
        </w:rPr>
        <w:t xml:space="preserve">the </w:t>
      </w:r>
      <w:r w:rsidR="00BB6F71" w:rsidRPr="00EE0E89">
        <w:rPr>
          <w:rFonts w:ascii="Times New Roman" w:hAnsi="Times New Roman" w:cs="Times New Roman"/>
          <w:sz w:val="24"/>
        </w:rPr>
        <w:t xml:space="preserve">number of establishments by economic sectors and the </w:t>
      </w:r>
      <w:r w:rsidR="00A403C8" w:rsidRPr="00EE0E89">
        <w:rPr>
          <w:rFonts w:ascii="Times New Roman" w:hAnsi="Times New Roman" w:cs="Times New Roman"/>
          <w:sz w:val="24"/>
        </w:rPr>
        <w:t xml:space="preserve">workforce </w:t>
      </w:r>
      <w:r w:rsidR="00952EA0" w:rsidRPr="00EE0E89">
        <w:rPr>
          <w:rFonts w:ascii="Times New Roman" w:hAnsi="Times New Roman" w:cs="Times New Roman"/>
          <w:sz w:val="24"/>
        </w:rPr>
        <w:t>in each</w:t>
      </w:r>
      <w:r w:rsidR="00A403C8" w:rsidRPr="00EE0E89">
        <w:rPr>
          <w:rFonts w:ascii="Times New Roman" w:hAnsi="Times New Roman" w:cs="Times New Roman"/>
          <w:sz w:val="24"/>
        </w:rPr>
        <w:t xml:space="preserve"> </w:t>
      </w:r>
      <w:r w:rsidR="00952EA0" w:rsidRPr="00EE0E89">
        <w:rPr>
          <w:rFonts w:ascii="Times New Roman" w:hAnsi="Times New Roman" w:cs="Times New Roman"/>
          <w:sz w:val="24"/>
        </w:rPr>
        <w:t>sector</w:t>
      </w:r>
      <w:r w:rsidR="00A403C8" w:rsidRPr="00EE0E89">
        <w:rPr>
          <w:rFonts w:ascii="Times New Roman" w:hAnsi="Times New Roman" w:cs="Times New Roman"/>
          <w:sz w:val="24"/>
        </w:rPr>
        <w:t xml:space="preserve">. </w:t>
      </w:r>
      <w:r w:rsidR="00952EA0" w:rsidRPr="00EE0E89">
        <w:rPr>
          <w:rFonts w:ascii="Times New Roman" w:hAnsi="Times New Roman" w:cs="Times New Roman"/>
          <w:sz w:val="24"/>
        </w:rPr>
        <w:t>This data</w:t>
      </w:r>
      <w:r w:rsidR="001222B3" w:rsidRPr="00EE0E89">
        <w:rPr>
          <w:rFonts w:ascii="Times New Roman" w:hAnsi="Times New Roman" w:cs="Times New Roman"/>
          <w:sz w:val="24"/>
        </w:rPr>
        <w:t xml:space="preserve"> </w:t>
      </w:r>
      <w:r w:rsidR="00A403C8" w:rsidRPr="00EE0E89">
        <w:rPr>
          <w:rFonts w:ascii="Times New Roman" w:hAnsi="Times New Roman" w:cs="Times New Roman"/>
          <w:sz w:val="24"/>
        </w:rPr>
        <w:lastRenderedPageBreak/>
        <w:t xml:space="preserve">clearly shows that </w:t>
      </w:r>
      <w:r w:rsidR="00223F97" w:rsidRPr="00EE0E89">
        <w:rPr>
          <w:rFonts w:ascii="Times New Roman" w:hAnsi="Times New Roman" w:cs="Times New Roman"/>
          <w:sz w:val="24"/>
        </w:rPr>
        <w:t xml:space="preserve">the </w:t>
      </w:r>
      <w:r w:rsidR="00A403C8" w:rsidRPr="00EE0E89">
        <w:rPr>
          <w:rFonts w:ascii="Times New Roman" w:hAnsi="Times New Roman" w:cs="Times New Roman"/>
          <w:sz w:val="24"/>
        </w:rPr>
        <w:t xml:space="preserve">construction industry </w:t>
      </w:r>
      <w:r w:rsidR="00952EA0" w:rsidRPr="00EE0E89">
        <w:rPr>
          <w:rFonts w:ascii="Times New Roman" w:hAnsi="Times New Roman" w:cs="Times New Roman"/>
          <w:sz w:val="24"/>
        </w:rPr>
        <w:t xml:space="preserve">is on the top </w:t>
      </w:r>
      <w:r w:rsidR="00A403C8" w:rsidRPr="00EE0E89">
        <w:rPr>
          <w:rFonts w:ascii="Times New Roman" w:hAnsi="Times New Roman" w:cs="Times New Roman"/>
          <w:sz w:val="24"/>
        </w:rPr>
        <w:t>of the list by providing jobs to more than 500 million peoples</w:t>
      </w:r>
      <w:r w:rsidR="00FC0B55" w:rsidRPr="00EE0E89">
        <w:rPr>
          <w:rFonts w:ascii="Times New Roman" w:hAnsi="Times New Roman" w:cs="Times New Roman"/>
          <w:sz w:val="24"/>
        </w:rPr>
        <w:t xml:space="preserve"> with a total number of </w:t>
      </w:r>
      <w:r w:rsidR="00A74912" w:rsidRPr="00EE0E89">
        <w:rPr>
          <w:rFonts w:ascii="Times New Roman" w:hAnsi="Times New Roman" w:cs="Times New Roman"/>
          <w:sz w:val="24"/>
        </w:rPr>
        <w:t>establishment</w:t>
      </w:r>
      <w:r w:rsidR="0006555F" w:rsidRPr="00EE0E89">
        <w:rPr>
          <w:rFonts w:ascii="Times New Roman" w:hAnsi="Times New Roman" w:cs="Times New Roman"/>
          <w:sz w:val="24"/>
        </w:rPr>
        <w:t>s</w:t>
      </w:r>
      <w:r w:rsidR="00A74912" w:rsidRPr="00EE0E89">
        <w:rPr>
          <w:rFonts w:ascii="Times New Roman" w:hAnsi="Times New Roman" w:cs="Times New Roman"/>
          <w:sz w:val="24"/>
        </w:rPr>
        <w:t xml:space="preserve"> of 65</w:t>
      </w:r>
      <w:r w:rsidR="00952EA0" w:rsidRPr="00EE0E89">
        <w:rPr>
          <w:rFonts w:ascii="Times New Roman" w:hAnsi="Times New Roman" w:cs="Times New Roman"/>
          <w:sz w:val="24"/>
        </w:rPr>
        <w:t>,</w:t>
      </w:r>
      <w:r w:rsidR="00A74912" w:rsidRPr="00EE0E89">
        <w:rPr>
          <w:rFonts w:ascii="Times New Roman" w:hAnsi="Times New Roman" w:cs="Times New Roman"/>
          <w:sz w:val="24"/>
        </w:rPr>
        <w:t>419</w:t>
      </w:r>
      <w:r w:rsidR="00AB4091" w:rsidRPr="00EE0E89">
        <w:rPr>
          <w:rFonts w:ascii="Times New Roman" w:hAnsi="Times New Roman" w:cs="Times New Roman"/>
          <w:sz w:val="24"/>
        </w:rPr>
        <w:t xml:space="preserve"> followed by </w:t>
      </w:r>
      <w:r w:rsidRPr="00EE0E89">
        <w:rPr>
          <w:rFonts w:ascii="Times New Roman" w:hAnsi="Times New Roman" w:cs="Times New Roman"/>
          <w:sz w:val="24"/>
        </w:rPr>
        <w:t xml:space="preserve">the </w:t>
      </w:r>
      <w:r w:rsidR="00AB4091" w:rsidRPr="00EE0E89">
        <w:rPr>
          <w:rFonts w:ascii="Times New Roman" w:hAnsi="Times New Roman" w:cs="Times New Roman"/>
          <w:sz w:val="24"/>
        </w:rPr>
        <w:t>trade and repair sector</w:t>
      </w:r>
      <w:r w:rsidR="00A403C8" w:rsidRPr="00EE0E89">
        <w:rPr>
          <w:rFonts w:ascii="Times New Roman" w:hAnsi="Times New Roman" w:cs="Times New Roman"/>
          <w:sz w:val="24"/>
        </w:rPr>
        <w:t>.</w:t>
      </w:r>
      <w:r w:rsidR="0006555F" w:rsidRPr="00EE0E89">
        <w:rPr>
          <w:rFonts w:ascii="Times New Roman" w:hAnsi="Times New Roman" w:cs="Times New Roman"/>
          <w:sz w:val="24"/>
        </w:rPr>
        <w:t xml:space="preserve"> </w:t>
      </w:r>
      <w:r w:rsidR="00446E20" w:rsidRPr="00EE0E89">
        <w:rPr>
          <w:rFonts w:ascii="Times New Roman" w:hAnsi="Times New Roman" w:cs="Times New Roman"/>
          <w:sz w:val="24"/>
        </w:rPr>
        <w:t xml:space="preserve">The employment ratio between number of establishments and the employed workers for construction stood at 1:26, while the same ratio for trade and repair sector stood at 1:16. </w:t>
      </w:r>
      <w:r w:rsidR="004E0DDD" w:rsidRPr="00EE0E89">
        <w:rPr>
          <w:rFonts w:ascii="Times New Roman" w:hAnsi="Times New Roman" w:cs="Times New Roman"/>
          <w:sz w:val="24"/>
        </w:rPr>
        <w:t>This clearly reflects</w:t>
      </w:r>
      <w:r w:rsidR="00F763F8" w:rsidRPr="00EE0E89">
        <w:rPr>
          <w:rFonts w:ascii="Times New Roman" w:hAnsi="Times New Roman" w:cs="Times New Roman"/>
          <w:sz w:val="24"/>
        </w:rPr>
        <w:t xml:space="preserve"> that </w:t>
      </w:r>
      <w:r w:rsidR="00EE0F4A" w:rsidRPr="00EE0E89">
        <w:rPr>
          <w:rFonts w:ascii="Times New Roman" w:hAnsi="Times New Roman" w:cs="Times New Roman"/>
          <w:sz w:val="24"/>
        </w:rPr>
        <w:t xml:space="preserve">the </w:t>
      </w:r>
      <w:r w:rsidR="00F763F8" w:rsidRPr="00EE0E89">
        <w:rPr>
          <w:rFonts w:ascii="Times New Roman" w:hAnsi="Times New Roman" w:cs="Times New Roman"/>
          <w:sz w:val="24"/>
        </w:rPr>
        <w:t xml:space="preserve">construction sector </w:t>
      </w:r>
      <w:r w:rsidR="00446E20" w:rsidRPr="00EE0E89">
        <w:rPr>
          <w:rFonts w:ascii="Times New Roman" w:hAnsi="Times New Roman" w:cs="Times New Roman"/>
          <w:sz w:val="24"/>
        </w:rPr>
        <w:t>establishment</w:t>
      </w:r>
      <w:r w:rsidR="009B1092" w:rsidRPr="00EE0E89">
        <w:rPr>
          <w:rFonts w:ascii="Times New Roman" w:hAnsi="Times New Roman" w:cs="Times New Roman"/>
          <w:sz w:val="24"/>
        </w:rPr>
        <w:t>s</w:t>
      </w:r>
      <w:r w:rsidR="00446E20" w:rsidRPr="00EE0E89">
        <w:rPr>
          <w:rFonts w:ascii="Times New Roman" w:hAnsi="Times New Roman" w:cs="Times New Roman"/>
          <w:sz w:val="24"/>
        </w:rPr>
        <w:t xml:space="preserve"> </w:t>
      </w:r>
      <w:r w:rsidR="009B1092" w:rsidRPr="00EE0E89">
        <w:rPr>
          <w:rFonts w:ascii="Times New Roman" w:hAnsi="Times New Roman" w:cs="Times New Roman"/>
          <w:sz w:val="24"/>
        </w:rPr>
        <w:t xml:space="preserve">in the United Arab Emirates </w:t>
      </w:r>
      <w:r w:rsidR="00F763F8" w:rsidRPr="00EE0E89">
        <w:rPr>
          <w:rFonts w:ascii="Times New Roman" w:hAnsi="Times New Roman" w:cs="Times New Roman"/>
          <w:sz w:val="24"/>
        </w:rPr>
        <w:t>provide more jobs</w:t>
      </w:r>
      <w:r w:rsidR="009B1092" w:rsidRPr="00EE0E89">
        <w:rPr>
          <w:rFonts w:ascii="Times New Roman" w:hAnsi="Times New Roman" w:cs="Times New Roman"/>
          <w:sz w:val="24"/>
        </w:rPr>
        <w:t xml:space="preserve"> (1.62 times more) per establishment</w:t>
      </w:r>
      <w:r w:rsidR="00F763F8" w:rsidRPr="00EE0E89">
        <w:rPr>
          <w:rFonts w:ascii="Times New Roman" w:hAnsi="Times New Roman" w:cs="Times New Roman"/>
          <w:sz w:val="24"/>
        </w:rPr>
        <w:t xml:space="preserve"> </w:t>
      </w:r>
      <w:r w:rsidR="009B1092" w:rsidRPr="00EE0E89">
        <w:rPr>
          <w:rFonts w:ascii="Times New Roman" w:hAnsi="Times New Roman" w:cs="Times New Roman"/>
          <w:sz w:val="24"/>
        </w:rPr>
        <w:t xml:space="preserve">compared to the </w:t>
      </w:r>
      <w:r w:rsidR="00F763F8" w:rsidRPr="00EE0E89">
        <w:rPr>
          <w:rFonts w:ascii="Times New Roman" w:hAnsi="Times New Roman" w:cs="Times New Roman"/>
          <w:sz w:val="24"/>
        </w:rPr>
        <w:t xml:space="preserve">trade and repair sector </w:t>
      </w:r>
      <w:r w:rsidR="005909AB" w:rsidRPr="00EE0E89">
        <w:rPr>
          <w:rFonts w:ascii="Times New Roman" w:hAnsi="Times New Roman" w:cs="Times New Roman"/>
          <w:sz w:val="24"/>
        </w:rPr>
        <w:t>(MHRE, 2018)</w:t>
      </w:r>
      <w:r w:rsidR="00F763F8" w:rsidRPr="00EE0E89">
        <w:rPr>
          <w:rFonts w:ascii="Times New Roman" w:hAnsi="Times New Roman" w:cs="Times New Roman"/>
          <w:sz w:val="24"/>
        </w:rPr>
        <w:t>.</w:t>
      </w:r>
      <w:r w:rsidR="00A403C8" w:rsidRPr="00EE0E89">
        <w:rPr>
          <w:rFonts w:ascii="Times New Roman" w:hAnsi="Times New Roman" w:cs="Times New Roman"/>
          <w:sz w:val="24"/>
        </w:rPr>
        <w:t xml:space="preserve">    </w:t>
      </w:r>
    </w:p>
    <w:p w14:paraId="01FF81BE" w14:textId="5D461643" w:rsidR="0069564A" w:rsidRDefault="0069564A" w:rsidP="004C4FE1">
      <w:pPr>
        <w:spacing w:line="360" w:lineRule="auto"/>
        <w:jc w:val="center"/>
        <w:rPr>
          <w:rFonts w:ascii="Times New Roman" w:hAnsi="Times New Roman" w:cs="Times New Roman"/>
          <w:b/>
          <w:sz w:val="24"/>
        </w:rPr>
      </w:pPr>
      <w:r>
        <w:rPr>
          <w:noProof/>
        </w:rPr>
        <w:drawing>
          <wp:inline distT="0" distB="0" distL="0" distR="0" wp14:anchorId="64D0EB65" wp14:editId="3DE3607A">
            <wp:extent cx="4429125" cy="2743200"/>
            <wp:effectExtent l="0" t="0" r="9525" b="19050"/>
            <wp:docPr id="8" name="Chart 8" title="distribution of Expatriate in Construction Organizations of Oma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5EEA51" w14:textId="161F0A8D" w:rsidR="004C4FE1" w:rsidRDefault="004C4FE1" w:rsidP="004C4FE1">
      <w:pPr>
        <w:spacing w:line="360" w:lineRule="auto"/>
        <w:jc w:val="center"/>
        <w:rPr>
          <w:rFonts w:ascii="Times New Roman" w:hAnsi="Times New Roman" w:cs="Times New Roman"/>
          <w:b/>
          <w:sz w:val="24"/>
        </w:rPr>
      </w:pPr>
      <w:r w:rsidRPr="00EE0E89">
        <w:rPr>
          <w:rFonts w:ascii="Times New Roman" w:hAnsi="Times New Roman" w:cs="Times New Roman"/>
          <w:b/>
          <w:sz w:val="24"/>
        </w:rPr>
        <w:t xml:space="preserve">Figure </w:t>
      </w:r>
      <w:r w:rsidR="00221D09" w:rsidRPr="00EE0E89">
        <w:rPr>
          <w:rFonts w:ascii="Times New Roman" w:hAnsi="Times New Roman" w:cs="Times New Roman"/>
          <w:b/>
          <w:sz w:val="24"/>
        </w:rPr>
        <w:t>6</w:t>
      </w:r>
      <w:r w:rsidRPr="00EE0E89">
        <w:rPr>
          <w:rFonts w:ascii="Times New Roman" w:hAnsi="Times New Roman" w:cs="Times New Roman"/>
          <w:b/>
          <w:sz w:val="24"/>
        </w:rPr>
        <w:t xml:space="preserve">: Distribution of foreigner workers in construction </w:t>
      </w:r>
      <w:r w:rsidR="0094757C" w:rsidRPr="00EE0E89">
        <w:rPr>
          <w:rFonts w:ascii="Times New Roman" w:hAnsi="Times New Roman" w:cs="Times New Roman"/>
          <w:b/>
          <w:sz w:val="24"/>
        </w:rPr>
        <w:t>firms</w:t>
      </w:r>
      <w:r w:rsidRPr="00EE0E89">
        <w:rPr>
          <w:rFonts w:ascii="Times New Roman" w:hAnsi="Times New Roman" w:cs="Times New Roman"/>
          <w:b/>
          <w:sz w:val="24"/>
        </w:rPr>
        <w:t xml:space="preserve"> of Oman (OSC, 2016)</w:t>
      </w:r>
    </w:p>
    <w:p w14:paraId="68731A98" w14:textId="77777777" w:rsidR="00FD12AF" w:rsidRDefault="00FD12AF" w:rsidP="004C4FE1">
      <w:pPr>
        <w:spacing w:line="360" w:lineRule="auto"/>
        <w:jc w:val="center"/>
        <w:rPr>
          <w:rFonts w:ascii="Times New Roman" w:hAnsi="Times New Roman" w:cs="Times New Roman"/>
          <w:b/>
          <w:sz w:val="24"/>
        </w:rPr>
      </w:pPr>
    </w:p>
    <w:p w14:paraId="22D01F0C" w14:textId="77777777" w:rsidR="00FD12AF" w:rsidRDefault="00FD12AF" w:rsidP="004C4FE1">
      <w:pPr>
        <w:spacing w:line="360" w:lineRule="auto"/>
        <w:jc w:val="center"/>
        <w:rPr>
          <w:rFonts w:ascii="Times New Roman" w:hAnsi="Times New Roman" w:cs="Times New Roman"/>
          <w:b/>
          <w:sz w:val="24"/>
        </w:rPr>
      </w:pPr>
    </w:p>
    <w:p w14:paraId="2543E36E" w14:textId="77777777" w:rsidR="00FD12AF" w:rsidRDefault="00FD12AF" w:rsidP="004C4FE1">
      <w:pPr>
        <w:spacing w:line="360" w:lineRule="auto"/>
        <w:jc w:val="center"/>
        <w:rPr>
          <w:rFonts w:ascii="Times New Roman" w:hAnsi="Times New Roman" w:cs="Times New Roman"/>
          <w:b/>
          <w:sz w:val="24"/>
        </w:rPr>
      </w:pPr>
    </w:p>
    <w:p w14:paraId="3878C528" w14:textId="77777777" w:rsidR="00FD12AF" w:rsidRDefault="00FD12AF" w:rsidP="004C4FE1">
      <w:pPr>
        <w:spacing w:line="360" w:lineRule="auto"/>
        <w:jc w:val="center"/>
        <w:rPr>
          <w:rFonts w:ascii="Times New Roman" w:hAnsi="Times New Roman" w:cs="Times New Roman"/>
          <w:b/>
          <w:sz w:val="24"/>
        </w:rPr>
      </w:pPr>
    </w:p>
    <w:p w14:paraId="0C307357" w14:textId="77777777" w:rsidR="00FD12AF" w:rsidRDefault="00FD12AF" w:rsidP="004C4FE1">
      <w:pPr>
        <w:spacing w:line="360" w:lineRule="auto"/>
        <w:jc w:val="center"/>
        <w:rPr>
          <w:rFonts w:ascii="Times New Roman" w:hAnsi="Times New Roman" w:cs="Times New Roman"/>
          <w:b/>
          <w:sz w:val="24"/>
        </w:rPr>
      </w:pPr>
    </w:p>
    <w:p w14:paraId="39C581FC" w14:textId="77777777" w:rsidR="00FD12AF" w:rsidRDefault="00FD12AF" w:rsidP="004C4FE1">
      <w:pPr>
        <w:spacing w:line="360" w:lineRule="auto"/>
        <w:jc w:val="center"/>
        <w:rPr>
          <w:rFonts w:ascii="Times New Roman" w:hAnsi="Times New Roman" w:cs="Times New Roman"/>
          <w:b/>
          <w:sz w:val="24"/>
        </w:rPr>
      </w:pPr>
    </w:p>
    <w:p w14:paraId="69186EEB" w14:textId="77777777" w:rsidR="00FD12AF" w:rsidRPr="00EE0E89" w:rsidRDefault="00FD12AF" w:rsidP="004C4FE1">
      <w:pPr>
        <w:spacing w:line="360" w:lineRule="auto"/>
        <w:jc w:val="center"/>
        <w:rPr>
          <w:rFonts w:ascii="Times New Roman" w:hAnsi="Times New Roman" w:cs="Times New Roman"/>
          <w:b/>
          <w:sz w:val="24"/>
        </w:rPr>
      </w:pPr>
    </w:p>
    <w:tbl>
      <w:tblPr>
        <w:tblW w:w="8359" w:type="dxa"/>
        <w:jc w:val="center"/>
        <w:tblLook w:val="04A0" w:firstRow="1" w:lastRow="0" w:firstColumn="1" w:lastColumn="0" w:noHBand="0" w:noVBand="1"/>
      </w:tblPr>
      <w:tblGrid>
        <w:gridCol w:w="3823"/>
        <w:gridCol w:w="2551"/>
        <w:gridCol w:w="1985"/>
      </w:tblGrid>
      <w:tr w:rsidR="0069564A" w:rsidRPr="00FC0B55" w14:paraId="4FD4A8B8" w14:textId="77777777" w:rsidTr="00F86B6C">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1442" w14:textId="77777777" w:rsidR="0069564A" w:rsidRPr="00FC0B55" w:rsidRDefault="0069564A" w:rsidP="00F86B6C">
            <w:pPr>
              <w:spacing w:after="0" w:line="240" w:lineRule="auto"/>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lastRenderedPageBreak/>
              <w:t xml:space="preserve">Sector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7A7009E" w14:textId="77777777" w:rsidR="0069564A" w:rsidRPr="00FC0B55" w:rsidRDefault="0069564A" w:rsidP="00F86B6C">
            <w:pPr>
              <w:spacing w:after="0" w:line="240" w:lineRule="auto"/>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t>Establishments (000)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CCF82AB" w14:textId="77777777" w:rsidR="0069564A" w:rsidRPr="00FC0B55" w:rsidRDefault="0069564A" w:rsidP="00F86B6C">
            <w:pPr>
              <w:spacing w:after="0" w:line="240" w:lineRule="auto"/>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t>Workers (000)</w:t>
            </w:r>
          </w:p>
        </w:tc>
      </w:tr>
      <w:tr w:rsidR="0069564A" w:rsidRPr="00FC0B55" w14:paraId="08E50331"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C598970"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Construction</w:t>
            </w:r>
          </w:p>
        </w:tc>
        <w:tc>
          <w:tcPr>
            <w:tcW w:w="2551" w:type="dxa"/>
            <w:tcBorders>
              <w:top w:val="nil"/>
              <w:left w:val="nil"/>
              <w:bottom w:val="single" w:sz="4" w:space="0" w:color="auto"/>
              <w:right w:val="single" w:sz="4" w:space="0" w:color="auto"/>
            </w:tcBorders>
            <w:shd w:val="clear" w:color="auto" w:fill="auto"/>
            <w:noWrap/>
            <w:vAlign w:val="bottom"/>
            <w:hideMark/>
          </w:tcPr>
          <w:p w14:paraId="01FA6B6D"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65.419</w:t>
            </w:r>
          </w:p>
        </w:tc>
        <w:tc>
          <w:tcPr>
            <w:tcW w:w="1985" w:type="dxa"/>
            <w:tcBorders>
              <w:top w:val="nil"/>
              <w:left w:val="nil"/>
              <w:bottom w:val="single" w:sz="4" w:space="0" w:color="auto"/>
              <w:right w:val="single" w:sz="4" w:space="0" w:color="auto"/>
            </w:tcBorders>
            <w:shd w:val="clear" w:color="auto" w:fill="auto"/>
            <w:noWrap/>
            <w:vAlign w:val="bottom"/>
            <w:hideMark/>
          </w:tcPr>
          <w:p w14:paraId="7EF7F0FD"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FC0B55">
              <w:rPr>
                <w:rFonts w:ascii="Times New Roman" w:eastAsia="Times New Roman" w:hAnsi="Times New Roman" w:cs="Times New Roman"/>
                <w:color w:val="000000"/>
                <w:sz w:val="24"/>
                <w:szCs w:val="24"/>
              </w:rPr>
              <w:t>702.502</w:t>
            </w:r>
          </w:p>
        </w:tc>
      </w:tr>
      <w:tr w:rsidR="0069564A" w:rsidRPr="00FC0B55" w14:paraId="23430AB6"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4B81AC8"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Trade and Repair Services</w:t>
            </w:r>
          </w:p>
        </w:tc>
        <w:tc>
          <w:tcPr>
            <w:tcW w:w="2551" w:type="dxa"/>
            <w:tcBorders>
              <w:top w:val="nil"/>
              <w:left w:val="nil"/>
              <w:bottom w:val="single" w:sz="4" w:space="0" w:color="auto"/>
              <w:right w:val="single" w:sz="4" w:space="0" w:color="auto"/>
            </w:tcBorders>
            <w:shd w:val="clear" w:color="auto" w:fill="auto"/>
            <w:noWrap/>
            <w:vAlign w:val="bottom"/>
            <w:hideMark/>
          </w:tcPr>
          <w:p w14:paraId="35E85C66"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128.633</w:t>
            </w:r>
          </w:p>
        </w:tc>
        <w:tc>
          <w:tcPr>
            <w:tcW w:w="1985" w:type="dxa"/>
            <w:tcBorders>
              <w:top w:val="nil"/>
              <w:left w:val="nil"/>
              <w:bottom w:val="single" w:sz="4" w:space="0" w:color="auto"/>
              <w:right w:val="single" w:sz="4" w:space="0" w:color="auto"/>
            </w:tcBorders>
            <w:shd w:val="clear" w:color="auto" w:fill="auto"/>
            <w:noWrap/>
            <w:vAlign w:val="bottom"/>
            <w:hideMark/>
          </w:tcPr>
          <w:p w14:paraId="2E2D848E"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FC0B55">
              <w:rPr>
                <w:rFonts w:ascii="Times New Roman" w:eastAsia="Times New Roman" w:hAnsi="Times New Roman" w:cs="Times New Roman"/>
                <w:color w:val="000000"/>
                <w:sz w:val="24"/>
                <w:szCs w:val="24"/>
              </w:rPr>
              <w:t>107.119</w:t>
            </w:r>
          </w:p>
        </w:tc>
      </w:tr>
      <w:tr w:rsidR="0069564A" w:rsidRPr="00FC0B55" w14:paraId="4FFF59EB"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DFEBAC3"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Manufacturing</w:t>
            </w:r>
          </w:p>
        </w:tc>
        <w:tc>
          <w:tcPr>
            <w:tcW w:w="2551" w:type="dxa"/>
            <w:tcBorders>
              <w:top w:val="nil"/>
              <w:left w:val="nil"/>
              <w:bottom w:val="single" w:sz="4" w:space="0" w:color="auto"/>
              <w:right w:val="single" w:sz="4" w:space="0" w:color="auto"/>
            </w:tcBorders>
            <w:shd w:val="clear" w:color="auto" w:fill="auto"/>
            <w:noWrap/>
            <w:vAlign w:val="bottom"/>
            <w:hideMark/>
          </w:tcPr>
          <w:p w14:paraId="104FB218"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30.292</w:t>
            </w:r>
          </w:p>
        </w:tc>
        <w:tc>
          <w:tcPr>
            <w:tcW w:w="1985" w:type="dxa"/>
            <w:tcBorders>
              <w:top w:val="nil"/>
              <w:left w:val="nil"/>
              <w:bottom w:val="single" w:sz="4" w:space="0" w:color="auto"/>
              <w:right w:val="single" w:sz="4" w:space="0" w:color="auto"/>
            </w:tcBorders>
            <w:shd w:val="clear" w:color="auto" w:fill="auto"/>
            <w:noWrap/>
            <w:vAlign w:val="bottom"/>
            <w:hideMark/>
          </w:tcPr>
          <w:p w14:paraId="5C7001BB"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468.069</w:t>
            </w:r>
          </w:p>
        </w:tc>
      </w:tr>
      <w:tr w:rsidR="0069564A" w:rsidRPr="00FC0B55" w14:paraId="3F4FD8E3"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229774C"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Real Estate and Rental and Business Services</w:t>
            </w:r>
          </w:p>
        </w:tc>
        <w:tc>
          <w:tcPr>
            <w:tcW w:w="2551" w:type="dxa"/>
            <w:tcBorders>
              <w:top w:val="nil"/>
              <w:left w:val="nil"/>
              <w:bottom w:val="single" w:sz="4" w:space="0" w:color="auto"/>
              <w:right w:val="single" w:sz="4" w:space="0" w:color="auto"/>
            </w:tcBorders>
            <w:shd w:val="clear" w:color="auto" w:fill="auto"/>
            <w:noWrap/>
            <w:vAlign w:val="bottom"/>
            <w:hideMark/>
          </w:tcPr>
          <w:p w14:paraId="5BD259CD"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30.702</w:t>
            </w:r>
          </w:p>
        </w:tc>
        <w:tc>
          <w:tcPr>
            <w:tcW w:w="1985" w:type="dxa"/>
            <w:tcBorders>
              <w:top w:val="nil"/>
              <w:left w:val="nil"/>
              <w:bottom w:val="single" w:sz="4" w:space="0" w:color="auto"/>
              <w:right w:val="single" w:sz="4" w:space="0" w:color="auto"/>
            </w:tcBorders>
            <w:shd w:val="clear" w:color="auto" w:fill="auto"/>
            <w:noWrap/>
            <w:vAlign w:val="bottom"/>
            <w:hideMark/>
          </w:tcPr>
          <w:p w14:paraId="2FCBFA58"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608.139</w:t>
            </w:r>
          </w:p>
        </w:tc>
      </w:tr>
      <w:tr w:rsidR="0069564A" w:rsidRPr="00FC0B55" w14:paraId="38D63C4E"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5404AE9"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Transportation Storage and Communication</w:t>
            </w:r>
          </w:p>
        </w:tc>
        <w:tc>
          <w:tcPr>
            <w:tcW w:w="2551" w:type="dxa"/>
            <w:tcBorders>
              <w:top w:val="nil"/>
              <w:left w:val="nil"/>
              <w:bottom w:val="single" w:sz="4" w:space="0" w:color="auto"/>
              <w:right w:val="single" w:sz="4" w:space="0" w:color="auto"/>
            </w:tcBorders>
            <w:shd w:val="clear" w:color="auto" w:fill="auto"/>
            <w:noWrap/>
            <w:vAlign w:val="bottom"/>
            <w:hideMark/>
          </w:tcPr>
          <w:p w14:paraId="3E86D3AA"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24.145</w:t>
            </w:r>
          </w:p>
        </w:tc>
        <w:tc>
          <w:tcPr>
            <w:tcW w:w="1985" w:type="dxa"/>
            <w:tcBorders>
              <w:top w:val="nil"/>
              <w:left w:val="nil"/>
              <w:bottom w:val="single" w:sz="4" w:space="0" w:color="auto"/>
              <w:right w:val="single" w:sz="4" w:space="0" w:color="auto"/>
            </w:tcBorders>
            <w:shd w:val="clear" w:color="auto" w:fill="auto"/>
            <w:noWrap/>
            <w:vAlign w:val="bottom"/>
            <w:hideMark/>
          </w:tcPr>
          <w:p w14:paraId="557306BC"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355.713</w:t>
            </w:r>
          </w:p>
        </w:tc>
      </w:tr>
      <w:tr w:rsidR="0069564A" w:rsidRPr="00FC0B55" w14:paraId="668AA77E"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DD4464B"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Hotels and Restaurants</w:t>
            </w:r>
          </w:p>
        </w:tc>
        <w:tc>
          <w:tcPr>
            <w:tcW w:w="2551" w:type="dxa"/>
            <w:tcBorders>
              <w:top w:val="nil"/>
              <w:left w:val="nil"/>
              <w:bottom w:val="single" w:sz="4" w:space="0" w:color="auto"/>
              <w:right w:val="single" w:sz="4" w:space="0" w:color="auto"/>
            </w:tcBorders>
            <w:shd w:val="clear" w:color="auto" w:fill="auto"/>
            <w:noWrap/>
            <w:vAlign w:val="bottom"/>
            <w:hideMark/>
          </w:tcPr>
          <w:p w14:paraId="23996970"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20.087</w:t>
            </w:r>
          </w:p>
        </w:tc>
        <w:tc>
          <w:tcPr>
            <w:tcW w:w="1985" w:type="dxa"/>
            <w:tcBorders>
              <w:top w:val="nil"/>
              <w:left w:val="nil"/>
              <w:bottom w:val="single" w:sz="4" w:space="0" w:color="auto"/>
              <w:right w:val="single" w:sz="4" w:space="0" w:color="auto"/>
            </w:tcBorders>
            <w:shd w:val="clear" w:color="auto" w:fill="auto"/>
            <w:noWrap/>
            <w:vAlign w:val="bottom"/>
            <w:hideMark/>
          </w:tcPr>
          <w:p w14:paraId="4F6EBE62"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238.523</w:t>
            </w:r>
          </w:p>
        </w:tc>
      </w:tr>
      <w:tr w:rsidR="0069564A" w:rsidRPr="00FC0B55" w14:paraId="2577EE67"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486A35"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 xml:space="preserve">Community and Personal Services and Other </w:t>
            </w:r>
          </w:p>
        </w:tc>
        <w:tc>
          <w:tcPr>
            <w:tcW w:w="2551" w:type="dxa"/>
            <w:tcBorders>
              <w:top w:val="nil"/>
              <w:left w:val="nil"/>
              <w:bottom w:val="single" w:sz="4" w:space="0" w:color="auto"/>
              <w:right w:val="single" w:sz="4" w:space="0" w:color="auto"/>
            </w:tcBorders>
            <w:shd w:val="clear" w:color="auto" w:fill="auto"/>
            <w:noWrap/>
            <w:vAlign w:val="bottom"/>
            <w:hideMark/>
          </w:tcPr>
          <w:p w14:paraId="251F6080"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24.591</w:t>
            </w:r>
          </w:p>
        </w:tc>
        <w:tc>
          <w:tcPr>
            <w:tcW w:w="1985" w:type="dxa"/>
            <w:tcBorders>
              <w:top w:val="nil"/>
              <w:left w:val="nil"/>
              <w:bottom w:val="single" w:sz="4" w:space="0" w:color="auto"/>
              <w:right w:val="single" w:sz="4" w:space="0" w:color="auto"/>
            </w:tcBorders>
            <w:shd w:val="clear" w:color="auto" w:fill="auto"/>
            <w:noWrap/>
            <w:vAlign w:val="bottom"/>
            <w:hideMark/>
          </w:tcPr>
          <w:p w14:paraId="3FC5E1E5"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156.981</w:t>
            </w:r>
          </w:p>
        </w:tc>
      </w:tr>
      <w:tr w:rsidR="0069564A" w:rsidRPr="00FC0B55" w14:paraId="6DFB7797"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501A197"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Educational Services and Studies</w:t>
            </w:r>
          </w:p>
        </w:tc>
        <w:tc>
          <w:tcPr>
            <w:tcW w:w="2551" w:type="dxa"/>
            <w:tcBorders>
              <w:top w:val="nil"/>
              <w:left w:val="nil"/>
              <w:bottom w:val="single" w:sz="4" w:space="0" w:color="auto"/>
              <w:right w:val="single" w:sz="4" w:space="0" w:color="auto"/>
            </w:tcBorders>
            <w:shd w:val="clear" w:color="auto" w:fill="auto"/>
            <w:noWrap/>
            <w:vAlign w:val="bottom"/>
            <w:hideMark/>
          </w:tcPr>
          <w:p w14:paraId="2AA0CBDD"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2.155</w:t>
            </w:r>
          </w:p>
        </w:tc>
        <w:tc>
          <w:tcPr>
            <w:tcW w:w="1985" w:type="dxa"/>
            <w:tcBorders>
              <w:top w:val="nil"/>
              <w:left w:val="nil"/>
              <w:bottom w:val="single" w:sz="4" w:space="0" w:color="auto"/>
              <w:right w:val="single" w:sz="4" w:space="0" w:color="auto"/>
            </w:tcBorders>
            <w:shd w:val="clear" w:color="auto" w:fill="auto"/>
            <w:noWrap/>
            <w:vAlign w:val="bottom"/>
            <w:hideMark/>
          </w:tcPr>
          <w:p w14:paraId="75B9A4FD"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89.269</w:t>
            </w:r>
          </w:p>
        </w:tc>
      </w:tr>
      <w:tr w:rsidR="0069564A" w:rsidRPr="00FC0B55" w14:paraId="52212829"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327DB75"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Financial Intermediation</w:t>
            </w:r>
          </w:p>
        </w:tc>
        <w:tc>
          <w:tcPr>
            <w:tcW w:w="2551" w:type="dxa"/>
            <w:tcBorders>
              <w:top w:val="nil"/>
              <w:left w:val="nil"/>
              <w:bottom w:val="single" w:sz="4" w:space="0" w:color="auto"/>
              <w:right w:val="single" w:sz="4" w:space="0" w:color="auto"/>
            </w:tcBorders>
            <w:shd w:val="clear" w:color="auto" w:fill="auto"/>
            <w:noWrap/>
            <w:vAlign w:val="bottom"/>
            <w:hideMark/>
          </w:tcPr>
          <w:p w14:paraId="0B1AFE3C"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2.45</w:t>
            </w:r>
          </w:p>
        </w:tc>
        <w:tc>
          <w:tcPr>
            <w:tcW w:w="1985" w:type="dxa"/>
            <w:tcBorders>
              <w:top w:val="nil"/>
              <w:left w:val="nil"/>
              <w:bottom w:val="single" w:sz="4" w:space="0" w:color="auto"/>
              <w:right w:val="single" w:sz="4" w:space="0" w:color="auto"/>
            </w:tcBorders>
            <w:shd w:val="clear" w:color="auto" w:fill="auto"/>
            <w:noWrap/>
            <w:vAlign w:val="bottom"/>
            <w:hideMark/>
          </w:tcPr>
          <w:p w14:paraId="2597F866"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72.846</w:t>
            </w:r>
          </w:p>
        </w:tc>
      </w:tr>
      <w:tr w:rsidR="0069564A" w:rsidRPr="00FC0B55" w14:paraId="5A353468"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D0E9531"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Health and social work</w:t>
            </w:r>
          </w:p>
        </w:tc>
        <w:tc>
          <w:tcPr>
            <w:tcW w:w="2551" w:type="dxa"/>
            <w:tcBorders>
              <w:top w:val="nil"/>
              <w:left w:val="nil"/>
              <w:bottom w:val="single" w:sz="4" w:space="0" w:color="auto"/>
              <w:right w:val="single" w:sz="4" w:space="0" w:color="auto"/>
            </w:tcBorders>
            <w:shd w:val="clear" w:color="auto" w:fill="auto"/>
            <w:noWrap/>
            <w:vAlign w:val="bottom"/>
            <w:hideMark/>
          </w:tcPr>
          <w:p w14:paraId="137E7303"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3.394</w:t>
            </w:r>
          </w:p>
        </w:tc>
        <w:tc>
          <w:tcPr>
            <w:tcW w:w="1985" w:type="dxa"/>
            <w:tcBorders>
              <w:top w:val="nil"/>
              <w:left w:val="nil"/>
              <w:bottom w:val="single" w:sz="4" w:space="0" w:color="auto"/>
              <w:right w:val="single" w:sz="4" w:space="0" w:color="auto"/>
            </w:tcBorders>
            <w:shd w:val="clear" w:color="auto" w:fill="auto"/>
            <w:noWrap/>
            <w:vAlign w:val="bottom"/>
            <w:hideMark/>
          </w:tcPr>
          <w:p w14:paraId="750EF761"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86.284</w:t>
            </w:r>
          </w:p>
        </w:tc>
      </w:tr>
      <w:tr w:rsidR="0069564A" w:rsidRPr="00FC0B55" w14:paraId="0BD2ED31"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6285079" w14:textId="77777777" w:rsidR="0069564A" w:rsidRPr="00FC0B55" w:rsidRDefault="0069564A" w:rsidP="00F86B6C">
            <w:pPr>
              <w:spacing w:after="0" w:line="240" w:lineRule="auto"/>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Others</w:t>
            </w:r>
          </w:p>
        </w:tc>
        <w:tc>
          <w:tcPr>
            <w:tcW w:w="2551" w:type="dxa"/>
            <w:tcBorders>
              <w:top w:val="nil"/>
              <w:left w:val="nil"/>
              <w:bottom w:val="single" w:sz="4" w:space="0" w:color="auto"/>
              <w:right w:val="single" w:sz="4" w:space="0" w:color="auto"/>
            </w:tcBorders>
            <w:shd w:val="clear" w:color="auto" w:fill="auto"/>
            <w:noWrap/>
            <w:vAlign w:val="bottom"/>
            <w:hideMark/>
          </w:tcPr>
          <w:p w14:paraId="13A411DE"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6.49</w:t>
            </w:r>
          </w:p>
        </w:tc>
        <w:tc>
          <w:tcPr>
            <w:tcW w:w="1985" w:type="dxa"/>
            <w:tcBorders>
              <w:top w:val="nil"/>
              <w:left w:val="nil"/>
              <w:bottom w:val="single" w:sz="4" w:space="0" w:color="auto"/>
              <w:right w:val="single" w:sz="4" w:space="0" w:color="auto"/>
            </w:tcBorders>
            <w:shd w:val="clear" w:color="auto" w:fill="auto"/>
            <w:noWrap/>
            <w:vAlign w:val="bottom"/>
            <w:hideMark/>
          </w:tcPr>
          <w:p w14:paraId="184E384F" w14:textId="77777777" w:rsidR="0069564A" w:rsidRPr="00FC0B55" w:rsidRDefault="0069564A" w:rsidP="00F86B6C">
            <w:pPr>
              <w:spacing w:after="0" w:line="240" w:lineRule="auto"/>
              <w:jc w:val="center"/>
              <w:rPr>
                <w:rFonts w:ascii="Times New Roman" w:eastAsia="Times New Roman" w:hAnsi="Times New Roman" w:cs="Times New Roman"/>
                <w:color w:val="000000"/>
                <w:sz w:val="24"/>
                <w:szCs w:val="24"/>
              </w:rPr>
            </w:pPr>
            <w:r w:rsidRPr="00FC0B55">
              <w:rPr>
                <w:rFonts w:ascii="Times New Roman" w:eastAsia="Times New Roman" w:hAnsi="Times New Roman" w:cs="Times New Roman"/>
                <w:color w:val="000000"/>
                <w:sz w:val="24"/>
                <w:szCs w:val="24"/>
              </w:rPr>
              <w:t>140.099</w:t>
            </w:r>
          </w:p>
        </w:tc>
      </w:tr>
      <w:tr w:rsidR="0069564A" w:rsidRPr="00FC0B55" w14:paraId="02FABBAF" w14:textId="77777777" w:rsidTr="00F86B6C">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5E23702" w14:textId="77777777" w:rsidR="0069564A" w:rsidRPr="00FC0B55" w:rsidRDefault="0069564A" w:rsidP="00F86B6C">
            <w:pPr>
              <w:spacing w:after="0" w:line="240" w:lineRule="auto"/>
              <w:jc w:val="right"/>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t>Total</w:t>
            </w:r>
          </w:p>
        </w:tc>
        <w:tc>
          <w:tcPr>
            <w:tcW w:w="2551" w:type="dxa"/>
            <w:tcBorders>
              <w:top w:val="nil"/>
              <w:left w:val="nil"/>
              <w:bottom w:val="single" w:sz="4" w:space="0" w:color="auto"/>
              <w:right w:val="single" w:sz="4" w:space="0" w:color="auto"/>
            </w:tcBorders>
            <w:shd w:val="clear" w:color="auto" w:fill="auto"/>
            <w:noWrap/>
            <w:vAlign w:val="bottom"/>
            <w:hideMark/>
          </w:tcPr>
          <w:p w14:paraId="42652922" w14:textId="77777777" w:rsidR="0069564A" w:rsidRPr="00FC0B55" w:rsidRDefault="0069564A" w:rsidP="00F86B6C">
            <w:pPr>
              <w:spacing w:after="0" w:line="240" w:lineRule="auto"/>
              <w:jc w:val="center"/>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t>338.358</w:t>
            </w:r>
          </w:p>
        </w:tc>
        <w:tc>
          <w:tcPr>
            <w:tcW w:w="1985" w:type="dxa"/>
            <w:tcBorders>
              <w:top w:val="nil"/>
              <w:left w:val="nil"/>
              <w:bottom w:val="single" w:sz="4" w:space="0" w:color="auto"/>
              <w:right w:val="single" w:sz="4" w:space="0" w:color="auto"/>
            </w:tcBorders>
            <w:shd w:val="clear" w:color="auto" w:fill="auto"/>
            <w:noWrap/>
            <w:vAlign w:val="bottom"/>
            <w:hideMark/>
          </w:tcPr>
          <w:p w14:paraId="3DE7DC49" w14:textId="77777777" w:rsidR="0069564A" w:rsidRPr="00FC0B55" w:rsidRDefault="0069564A" w:rsidP="00F86B6C">
            <w:pPr>
              <w:spacing w:after="0" w:line="240" w:lineRule="auto"/>
              <w:jc w:val="center"/>
              <w:rPr>
                <w:rFonts w:ascii="Times New Roman" w:eastAsia="Times New Roman" w:hAnsi="Times New Roman" w:cs="Times New Roman"/>
                <w:b/>
                <w:color w:val="000000"/>
                <w:sz w:val="24"/>
                <w:szCs w:val="24"/>
              </w:rPr>
            </w:pPr>
            <w:r w:rsidRPr="00FC0B55">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sidRPr="00FC0B55">
              <w:rPr>
                <w:rFonts w:ascii="Times New Roman" w:eastAsia="Times New Roman" w:hAnsi="Times New Roman" w:cs="Times New Roman"/>
                <w:b/>
                <w:color w:val="000000"/>
                <w:sz w:val="24"/>
                <w:szCs w:val="24"/>
              </w:rPr>
              <w:t>025.544</w:t>
            </w:r>
          </w:p>
        </w:tc>
      </w:tr>
    </w:tbl>
    <w:p w14:paraId="3C30B5BE" w14:textId="77777777" w:rsidR="00AB5255" w:rsidRPr="00EE0E89" w:rsidRDefault="00797D92" w:rsidP="004E0DDD">
      <w:pPr>
        <w:spacing w:line="360" w:lineRule="auto"/>
        <w:jc w:val="center"/>
        <w:rPr>
          <w:rFonts w:ascii="Times New Roman" w:hAnsi="Times New Roman" w:cs="Times New Roman"/>
          <w:b/>
          <w:sz w:val="24"/>
        </w:rPr>
      </w:pPr>
      <w:r w:rsidRPr="00EE0E89">
        <w:rPr>
          <w:rFonts w:ascii="Times New Roman" w:hAnsi="Times New Roman" w:cs="Times New Roman"/>
          <w:b/>
          <w:sz w:val="24"/>
        </w:rPr>
        <w:t xml:space="preserve">Table </w:t>
      </w:r>
      <w:r w:rsidR="001222B3" w:rsidRPr="00EE0E89">
        <w:rPr>
          <w:rFonts w:ascii="Times New Roman" w:hAnsi="Times New Roman" w:cs="Times New Roman"/>
          <w:b/>
          <w:sz w:val="24"/>
        </w:rPr>
        <w:t>2</w:t>
      </w:r>
      <w:r w:rsidR="00FC0B55" w:rsidRPr="00EE0E89">
        <w:rPr>
          <w:rFonts w:ascii="Times New Roman" w:hAnsi="Times New Roman" w:cs="Times New Roman"/>
          <w:b/>
          <w:sz w:val="24"/>
        </w:rPr>
        <w:t>:</w:t>
      </w:r>
      <w:r w:rsidR="004E0DDD" w:rsidRPr="00EE0E89">
        <w:rPr>
          <w:rFonts w:ascii="Times New Roman" w:hAnsi="Times New Roman" w:cs="Times New Roman"/>
          <w:b/>
          <w:sz w:val="24"/>
        </w:rPr>
        <w:t xml:space="preserve"> Number of Establishments and Workforce in Different Economic Sectors of U.AE (</w:t>
      </w:r>
      <w:r w:rsidR="008C30B6" w:rsidRPr="00EE0E89">
        <w:rPr>
          <w:rFonts w:ascii="Times New Roman" w:hAnsi="Times New Roman" w:cs="Times New Roman"/>
          <w:b/>
          <w:sz w:val="24"/>
        </w:rPr>
        <w:t>MHRE, 2018)</w:t>
      </w:r>
      <w:r w:rsidR="004E0DDD" w:rsidRPr="00EE0E89">
        <w:rPr>
          <w:rFonts w:ascii="Times New Roman" w:hAnsi="Times New Roman" w:cs="Times New Roman"/>
          <w:b/>
          <w:sz w:val="24"/>
        </w:rPr>
        <w:t>.</w:t>
      </w:r>
    </w:p>
    <w:p w14:paraId="25F6AEC7" w14:textId="57E2BA55" w:rsidR="007E179D" w:rsidRPr="00EE0E89" w:rsidRDefault="005F4755" w:rsidP="000F742A">
      <w:pPr>
        <w:spacing w:line="360" w:lineRule="auto"/>
        <w:jc w:val="both"/>
        <w:rPr>
          <w:rFonts w:ascii="Times New Roman" w:hAnsi="Times New Roman" w:cs="Times New Roman"/>
          <w:sz w:val="24"/>
        </w:rPr>
      </w:pPr>
      <w:r w:rsidRPr="00EE0E89">
        <w:rPr>
          <w:rFonts w:ascii="Times New Roman" w:hAnsi="Times New Roman" w:cs="Times New Roman"/>
          <w:sz w:val="24"/>
        </w:rPr>
        <w:t xml:space="preserve">Similarly, </w:t>
      </w:r>
      <w:r w:rsidR="004135FB" w:rsidRPr="00EE0E89">
        <w:rPr>
          <w:rFonts w:ascii="Times New Roman" w:hAnsi="Times New Roman" w:cs="Times New Roman"/>
          <w:sz w:val="24"/>
        </w:rPr>
        <w:t xml:space="preserve">taking the example of </w:t>
      </w:r>
      <w:r w:rsidR="005762E6" w:rsidRPr="00EE0E89">
        <w:rPr>
          <w:rFonts w:ascii="Times New Roman" w:hAnsi="Times New Roman" w:cs="Times New Roman"/>
          <w:sz w:val="24"/>
        </w:rPr>
        <w:t xml:space="preserve">the </w:t>
      </w:r>
      <w:r w:rsidR="004135FB" w:rsidRPr="00EE0E89">
        <w:rPr>
          <w:rFonts w:ascii="Times New Roman" w:hAnsi="Times New Roman" w:cs="Times New Roman"/>
          <w:sz w:val="24"/>
        </w:rPr>
        <w:t xml:space="preserve">Kingdom of </w:t>
      </w:r>
      <w:r w:rsidR="005B36BA" w:rsidRPr="00EE0E89">
        <w:rPr>
          <w:rFonts w:ascii="Times New Roman" w:hAnsi="Times New Roman" w:cs="Times New Roman"/>
          <w:sz w:val="24"/>
        </w:rPr>
        <w:t>Bahrain</w:t>
      </w:r>
      <w:r w:rsidR="00B1341A" w:rsidRPr="00EE0E89">
        <w:rPr>
          <w:rFonts w:ascii="Times New Roman" w:hAnsi="Times New Roman" w:cs="Times New Roman"/>
          <w:sz w:val="24"/>
        </w:rPr>
        <w:t>;</w:t>
      </w:r>
      <w:r w:rsidR="005B36BA" w:rsidRPr="00EE0E89">
        <w:rPr>
          <w:rFonts w:ascii="Times New Roman" w:hAnsi="Times New Roman" w:cs="Times New Roman"/>
          <w:sz w:val="24"/>
        </w:rPr>
        <w:t xml:space="preserve"> </w:t>
      </w:r>
      <w:r w:rsidR="0023368D" w:rsidRPr="00EE0E89">
        <w:rPr>
          <w:rFonts w:ascii="Times New Roman" w:hAnsi="Times New Roman" w:cs="Times New Roman"/>
          <w:sz w:val="24"/>
        </w:rPr>
        <w:t>a</w:t>
      </w:r>
      <w:r w:rsidR="0094757C" w:rsidRPr="00EE0E89">
        <w:rPr>
          <w:rFonts w:ascii="Times New Roman" w:hAnsi="Times New Roman" w:cs="Times New Roman"/>
          <w:sz w:val="24"/>
        </w:rPr>
        <w:t xml:space="preserve"> </w:t>
      </w:r>
      <w:r w:rsidR="005B36BA" w:rsidRPr="00EE0E89">
        <w:rPr>
          <w:rFonts w:ascii="Times New Roman" w:hAnsi="Times New Roman" w:cs="Times New Roman"/>
          <w:sz w:val="24"/>
        </w:rPr>
        <w:t xml:space="preserve">small </w:t>
      </w:r>
      <w:r w:rsidRPr="00EE0E89">
        <w:rPr>
          <w:rFonts w:ascii="Times New Roman" w:hAnsi="Times New Roman" w:cs="Times New Roman"/>
          <w:sz w:val="24"/>
        </w:rPr>
        <w:t>country</w:t>
      </w:r>
      <w:r w:rsidR="005B36BA" w:rsidRPr="00EE0E89">
        <w:rPr>
          <w:rFonts w:ascii="Times New Roman" w:hAnsi="Times New Roman" w:cs="Times New Roman"/>
          <w:sz w:val="24"/>
        </w:rPr>
        <w:t xml:space="preserve"> of GCC </w:t>
      </w:r>
      <w:r w:rsidR="0094757C" w:rsidRPr="00EE0E89">
        <w:rPr>
          <w:rFonts w:ascii="Times New Roman" w:hAnsi="Times New Roman" w:cs="Times New Roman"/>
          <w:sz w:val="24"/>
        </w:rPr>
        <w:t>with</w:t>
      </w:r>
      <w:r w:rsidRPr="00EE0E89">
        <w:rPr>
          <w:rFonts w:ascii="Times New Roman" w:hAnsi="Times New Roman" w:cs="Times New Roman"/>
          <w:sz w:val="24"/>
        </w:rPr>
        <w:t xml:space="preserve"> an</w:t>
      </w:r>
      <w:r w:rsidR="0094757C" w:rsidRPr="00EE0E89">
        <w:rPr>
          <w:rFonts w:ascii="Times New Roman" w:hAnsi="Times New Roman" w:cs="Times New Roman"/>
          <w:sz w:val="24"/>
        </w:rPr>
        <w:t xml:space="preserve"> </w:t>
      </w:r>
      <w:r w:rsidRPr="00EE0E89">
        <w:rPr>
          <w:rFonts w:ascii="Times New Roman" w:hAnsi="Times New Roman" w:cs="Times New Roman"/>
          <w:sz w:val="24"/>
        </w:rPr>
        <w:t>area</w:t>
      </w:r>
      <w:r w:rsidR="0094757C" w:rsidRPr="00EE0E89">
        <w:rPr>
          <w:rFonts w:ascii="Times New Roman" w:hAnsi="Times New Roman" w:cs="Times New Roman"/>
          <w:sz w:val="24"/>
        </w:rPr>
        <w:t xml:space="preserve"> of</w:t>
      </w:r>
      <w:r w:rsidR="005B36BA" w:rsidRPr="00EE0E89">
        <w:rPr>
          <w:rFonts w:ascii="Times New Roman" w:hAnsi="Times New Roman" w:cs="Times New Roman"/>
          <w:sz w:val="24"/>
        </w:rPr>
        <w:t xml:space="preserve"> 765.3</w:t>
      </w:r>
      <w:r w:rsidRPr="00EE0E89">
        <w:rPr>
          <w:rFonts w:ascii="Times New Roman" w:hAnsi="Times New Roman" w:cs="Times New Roman"/>
          <w:sz w:val="24"/>
        </w:rPr>
        <w:t>0</w:t>
      </w:r>
      <w:r w:rsidR="005B36BA" w:rsidRPr="00EE0E89">
        <w:rPr>
          <w:rFonts w:ascii="Times New Roman" w:hAnsi="Times New Roman" w:cs="Times New Roman"/>
          <w:sz w:val="24"/>
        </w:rPr>
        <w:t xml:space="preserve"> square </w:t>
      </w:r>
      <w:r w:rsidR="00144D76" w:rsidRPr="00EE0E89">
        <w:rPr>
          <w:rFonts w:ascii="Times New Roman" w:hAnsi="Times New Roman" w:cs="Times New Roman"/>
          <w:sz w:val="24"/>
        </w:rPr>
        <w:t>kilometers</w:t>
      </w:r>
      <w:r w:rsidR="005B36BA" w:rsidRPr="00EE0E89">
        <w:rPr>
          <w:rFonts w:ascii="Times New Roman" w:hAnsi="Times New Roman" w:cs="Times New Roman"/>
          <w:sz w:val="24"/>
        </w:rPr>
        <w:t xml:space="preserve">. </w:t>
      </w:r>
      <w:r w:rsidR="00144D76" w:rsidRPr="00EE0E89">
        <w:rPr>
          <w:rFonts w:ascii="Times New Roman" w:hAnsi="Times New Roman" w:cs="Times New Roman"/>
          <w:sz w:val="24"/>
        </w:rPr>
        <w:t xml:space="preserve">According to the </w:t>
      </w:r>
      <w:r w:rsidR="00710E58" w:rsidRPr="00EE0E89">
        <w:rPr>
          <w:rFonts w:ascii="Times New Roman" w:hAnsi="Times New Roman" w:cs="Times New Roman"/>
          <w:sz w:val="24"/>
        </w:rPr>
        <w:t>Gulf Research Center</w:t>
      </w:r>
      <w:r w:rsidR="00144D76" w:rsidRPr="00EE0E89">
        <w:rPr>
          <w:rFonts w:ascii="Times New Roman" w:hAnsi="Times New Roman" w:cs="Times New Roman"/>
          <w:sz w:val="24"/>
        </w:rPr>
        <w:t xml:space="preserve">, </w:t>
      </w:r>
      <w:r w:rsidR="0023368D" w:rsidRPr="00EE0E89">
        <w:rPr>
          <w:rFonts w:ascii="Times New Roman" w:hAnsi="Times New Roman" w:cs="Times New Roman"/>
          <w:sz w:val="24"/>
        </w:rPr>
        <w:t>Bahrain’s</w:t>
      </w:r>
      <w:r w:rsidRPr="00EE0E89">
        <w:rPr>
          <w:rFonts w:ascii="Times New Roman" w:hAnsi="Times New Roman" w:cs="Times New Roman"/>
          <w:sz w:val="24"/>
        </w:rPr>
        <w:t xml:space="preserve"> </w:t>
      </w:r>
      <w:r w:rsidR="00BE6F24" w:rsidRPr="00EE0E89">
        <w:rPr>
          <w:rFonts w:ascii="Times New Roman" w:hAnsi="Times New Roman" w:cs="Times New Roman"/>
          <w:sz w:val="24"/>
        </w:rPr>
        <w:t>total population</w:t>
      </w:r>
      <w:r w:rsidR="00144D76" w:rsidRPr="00EE0E89">
        <w:rPr>
          <w:rFonts w:ascii="Times New Roman" w:hAnsi="Times New Roman" w:cs="Times New Roman"/>
          <w:sz w:val="24"/>
        </w:rPr>
        <w:t xml:space="preserve"> </w:t>
      </w:r>
      <w:proofErr w:type="gramStart"/>
      <w:r w:rsidR="0023368D" w:rsidRPr="00EE0E89">
        <w:rPr>
          <w:rFonts w:ascii="Times New Roman" w:hAnsi="Times New Roman" w:cs="Times New Roman"/>
          <w:sz w:val="24"/>
        </w:rPr>
        <w:t>w</w:t>
      </w:r>
      <w:r w:rsidR="005762E6" w:rsidRPr="00EE0E89">
        <w:rPr>
          <w:rFonts w:ascii="Times New Roman" w:hAnsi="Times New Roman" w:cs="Times New Roman"/>
          <w:sz w:val="24"/>
        </w:rPr>
        <w:t>as</w:t>
      </w:r>
      <w:proofErr w:type="gramEnd"/>
      <w:r w:rsidR="00144D76" w:rsidRPr="00EE0E89">
        <w:rPr>
          <w:rFonts w:ascii="Times New Roman" w:hAnsi="Times New Roman" w:cs="Times New Roman"/>
          <w:sz w:val="24"/>
        </w:rPr>
        <w:t xml:space="preserve"> 1,</w:t>
      </w:r>
      <w:r w:rsidR="00710E58" w:rsidRPr="00EE0E89">
        <w:rPr>
          <w:rFonts w:ascii="Times New Roman" w:hAnsi="Times New Roman" w:cs="Times New Roman"/>
          <w:sz w:val="24"/>
        </w:rPr>
        <w:t>501</w:t>
      </w:r>
      <w:r w:rsidR="00144D76" w:rsidRPr="00EE0E89">
        <w:rPr>
          <w:rFonts w:ascii="Times New Roman" w:hAnsi="Times New Roman" w:cs="Times New Roman"/>
          <w:sz w:val="24"/>
        </w:rPr>
        <w:t>,</w:t>
      </w:r>
      <w:r w:rsidR="00710E58" w:rsidRPr="00EE0E89">
        <w:rPr>
          <w:rFonts w:ascii="Times New Roman" w:hAnsi="Times New Roman" w:cs="Times New Roman"/>
          <w:sz w:val="24"/>
        </w:rPr>
        <w:t>116 in 2017</w:t>
      </w:r>
      <w:r w:rsidR="00144D76" w:rsidRPr="00EE0E89">
        <w:rPr>
          <w:rFonts w:ascii="Times New Roman" w:hAnsi="Times New Roman" w:cs="Times New Roman"/>
          <w:sz w:val="24"/>
        </w:rPr>
        <w:t>. The number of expatriate</w:t>
      </w:r>
      <w:r w:rsidR="00074F5E" w:rsidRPr="00EE0E89">
        <w:rPr>
          <w:rFonts w:ascii="Times New Roman" w:hAnsi="Times New Roman" w:cs="Times New Roman"/>
          <w:sz w:val="24"/>
        </w:rPr>
        <w:t>s</w:t>
      </w:r>
      <w:r w:rsidR="00144D76" w:rsidRPr="00EE0E89">
        <w:rPr>
          <w:rFonts w:ascii="Times New Roman" w:hAnsi="Times New Roman" w:cs="Times New Roman"/>
          <w:sz w:val="24"/>
        </w:rPr>
        <w:t xml:space="preserve"> stood at </w:t>
      </w:r>
      <w:r w:rsidR="00710E58" w:rsidRPr="00EE0E89">
        <w:rPr>
          <w:rFonts w:ascii="Times New Roman" w:hAnsi="Times New Roman" w:cs="Times New Roman"/>
          <w:sz w:val="24"/>
        </w:rPr>
        <w:t>823,610</w:t>
      </w:r>
      <w:r w:rsidR="00B1341A" w:rsidRPr="00EE0E89">
        <w:rPr>
          <w:rFonts w:ascii="Times New Roman" w:hAnsi="Times New Roman" w:cs="Times New Roman"/>
          <w:sz w:val="24"/>
        </w:rPr>
        <w:t>;</w:t>
      </w:r>
      <w:r w:rsidR="00144D76" w:rsidRPr="00EE0E89">
        <w:rPr>
          <w:rFonts w:ascii="Times New Roman" w:hAnsi="Times New Roman" w:cs="Times New Roman"/>
          <w:sz w:val="24"/>
        </w:rPr>
        <w:t xml:space="preserve"> representing 5</w:t>
      </w:r>
      <w:r w:rsidR="00710E58" w:rsidRPr="00EE0E89">
        <w:rPr>
          <w:rFonts w:ascii="Times New Roman" w:hAnsi="Times New Roman" w:cs="Times New Roman"/>
          <w:sz w:val="24"/>
        </w:rPr>
        <w:t>5</w:t>
      </w:r>
      <w:r w:rsidR="00144D76" w:rsidRPr="00EE0E89">
        <w:rPr>
          <w:rFonts w:ascii="Times New Roman" w:hAnsi="Times New Roman" w:cs="Times New Roman"/>
          <w:sz w:val="24"/>
        </w:rPr>
        <w:t>% of the total population</w:t>
      </w:r>
      <w:r w:rsidR="00C6393C" w:rsidRPr="00EE0E89">
        <w:rPr>
          <w:rFonts w:ascii="Times New Roman" w:hAnsi="Times New Roman" w:cs="Times New Roman"/>
          <w:sz w:val="24"/>
        </w:rPr>
        <w:t xml:space="preserve"> (GRC, 2018)</w:t>
      </w:r>
      <w:r w:rsidR="00144D76" w:rsidRPr="00EE0E89">
        <w:rPr>
          <w:rFonts w:ascii="Times New Roman" w:hAnsi="Times New Roman" w:cs="Times New Roman"/>
          <w:sz w:val="24"/>
        </w:rPr>
        <w:t>.</w:t>
      </w:r>
      <w:r w:rsidR="00D74986" w:rsidRPr="00EE0E89">
        <w:rPr>
          <w:rFonts w:ascii="Times New Roman" w:hAnsi="Times New Roman" w:cs="Times New Roman"/>
          <w:sz w:val="24"/>
        </w:rPr>
        <w:t xml:space="preserve"> The total workforce in </w:t>
      </w:r>
      <w:r w:rsidR="00074F5E" w:rsidRPr="00EE0E89">
        <w:rPr>
          <w:rFonts w:ascii="Times New Roman" w:hAnsi="Times New Roman" w:cs="Times New Roman"/>
          <w:sz w:val="24"/>
        </w:rPr>
        <w:t xml:space="preserve">the </w:t>
      </w:r>
      <w:r w:rsidR="00D74986" w:rsidRPr="00EE0E89">
        <w:rPr>
          <w:rFonts w:ascii="Times New Roman" w:hAnsi="Times New Roman" w:cs="Times New Roman"/>
          <w:sz w:val="24"/>
        </w:rPr>
        <w:t xml:space="preserve">construction industry </w:t>
      </w:r>
      <w:r w:rsidR="0023368D" w:rsidRPr="00EE0E89">
        <w:rPr>
          <w:rFonts w:ascii="Times New Roman" w:hAnsi="Times New Roman" w:cs="Times New Roman"/>
          <w:sz w:val="24"/>
        </w:rPr>
        <w:t>in 2018 was</w:t>
      </w:r>
      <w:r w:rsidR="00D74986" w:rsidRPr="00EE0E89">
        <w:rPr>
          <w:rFonts w:ascii="Times New Roman" w:hAnsi="Times New Roman" w:cs="Times New Roman"/>
          <w:sz w:val="24"/>
        </w:rPr>
        <w:t xml:space="preserve"> 174,912 representing 12% of the total population of Bahrain (</w:t>
      </w:r>
      <w:r w:rsidR="007E179D" w:rsidRPr="00EE0E89">
        <w:rPr>
          <w:rFonts w:ascii="Times New Roman" w:hAnsi="Times New Roman" w:cs="Times New Roman"/>
          <w:sz w:val="24"/>
        </w:rPr>
        <w:t>LMRA, 2018)</w:t>
      </w:r>
      <w:r w:rsidR="00D74986" w:rsidRPr="00EE0E89">
        <w:rPr>
          <w:rFonts w:ascii="Times New Roman" w:hAnsi="Times New Roman" w:cs="Times New Roman"/>
          <w:sz w:val="24"/>
        </w:rPr>
        <w:t>.</w:t>
      </w:r>
      <w:r w:rsidR="00A36410" w:rsidRPr="00EE0E89">
        <w:rPr>
          <w:rFonts w:ascii="Times New Roman" w:hAnsi="Times New Roman" w:cs="Times New Roman"/>
          <w:sz w:val="24"/>
        </w:rPr>
        <w:t xml:space="preserve"> The number of Bahraini national</w:t>
      </w:r>
      <w:r w:rsidR="00BC7A0A" w:rsidRPr="00EE0E89">
        <w:rPr>
          <w:rFonts w:ascii="Times New Roman" w:hAnsi="Times New Roman" w:cs="Times New Roman"/>
          <w:sz w:val="24"/>
        </w:rPr>
        <w:t>s</w:t>
      </w:r>
      <w:r w:rsidR="00A36410" w:rsidRPr="00EE0E89">
        <w:rPr>
          <w:rFonts w:ascii="Times New Roman" w:hAnsi="Times New Roman" w:cs="Times New Roman"/>
          <w:sz w:val="24"/>
        </w:rPr>
        <w:t xml:space="preserve"> employed </w:t>
      </w:r>
      <w:r w:rsidR="00BC7A0A" w:rsidRPr="00EE0E89">
        <w:rPr>
          <w:rFonts w:ascii="Times New Roman" w:hAnsi="Times New Roman" w:cs="Times New Roman"/>
          <w:sz w:val="24"/>
        </w:rPr>
        <w:t>by the</w:t>
      </w:r>
      <w:r w:rsidR="00A36410" w:rsidRPr="00EE0E89">
        <w:rPr>
          <w:rFonts w:ascii="Times New Roman" w:hAnsi="Times New Roman" w:cs="Times New Roman"/>
          <w:sz w:val="24"/>
        </w:rPr>
        <w:t xml:space="preserve"> construction sector </w:t>
      </w:r>
      <w:r w:rsidR="0023368D" w:rsidRPr="00EE0E89">
        <w:rPr>
          <w:rFonts w:ascii="Times New Roman" w:hAnsi="Times New Roman" w:cs="Times New Roman"/>
          <w:sz w:val="24"/>
        </w:rPr>
        <w:t>was</w:t>
      </w:r>
      <w:r w:rsidR="006D0F95" w:rsidRPr="00EE0E89">
        <w:rPr>
          <w:rFonts w:ascii="Times New Roman" w:hAnsi="Times New Roman" w:cs="Times New Roman"/>
          <w:sz w:val="24"/>
        </w:rPr>
        <w:t xml:space="preserve"> </w:t>
      </w:r>
      <w:r w:rsidR="0023368D" w:rsidRPr="00EE0E89">
        <w:rPr>
          <w:rFonts w:ascii="Times New Roman" w:hAnsi="Times New Roman" w:cs="Times New Roman"/>
          <w:sz w:val="24"/>
        </w:rPr>
        <w:t>12,235</w:t>
      </w:r>
      <w:r w:rsidR="00B1341A" w:rsidRPr="00EE0E89">
        <w:rPr>
          <w:rFonts w:ascii="Times New Roman" w:hAnsi="Times New Roman" w:cs="Times New Roman"/>
          <w:sz w:val="24"/>
        </w:rPr>
        <w:t>;</w:t>
      </w:r>
      <w:r w:rsidR="0023368D" w:rsidRPr="00EE0E89">
        <w:rPr>
          <w:rFonts w:ascii="Times New Roman" w:hAnsi="Times New Roman" w:cs="Times New Roman"/>
          <w:sz w:val="24"/>
        </w:rPr>
        <w:t xml:space="preserve"> representing </w:t>
      </w:r>
      <w:r w:rsidR="00A36410" w:rsidRPr="00EE0E89">
        <w:rPr>
          <w:rFonts w:ascii="Times New Roman" w:hAnsi="Times New Roman" w:cs="Times New Roman"/>
          <w:sz w:val="24"/>
        </w:rPr>
        <w:t>8% of the total construction workforce (174,912)</w:t>
      </w:r>
      <w:r w:rsidR="007F7CA2" w:rsidRPr="00EE0E89">
        <w:rPr>
          <w:rFonts w:ascii="Times New Roman" w:hAnsi="Times New Roman" w:cs="Times New Roman"/>
          <w:sz w:val="24"/>
        </w:rPr>
        <w:t xml:space="preserve"> as shown in figure 7</w:t>
      </w:r>
      <w:r w:rsidR="00A36410" w:rsidRPr="00EE0E89">
        <w:rPr>
          <w:rFonts w:ascii="Times New Roman" w:hAnsi="Times New Roman" w:cs="Times New Roman"/>
          <w:sz w:val="24"/>
        </w:rPr>
        <w:t>.</w:t>
      </w:r>
      <w:r w:rsidR="001D4245" w:rsidRPr="00EE0E89">
        <w:rPr>
          <w:rFonts w:ascii="Times New Roman" w:hAnsi="Times New Roman" w:cs="Times New Roman"/>
          <w:sz w:val="24"/>
        </w:rPr>
        <w:t xml:space="preserve"> </w:t>
      </w:r>
      <w:r w:rsidR="0023368D" w:rsidRPr="00EE0E89">
        <w:rPr>
          <w:rFonts w:ascii="Times New Roman" w:hAnsi="Times New Roman" w:cs="Times New Roman"/>
          <w:sz w:val="24"/>
        </w:rPr>
        <w:t>In terms of employment, b</w:t>
      </w:r>
      <w:r w:rsidR="001D4245" w:rsidRPr="00EE0E89">
        <w:rPr>
          <w:rFonts w:ascii="Times New Roman" w:hAnsi="Times New Roman" w:cs="Times New Roman"/>
          <w:sz w:val="24"/>
        </w:rPr>
        <w:t xml:space="preserve">oth the Omani and Bahraini construction industries employed more </w:t>
      </w:r>
      <w:r w:rsidR="00B1341A" w:rsidRPr="00EE0E89">
        <w:rPr>
          <w:rFonts w:ascii="Times New Roman" w:hAnsi="Times New Roman" w:cs="Times New Roman"/>
          <w:sz w:val="24"/>
        </w:rPr>
        <w:t>workers</w:t>
      </w:r>
      <w:r w:rsidR="001D4245" w:rsidRPr="00EE0E89">
        <w:rPr>
          <w:rFonts w:ascii="Times New Roman" w:hAnsi="Times New Roman" w:cs="Times New Roman"/>
          <w:sz w:val="24"/>
        </w:rPr>
        <w:t xml:space="preserve"> as compared to the UK construction industry. More</w:t>
      </w:r>
      <w:r w:rsidR="0025010C" w:rsidRPr="00EE0E89">
        <w:rPr>
          <w:rFonts w:ascii="Times New Roman" w:hAnsi="Times New Roman" w:cs="Times New Roman"/>
          <w:sz w:val="24"/>
        </w:rPr>
        <w:t>over</w:t>
      </w:r>
      <w:r w:rsidR="0023368D" w:rsidRPr="00EE0E89">
        <w:rPr>
          <w:rFonts w:ascii="Times New Roman" w:hAnsi="Times New Roman" w:cs="Times New Roman"/>
          <w:sz w:val="24"/>
        </w:rPr>
        <w:t>,</w:t>
      </w:r>
      <w:r w:rsidR="001D4245" w:rsidRPr="00EE0E89">
        <w:rPr>
          <w:rFonts w:ascii="Times New Roman" w:hAnsi="Times New Roman" w:cs="Times New Roman"/>
          <w:sz w:val="24"/>
        </w:rPr>
        <w:t xml:space="preserve"> the employment ratio in the Omani construction industry is 4 times </w:t>
      </w:r>
      <w:r w:rsidR="0025010C" w:rsidRPr="00EE0E89">
        <w:rPr>
          <w:rFonts w:ascii="Times New Roman" w:hAnsi="Times New Roman" w:cs="Times New Roman"/>
          <w:sz w:val="24"/>
        </w:rPr>
        <w:t>higher</w:t>
      </w:r>
      <w:r w:rsidR="001D4245" w:rsidRPr="00EE0E89">
        <w:rPr>
          <w:rFonts w:ascii="Times New Roman" w:hAnsi="Times New Roman" w:cs="Times New Roman"/>
          <w:sz w:val="24"/>
        </w:rPr>
        <w:t xml:space="preserve"> than t</w:t>
      </w:r>
      <w:r w:rsidR="0025010C" w:rsidRPr="00EE0E89">
        <w:rPr>
          <w:rFonts w:ascii="Times New Roman" w:hAnsi="Times New Roman" w:cs="Times New Roman"/>
          <w:sz w:val="24"/>
        </w:rPr>
        <w:t xml:space="preserve">hat of </w:t>
      </w:r>
      <w:r w:rsidR="00D102EB" w:rsidRPr="00EE0E89">
        <w:rPr>
          <w:rFonts w:ascii="Times New Roman" w:hAnsi="Times New Roman" w:cs="Times New Roman"/>
          <w:sz w:val="24"/>
        </w:rPr>
        <w:t xml:space="preserve">the </w:t>
      </w:r>
      <w:r w:rsidR="0025010C" w:rsidRPr="00EE0E89">
        <w:rPr>
          <w:rFonts w:ascii="Times New Roman" w:hAnsi="Times New Roman" w:cs="Times New Roman"/>
          <w:sz w:val="24"/>
        </w:rPr>
        <w:t>UK</w:t>
      </w:r>
      <w:r w:rsidR="001D4245" w:rsidRPr="00EE0E89">
        <w:rPr>
          <w:rFonts w:ascii="Times New Roman" w:hAnsi="Times New Roman" w:cs="Times New Roman"/>
          <w:sz w:val="24"/>
        </w:rPr>
        <w:t xml:space="preserve"> industry. </w:t>
      </w:r>
    </w:p>
    <w:p w14:paraId="0D8B74E3" w14:textId="7242F1B0" w:rsidR="0069564A" w:rsidRDefault="0069564A" w:rsidP="005B1720">
      <w:pPr>
        <w:spacing w:line="360" w:lineRule="auto"/>
        <w:jc w:val="center"/>
        <w:rPr>
          <w:rFonts w:ascii="Times New Roman" w:hAnsi="Times New Roman" w:cs="Times New Roman"/>
          <w:b/>
          <w:sz w:val="24"/>
        </w:rPr>
      </w:pPr>
      <w:r>
        <w:rPr>
          <w:noProof/>
        </w:rPr>
        <w:lastRenderedPageBreak/>
        <w:drawing>
          <wp:inline distT="0" distB="0" distL="0" distR="0" wp14:anchorId="0D3EEF17" wp14:editId="083F94E4">
            <wp:extent cx="5943600" cy="3493135"/>
            <wp:effectExtent l="0" t="0" r="1905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E6EDE9" w14:textId="39F8E575" w:rsidR="003B4498" w:rsidRPr="00EE0E89" w:rsidRDefault="00797D92" w:rsidP="005B1720">
      <w:pPr>
        <w:spacing w:line="360" w:lineRule="auto"/>
        <w:jc w:val="center"/>
        <w:rPr>
          <w:rFonts w:ascii="Times New Roman" w:hAnsi="Times New Roman" w:cs="Times New Roman"/>
          <w:b/>
          <w:sz w:val="24"/>
        </w:rPr>
      </w:pPr>
      <w:r w:rsidRPr="00EE0E89">
        <w:rPr>
          <w:rFonts w:ascii="Times New Roman" w:hAnsi="Times New Roman" w:cs="Times New Roman"/>
          <w:b/>
          <w:sz w:val="24"/>
        </w:rPr>
        <w:t>Figure 7</w:t>
      </w:r>
      <w:r w:rsidR="005B1720" w:rsidRPr="00EE0E89">
        <w:rPr>
          <w:rFonts w:ascii="Times New Roman" w:hAnsi="Times New Roman" w:cs="Times New Roman"/>
          <w:b/>
          <w:sz w:val="24"/>
        </w:rPr>
        <w:t xml:space="preserve">: Employment in Different Sectors </w:t>
      </w:r>
      <w:r w:rsidR="00340191" w:rsidRPr="00EE0E89">
        <w:rPr>
          <w:rFonts w:ascii="Times New Roman" w:hAnsi="Times New Roman" w:cs="Times New Roman"/>
          <w:b/>
          <w:sz w:val="24"/>
        </w:rPr>
        <w:t xml:space="preserve">in </w:t>
      </w:r>
      <w:r w:rsidR="005B1720" w:rsidRPr="00EE0E89">
        <w:rPr>
          <w:rFonts w:ascii="Times New Roman" w:hAnsi="Times New Roman" w:cs="Times New Roman"/>
          <w:b/>
          <w:sz w:val="24"/>
        </w:rPr>
        <w:t>Bahrain</w:t>
      </w:r>
      <w:r w:rsidR="005B1720" w:rsidRPr="00EE0E89">
        <w:rPr>
          <w:b/>
        </w:rPr>
        <w:t xml:space="preserve"> </w:t>
      </w:r>
      <w:r w:rsidR="005B1720" w:rsidRPr="00EE0E89">
        <w:rPr>
          <w:rFonts w:ascii="Times New Roman" w:hAnsi="Times New Roman" w:cs="Times New Roman"/>
          <w:b/>
          <w:sz w:val="24"/>
        </w:rPr>
        <w:t>(LMRA, 2018)</w:t>
      </w:r>
    </w:p>
    <w:p w14:paraId="1AF54577" w14:textId="7DE1206F" w:rsidR="00D34ABD" w:rsidRPr="00EE0E89" w:rsidRDefault="00D34ABD" w:rsidP="00B2123A">
      <w:pPr>
        <w:spacing w:line="360" w:lineRule="auto"/>
        <w:jc w:val="both"/>
        <w:rPr>
          <w:rFonts w:ascii="Times New Roman" w:hAnsi="Times New Roman" w:cs="Times New Roman"/>
          <w:sz w:val="24"/>
        </w:rPr>
      </w:pPr>
      <w:r w:rsidRPr="00EE0E89">
        <w:rPr>
          <w:rFonts w:ascii="Times New Roman" w:hAnsi="Times New Roman" w:cs="Times New Roman"/>
          <w:sz w:val="24"/>
        </w:rPr>
        <w:t xml:space="preserve">The next section aims to provide an overview of the safety and health situation in the construction industry. </w:t>
      </w:r>
    </w:p>
    <w:p w14:paraId="6DB3390D" w14:textId="2B0AD658" w:rsidR="00C469A5" w:rsidRPr="00EE0E89" w:rsidRDefault="00C250DD" w:rsidP="00C250DD">
      <w:pPr>
        <w:pStyle w:val="Heading2"/>
      </w:pPr>
      <w:r w:rsidRPr="00EE0E89">
        <w:t>3.</w:t>
      </w:r>
      <w:r w:rsidR="006B775B" w:rsidRPr="00EE0E89">
        <w:t xml:space="preserve">2. </w:t>
      </w:r>
      <w:r w:rsidR="00C469A5" w:rsidRPr="00EE0E89">
        <w:t xml:space="preserve">Construction Safety and Health: </w:t>
      </w:r>
    </w:p>
    <w:p w14:paraId="6B11FFAC" w14:textId="344C611C" w:rsidR="0069564A" w:rsidRDefault="006234DB" w:rsidP="000D5B6F">
      <w:pPr>
        <w:spacing w:line="360" w:lineRule="auto"/>
        <w:jc w:val="both"/>
        <w:rPr>
          <w:rFonts w:ascii="Times New Roman" w:hAnsi="Times New Roman" w:cs="Times New Roman"/>
          <w:sz w:val="24"/>
        </w:rPr>
      </w:pPr>
      <w:r w:rsidRPr="00EE0E89">
        <w:rPr>
          <w:rFonts w:ascii="Times New Roman" w:hAnsi="Times New Roman" w:cs="Times New Roman"/>
          <w:sz w:val="24"/>
        </w:rPr>
        <w:t xml:space="preserve">The International </w:t>
      </w:r>
      <w:proofErr w:type="spellStart"/>
      <w:r w:rsidRPr="00EE0E89">
        <w:rPr>
          <w:rFonts w:ascii="Times New Roman" w:hAnsi="Times New Roman" w:cs="Times New Roman"/>
          <w:sz w:val="24"/>
        </w:rPr>
        <w:t>Labour</w:t>
      </w:r>
      <w:proofErr w:type="spellEnd"/>
      <w:r w:rsidRPr="00EE0E89">
        <w:rPr>
          <w:rFonts w:ascii="Times New Roman" w:hAnsi="Times New Roman" w:cs="Times New Roman"/>
          <w:sz w:val="24"/>
        </w:rPr>
        <w:t xml:space="preserve"> Organization (ILO) statistics show that approximately 2.78 million people die every year due </w:t>
      </w:r>
      <w:r w:rsidR="00A9453C" w:rsidRPr="00EE0E89">
        <w:rPr>
          <w:rFonts w:ascii="Times New Roman" w:hAnsi="Times New Roman" w:cs="Times New Roman"/>
          <w:sz w:val="24"/>
        </w:rPr>
        <w:t xml:space="preserve">to </w:t>
      </w:r>
      <w:r w:rsidRPr="00EE0E89">
        <w:rPr>
          <w:rFonts w:ascii="Times New Roman" w:hAnsi="Times New Roman" w:cs="Times New Roman"/>
          <w:sz w:val="24"/>
        </w:rPr>
        <w:t>work</w:t>
      </w:r>
      <w:r w:rsidR="00436A27" w:rsidRPr="00EE0E89">
        <w:rPr>
          <w:rFonts w:ascii="Times New Roman" w:hAnsi="Times New Roman" w:cs="Times New Roman"/>
          <w:sz w:val="24"/>
        </w:rPr>
        <w:t>-</w:t>
      </w:r>
      <w:r w:rsidRPr="00EE0E89">
        <w:rPr>
          <w:rFonts w:ascii="Times New Roman" w:hAnsi="Times New Roman" w:cs="Times New Roman"/>
          <w:sz w:val="24"/>
        </w:rPr>
        <w:t>related accidents and diseases.</w:t>
      </w:r>
      <w:r w:rsidR="000B3AFB" w:rsidRPr="00EE0E89">
        <w:rPr>
          <w:rFonts w:ascii="Times New Roman" w:hAnsi="Times New Roman" w:cs="Times New Roman"/>
          <w:sz w:val="24"/>
        </w:rPr>
        <w:t xml:space="preserve"> This translates </w:t>
      </w:r>
      <w:r w:rsidR="00A9453C" w:rsidRPr="00EE0E89">
        <w:rPr>
          <w:rFonts w:ascii="Times New Roman" w:hAnsi="Times New Roman" w:cs="Times New Roman"/>
          <w:sz w:val="24"/>
        </w:rPr>
        <w:t>in</w:t>
      </w:r>
      <w:r w:rsidR="000B3AFB" w:rsidRPr="00EE0E89">
        <w:rPr>
          <w:rFonts w:ascii="Times New Roman" w:hAnsi="Times New Roman" w:cs="Times New Roman"/>
          <w:sz w:val="24"/>
        </w:rPr>
        <w:t>to 7</w:t>
      </w:r>
      <w:r w:rsidR="00A9453C" w:rsidRPr="00EE0E89">
        <w:rPr>
          <w:rFonts w:ascii="Times New Roman" w:hAnsi="Times New Roman" w:cs="Times New Roman"/>
          <w:sz w:val="24"/>
        </w:rPr>
        <w:t>,</w:t>
      </w:r>
      <w:r w:rsidR="000B3AFB" w:rsidRPr="00EE0E89">
        <w:rPr>
          <w:rFonts w:ascii="Times New Roman" w:hAnsi="Times New Roman" w:cs="Times New Roman"/>
          <w:sz w:val="24"/>
        </w:rPr>
        <w:t>616 deaths every day</w:t>
      </w:r>
      <w:r w:rsidR="001C1E95" w:rsidRPr="00EE0E89">
        <w:rPr>
          <w:rFonts w:ascii="Times New Roman" w:hAnsi="Times New Roman" w:cs="Times New Roman"/>
          <w:sz w:val="24"/>
        </w:rPr>
        <w:t xml:space="preserve"> worldwide</w:t>
      </w:r>
      <w:r w:rsidR="000B3AFB" w:rsidRPr="00EE0E89">
        <w:rPr>
          <w:rFonts w:ascii="Times New Roman" w:hAnsi="Times New Roman" w:cs="Times New Roman"/>
          <w:sz w:val="24"/>
        </w:rPr>
        <w:t>.</w:t>
      </w:r>
      <w:r w:rsidRPr="00EE0E89">
        <w:rPr>
          <w:rFonts w:ascii="Times New Roman" w:hAnsi="Times New Roman" w:cs="Times New Roman"/>
          <w:sz w:val="24"/>
        </w:rPr>
        <w:t xml:space="preserve"> </w:t>
      </w:r>
      <w:r w:rsidR="00096382" w:rsidRPr="00EE0E89">
        <w:rPr>
          <w:rFonts w:ascii="Times New Roman" w:hAnsi="Times New Roman" w:cs="Times New Roman"/>
          <w:sz w:val="24"/>
        </w:rPr>
        <w:t>The number of injuries and sickness stand</w:t>
      </w:r>
      <w:r w:rsidR="005762E6" w:rsidRPr="00EE0E89">
        <w:rPr>
          <w:rFonts w:ascii="Times New Roman" w:hAnsi="Times New Roman" w:cs="Times New Roman"/>
          <w:sz w:val="24"/>
        </w:rPr>
        <w:t>s</w:t>
      </w:r>
      <w:r w:rsidR="00096382" w:rsidRPr="00EE0E89">
        <w:rPr>
          <w:rFonts w:ascii="Times New Roman" w:hAnsi="Times New Roman" w:cs="Times New Roman"/>
          <w:sz w:val="24"/>
        </w:rPr>
        <w:t xml:space="preserve"> at 374 million per year, which contributes towards individual </w:t>
      </w:r>
      <w:r w:rsidR="00A9453C" w:rsidRPr="00EE0E89">
        <w:rPr>
          <w:rFonts w:ascii="Times New Roman" w:hAnsi="Times New Roman" w:cs="Times New Roman"/>
          <w:sz w:val="24"/>
        </w:rPr>
        <w:t>absenteeism</w:t>
      </w:r>
      <w:r w:rsidR="00096382" w:rsidRPr="00EE0E89">
        <w:rPr>
          <w:rFonts w:ascii="Times New Roman" w:hAnsi="Times New Roman" w:cs="Times New Roman"/>
          <w:sz w:val="24"/>
        </w:rPr>
        <w:t xml:space="preserve"> from work for</w:t>
      </w:r>
      <w:r w:rsidR="001C1E95" w:rsidRPr="00EE0E89">
        <w:rPr>
          <w:rFonts w:ascii="Times New Roman" w:hAnsi="Times New Roman" w:cs="Times New Roman"/>
          <w:sz w:val="24"/>
        </w:rPr>
        <w:t xml:space="preserve"> so</w:t>
      </w:r>
      <w:r w:rsidR="00096382" w:rsidRPr="00EE0E89">
        <w:rPr>
          <w:rFonts w:ascii="Times New Roman" w:hAnsi="Times New Roman" w:cs="Times New Roman"/>
          <w:sz w:val="24"/>
        </w:rPr>
        <w:t xml:space="preserve"> many days. </w:t>
      </w:r>
      <w:r w:rsidRPr="00EE0E89">
        <w:rPr>
          <w:rFonts w:ascii="Times New Roman" w:hAnsi="Times New Roman" w:cs="Times New Roman"/>
          <w:sz w:val="24"/>
        </w:rPr>
        <w:t>Although the</w:t>
      </w:r>
      <w:r w:rsidR="001C1E95" w:rsidRPr="00EE0E89">
        <w:rPr>
          <w:rFonts w:ascii="Times New Roman" w:hAnsi="Times New Roman" w:cs="Times New Roman"/>
          <w:sz w:val="24"/>
        </w:rPr>
        <w:t xml:space="preserve"> </w:t>
      </w:r>
      <w:r w:rsidRPr="00EE0E89">
        <w:rPr>
          <w:rFonts w:ascii="Times New Roman" w:hAnsi="Times New Roman" w:cs="Times New Roman"/>
          <w:sz w:val="24"/>
        </w:rPr>
        <w:t>human life is priceless</w:t>
      </w:r>
      <w:r w:rsidR="00A9453C" w:rsidRPr="00EE0E89">
        <w:rPr>
          <w:rFonts w:ascii="Times New Roman" w:hAnsi="Times New Roman" w:cs="Times New Roman"/>
          <w:sz w:val="24"/>
        </w:rPr>
        <w:t>,</w:t>
      </w:r>
      <w:r w:rsidRPr="00EE0E89">
        <w:rPr>
          <w:rFonts w:ascii="Times New Roman" w:hAnsi="Times New Roman" w:cs="Times New Roman"/>
          <w:sz w:val="24"/>
        </w:rPr>
        <w:t xml:space="preserve"> and cannot be translated into money, </w:t>
      </w:r>
      <w:r w:rsidR="00A9453C" w:rsidRPr="00EE0E89">
        <w:rPr>
          <w:rFonts w:ascii="Times New Roman" w:hAnsi="Times New Roman" w:cs="Times New Roman"/>
          <w:sz w:val="24"/>
        </w:rPr>
        <w:t>the</w:t>
      </w:r>
      <w:r w:rsidRPr="00EE0E89">
        <w:rPr>
          <w:rFonts w:ascii="Times New Roman" w:hAnsi="Times New Roman" w:cs="Times New Roman"/>
          <w:sz w:val="24"/>
        </w:rPr>
        <w:t xml:space="preserve"> ILO </w:t>
      </w:r>
      <w:r w:rsidR="00A9453C" w:rsidRPr="00EE0E89">
        <w:rPr>
          <w:rFonts w:ascii="Times New Roman" w:hAnsi="Times New Roman" w:cs="Times New Roman"/>
          <w:sz w:val="24"/>
        </w:rPr>
        <w:t>estimates</w:t>
      </w:r>
      <w:r w:rsidRPr="00EE0E89">
        <w:rPr>
          <w:rFonts w:ascii="Times New Roman" w:hAnsi="Times New Roman" w:cs="Times New Roman"/>
          <w:sz w:val="24"/>
        </w:rPr>
        <w:t xml:space="preserve"> the annual economic cost of the poor occupational and health practice </w:t>
      </w:r>
      <w:r w:rsidR="006B5460" w:rsidRPr="00EE0E89">
        <w:rPr>
          <w:rFonts w:ascii="Times New Roman" w:hAnsi="Times New Roman" w:cs="Times New Roman"/>
          <w:sz w:val="24"/>
        </w:rPr>
        <w:t>to be</w:t>
      </w:r>
      <w:r w:rsidRPr="00EE0E89">
        <w:rPr>
          <w:rFonts w:ascii="Times New Roman" w:hAnsi="Times New Roman" w:cs="Times New Roman"/>
          <w:sz w:val="24"/>
        </w:rPr>
        <w:t xml:space="preserve"> 3.94%</w:t>
      </w:r>
      <w:r w:rsidR="00096382" w:rsidRPr="00EE0E89">
        <w:rPr>
          <w:rFonts w:ascii="Times New Roman" w:hAnsi="Times New Roman" w:cs="Times New Roman"/>
          <w:sz w:val="24"/>
        </w:rPr>
        <w:t xml:space="preserve"> per year </w:t>
      </w:r>
      <w:r w:rsidRPr="00EE0E89">
        <w:rPr>
          <w:rFonts w:ascii="Times New Roman" w:hAnsi="Times New Roman" w:cs="Times New Roman"/>
          <w:sz w:val="24"/>
        </w:rPr>
        <w:t>of the</w:t>
      </w:r>
      <w:r w:rsidR="00096382" w:rsidRPr="00EE0E89">
        <w:rPr>
          <w:rFonts w:ascii="Times New Roman" w:hAnsi="Times New Roman" w:cs="Times New Roman"/>
          <w:sz w:val="24"/>
        </w:rPr>
        <w:t xml:space="preserve"> GDP (ILO, 2018).</w:t>
      </w:r>
      <w:r w:rsidR="003E4AAF" w:rsidRPr="00EE0E89">
        <w:rPr>
          <w:rFonts w:ascii="Times New Roman" w:hAnsi="Times New Roman" w:cs="Times New Roman"/>
          <w:sz w:val="24"/>
        </w:rPr>
        <w:t xml:space="preserve"> </w:t>
      </w:r>
      <w:r w:rsidR="00A10EAF" w:rsidRPr="00EE0E89">
        <w:rPr>
          <w:rFonts w:ascii="Times New Roman" w:hAnsi="Times New Roman" w:cs="Times New Roman"/>
          <w:sz w:val="24"/>
        </w:rPr>
        <w:t xml:space="preserve">Statistics published by the Safe Work Australia </w:t>
      </w:r>
      <w:r w:rsidR="00C94A42" w:rsidRPr="00EE0E89">
        <w:rPr>
          <w:rFonts w:ascii="Times New Roman" w:hAnsi="Times New Roman" w:cs="Times New Roman"/>
          <w:sz w:val="24"/>
        </w:rPr>
        <w:t>show that</w:t>
      </w:r>
      <w:r w:rsidR="00A10EAF" w:rsidRPr="00EE0E89">
        <w:rPr>
          <w:rFonts w:ascii="Times New Roman" w:hAnsi="Times New Roman" w:cs="Times New Roman"/>
          <w:sz w:val="24"/>
        </w:rPr>
        <w:t xml:space="preserve"> in 2012 </w:t>
      </w:r>
      <w:r w:rsidR="00A9453C" w:rsidRPr="00EE0E89">
        <w:rPr>
          <w:rFonts w:ascii="Times New Roman" w:hAnsi="Times New Roman" w:cs="Times New Roman"/>
          <w:sz w:val="24"/>
        </w:rPr>
        <w:t>and</w:t>
      </w:r>
      <w:r w:rsidR="00A10EAF" w:rsidRPr="00EE0E89">
        <w:rPr>
          <w:rFonts w:ascii="Times New Roman" w:hAnsi="Times New Roman" w:cs="Times New Roman"/>
          <w:sz w:val="24"/>
        </w:rPr>
        <w:t xml:space="preserve"> 2013, work-related injury and disease cost the Australian economy a total of </w:t>
      </w:r>
      <w:r w:rsidR="00C94A42" w:rsidRPr="00EE0E89">
        <w:rPr>
          <w:rFonts w:ascii="Times New Roman" w:hAnsi="Times New Roman" w:cs="Times New Roman"/>
          <w:sz w:val="24"/>
        </w:rPr>
        <w:t>AUS</w:t>
      </w:r>
      <w:r w:rsidR="00A10EAF" w:rsidRPr="00EE0E89">
        <w:rPr>
          <w:rFonts w:ascii="Times New Roman" w:hAnsi="Times New Roman" w:cs="Times New Roman"/>
          <w:sz w:val="24"/>
        </w:rPr>
        <w:t>$</w:t>
      </w:r>
      <w:r w:rsidR="00C94A42" w:rsidRPr="00EE0E89">
        <w:rPr>
          <w:rFonts w:ascii="Times New Roman" w:hAnsi="Times New Roman" w:cs="Times New Roman"/>
          <w:sz w:val="24"/>
        </w:rPr>
        <w:t xml:space="preserve"> </w:t>
      </w:r>
      <w:r w:rsidR="00B1341A" w:rsidRPr="00EE0E89">
        <w:rPr>
          <w:rFonts w:ascii="Times New Roman" w:hAnsi="Times New Roman" w:cs="Times New Roman"/>
          <w:sz w:val="24"/>
        </w:rPr>
        <w:t xml:space="preserve">61.8 billion; </w:t>
      </w:r>
      <w:r w:rsidR="00A10EAF" w:rsidRPr="00EE0E89">
        <w:rPr>
          <w:rFonts w:ascii="Times New Roman" w:hAnsi="Times New Roman" w:cs="Times New Roman"/>
          <w:sz w:val="24"/>
        </w:rPr>
        <w:t xml:space="preserve">representing 4.1% of </w:t>
      </w:r>
      <w:r w:rsidR="00C94A42" w:rsidRPr="00EE0E89">
        <w:rPr>
          <w:rFonts w:ascii="Times New Roman" w:hAnsi="Times New Roman" w:cs="Times New Roman"/>
          <w:sz w:val="24"/>
        </w:rPr>
        <w:t xml:space="preserve">Australian </w:t>
      </w:r>
      <w:r w:rsidR="00A10EAF" w:rsidRPr="00EE0E89">
        <w:rPr>
          <w:rFonts w:ascii="Times New Roman" w:hAnsi="Times New Roman" w:cs="Times New Roman"/>
          <w:sz w:val="24"/>
        </w:rPr>
        <w:t>GDP</w:t>
      </w:r>
      <w:r w:rsidR="00C94A42" w:rsidRPr="00EE0E89">
        <w:rPr>
          <w:rFonts w:ascii="Times New Roman" w:hAnsi="Times New Roman" w:cs="Times New Roman"/>
          <w:sz w:val="24"/>
        </w:rPr>
        <w:t xml:space="preserve"> (Safe Work Australia, 2018)</w:t>
      </w:r>
      <w:r w:rsidR="00A10EAF" w:rsidRPr="00EE0E89">
        <w:rPr>
          <w:rFonts w:ascii="Times New Roman" w:hAnsi="Times New Roman" w:cs="Times New Roman"/>
          <w:sz w:val="24"/>
        </w:rPr>
        <w:t xml:space="preserve">. </w:t>
      </w:r>
      <w:r w:rsidR="004A4BE6" w:rsidRPr="00EE0E89">
        <w:rPr>
          <w:rFonts w:ascii="Times New Roman" w:hAnsi="Times New Roman" w:cs="Times New Roman"/>
          <w:sz w:val="24"/>
        </w:rPr>
        <w:t xml:space="preserve">The forecast value of the world GDP for the year 2018 </w:t>
      </w:r>
      <w:r w:rsidR="00A9453C" w:rsidRPr="00EE0E89">
        <w:rPr>
          <w:rFonts w:ascii="Times New Roman" w:hAnsi="Times New Roman" w:cs="Times New Roman"/>
          <w:sz w:val="24"/>
        </w:rPr>
        <w:t>was</w:t>
      </w:r>
      <w:r w:rsidR="007F7067" w:rsidRPr="00EE0E89">
        <w:rPr>
          <w:rFonts w:ascii="Times New Roman" w:hAnsi="Times New Roman" w:cs="Times New Roman"/>
          <w:sz w:val="24"/>
        </w:rPr>
        <w:t xml:space="preserve"> </w:t>
      </w:r>
      <w:r w:rsidR="00A9453C" w:rsidRPr="00EE0E89">
        <w:rPr>
          <w:rFonts w:ascii="Times New Roman" w:hAnsi="Times New Roman" w:cs="Times New Roman"/>
          <w:sz w:val="24"/>
        </w:rPr>
        <w:t xml:space="preserve">US $ </w:t>
      </w:r>
      <w:r w:rsidR="007F7067" w:rsidRPr="00EE0E89">
        <w:rPr>
          <w:rFonts w:ascii="Times New Roman" w:hAnsi="Times New Roman" w:cs="Times New Roman"/>
          <w:sz w:val="24"/>
        </w:rPr>
        <w:t>87</w:t>
      </w:r>
      <w:r w:rsidR="00A9453C" w:rsidRPr="00EE0E89">
        <w:rPr>
          <w:rFonts w:ascii="Times New Roman" w:hAnsi="Times New Roman" w:cs="Times New Roman"/>
          <w:sz w:val="24"/>
        </w:rPr>
        <w:t>,</w:t>
      </w:r>
      <w:r w:rsidR="007F7067" w:rsidRPr="00EE0E89">
        <w:rPr>
          <w:rFonts w:ascii="Times New Roman" w:hAnsi="Times New Roman" w:cs="Times New Roman"/>
          <w:sz w:val="24"/>
        </w:rPr>
        <w:t>504.57</w:t>
      </w:r>
      <w:r w:rsidR="004A4BE6" w:rsidRPr="00EE0E89">
        <w:rPr>
          <w:rFonts w:ascii="Times New Roman" w:hAnsi="Times New Roman" w:cs="Times New Roman"/>
          <w:sz w:val="24"/>
        </w:rPr>
        <w:t xml:space="preserve"> </w:t>
      </w:r>
      <w:r w:rsidR="007F7067" w:rsidRPr="00EE0E89">
        <w:rPr>
          <w:rFonts w:ascii="Times New Roman" w:hAnsi="Times New Roman" w:cs="Times New Roman"/>
          <w:sz w:val="24"/>
        </w:rPr>
        <w:t>bill</w:t>
      </w:r>
      <w:r w:rsidR="004A4BE6" w:rsidRPr="00EE0E89">
        <w:rPr>
          <w:rFonts w:ascii="Times New Roman" w:hAnsi="Times New Roman" w:cs="Times New Roman"/>
          <w:sz w:val="24"/>
        </w:rPr>
        <w:t xml:space="preserve">ion, thus the cost of poor occupational safety and health at </w:t>
      </w:r>
      <w:r w:rsidR="002B1EB9" w:rsidRPr="00EE0E89">
        <w:rPr>
          <w:rFonts w:ascii="Times New Roman" w:hAnsi="Times New Roman" w:cs="Times New Roman"/>
          <w:sz w:val="24"/>
        </w:rPr>
        <w:t xml:space="preserve">a rate of </w:t>
      </w:r>
      <w:r w:rsidR="004A4BE6" w:rsidRPr="00EE0E89">
        <w:rPr>
          <w:rFonts w:ascii="Times New Roman" w:hAnsi="Times New Roman" w:cs="Times New Roman"/>
          <w:sz w:val="24"/>
        </w:rPr>
        <w:t xml:space="preserve">3.94% will be </w:t>
      </w:r>
      <w:r w:rsidR="00A9453C" w:rsidRPr="00EE0E89">
        <w:rPr>
          <w:rFonts w:ascii="Times New Roman" w:hAnsi="Times New Roman" w:cs="Times New Roman"/>
          <w:sz w:val="24"/>
        </w:rPr>
        <w:t xml:space="preserve">US $ </w:t>
      </w:r>
      <w:r w:rsidR="007F7067" w:rsidRPr="00EE0E89">
        <w:rPr>
          <w:rFonts w:ascii="Times New Roman" w:hAnsi="Times New Roman" w:cs="Times New Roman"/>
          <w:sz w:val="24"/>
        </w:rPr>
        <w:t>3</w:t>
      </w:r>
      <w:r w:rsidR="00A9453C" w:rsidRPr="00EE0E89">
        <w:rPr>
          <w:rFonts w:ascii="Times New Roman" w:hAnsi="Times New Roman" w:cs="Times New Roman"/>
          <w:sz w:val="24"/>
        </w:rPr>
        <w:t>,</w:t>
      </w:r>
      <w:r w:rsidR="007F7067" w:rsidRPr="00EE0E89">
        <w:rPr>
          <w:rFonts w:ascii="Times New Roman" w:hAnsi="Times New Roman" w:cs="Times New Roman"/>
          <w:sz w:val="24"/>
        </w:rPr>
        <w:t>447.68</w:t>
      </w:r>
      <w:r w:rsidR="004A4BE6" w:rsidRPr="00EE0E89">
        <w:rPr>
          <w:rFonts w:ascii="Times New Roman" w:hAnsi="Times New Roman" w:cs="Times New Roman"/>
          <w:sz w:val="24"/>
        </w:rPr>
        <w:t xml:space="preserve"> </w:t>
      </w:r>
      <w:r w:rsidR="007F7067" w:rsidRPr="00EE0E89">
        <w:rPr>
          <w:rFonts w:ascii="Times New Roman" w:hAnsi="Times New Roman" w:cs="Times New Roman"/>
          <w:sz w:val="24"/>
        </w:rPr>
        <w:t>billion</w:t>
      </w:r>
      <w:r w:rsidR="004A4BE6" w:rsidRPr="00EE0E89">
        <w:rPr>
          <w:rFonts w:ascii="Times New Roman" w:hAnsi="Times New Roman" w:cs="Times New Roman"/>
          <w:sz w:val="24"/>
        </w:rPr>
        <w:t xml:space="preserve"> </w:t>
      </w:r>
      <w:r w:rsidR="00906AD7" w:rsidRPr="00EE0E89">
        <w:rPr>
          <w:rFonts w:ascii="Times New Roman" w:hAnsi="Times New Roman" w:cs="Times New Roman"/>
          <w:sz w:val="24"/>
        </w:rPr>
        <w:t>per year</w:t>
      </w:r>
      <w:r w:rsidR="004A4BE6" w:rsidRPr="00EE0E89">
        <w:rPr>
          <w:rFonts w:ascii="Times New Roman" w:hAnsi="Times New Roman" w:cs="Times New Roman"/>
          <w:sz w:val="24"/>
        </w:rPr>
        <w:t xml:space="preserve"> (Statista, 2018-a).</w:t>
      </w:r>
      <w:r w:rsidR="00906AD7" w:rsidRPr="00EE0E89">
        <w:rPr>
          <w:rFonts w:ascii="Times New Roman" w:hAnsi="Times New Roman" w:cs="Times New Roman"/>
          <w:sz w:val="24"/>
        </w:rPr>
        <w:t xml:space="preserve"> This is a huge cost</w:t>
      </w:r>
      <w:r w:rsidR="004211F6" w:rsidRPr="00EE0E89">
        <w:rPr>
          <w:rFonts w:ascii="Times New Roman" w:hAnsi="Times New Roman" w:cs="Times New Roman"/>
          <w:sz w:val="24"/>
        </w:rPr>
        <w:t xml:space="preserve">, which is 20 times greater </w:t>
      </w:r>
      <w:r w:rsidR="00906AD7" w:rsidRPr="00EE0E89">
        <w:rPr>
          <w:rFonts w:ascii="Times New Roman" w:hAnsi="Times New Roman" w:cs="Times New Roman"/>
          <w:sz w:val="24"/>
        </w:rPr>
        <w:t xml:space="preserve">than the amount </w:t>
      </w:r>
      <w:r w:rsidR="00E042F4" w:rsidRPr="00EE0E89">
        <w:rPr>
          <w:rFonts w:ascii="Times New Roman" w:hAnsi="Times New Roman" w:cs="Times New Roman"/>
          <w:sz w:val="24"/>
        </w:rPr>
        <w:t xml:space="preserve">required </w:t>
      </w:r>
      <w:r w:rsidR="00906AD7" w:rsidRPr="00EE0E89">
        <w:rPr>
          <w:rFonts w:ascii="Times New Roman" w:hAnsi="Times New Roman" w:cs="Times New Roman"/>
          <w:sz w:val="24"/>
        </w:rPr>
        <w:t xml:space="preserve">to end the extreme poverty from the </w:t>
      </w:r>
      <w:r w:rsidR="00A83FF1" w:rsidRPr="00EE0E89">
        <w:rPr>
          <w:rFonts w:ascii="Times New Roman" w:hAnsi="Times New Roman" w:cs="Times New Roman"/>
          <w:sz w:val="24"/>
        </w:rPr>
        <w:t>world</w:t>
      </w:r>
      <w:r w:rsidR="00906AD7" w:rsidRPr="00EE0E89">
        <w:rPr>
          <w:rFonts w:ascii="Times New Roman" w:hAnsi="Times New Roman" w:cs="Times New Roman"/>
          <w:sz w:val="24"/>
        </w:rPr>
        <w:t xml:space="preserve"> </w:t>
      </w:r>
      <w:r w:rsidR="00906AD7" w:rsidRPr="00EE0E89">
        <w:rPr>
          <w:rFonts w:ascii="Times New Roman" w:hAnsi="Times New Roman" w:cs="Times New Roman"/>
          <w:sz w:val="24"/>
        </w:rPr>
        <w:lastRenderedPageBreak/>
        <w:t>which was calculated by</w:t>
      </w:r>
      <w:r w:rsidR="00A83FF1" w:rsidRPr="00EE0E89">
        <w:rPr>
          <w:rFonts w:ascii="Times New Roman" w:hAnsi="Times New Roman" w:cs="Times New Roman"/>
          <w:sz w:val="24"/>
        </w:rPr>
        <w:t xml:space="preserve"> Sachs</w:t>
      </w:r>
      <w:r w:rsidR="00E042F4" w:rsidRPr="00EE0E89">
        <w:rPr>
          <w:rFonts w:ascii="Times New Roman" w:hAnsi="Times New Roman" w:cs="Times New Roman"/>
          <w:sz w:val="24"/>
        </w:rPr>
        <w:t xml:space="preserve"> (201</w:t>
      </w:r>
      <w:r w:rsidR="00CE6AAB" w:rsidRPr="00EE0E89">
        <w:rPr>
          <w:rFonts w:ascii="Times New Roman" w:hAnsi="Times New Roman" w:cs="Times New Roman"/>
          <w:sz w:val="24"/>
        </w:rPr>
        <w:t>5</w:t>
      </w:r>
      <w:r w:rsidR="00A83FF1" w:rsidRPr="00EE0E89">
        <w:rPr>
          <w:rFonts w:ascii="Times New Roman" w:hAnsi="Times New Roman" w:cs="Times New Roman"/>
          <w:sz w:val="24"/>
        </w:rPr>
        <w:t xml:space="preserve">) at a rate of </w:t>
      </w:r>
      <w:r w:rsidR="00A9453C" w:rsidRPr="00EE0E89">
        <w:rPr>
          <w:rFonts w:ascii="Times New Roman" w:hAnsi="Times New Roman" w:cs="Times New Roman"/>
          <w:sz w:val="24"/>
        </w:rPr>
        <w:t xml:space="preserve">US </w:t>
      </w:r>
      <w:r w:rsidR="00A83FF1" w:rsidRPr="00EE0E89">
        <w:rPr>
          <w:rFonts w:ascii="Times New Roman" w:hAnsi="Times New Roman" w:cs="Times New Roman"/>
          <w:sz w:val="24"/>
        </w:rPr>
        <w:t>$</w:t>
      </w:r>
      <w:r w:rsidR="00A9453C" w:rsidRPr="00EE0E89">
        <w:rPr>
          <w:rFonts w:ascii="Times New Roman" w:hAnsi="Times New Roman" w:cs="Times New Roman"/>
          <w:sz w:val="24"/>
        </w:rPr>
        <w:t xml:space="preserve"> </w:t>
      </w:r>
      <w:r w:rsidR="00A83FF1" w:rsidRPr="00EE0E89">
        <w:rPr>
          <w:rFonts w:ascii="Times New Roman" w:hAnsi="Times New Roman" w:cs="Times New Roman"/>
          <w:sz w:val="24"/>
        </w:rPr>
        <w:t>175 billion</w:t>
      </w:r>
      <w:r w:rsidR="00CE6AAB" w:rsidRPr="00EE0E89">
        <w:rPr>
          <w:rFonts w:ascii="Times New Roman" w:hAnsi="Times New Roman" w:cs="Times New Roman"/>
          <w:sz w:val="24"/>
        </w:rPr>
        <w:t xml:space="preserve"> per year</w:t>
      </w:r>
      <w:r w:rsidR="00A83FF1" w:rsidRPr="00EE0E89">
        <w:rPr>
          <w:rFonts w:ascii="Times New Roman" w:hAnsi="Times New Roman" w:cs="Times New Roman"/>
          <w:sz w:val="24"/>
        </w:rPr>
        <w:t>.</w:t>
      </w:r>
      <w:r w:rsidR="00667D83" w:rsidRPr="00EE0E89">
        <w:rPr>
          <w:rFonts w:ascii="Times New Roman" w:hAnsi="Times New Roman" w:cs="Times New Roman"/>
          <w:sz w:val="24"/>
        </w:rPr>
        <w:t xml:space="preserve"> </w:t>
      </w:r>
      <w:r w:rsidR="001A3D9B" w:rsidRPr="00EE0E89">
        <w:rPr>
          <w:rFonts w:ascii="Times New Roman" w:hAnsi="Times New Roman" w:cs="Times New Roman"/>
          <w:sz w:val="24"/>
        </w:rPr>
        <w:t>I</w:t>
      </w:r>
      <w:r w:rsidR="00B1341A" w:rsidRPr="00EE0E89">
        <w:rPr>
          <w:rFonts w:ascii="Times New Roman" w:hAnsi="Times New Roman" w:cs="Times New Roman"/>
          <w:sz w:val="24"/>
        </w:rPr>
        <w:t>t</w:t>
      </w:r>
      <w:r w:rsidR="001A3D9B" w:rsidRPr="00EE0E89">
        <w:rPr>
          <w:rFonts w:ascii="Times New Roman" w:hAnsi="Times New Roman" w:cs="Times New Roman"/>
          <w:sz w:val="24"/>
        </w:rPr>
        <w:t xml:space="preserve"> is expected that the world GDP will rose to US $</w:t>
      </w:r>
      <w:r w:rsidR="00A9453C" w:rsidRPr="00EE0E89">
        <w:rPr>
          <w:rFonts w:ascii="Times New Roman" w:hAnsi="Times New Roman" w:cs="Times New Roman"/>
          <w:sz w:val="24"/>
        </w:rPr>
        <w:t xml:space="preserve"> </w:t>
      </w:r>
      <w:r w:rsidR="001A3D9B" w:rsidRPr="00EE0E89">
        <w:rPr>
          <w:rFonts w:ascii="Times New Roman" w:hAnsi="Times New Roman" w:cs="Times New Roman"/>
          <w:sz w:val="24"/>
        </w:rPr>
        <w:t>108</w:t>
      </w:r>
      <w:r w:rsidR="00A9453C" w:rsidRPr="00EE0E89">
        <w:rPr>
          <w:rFonts w:ascii="Times New Roman" w:hAnsi="Times New Roman" w:cs="Times New Roman"/>
          <w:sz w:val="24"/>
        </w:rPr>
        <w:t>,</w:t>
      </w:r>
      <w:r w:rsidR="001A3D9B" w:rsidRPr="00EE0E89">
        <w:rPr>
          <w:rFonts w:ascii="Times New Roman" w:hAnsi="Times New Roman" w:cs="Times New Roman"/>
          <w:sz w:val="24"/>
        </w:rPr>
        <w:t>523.32 billion in 2022, which was US$ 74</w:t>
      </w:r>
      <w:r w:rsidR="00A9453C" w:rsidRPr="00EE0E89">
        <w:rPr>
          <w:rFonts w:ascii="Times New Roman" w:hAnsi="Times New Roman" w:cs="Times New Roman"/>
          <w:sz w:val="24"/>
        </w:rPr>
        <w:t>,</w:t>
      </w:r>
      <w:r w:rsidR="001A3D9B" w:rsidRPr="00EE0E89">
        <w:rPr>
          <w:rFonts w:ascii="Times New Roman" w:hAnsi="Times New Roman" w:cs="Times New Roman"/>
          <w:sz w:val="24"/>
        </w:rPr>
        <w:t xml:space="preserve">535.41 billion in 2012, reflecting a growth rate of 46% in these ten years (2012-2022). </w:t>
      </w:r>
      <w:r w:rsidR="00AC0C0C" w:rsidRPr="00EE0E89">
        <w:rPr>
          <w:rFonts w:ascii="Times New Roman" w:hAnsi="Times New Roman" w:cs="Times New Roman"/>
          <w:sz w:val="24"/>
        </w:rPr>
        <w:t>This shows that a total amount of US$ 37</w:t>
      </w:r>
      <w:r w:rsidR="00A9453C" w:rsidRPr="00EE0E89">
        <w:rPr>
          <w:rFonts w:ascii="Times New Roman" w:hAnsi="Times New Roman" w:cs="Times New Roman"/>
          <w:sz w:val="24"/>
        </w:rPr>
        <w:t>,</w:t>
      </w:r>
      <w:r w:rsidR="00AC0C0C" w:rsidRPr="00EE0E89">
        <w:rPr>
          <w:rFonts w:ascii="Times New Roman" w:hAnsi="Times New Roman" w:cs="Times New Roman"/>
          <w:sz w:val="24"/>
        </w:rPr>
        <w:t>396.71 billion will be spen</w:t>
      </w:r>
      <w:r w:rsidR="005762E6" w:rsidRPr="00EE0E89">
        <w:rPr>
          <w:rFonts w:ascii="Times New Roman" w:hAnsi="Times New Roman" w:cs="Times New Roman"/>
          <w:sz w:val="24"/>
        </w:rPr>
        <w:t>t</w:t>
      </w:r>
      <w:r w:rsidR="00AC0C0C" w:rsidRPr="00EE0E89">
        <w:rPr>
          <w:rFonts w:ascii="Times New Roman" w:hAnsi="Times New Roman" w:cs="Times New Roman"/>
          <w:sz w:val="24"/>
        </w:rPr>
        <w:t xml:space="preserve"> on matters aris</w:t>
      </w:r>
      <w:r w:rsidR="00385AE2" w:rsidRPr="00EE0E89">
        <w:rPr>
          <w:rFonts w:ascii="Times New Roman" w:hAnsi="Times New Roman" w:cs="Times New Roman"/>
          <w:sz w:val="24"/>
        </w:rPr>
        <w:t>ing</w:t>
      </w:r>
      <w:r w:rsidR="00AC0C0C" w:rsidRPr="00EE0E89">
        <w:rPr>
          <w:rFonts w:ascii="Times New Roman" w:hAnsi="Times New Roman" w:cs="Times New Roman"/>
          <w:sz w:val="24"/>
        </w:rPr>
        <w:t xml:space="preserve"> from poor occupational safety and health conditions (Statista, 2018-a). Although the cost of poor occupational safety and health </w:t>
      </w:r>
      <w:r w:rsidR="00755C78" w:rsidRPr="00EE0E89">
        <w:rPr>
          <w:rFonts w:ascii="Times New Roman" w:hAnsi="Times New Roman" w:cs="Times New Roman"/>
          <w:sz w:val="24"/>
        </w:rPr>
        <w:t xml:space="preserve">practices as shown in figure </w:t>
      </w:r>
      <w:r w:rsidR="007F7CA2" w:rsidRPr="00EE0E89">
        <w:rPr>
          <w:rFonts w:ascii="Times New Roman" w:hAnsi="Times New Roman" w:cs="Times New Roman"/>
          <w:sz w:val="24"/>
        </w:rPr>
        <w:t>8</w:t>
      </w:r>
      <w:r w:rsidR="00006E55" w:rsidRPr="00EE0E89">
        <w:rPr>
          <w:rFonts w:ascii="Times New Roman" w:hAnsi="Times New Roman" w:cs="Times New Roman"/>
          <w:sz w:val="24"/>
        </w:rPr>
        <w:t xml:space="preserve">, </w:t>
      </w:r>
      <w:r w:rsidR="00AC0C0C" w:rsidRPr="00EE0E89">
        <w:rPr>
          <w:rFonts w:ascii="Times New Roman" w:hAnsi="Times New Roman" w:cs="Times New Roman"/>
          <w:sz w:val="24"/>
        </w:rPr>
        <w:t xml:space="preserve">cannot be brought to zero, </w:t>
      </w:r>
      <w:r w:rsidR="00825961" w:rsidRPr="00EE0E89">
        <w:rPr>
          <w:rFonts w:ascii="Times New Roman" w:hAnsi="Times New Roman" w:cs="Times New Roman"/>
          <w:sz w:val="24"/>
        </w:rPr>
        <w:t>it</w:t>
      </w:r>
      <w:r w:rsidR="00AC0C0C" w:rsidRPr="00EE0E89">
        <w:rPr>
          <w:rFonts w:ascii="Times New Roman" w:hAnsi="Times New Roman" w:cs="Times New Roman"/>
          <w:sz w:val="24"/>
        </w:rPr>
        <w:t xml:space="preserve"> can be </w:t>
      </w:r>
      <w:r w:rsidR="00755C78" w:rsidRPr="00EE0E89">
        <w:rPr>
          <w:rFonts w:ascii="Times New Roman" w:hAnsi="Times New Roman" w:cs="Times New Roman"/>
          <w:sz w:val="24"/>
        </w:rPr>
        <w:t>minimized</w:t>
      </w:r>
      <w:r w:rsidR="00AC0C0C" w:rsidRPr="00EE0E89">
        <w:rPr>
          <w:rFonts w:ascii="Times New Roman" w:hAnsi="Times New Roman" w:cs="Times New Roman"/>
          <w:sz w:val="24"/>
        </w:rPr>
        <w:t>.</w:t>
      </w:r>
      <w:r w:rsidR="00755C78" w:rsidRPr="00EE0E89">
        <w:rPr>
          <w:rFonts w:ascii="Times New Roman" w:hAnsi="Times New Roman" w:cs="Times New Roman"/>
          <w:sz w:val="24"/>
        </w:rPr>
        <w:t xml:space="preserve"> If the cost of poor occupational safety and health practices is reduced by half </w:t>
      </w:r>
      <w:r w:rsidR="00825961" w:rsidRPr="00EE0E89">
        <w:rPr>
          <w:rFonts w:ascii="Times New Roman" w:hAnsi="Times New Roman" w:cs="Times New Roman"/>
          <w:sz w:val="24"/>
        </w:rPr>
        <w:t>(</w:t>
      </w:r>
      <w:r w:rsidR="00755C78" w:rsidRPr="00EE0E89">
        <w:rPr>
          <w:rFonts w:ascii="Times New Roman" w:hAnsi="Times New Roman" w:cs="Times New Roman"/>
          <w:sz w:val="24"/>
        </w:rPr>
        <w:t>currently stand</w:t>
      </w:r>
      <w:r w:rsidR="00825961" w:rsidRPr="00EE0E89">
        <w:rPr>
          <w:rFonts w:ascii="Times New Roman" w:hAnsi="Times New Roman" w:cs="Times New Roman"/>
          <w:sz w:val="24"/>
        </w:rPr>
        <w:t xml:space="preserve">s </w:t>
      </w:r>
      <w:r w:rsidR="00755C78" w:rsidRPr="00EE0E89">
        <w:rPr>
          <w:rFonts w:ascii="Times New Roman" w:hAnsi="Times New Roman" w:cs="Times New Roman"/>
          <w:sz w:val="24"/>
        </w:rPr>
        <w:t>at 3.94% of the global GDP</w:t>
      </w:r>
      <w:r w:rsidR="00825961" w:rsidRPr="00EE0E89">
        <w:rPr>
          <w:rFonts w:ascii="Times New Roman" w:hAnsi="Times New Roman" w:cs="Times New Roman"/>
          <w:sz w:val="24"/>
        </w:rPr>
        <w:t>), then</w:t>
      </w:r>
      <w:r w:rsidR="00755C78" w:rsidRPr="00EE0E89">
        <w:rPr>
          <w:rFonts w:ascii="Times New Roman" w:hAnsi="Times New Roman" w:cs="Times New Roman"/>
          <w:sz w:val="24"/>
        </w:rPr>
        <w:t xml:space="preserve"> the expected saving in the coming three years (2020-2022) will be US$ 6094.04 billion.</w:t>
      </w:r>
      <w:r w:rsidR="002B1EB9" w:rsidRPr="00EE0E89">
        <w:rPr>
          <w:rFonts w:ascii="Times New Roman" w:hAnsi="Times New Roman" w:cs="Times New Roman"/>
          <w:sz w:val="24"/>
        </w:rPr>
        <w:t xml:space="preserve"> Similarly, the global construction industry which </w:t>
      </w:r>
      <w:r w:rsidR="00B1341A" w:rsidRPr="00EE0E89">
        <w:rPr>
          <w:rFonts w:ascii="Times New Roman" w:hAnsi="Times New Roman" w:cs="Times New Roman"/>
          <w:sz w:val="24"/>
        </w:rPr>
        <w:t>is</w:t>
      </w:r>
      <w:r w:rsidR="002B1EB9" w:rsidRPr="00EE0E89">
        <w:rPr>
          <w:rFonts w:ascii="Times New Roman" w:hAnsi="Times New Roman" w:cs="Times New Roman"/>
          <w:sz w:val="24"/>
        </w:rPr>
        <w:t xml:space="preserve"> approximately 7% of the total global GDP, </w:t>
      </w:r>
      <w:r w:rsidR="00526264" w:rsidRPr="00EE0E89">
        <w:rPr>
          <w:rFonts w:ascii="Times New Roman" w:hAnsi="Times New Roman" w:cs="Times New Roman"/>
          <w:sz w:val="24"/>
        </w:rPr>
        <w:t>if this ratio will remain the same</w:t>
      </w:r>
      <w:r w:rsidR="002B1EB9" w:rsidRPr="00EE0E89">
        <w:rPr>
          <w:rFonts w:ascii="Times New Roman" w:hAnsi="Times New Roman" w:cs="Times New Roman"/>
          <w:sz w:val="24"/>
        </w:rPr>
        <w:t xml:space="preserve">, the total construction GDP value will reach US$ 7596.63 billion by 2022 (Deloitte, 2017). If </w:t>
      </w:r>
      <w:r w:rsidR="00526264" w:rsidRPr="00EE0E89">
        <w:rPr>
          <w:rFonts w:ascii="Times New Roman" w:hAnsi="Times New Roman" w:cs="Times New Roman"/>
          <w:sz w:val="24"/>
        </w:rPr>
        <w:t>it is assumed that</w:t>
      </w:r>
      <w:r w:rsidR="002B1EB9" w:rsidRPr="00EE0E89">
        <w:rPr>
          <w:rFonts w:ascii="Times New Roman" w:hAnsi="Times New Roman" w:cs="Times New Roman"/>
          <w:sz w:val="24"/>
        </w:rPr>
        <w:t xml:space="preserve"> cost of occupational safety and health in construction </w:t>
      </w:r>
      <w:r w:rsidR="00526264" w:rsidRPr="00EE0E89">
        <w:rPr>
          <w:rFonts w:ascii="Times New Roman" w:hAnsi="Times New Roman" w:cs="Times New Roman"/>
          <w:sz w:val="24"/>
        </w:rPr>
        <w:t>will be</w:t>
      </w:r>
      <w:r w:rsidR="0098009E" w:rsidRPr="00EE0E89">
        <w:rPr>
          <w:rFonts w:ascii="Times New Roman" w:hAnsi="Times New Roman" w:cs="Times New Roman"/>
          <w:sz w:val="24"/>
        </w:rPr>
        <w:t xml:space="preserve"> </w:t>
      </w:r>
      <w:r w:rsidR="002B1EB9" w:rsidRPr="00EE0E89">
        <w:rPr>
          <w:rFonts w:ascii="Times New Roman" w:hAnsi="Times New Roman" w:cs="Times New Roman"/>
          <w:sz w:val="24"/>
        </w:rPr>
        <w:t>the same as other industries</w:t>
      </w:r>
      <w:r w:rsidR="00526264" w:rsidRPr="00EE0E89">
        <w:rPr>
          <w:rFonts w:ascii="Times New Roman" w:hAnsi="Times New Roman" w:cs="Times New Roman"/>
          <w:sz w:val="24"/>
        </w:rPr>
        <w:t>, which in reality is quite more than this</w:t>
      </w:r>
      <w:r w:rsidR="002B1EB9" w:rsidRPr="00EE0E89">
        <w:rPr>
          <w:rFonts w:ascii="Times New Roman" w:hAnsi="Times New Roman" w:cs="Times New Roman"/>
          <w:sz w:val="24"/>
        </w:rPr>
        <w:t xml:space="preserve"> (~3.94%)</w:t>
      </w:r>
      <w:r w:rsidR="00526264" w:rsidRPr="00EE0E89">
        <w:rPr>
          <w:rFonts w:ascii="Times New Roman" w:hAnsi="Times New Roman" w:cs="Times New Roman"/>
          <w:sz w:val="24"/>
        </w:rPr>
        <w:t xml:space="preserve">; </w:t>
      </w:r>
      <w:r w:rsidR="0098009E" w:rsidRPr="00EE0E89">
        <w:rPr>
          <w:rFonts w:ascii="Times New Roman" w:hAnsi="Times New Roman" w:cs="Times New Roman"/>
          <w:sz w:val="24"/>
        </w:rPr>
        <w:t>the</w:t>
      </w:r>
      <w:r w:rsidR="002B1EB9" w:rsidRPr="00EE0E89">
        <w:rPr>
          <w:rFonts w:ascii="Times New Roman" w:hAnsi="Times New Roman" w:cs="Times New Roman"/>
          <w:sz w:val="24"/>
        </w:rPr>
        <w:t xml:space="preserve"> cost of occupational safety and health in construction will reach to US$ 299.31 billion by 2022</w:t>
      </w:r>
      <w:r w:rsidR="009A371F" w:rsidRPr="00EE0E89">
        <w:rPr>
          <w:rFonts w:ascii="Times New Roman" w:hAnsi="Times New Roman" w:cs="Times New Roman"/>
          <w:sz w:val="24"/>
        </w:rPr>
        <w:t xml:space="preserve"> (figure </w:t>
      </w:r>
      <w:r w:rsidR="007F7CA2" w:rsidRPr="00EE0E89">
        <w:rPr>
          <w:rFonts w:ascii="Times New Roman" w:hAnsi="Times New Roman" w:cs="Times New Roman"/>
          <w:sz w:val="24"/>
        </w:rPr>
        <w:t>8</w:t>
      </w:r>
      <w:r w:rsidR="009A371F" w:rsidRPr="00EE0E89">
        <w:rPr>
          <w:rFonts w:ascii="Times New Roman" w:hAnsi="Times New Roman" w:cs="Times New Roman"/>
          <w:sz w:val="24"/>
        </w:rPr>
        <w:t>)</w:t>
      </w:r>
      <w:r w:rsidR="002B1EB9" w:rsidRPr="00EE0E89">
        <w:rPr>
          <w:rFonts w:ascii="Times New Roman" w:hAnsi="Times New Roman" w:cs="Times New Roman"/>
          <w:sz w:val="24"/>
        </w:rPr>
        <w:t>.</w:t>
      </w:r>
      <w:r w:rsidR="00092B4F" w:rsidRPr="00EE0E89">
        <w:rPr>
          <w:rFonts w:ascii="Times New Roman" w:hAnsi="Times New Roman" w:cs="Times New Roman"/>
          <w:sz w:val="24"/>
        </w:rPr>
        <w:t xml:space="preserve"> </w:t>
      </w:r>
      <w:r w:rsidR="0060737E" w:rsidRPr="00EE0E89">
        <w:rPr>
          <w:rFonts w:ascii="Times New Roman" w:hAnsi="Times New Roman" w:cs="Times New Roman"/>
          <w:sz w:val="24"/>
        </w:rPr>
        <w:t>T</w:t>
      </w:r>
      <w:r w:rsidR="00092B4F" w:rsidRPr="00EE0E89">
        <w:rPr>
          <w:rFonts w:ascii="Times New Roman" w:hAnsi="Times New Roman" w:cs="Times New Roman"/>
          <w:sz w:val="24"/>
        </w:rPr>
        <w:t>he saving in occupational safety and health cost</w:t>
      </w:r>
      <w:r w:rsidR="00526264" w:rsidRPr="00EE0E89">
        <w:rPr>
          <w:rFonts w:ascii="Times New Roman" w:hAnsi="Times New Roman" w:cs="Times New Roman"/>
          <w:sz w:val="24"/>
        </w:rPr>
        <w:t xml:space="preserve"> in construction</w:t>
      </w:r>
      <w:r w:rsidR="00092B4F" w:rsidRPr="00EE0E89">
        <w:rPr>
          <w:rFonts w:ascii="Times New Roman" w:hAnsi="Times New Roman" w:cs="Times New Roman"/>
          <w:sz w:val="24"/>
        </w:rPr>
        <w:t>, by bringing the cost percentage</w:t>
      </w:r>
      <w:r w:rsidR="0060737E" w:rsidRPr="00EE0E89">
        <w:rPr>
          <w:rFonts w:ascii="Times New Roman" w:hAnsi="Times New Roman" w:cs="Times New Roman"/>
          <w:sz w:val="24"/>
        </w:rPr>
        <w:t xml:space="preserve"> which is ~ 3.94% </w:t>
      </w:r>
      <w:r w:rsidR="00092B4F" w:rsidRPr="00EE0E89">
        <w:rPr>
          <w:rFonts w:ascii="Times New Roman" w:hAnsi="Times New Roman" w:cs="Times New Roman"/>
          <w:sz w:val="24"/>
        </w:rPr>
        <w:t>to half of the current value</w:t>
      </w:r>
      <w:r w:rsidR="0060737E" w:rsidRPr="00EE0E89">
        <w:rPr>
          <w:rFonts w:ascii="Times New Roman" w:hAnsi="Times New Roman" w:cs="Times New Roman"/>
          <w:sz w:val="24"/>
        </w:rPr>
        <w:t xml:space="preserve"> (~1.97%)</w:t>
      </w:r>
      <w:r w:rsidR="00092B4F" w:rsidRPr="00EE0E89">
        <w:rPr>
          <w:rFonts w:ascii="Times New Roman" w:hAnsi="Times New Roman" w:cs="Times New Roman"/>
          <w:sz w:val="24"/>
        </w:rPr>
        <w:t xml:space="preserve">, will be US$ </w:t>
      </w:r>
      <w:r w:rsidR="0060737E" w:rsidRPr="00EE0E89">
        <w:rPr>
          <w:rFonts w:ascii="Times New Roman" w:hAnsi="Times New Roman" w:cs="Times New Roman"/>
          <w:sz w:val="24"/>
        </w:rPr>
        <w:t>291.58</w:t>
      </w:r>
      <w:r w:rsidR="00092B4F" w:rsidRPr="00EE0E89">
        <w:rPr>
          <w:rFonts w:ascii="Times New Roman" w:hAnsi="Times New Roman" w:cs="Times New Roman"/>
          <w:sz w:val="24"/>
        </w:rPr>
        <w:t xml:space="preserve"> billion in the </w:t>
      </w:r>
      <w:r w:rsidR="00526264" w:rsidRPr="00EE0E89">
        <w:rPr>
          <w:rFonts w:ascii="Times New Roman" w:hAnsi="Times New Roman" w:cs="Times New Roman"/>
          <w:sz w:val="24"/>
        </w:rPr>
        <w:t xml:space="preserve">next </w:t>
      </w:r>
      <w:r w:rsidR="00092B4F" w:rsidRPr="00EE0E89">
        <w:rPr>
          <w:rFonts w:ascii="Times New Roman" w:hAnsi="Times New Roman" w:cs="Times New Roman"/>
          <w:sz w:val="24"/>
        </w:rPr>
        <w:t>three years from 2020-2022.</w:t>
      </w:r>
      <w:r w:rsidR="002C71B0" w:rsidRPr="00EE0E89">
        <w:rPr>
          <w:rFonts w:ascii="Times New Roman" w:hAnsi="Times New Roman" w:cs="Times New Roman"/>
          <w:sz w:val="24"/>
        </w:rPr>
        <w:t xml:space="preserve"> While estimating the cost of occupational safety and health, it is necessary to keep in mind that some accidents </w:t>
      </w:r>
      <w:r w:rsidR="00526264" w:rsidRPr="00EE0E89">
        <w:rPr>
          <w:rFonts w:ascii="Times New Roman" w:hAnsi="Times New Roman" w:cs="Times New Roman"/>
          <w:sz w:val="24"/>
        </w:rPr>
        <w:t xml:space="preserve">which results </w:t>
      </w:r>
      <w:r w:rsidR="002C71B0" w:rsidRPr="00EE0E89">
        <w:rPr>
          <w:rFonts w:ascii="Times New Roman" w:hAnsi="Times New Roman" w:cs="Times New Roman"/>
          <w:sz w:val="24"/>
        </w:rPr>
        <w:t xml:space="preserve">into disabilities and </w:t>
      </w:r>
      <w:r w:rsidR="003E505E" w:rsidRPr="00EE0E89">
        <w:rPr>
          <w:rFonts w:ascii="Times New Roman" w:hAnsi="Times New Roman" w:cs="Times New Roman"/>
          <w:sz w:val="24"/>
        </w:rPr>
        <w:t>deaths</w:t>
      </w:r>
      <w:r w:rsidR="002C71B0" w:rsidRPr="00EE0E89">
        <w:rPr>
          <w:rFonts w:ascii="Times New Roman" w:hAnsi="Times New Roman" w:cs="Times New Roman"/>
          <w:sz w:val="24"/>
        </w:rPr>
        <w:t xml:space="preserve"> cannot be </w:t>
      </w:r>
      <w:r w:rsidR="00C85C7A" w:rsidRPr="00EE0E89">
        <w:rPr>
          <w:rFonts w:ascii="Times New Roman" w:hAnsi="Times New Roman" w:cs="Times New Roman"/>
          <w:sz w:val="24"/>
        </w:rPr>
        <w:t xml:space="preserve">accurately </w:t>
      </w:r>
      <w:r w:rsidR="002C71B0" w:rsidRPr="00EE0E89">
        <w:rPr>
          <w:rFonts w:ascii="Times New Roman" w:hAnsi="Times New Roman" w:cs="Times New Roman"/>
          <w:sz w:val="24"/>
        </w:rPr>
        <w:t>translated into financial losses</w:t>
      </w:r>
      <w:r w:rsidR="00C85C7A" w:rsidRPr="00EE0E89">
        <w:rPr>
          <w:rFonts w:ascii="Times New Roman" w:hAnsi="Times New Roman" w:cs="Times New Roman"/>
          <w:sz w:val="24"/>
        </w:rPr>
        <w:t xml:space="preserve">, </w:t>
      </w:r>
      <w:r w:rsidR="00526264" w:rsidRPr="00EE0E89">
        <w:rPr>
          <w:rFonts w:ascii="Times New Roman" w:hAnsi="Times New Roman" w:cs="Times New Roman"/>
          <w:sz w:val="24"/>
        </w:rPr>
        <w:t xml:space="preserve">as the effect on the quality of life and </w:t>
      </w:r>
      <w:r w:rsidR="002C71B0" w:rsidRPr="00EE0E89">
        <w:rPr>
          <w:rFonts w:ascii="Times New Roman" w:hAnsi="Times New Roman" w:cs="Times New Roman"/>
          <w:sz w:val="24"/>
        </w:rPr>
        <w:t xml:space="preserve">suffering </w:t>
      </w:r>
      <w:r w:rsidR="00526264" w:rsidRPr="00EE0E89">
        <w:rPr>
          <w:rFonts w:ascii="Times New Roman" w:hAnsi="Times New Roman" w:cs="Times New Roman"/>
          <w:sz w:val="24"/>
        </w:rPr>
        <w:t>result</w:t>
      </w:r>
      <w:r w:rsidR="005762E6" w:rsidRPr="00EE0E89">
        <w:rPr>
          <w:rFonts w:ascii="Times New Roman" w:hAnsi="Times New Roman" w:cs="Times New Roman"/>
          <w:sz w:val="24"/>
        </w:rPr>
        <w:t>ing</w:t>
      </w:r>
      <w:r w:rsidR="00526264" w:rsidRPr="00EE0E89">
        <w:rPr>
          <w:rFonts w:ascii="Times New Roman" w:hAnsi="Times New Roman" w:cs="Times New Roman"/>
          <w:sz w:val="24"/>
        </w:rPr>
        <w:t xml:space="preserve"> from accidents </w:t>
      </w:r>
      <w:r w:rsidR="002C71B0" w:rsidRPr="00EE0E89">
        <w:rPr>
          <w:rFonts w:ascii="Times New Roman" w:hAnsi="Times New Roman" w:cs="Times New Roman"/>
          <w:sz w:val="24"/>
        </w:rPr>
        <w:t xml:space="preserve">can only </w:t>
      </w:r>
      <w:r w:rsidR="00594202" w:rsidRPr="00EE0E89">
        <w:rPr>
          <w:rFonts w:ascii="Times New Roman" w:hAnsi="Times New Roman" w:cs="Times New Roman"/>
          <w:sz w:val="24"/>
        </w:rPr>
        <w:t>be</w:t>
      </w:r>
      <w:r w:rsidR="002C71B0" w:rsidRPr="00EE0E89">
        <w:rPr>
          <w:rFonts w:ascii="Times New Roman" w:hAnsi="Times New Roman" w:cs="Times New Roman"/>
          <w:sz w:val="24"/>
        </w:rPr>
        <w:t xml:space="preserve"> best understood by the individual</w:t>
      </w:r>
      <w:r w:rsidR="00594202" w:rsidRPr="00EE0E89">
        <w:rPr>
          <w:rFonts w:ascii="Times New Roman" w:hAnsi="Times New Roman" w:cs="Times New Roman"/>
          <w:sz w:val="24"/>
        </w:rPr>
        <w:t xml:space="preserve">s </w:t>
      </w:r>
      <w:r w:rsidR="002C71B0" w:rsidRPr="00EE0E89">
        <w:rPr>
          <w:rFonts w:ascii="Times New Roman" w:hAnsi="Times New Roman" w:cs="Times New Roman"/>
          <w:sz w:val="24"/>
        </w:rPr>
        <w:t>or their families</w:t>
      </w:r>
      <w:r w:rsidR="00594202" w:rsidRPr="00EE0E89">
        <w:rPr>
          <w:rFonts w:ascii="Times New Roman" w:hAnsi="Times New Roman" w:cs="Times New Roman"/>
          <w:sz w:val="24"/>
        </w:rPr>
        <w:t>.</w:t>
      </w:r>
      <w:r w:rsidR="00DE4E0C" w:rsidRPr="00EE0E89">
        <w:rPr>
          <w:rFonts w:ascii="Times New Roman" w:hAnsi="Times New Roman" w:cs="Times New Roman"/>
          <w:sz w:val="24"/>
        </w:rPr>
        <w:t xml:space="preserve"> </w:t>
      </w:r>
      <w:r w:rsidR="00526264" w:rsidRPr="00EE0E89">
        <w:rPr>
          <w:rFonts w:ascii="Times New Roman" w:hAnsi="Times New Roman" w:cs="Times New Roman"/>
          <w:sz w:val="24"/>
        </w:rPr>
        <w:t>I</w:t>
      </w:r>
      <w:r w:rsidR="00DE4E0C" w:rsidRPr="00EE0E89">
        <w:rPr>
          <w:rFonts w:ascii="Times New Roman" w:hAnsi="Times New Roman" w:cs="Times New Roman"/>
          <w:sz w:val="24"/>
        </w:rPr>
        <w:t>t is</w:t>
      </w:r>
      <w:r w:rsidR="00526264" w:rsidRPr="00EE0E89">
        <w:rPr>
          <w:rFonts w:ascii="Times New Roman" w:hAnsi="Times New Roman" w:cs="Times New Roman"/>
          <w:sz w:val="24"/>
        </w:rPr>
        <w:t xml:space="preserve"> therefore</w:t>
      </w:r>
      <w:r w:rsidR="00DE4E0C" w:rsidRPr="00EE0E89">
        <w:rPr>
          <w:rFonts w:ascii="Times New Roman" w:hAnsi="Times New Roman" w:cs="Times New Roman"/>
          <w:sz w:val="24"/>
        </w:rPr>
        <w:t xml:space="preserve"> important to consider that occupational safety and health </w:t>
      </w:r>
      <w:r w:rsidR="005762E6" w:rsidRPr="00EE0E89">
        <w:rPr>
          <w:rFonts w:ascii="Times New Roman" w:hAnsi="Times New Roman" w:cs="Times New Roman"/>
          <w:sz w:val="24"/>
        </w:rPr>
        <w:t>are</w:t>
      </w:r>
      <w:r w:rsidR="00DE4E0C" w:rsidRPr="00EE0E89">
        <w:rPr>
          <w:rFonts w:ascii="Times New Roman" w:hAnsi="Times New Roman" w:cs="Times New Roman"/>
          <w:sz w:val="24"/>
        </w:rPr>
        <w:t xml:space="preserve"> not only related to </w:t>
      </w:r>
      <w:r w:rsidR="00C93E27" w:rsidRPr="00EE0E89">
        <w:rPr>
          <w:rFonts w:ascii="Times New Roman" w:hAnsi="Times New Roman" w:cs="Times New Roman"/>
          <w:sz w:val="24"/>
        </w:rPr>
        <w:t xml:space="preserve">a financial </w:t>
      </w:r>
      <w:r w:rsidR="00CD778B" w:rsidRPr="00EE0E89">
        <w:rPr>
          <w:rFonts w:ascii="Times New Roman" w:hAnsi="Times New Roman" w:cs="Times New Roman"/>
          <w:sz w:val="24"/>
        </w:rPr>
        <w:t>factor</w:t>
      </w:r>
      <w:r w:rsidR="00DE4E0C" w:rsidRPr="00EE0E89">
        <w:rPr>
          <w:rFonts w:ascii="Times New Roman" w:hAnsi="Times New Roman" w:cs="Times New Roman"/>
          <w:sz w:val="24"/>
        </w:rPr>
        <w:t xml:space="preserve">, but there </w:t>
      </w:r>
      <w:r w:rsidR="00CD778B" w:rsidRPr="00EE0E89">
        <w:rPr>
          <w:rFonts w:ascii="Times New Roman" w:hAnsi="Times New Roman" w:cs="Times New Roman"/>
          <w:sz w:val="24"/>
        </w:rPr>
        <w:t xml:space="preserve">are other </w:t>
      </w:r>
      <w:r w:rsidR="00DE4E0C" w:rsidRPr="00EE0E89">
        <w:rPr>
          <w:rFonts w:ascii="Times New Roman" w:hAnsi="Times New Roman" w:cs="Times New Roman"/>
          <w:sz w:val="24"/>
        </w:rPr>
        <w:t xml:space="preserve">significant factors </w:t>
      </w:r>
      <w:r w:rsidR="00CD778B" w:rsidRPr="00EE0E89">
        <w:rPr>
          <w:rFonts w:ascii="Times New Roman" w:hAnsi="Times New Roman" w:cs="Times New Roman"/>
          <w:sz w:val="24"/>
        </w:rPr>
        <w:t>th</w:t>
      </w:r>
      <w:r w:rsidR="005762E6" w:rsidRPr="00EE0E89">
        <w:rPr>
          <w:rFonts w:ascii="Times New Roman" w:hAnsi="Times New Roman" w:cs="Times New Roman"/>
          <w:sz w:val="24"/>
        </w:rPr>
        <w:t>at</w:t>
      </w:r>
      <w:r w:rsidR="00DE4E0C" w:rsidRPr="00EE0E89">
        <w:rPr>
          <w:rFonts w:ascii="Times New Roman" w:hAnsi="Times New Roman" w:cs="Times New Roman"/>
          <w:sz w:val="24"/>
        </w:rPr>
        <w:t xml:space="preserve"> have a greater impact on individuals and society. </w:t>
      </w:r>
      <w:r w:rsidR="002C71B0" w:rsidRPr="00EE0E89">
        <w:rPr>
          <w:rFonts w:ascii="Times New Roman" w:hAnsi="Times New Roman" w:cs="Times New Roman"/>
          <w:sz w:val="24"/>
        </w:rPr>
        <w:t xml:space="preserve">       </w:t>
      </w:r>
    </w:p>
    <w:p w14:paraId="510E7FDF" w14:textId="77777777" w:rsidR="00355499" w:rsidRPr="00EE0E89" w:rsidRDefault="00355499" w:rsidP="000D5B6F">
      <w:pPr>
        <w:spacing w:line="360" w:lineRule="auto"/>
        <w:jc w:val="both"/>
        <w:rPr>
          <w:rFonts w:ascii="Times New Roman" w:hAnsi="Times New Roman" w:cs="Times New Roman"/>
          <w:sz w:val="24"/>
        </w:rPr>
      </w:pPr>
    </w:p>
    <w:p w14:paraId="39772AE5" w14:textId="77777777" w:rsidR="00155D54" w:rsidRDefault="00155D54" w:rsidP="00355499">
      <w:pPr>
        <w:spacing w:line="360" w:lineRule="auto"/>
        <w:jc w:val="center"/>
        <w:rPr>
          <w:rFonts w:ascii="Times New Roman" w:hAnsi="Times New Roman" w:cs="Times New Roman"/>
          <w:sz w:val="24"/>
        </w:rPr>
        <w:sectPr w:rsidR="00155D54" w:rsidSect="00A84D3D">
          <w:type w:val="continuous"/>
          <w:pgSz w:w="12240" w:h="15840"/>
          <w:pgMar w:top="1440" w:right="1440" w:bottom="1440" w:left="1440" w:header="720" w:footer="720" w:gutter="0"/>
          <w:cols w:space="720"/>
          <w:docGrid w:linePitch="360"/>
        </w:sectPr>
      </w:pPr>
    </w:p>
    <w:p w14:paraId="0E359AAB" w14:textId="77777777" w:rsidR="00155D54" w:rsidRDefault="0069564A" w:rsidP="00355499">
      <w:pPr>
        <w:spacing w:line="360" w:lineRule="auto"/>
        <w:jc w:val="center"/>
        <w:rPr>
          <w:rFonts w:ascii="Times New Roman" w:hAnsi="Times New Roman" w:cs="Times New Roman"/>
          <w:sz w:val="24"/>
        </w:rPr>
      </w:pPr>
      <w:r>
        <w:rPr>
          <w:noProof/>
        </w:rPr>
        <w:lastRenderedPageBreak/>
        <w:drawing>
          <wp:inline distT="0" distB="0" distL="0" distR="0" wp14:anchorId="2AFB734F" wp14:editId="43BDF6CB">
            <wp:extent cx="8791575" cy="50482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732CF4" w14:textId="2ECA1F3C" w:rsidR="00155D54" w:rsidRDefault="00155D54" w:rsidP="00355499">
      <w:pPr>
        <w:spacing w:line="360" w:lineRule="auto"/>
        <w:jc w:val="center"/>
        <w:rPr>
          <w:rFonts w:ascii="Times New Roman" w:hAnsi="Times New Roman" w:cs="Times New Roman"/>
          <w:sz w:val="24"/>
        </w:rPr>
        <w:sectPr w:rsidR="00155D54" w:rsidSect="00093E37">
          <w:pgSz w:w="15840" w:h="12240" w:orient="landscape"/>
          <w:pgMar w:top="1440" w:right="1440" w:bottom="1440" w:left="1440" w:header="720" w:footer="720" w:gutter="0"/>
          <w:cols w:space="720"/>
          <w:docGrid w:linePitch="360"/>
        </w:sectPr>
      </w:pPr>
      <w:r w:rsidRPr="00EE0E89">
        <w:rPr>
          <w:rFonts w:ascii="Times New Roman" w:hAnsi="Times New Roman" w:cs="Times New Roman"/>
          <w:b/>
          <w:sz w:val="24"/>
        </w:rPr>
        <w:t>Figure 8: Global GDP and Cost of Poor Occupational Safety and Health Practices</w:t>
      </w:r>
    </w:p>
    <w:p w14:paraId="09675791" w14:textId="35979687" w:rsidR="00221F02" w:rsidRPr="00267433" w:rsidRDefault="00C11C2A" w:rsidP="00221F02">
      <w:pPr>
        <w:spacing w:line="360" w:lineRule="auto"/>
        <w:jc w:val="both"/>
        <w:rPr>
          <w:rFonts w:ascii="Times New Roman" w:hAnsi="Times New Roman" w:cs="Times New Roman"/>
          <w:sz w:val="24"/>
        </w:rPr>
      </w:pPr>
      <w:r w:rsidRPr="00267433">
        <w:rPr>
          <w:rFonts w:ascii="Times New Roman" w:hAnsi="Times New Roman" w:cs="Times New Roman"/>
          <w:sz w:val="24"/>
        </w:rPr>
        <w:lastRenderedPageBreak/>
        <w:t>The c</w:t>
      </w:r>
      <w:r w:rsidR="00E22FAF" w:rsidRPr="00267433">
        <w:rPr>
          <w:rFonts w:ascii="Times New Roman" w:hAnsi="Times New Roman" w:cs="Times New Roman"/>
          <w:sz w:val="24"/>
        </w:rPr>
        <w:t xml:space="preserve">onstruction industry is regarded as </w:t>
      </w:r>
      <w:r w:rsidRPr="00267433">
        <w:rPr>
          <w:rFonts w:ascii="Times New Roman" w:hAnsi="Times New Roman" w:cs="Times New Roman"/>
          <w:sz w:val="24"/>
        </w:rPr>
        <w:t>a</w:t>
      </w:r>
      <w:r w:rsidR="00E22FAF" w:rsidRPr="00267433">
        <w:rPr>
          <w:rFonts w:ascii="Times New Roman" w:hAnsi="Times New Roman" w:cs="Times New Roman"/>
          <w:sz w:val="24"/>
        </w:rPr>
        <w:t xml:space="preserve"> </w:t>
      </w:r>
      <w:r w:rsidRPr="00267433">
        <w:rPr>
          <w:rFonts w:ascii="Times New Roman" w:hAnsi="Times New Roman" w:cs="Times New Roman"/>
          <w:sz w:val="24"/>
        </w:rPr>
        <w:t>hazardous</w:t>
      </w:r>
      <w:r w:rsidR="00E22FAF" w:rsidRPr="00267433">
        <w:rPr>
          <w:rFonts w:ascii="Times New Roman" w:hAnsi="Times New Roman" w:cs="Times New Roman"/>
          <w:sz w:val="24"/>
        </w:rPr>
        <w:t xml:space="preserve"> industr</w:t>
      </w:r>
      <w:r w:rsidRPr="00267433">
        <w:rPr>
          <w:rFonts w:ascii="Times New Roman" w:hAnsi="Times New Roman" w:cs="Times New Roman"/>
          <w:sz w:val="24"/>
        </w:rPr>
        <w:t>y</w:t>
      </w:r>
      <w:r w:rsidR="00E22FAF" w:rsidRPr="00267433">
        <w:rPr>
          <w:rFonts w:ascii="Times New Roman" w:hAnsi="Times New Roman" w:cs="Times New Roman"/>
          <w:sz w:val="24"/>
        </w:rPr>
        <w:t xml:space="preserve">. </w:t>
      </w:r>
      <w:r w:rsidR="000B5457" w:rsidRPr="00267433">
        <w:rPr>
          <w:rFonts w:ascii="Times New Roman" w:hAnsi="Times New Roman" w:cs="Times New Roman"/>
          <w:sz w:val="24"/>
        </w:rPr>
        <w:t>For example, t</w:t>
      </w:r>
      <w:r w:rsidR="006D2968" w:rsidRPr="00267433">
        <w:rPr>
          <w:rFonts w:ascii="Times New Roman" w:hAnsi="Times New Roman" w:cs="Times New Roman"/>
          <w:sz w:val="24"/>
        </w:rPr>
        <w:t xml:space="preserve">he International </w:t>
      </w:r>
      <w:proofErr w:type="spellStart"/>
      <w:r w:rsidR="006D2968" w:rsidRPr="00267433">
        <w:rPr>
          <w:rFonts w:ascii="Times New Roman" w:hAnsi="Times New Roman" w:cs="Times New Roman"/>
          <w:sz w:val="24"/>
        </w:rPr>
        <w:t>Labour</w:t>
      </w:r>
      <w:proofErr w:type="spellEnd"/>
      <w:r w:rsidR="006D2968" w:rsidRPr="00267433">
        <w:rPr>
          <w:rFonts w:ascii="Times New Roman" w:hAnsi="Times New Roman" w:cs="Times New Roman"/>
          <w:sz w:val="24"/>
        </w:rPr>
        <w:t xml:space="preserve"> Organization data for the year 2015 reveals that every year, more than 100</w:t>
      </w:r>
      <w:r w:rsidR="0080318D" w:rsidRPr="00267433">
        <w:rPr>
          <w:rFonts w:ascii="Times New Roman" w:hAnsi="Times New Roman" w:cs="Times New Roman"/>
          <w:sz w:val="24"/>
        </w:rPr>
        <w:t>,</w:t>
      </w:r>
      <w:r w:rsidR="006D2968" w:rsidRPr="00267433">
        <w:rPr>
          <w:rFonts w:ascii="Times New Roman" w:hAnsi="Times New Roman" w:cs="Times New Roman"/>
          <w:sz w:val="24"/>
        </w:rPr>
        <w:t xml:space="preserve">000 workers die on construction sites due to different occupational safety and health (OS&amp;H) conditions. </w:t>
      </w:r>
      <w:r w:rsidR="007F7CA2" w:rsidRPr="00267433">
        <w:rPr>
          <w:rFonts w:ascii="Times New Roman" w:hAnsi="Times New Roman" w:cs="Times New Roman"/>
          <w:sz w:val="24"/>
        </w:rPr>
        <w:t>This means</w:t>
      </w:r>
      <w:r w:rsidR="00FF76D1" w:rsidRPr="00267433">
        <w:rPr>
          <w:rFonts w:ascii="Times New Roman" w:hAnsi="Times New Roman" w:cs="Times New Roman"/>
          <w:sz w:val="24"/>
        </w:rPr>
        <w:t xml:space="preserve"> that the number of deaths on construction site</w:t>
      </w:r>
      <w:r w:rsidR="00E72148" w:rsidRPr="00267433">
        <w:rPr>
          <w:rFonts w:ascii="Times New Roman" w:hAnsi="Times New Roman" w:cs="Times New Roman"/>
          <w:sz w:val="24"/>
        </w:rPr>
        <w:t>s</w:t>
      </w:r>
      <w:r w:rsidR="00FF76D1" w:rsidRPr="00267433">
        <w:rPr>
          <w:rFonts w:ascii="Times New Roman" w:hAnsi="Times New Roman" w:cs="Times New Roman"/>
          <w:sz w:val="24"/>
        </w:rPr>
        <w:t xml:space="preserve"> is roughly equal to 274 deaths per day. </w:t>
      </w:r>
      <w:r w:rsidR="006D2968" w:rsidRPr="00267433">
        <w:rPr>
          <w:rFonts w:ascii="Times New Roman" w:hAnsi="Times New Roman" w:cs="Times New Roman"/>
          <w:sz w:val="24"/>
        </w:rPr>
        <w:t xml:space="preserve">This number is nearly 30% of all occupational deadly injuries. Different </w:t>
      </w:r>
      <w:r w:rsidR="002404E4" w:rsidRPr="00267433">
        <w:rPr>
          <w:rFonts w:ascii="Times New Roman" w:hAnsi="Times New Roman" w:cs="Times New Roman"/>
          <w:sz w:val="24"/>
        </w:rPr>
        <w:t>studies</w:t>
      </w:r>
      <w:r w:rsidR="006D2968" w:rsidRPr="00267433">
        <w:rPr>
          <w:rFonts w:ascii="Times New Roman" w:hAnsi="Times New Roman" w:cs="Times New Roman"/>
          <w:sz w:val="24"/>
        </w:rPr>
        <w:t xml:space="preserve"> reveal that construction </w:t>
      </w:r>
      <w:r w:rsidR="00E72148" w:rsidRPr="00267433">
        <w:rPr>
          <w:rFonts w:ascii="Times New Roman" w:hAnsi="Times New Roman" w:cs="Times New Roman"/>
          <w:sz w:val="24"/>
        </w:rPr>
        <w:t>worker</w:t>
      </w:r>
      <w:r w:rsidR="006D2968" w:rsidRPr="00267433">
        <w:rPr>
          <w:rFonts w:ascii="Times New Roman" w:hAnsi="Times New Roman" w:cs="Times New Roman"/>
          <w:sz w:val="24"/>
        </w:rPr>
        <w:t xml:space="preserve">s in developed countries are three to four times more likely to die from accidents on-site compared to workers in industrial sectors. In developing </w:t>
      </w:r>
      <w:r w:rsidR="002404E4" w:rsidRPr="00267433">
        <w:rPr>
          <w:rFonts w:ascii="Times New Roman" w:hAnsi="Times New Roman" w:cs="Times New Roman"/>
          <w:sz w:val="24"/>
        </w:rPr>
        <w:t>countries</w:t>
      </w:r>
      <w:r w:rsidR="006D2968" w:rsidRPr="00267433">
        <w:rPr>
          <w:rFonts w:ascii="Times New Roman" w:hAnsi="Times New Roman" w:cs="Times New Roman"/>
          <w:sz w:val="24"/>
        </w:rPr>
        <w:t>, there is a higher risk (three to six times more) of death linked with construction work than in developed countries (ILO, 2015). Many construction workers suffer and die from work</w:t>
      </w:r>
      <w:r w:rsidR="006658AD" w:rsidRPr="00267433">
        <w:rPr>
          <w:rFonts w:ascii="Times New Roman" w:hAnsi="Times New Roman" w:cs="Times New Roman"/>
          <w:sz w:val="24"/>
        </w:rPr>
        <w:t>-</w:t>
      </w:r>
      <w:r w:rsidR="006D2968" w:rsidRPr="00267433">
        <w:rPr>
          <w:rFonts w:ascii="Times New Roman" w:hAnsi="Times New Roman" w:cs="Times New Roman"/>
          <w:sz w:val="24"/>
        </w:rPr>
        <w:t>related illness</w:t>
      </w:r>
      <w:r w:rsidR="006658AD" w:rsidRPr="00267433">
        <w:rPr>
          <w:rFonts w:ascii="Times New Roman" w:hAnsi="Times New Roman" w:cs="Times New Roman"/>
          <w:sz w:val="24"/>
        </w:rPr>
        <w:t>es</w:t>
      </w:r>
      <w:r w:rsidR="006D2968" w:rsidRPr="00267433">
        <w:rPr>
          <w:rFonts w:ascii="Times New Roman" w:hAnsi="Times New Roman" w:cs="Times New Roman"/>
          <w:sz w:val="24"/>
        </w:rPr>
        <w:t xml:space="preserve"> </w:t>
      </w:r>
      <w:r w:rsidR="00954137" w:rsidRPr="00267433">
        <w:rPr>
          <w:rFonts w:ascii="Times New Roman" w:hAnsi="Times New Roman" w:cs="Times New Roman"/>
          <w:sz w:val="24"/>
        </w:rPr>
        <w:t>acquired</w:t>
      </w:r>
      <w:r w:rsidR="006D2968" w:rsidRPr="00267433">
        <w:rPr>
          <w:rFonts w:ascii="Times New Roman" w:hAnsi="Times New Roman" w:cs="Times New Roman"/>
          <w:sz w:val="24"/>
        </w:rPr>
        <w:t xml:space="preserve"> from </w:t>
      </w:r>
      <w:r w:rsidR="00A614B6" w:rsidRPr="00267433">
        <w:rPr>
          <w:rFonts w:ascii="Times New Roman" w:hAnsi="Times New Roman" w:cs="Times New Roman"/>
          <w:sz w:val="24"/>
        </w:rPr>
        <w:t xml:space="preserve">the </w:t>
      </w:r>
      <w:r w:rsidR="006D2968" w:rsidRPr="00267433">
        <w:rPr>
          <w:rFonts w:ascii="Times New Roman" w:hAnsi="Times New Roman" w:cs="Times New Roman"/>
          <w:sz w:val="24"/>
        </w:rPr>
        <w:t>prior influence of dangerous materials, such as asbestos and other chemicals.</w:t>
      </w:r>
      <w:r w:rsidR="00E22FAF" w:rsidRPr="00267433">
        <w:rPr>
          <w:rFonts w:ascii="Times New Roman" w:hAnsi="Times New Roman" w:cs="Times New Roman"/>
          <w:sz w:val="24"/>
        </w:rPr>
        <w:t xml:space="preserve"> </w:t>
      </w:r>
      <w:r w:rsidR="00D33BC5" w:rsidRPr="00267433">
        <w:rPr>
          <w:rFonts w:ascii="Times New Roman" w:hAnsi="Times New Roman" w:cs="Times New Roman"/>
          <w:sz w:val="24"/>
        </w:rPr>
        <w:t>The c</w:t>
      </w:r>
      <w:r w:rsidR="007159CE" w:rsidRPr="00267433">
        <w:rPr>
          <w:rFonts w:ascii="Times New Roman" w:hAnsi="Times New Roman" w:cs="Times New Roman"/>
          <w:sz w:val="24"/>
        </w:rPr>
        <w:t xml:space="preserve">onstruction industry remained </w:t>
      </w:r>
      <w:r w:rsidR="00954137" w:rsidRPr="00267433">
        <w:rPr>
          <w:rFonts w:ascii="Times New Roman" w:hAnsi="Times New Roman" w:cs="Times New Roman"/>
          <w:sz w:val="24"/>
        </w:rPr>
        <w:t>at</w:t>
      </w:r>
      <w:r w:rsidR="007159CE" w:rsidRPr="00267433">
        <w:rPr>
          <w:rFonts w:ascii="Times New Roman" w:hAnsi="Times New Roman" w:cs="Times New Roman"/>
          <w:sz w:val="24"/>
        </w:rPr>
        <w:t xml:space="preserve"> the top in most countries in terms of worker</w:t>
      </w:r>
      <w:r w:rsidR="00D33BC5" w:rsidRPr="00267433">
        <w:rPr>
          <w:rFonts w:ascii="Times New Roman" w:hAnsi="Times New Roman" w:cs="Times New Roman"/>
          <w:sz w:val="24"/>
        </w:rPr>
        <w:t>'</w:t>
      </w:r>
      <w:r w:rsidR="007159CE" w:rsidRPr="00267433">
        <w:rPr>
          <w:rFonts w:ascii="Times New Roman" w:hAnsi="Times New Roman" w:cs="Times New Roman"/>
          <w:sz w:val="24"/>
        </w:rPr>
        <w:t>s deaths</w:t>
      </w:r>
      <w:r w:rsidR="00954137" w:rsidRPr="00267433">
        <w:rPr>
          <w:rFonts w:ascii="Times New Roman" w:hAnsi="Times New Roman" w:cs="Times New Roman"/>
          <w:sz w:val="24"/>
        </w:rPr>
        <w:t xml:space="preserve"> </w:t>
      </w:r>
      <w:r w:rsidR="007159CE" w:rsidRPr="00267433">
        <w:rPr>
          <w:rFonts w:ascii="Times New Roman" w:hAnsi="Times New Roman" w:cs="Times New Roman"/>
          <w:sz w:val="24"/>
        </w:rPr>
        <w:t>compared to other industries. For instance, statistic</w:t>
      </w:r>
      <w:r w:rsidR="00954137" w:rsidRPr="00267433">
        <w:rPr>
          <w:rFonts w:ascii="Times New Roman" w:hAnsi="Times New Roman" w:cs="Times New Roman"/>
          <w:sz w:val="24"/>
        </w:rPr>
        <w:t>s</w:t>
      </w:r>
      <w:r w:rsidR="007159CE" w:rsidRPr="00267433">
        <w:rPr>
          <w:rFonts w:ascii="Times New Roman" w:hAnsi="Times New Roman" w:cs="Times New Roman"/>
          <w:sz w:val="24"/>
        </w:rPr>
        <w:t xml:space="preserve"> reveal that </w:t>
      </w:r>
      <w:r w:rsidR="00954137" w:rsidRPr="00267433">
        <w:rPr>
          <w:rFonts w:ascii="Times New Roman" w:hAnsi="Times New Roman" w:cs="Times New Roman"/>
          <w:sz w:val="24"/>
        </w:rPr>
        <w:t xml:space="preserve">the </w:t>
      </w:r>
      <w:r w:rsidR="007159CE" w:rsidRPr="00267433">
        <w:rPr>
          <w:rFonts w:ascii="Times New Roman" w:hAnsi="Times New Roman" w:cs="Times New Roman"/>
          <w:sz w:val="24"/>
        </w:rPr>
        <w:t>construction industry in the United States involve</w:t>
      </w:r>
      <w:r w:rsidR="002404E4" w:rsidRPr="00267433">
        <w:rPr>
          <w:rFonts w:ascii="Times New Roman" w:hAnsi="Times New Roman" w:cs="Times New Roman"/>
          <w:sz w:val="24"/>
        </w:rPr>
        <w:t>d</w:t>
      </w:r>
      <w:r w:rsidR="007159CE" w:rsidRPr="00267433">
        <w:rPr>
          <w:rFonts w:ascii="Times New Roman" w:hAnsi="Times New Roman" w:cs="Times New Roman"/>
          <w:sz w:val="24"/>
        </w:rPr>
        <w:t xml:space="preserve"> the highest number of workers death</w:t>
      </w:r>
      <w:r w:rsidR="00954137" w:rsidRPr="00267433">
        <w:rPr>
          <w:rFonts w:ascii="Times New Roman" w:hAnsi="Times New Roman" w:cs="Times New Roman"/>
          <w:sz w:val="24"/>
        </w:rPr>
        <w:t>s</w:t>
      </w:r>
      <w:r w:rsidR="007159CE" w:rsidRPr="00267433">
        <w:rPr>
          <w:rFonts w:ascii="Times New Roman" w:hAnsi="Times New Roman" w:cs="Times New Roman"/>
          <w:sz w:val="24"/>
        </w:rPr>
        <w:t xml:space="preserve"> in 2016, accounting for 991 deaths</w:t>
      </w:r>
      <w:r w:rsidR="00EC6242" w:rsidRPr="00267433">
        <w:rPr>
          <w:rFonts w:ascii="Times New Roman" w:hAnsi="Times New Roman" w:cs="Times New Roman"/>
          <w:sz w:val="24"/>
        </w:rPr>
        <w:t xml:space="preserve">, with </w:t>
      </w:r>
      <w:r w:rsidR="007159CE" w:rsidRPr="00267433">
        <w:rPr>
          <w:rFonts w:ascii="Times New Roman" w:hAnsi="Times New Roman" w:cs="Times New Roman"/>
          <w:sz w:val="24"/>
        </w:rPr>
        <w:t xml:space="preserve">an increase of 6% </w:t>
      </w:r>
      <w:r w:rsidR="00DB724D" w:rsidRPr="00267433">
        <w:rPr>
          <w:rFonts w:ascii="Times New Roman" w:hAnsi="Times New Roman" w:cs="Times New Roman"/>
          <w:sz w:val="24"/>
        </w:rPr>
        <w:t xml:space="preserve">in fatalities </w:t>
      </w:r>
      <w:r w:rsidR="007159CE" w:rsidRPr="00267433">
        <w:rPr>
          <w:rFonts w:ascii="Times New Roman" w:hAnsi="Times New Roman" w:cs="Times New Roman"/>
          <w:sz w:val="24"/>
        </w:rPr>
        <w:t>(BLS, 2018).</w:t>
      </w:r>
      <w:r w:rsidR="00DB724D" w:rsidRPr="00267433">
        <w:rPr>
          <w:rFonts w:ascii="Times New Roman" w:hAnsi="Times New Roman" w:cs="Times New Roman"/>
          <w:sz w:val="24"/>
        </w:rPr>
        <w:t xml:space="preserve"> </w:t>
      </w:r>
      <w:r w:rsidR="00A7146C" w:rsidRPr="00267433">
        <w:rPr>
          <w:rFonts w:ascii="Times New Roman" w:hAnsi="Times New Roman" w:cs="Times New Roman"/>
          <w:sz w:val="24"/>
        </w:rPr>
        <w:t>This number of death</w:t>
      </w:r>
      <w:r w:rsidR="004F53E4" w:rsidRPr="00267433">
        <w:rPr>
          <w:rFonts w:ascii="Times New Roman" w:hAnsi="Times New Roman" w:cs="Times New Roman"/>
          <w:sz w:val="24"/>
        </w:rPr>
        <w:t>s</w:t>
      </w:r>
      <w:r w:rsidR="002404E4" w:rsidRPr="00267433">
        <w:rPr>
          <w:rFonts w:ascii="Times New Roman" w:hAnsi="Times New Roman" w:cs="Times New Roman"/>
          <w:sz w:val="24"/>
        </w:rPr>
        <w:t xml:space="preserve"> (~991)</w:t>
      </w:r>
      <w:r w:rsidR="00A7146C" w:rsidRPr="00267433">
        <w:rPr>
          <w:rFonts w:ascii="Times New Roman" w:hAnsi="Times New Roman" w:cs="Times New Roman"/>
          <w:sz w:val="24"/>
        </w:rPr>
        <w:t xml:space="preserve"> represent</w:t>
      </w:r>
      <w:r w:rsidR="004F53E4" w:rsidRPr="00267433">
        <w:rPr>
          <w:rFonts w:ascii="Times New Roman" w:hAnsi="Times New Roman" w:cs="Times New Roman"/>
          <w:sz w:val="24"/>
        </w:rPr>
        <w:t>s</w:t>
      </w:r>
      <w:r w:rsidR="00A7146C" w:rsidRPr="00267433">
        <w:rPr>
          <w:rFonts w:ascii="Times New Roman" w:hAnsi="Times New Roman" w:cs="Times New Roman"/>
          <w:sz w:val="24"/>
        </w:rPr>
        <w:t xml:space="preserve"> 20% of all the death</w:t>
      </w:r>
      <w:r w:rsidR="003B1C07" w:rsidRPr="00267433">
        <w:rPr>
          <w:rFonts w:ascii="Times New Roman" w:hAnsi="Times New Roman" w:cs="Times New Roman"/>
          <w:sz w:val="24"/>
        </w:rPr>
        <w:t>s of workers</w:t>
      </w:r>
      <w:r w:rsidR="00A7146C" w:rsidRPr="00267433">
        <w:rPr>
          <w:rFonts w:ascii="Times New Roman" w:hAnsi="Times New Roman" w:cs="Times New Roman"/>
          <w:sz w:val="24"/>
        </w:rPr>
        <w:t xml:space="preserve"> in </w:t>
      </w:r>
      <w:r w:rsidR="00CD0231" w:rsidRPr="00267433">
        <w:rPr>
          <w:rFonts w:ascii="Times New Roman" w:hAnsi="Times New Roman" w:cs="Times New Roman"/>
          <w:sz w:val="24"/>
        </w:rPr>
        <w:t xml:space="preserve">the </w:t>
      </w:r>
      <w:r w:rsidR="00A7146C" w:rsidRPr="00267433">
        <w:rPr>
          <w:rFonts w:ascii="Times New Roman" w:hAnsi="Times New Roman" w:cs="Times New Roman"/>
          <w:sz w:val="24"/>
        </w:rPr>
        <w:t>Unit</w:t>
      </w:r>
      <w:r w:rsidR="007F7CA2" w:rsidRPr="00267433">
        <w:rPr>
          <w:rFonts w:ascii="Times New Roman" w:hAnsi="Times New Roman" w:cs="Times New Roman"/>
          <w:sz w:val="24"/>
        </w:rPr>
        <w:t>ed States.  As shown in figure 9</w:t>
      </w:r>
      <w:r w:rsidR="00DB724D" w:rsidRPr="00267433">
        <w:rPr>
          <w:rFonts w:ascii="Times New Roman" w:hAnsi="Times New Roman" w:cs="Times New Roman"/>
          <w:sz w:val="24"/>
        </w:rPr>
        <w:t xml:space="preserve">, the number of fatalities </w:t>
      </w:r>
      <w:r w:rsidR="00951E52" w:rsidRPr="00267433">
        <w:rPr>
          <w:rFonts w:ascii="Times New Roman" w:hAnsi="Times New Roman" w:cs="Times New Roman"/>
          <w:sz w:val="24"/>
        </w:rPr>
        <w:t xml:space="preserve">in 2016 was </w:t>
      </w:r>
      <w:r w:rsidR="00DB724D" w:rsidRPr="00267433">
        <w:rPr>
          <w:rFonts w:ascii="Times New Roman" w:hAnsi="Times New Roman" w:cs="Times New Roman"/>
          <w:sz w:val="24"/>
        </w:rPr>
        <w:t>reduced</w:t>
      </w:r>
      <w:r w:rsidR="009D37F1" w:rsidRPr="00267433">
        <w:rPr>
          <w:rFonts w:ascii="Times New Roman" w:hAnsi="Times New Roman" w:cs="Times New Roman"/>
          <w:sz w:val="24"/>
        </w:rPr>
        <w:t xml:space="preserve"> by 25%</w:t>
      </w:r>
      <w:r w:rsidR="00DB724D" w:rsidRPr="00267433">
        <w:rPr>
          <w:rFonts w:ascii="Times New Roman" w:hAnsi="Times New Roman" w:cs="Times New Roman"/>
          <w:sz w:val="24"/>
        </w:rPr>
        <w:t xml:space="preserve"> compare</w:t>
      </w:r>
      <w:r w:rsidR="00D33BC5" w:rsidRPr="00267433">
        <w:rPr>
          <w:rFonts w:ascii="Times New Roman" w:hAnsi="Times New Roman" w:cs="Times New Roman"/>
          <w:sz w:val="24"/>
        </w:rPr>
        <w:t>d</w:t>
      </w:r>
      <w:r w:rsidR="00DB724D" w:rsidRPr="00267433">
        <w:rPr>
          <w:rFonts w:ascii="Times New Roman" w:hAnsi="Times New Roman" w:cs="Times New Roman"/>
          <w:sz w:val="24"/>
        </w:rPr>
        <w:t xml:space="preserve"> to 2006</w:t>
      </w:r>
      <w:r w:rsidR="00951E52" w:rsidRPr="00267433">
        <w:rPr>
          <w:rFonts w:ascii="Times New Roman" w:hAnsi="Times New Roman" w:cs="Times New Roman"/>
          <w:sz w:val="24"/>
        </w:rPr>
        <w:t>.</w:t>
      </w:r>
      <w:r w:rsidR="00A7146C" w:rsidRPr="00267433">
        <w:rPr>
          <w:rFonts w:ascii="Times New Roman" w:hAnsi="Times New Roman" w:cs="Times New Roman"/>
          <w:sz w:val="24"/>
        </w:rPr>
        <w:t xml:space="preserve"> </w:t>
      </w:r>
      <w:r w:rsidR="00951E52" w:rsidRPr="00267433">
        <w:rPr>
          <w:rFonts w:ascii="Times New Roman" w:hAnsi="Times New Roman" w:cs="Times New Roman"/>
          <w:sz w:val="24"/>
        </w:rPr>
        <w:t>The fatalities in 2006 were</w:t>
      </w:r>
      <w:r w:rsidR="00A7146C" w:rsidRPr="00267433">
        <w:rPr>
          <w:rFonts w:ascii="Times New Roman" w:hAnsi="Times New Roman" w:cs="Times New Roman"/>
          <w:sz w:val="24"/>
        </w:rPr>
        <w:t xml:space="preserve"> 1,239</w:t>
      </w:r>
      <w:r w:rsidR="00951E52" w:rsidRPr="00267433">
        <w:rPr>
          <w:rFonts w:ascii="Times New Roman" w:hAnsi="Times New Roman" w:cs="Times New Roman"/>
          <w:sz w:val="24"/>
        </w:rPr>
        <w:t>.</w:t>
      </w:r>
      <w:r w:rsidR="004840FF" w:rsidRPr="00267433">
        <w:rPr>
          <w:rFonts w:ascii="Times New Roman" w:hAnsi="Times New Roman" w:cs="Times New Roman"/>
          <w:sz w:val="24"/>
        </w:rPr>
        <w:t xml:space="preserve"> </w:t>
      </w:r>
      <w:r w:rsidR="00951E52" w:rsidRPr="00267433">
        <w:rPr>
          <w:rFonts w:ascii="Times New Roman" w:hAnsi="Times New Roman" w:cs="Times New Roman"/>
          <w:sz w:val="24"/>
        </w:rPr>
        <w:t xml:space="preserve">Despite this reduction, </w:t>
      </w:r>
      <w:r w:rsidR="00A7146C" w:rsidRPr="00267433">
        <w:rPr>
          <w:rFonts w:ascii="Times New Roman" w:hAnsi="Times New Roman" w:cs="Times New Roman"/>
          <w:sz w:val="24"/>
        </w:rPr>
        <w:t>the current number of fatalities (991) is still alarming.</w:t>
      </w:r>
      <w:r w:rsidR="00552A55" w:rsidRPr="00267433">
        <w:rPr>
          <w:rFonts w:ascii="Times New Roman" w:hAnsi="Times New Roman" w:cs="Times New Roman"/>
          <w:sz w:val="24"/>
        </w:rPr>
        <w:t xml:space="preserve"> </w:t>
      </w:r>
      <w:r w:rsidR="00951E52" w:rsidRPr="00267433">
        <w:rPr>
          <w:rFonts w:ascii="Times New Roman" w:hAnsi="Times New Roman" w:cs="Times New Roman"/>
          <w:sz w:val="24"/>
        </w:rPr>
        <w:t xml:space="preserve"> The data further shows that </w:t>
      </w:r>
      <w:r w:rsidR="00CD0231" w:rsidRPr="00267433">
        <w:rPr>
          <w:rFonts w:ascii="Times New Roman" w:hAnsi="Times New Roman" w:cs="Times New Roman"/>
          <w:sz w:val="24"/>
        </w:rPr>
        <w:t>‘</w:t>
      </w:r>
      <w:r w:rsidR="00951E52" w:rsidRPr="00267433">
        <w:rPr>
          <w:rFonts w:ascii="Times New Roman" w:hAnsi="Times New Roman" w:cs="Times New Roman"/>
          <w:sz w:val="24"/>
        </w:rPr>
        <w:t>f</w:t>
      </w:r>
      <w:r w:rsidR="00552A55" w:rsidRPr="00267433">
        <w:rPr>
          <w:rFonts w:ascii="Times New Roman" w:hAnsi="Times New Roman" w:cs="Times New Roman"/>
          <w:sz w:val="24"/>
        </w:rPr>
        <w:t xml:space="preserve">all from </w:t>
      </w:r>
      <w:r w:rsidR="00951E52" w:rsidRPr="00267433">
        <w:rPr>
          <w:rFonts w:ascii="Times New Roman" w:hAnsi="Times New Roman" w:cs="Times New Roman"/>
          <w:sz w:val="24"/>
        </w:rPr>
        <w:t xml:space="preserve">a </w:t>
      </w:r>
      <w:r w:rsidR="00552A55" w:rsidRPr="00267433">
        <w:rPr>
          <w:rFonts w:ascii="Times New Roman" w:hAnsi="Times New Roman" w:cs="Times New Roman"/>
          <w:sz w:val="24"/>
        </w:rPr>
        <w:t>height</w:t>
      </w:r>
      <w:r w:rsidR="00CD0231" w:rsidRPr="00267433">
        <w:rPr>
          <w:rFonts w:ascii="Times New Roman" w:hAnsi="Times New Roman" w:cs="Times New Roman"/>
          <w:sz w:val="24"/>
        </w:rPr>
        <w:t>’</w:t>
      </w:r>
      <w:r w:rsidR="00552A55" w:rsidRPr="00267433">
        <w:rPr>
          <w:rFonts w:ascii="Times New Roman" w:hAnsi="Times New Roman" w:cs="Times New Roman"/>
          <w:sz w:val="24"/>
        </w:rPr>
        <w:t xml:space="preserve"> </w:t>
      </w:r>
      <w:proofErr w:type="gramStart"/>
      <w:r w:rsidR="00951E52" w:rsidRPr="00267433">
        <w:rPr>
          <w:rFonts w:ascii="Times New Roman" w:hAnsi="Times New Roman" w:cs="Times New Roman"/>
          <w:sz w:val="24"/>
        </w:rPr>
        <w:t>w</w:t>
      </w:r>
      <w:r w:rsidR="00CD0231" w:rsidRPr="00267433">
        <w:rPr>
          <w:rFonts w:ascii="Times New Roman" w:hAnsi="Times New Roman" w:cs="Times New Roman"/>
          <w:sz w:val="24"/>
        </w:rPr>
        <w:t>as</w:t>
      </w:r>
      <w:proofErr w:type="gramEnd"/>
      <w:r w:rsidR="00552A55" w:rsidRPr="00267433">
        <w:rPr>
          <w:rFonts w:ascii="Times New Roman" w:hAnsi="Times New Roman" w:cs="Times New Roman"/>
          <w:sz w:val="24"/>
        </w:rPr>
        <w:t xml:space="preserve"> one of the main reasons </w:t>
      </w:r>
      <w:r w:rsidR="00CD0231" w:rsidRPr="00267433">
        <w:rPr>
          <w:rFonts w:ascii="Times New Roman" w:hAnsi="Times New Roman" w:cs="Times New Roman"/>
          <w:sz w:val="24"/>
        </w:rPr>
        <w:t>for</w:t>
      </w:r>
      <w:r w:rsidR="00552A55" w:rsidRPr="00267433">
        <w:rPr>
          <w:rFonts w:ascii="Times New Roman" w:hAnsi="Times New Roman" w:cs="Times New Roman"/>
          <w:sz w:val="24"/>
        </w:rPr>
        <w:t xml:space="preserve"> these fatal accidents</w:t>
      </w:r>
      <w:r w:rsidR="002404E4" w:rsidRPr="00267433">
        <w:rPr>
          <w:rFonts w:ascii="Times New Roman" w:hAnsi="Times New Roman" w:cs="Times New Roman"/>
          <w:sz w:val="24"/>
        </w:rPr>
        <w:t>,</w:t>
      </w:r>
      <w:r w:rsidR="00552A55" w:rsidRPr="00267433">
        <w:rPr>
          <w:rFonts w:ascii="Times New Roman" w:hAnsi="Times New Roman" w:cs="Times New Roman"/>
          <w:sz w:val="24"/>
        </w:rPr>
        <w:t xml:space="preserve"> accounted for 384</w:t>
      </w:r>
      <w:r w:rsidR="002404E4" w:rsidRPr="00267433">
        <w:rPr>
          <w:rFonts w:ascii="Times New Roman" w:hAnsi="Times New Roman" w:cs="Times New Roman"/>
          <w:sz w:val="24"/>
        </w:rPr>
        <w:t xml:space="preserve"> deaths</w:t>
      </w:r>
      <w:r w:rsidR="00552A55" w:rsidRPr="00267433">
        <w:rPr>
          <w:rFonts w:ascii="Times New Roman" w:hAnsi="Times New Roman" w:cs="Times New Roman"/>
          <w:sz w:val="24"/>
        </w:rPr>
        <w:t xml:space="preserve"> (39%).</w:t>
      </w:r>
      <w:r w:rsidR="003835DB" w:rsidRPr="00267433">
        <w:rPr>
          <w:rFonts w:ascii="Times New Roman" w:hAnsi="Times New Roman" w:cs="Times New Roman"/>
          <w:sz w:val="24"/>
        </w:rPr>
        <w:t xml:space="preserve"> </w:t>
      </w:r>
    </w:p>
    <w:p w14:paraId="75F8E7A8" w14:textId="0E3C37BF" w:rsidR="00C134AA" w:rsidRDefault="00C134AA" w:rsidP="00556D08">
      <w:pPr>
        <w:spacing w:line="360" w:lineRule="auto"/>
        <w:jc w:val="center"/>
        <w:rPr>
          <w:rFonts w:ascii="Times New Roman" w:hAnsi="Times New Roman" w:cs="Times New Roman"/>
          <w:b/>
          <w:sz w:val="24"/>
        </w:rPr>
      </w:pPr>
      <w:r>
        <w:rPr>
          <w:noProof/>
        </w:rPr>
        <w:lastRenderedPageBreak/>
        <w:drawing>
          <wp:inline distT="0" distB="0" distL="0" distR="0" wp14:anchorId="373357AE" wp14:editId="47B77804">
            <wp:extent cx="5153025" cy="3200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5FDDF8" w14:textId="3EB343EB" w:rsidR="008C286C" w:rsidRPr="00267433" w:rsidRDefault="00797D92" w:rsidP="00556D08">
      <w:pPr>
        <w:spacing w:line="360" w:lineRule="auto"/>
        <w:jc w:val="center"/>
        <w:rPr>
          <w:rFonts w:ascii="Times New Roman" w:hAnsi="Times New Roman" w:cs="Times New Roman"/>
          <w:sz w:val="24"/>
        </w:rPr>
      </w:pPr>
      <w:r w:rsidRPr="00267433">
        <w:rPr>
          <w:rFonts w:ascii="Times New Roman" w:hAnsi="Times New Roman" w:cs="Times New Roman"/>
          <w:b/>
          <w:sz w:val="24"/>
        </w:rPr>
        <w:t>Figure 9</w:t>
      </w:r>
      <w:r w:rsidR="008C286C" w:rsidRPr="00267433">
        <w:rPr>
          <w:rFonts w:ascii="Times New Roman" w:hAnsi="Times New Roman" w:cs="Times New Roman"/>
          <w:b/>
          <w:sz w:val="24"/>
        </w:rPr>
        <w:t xml:space="preserve">: Construction </w:t>
      </w:r>
      <w:r w:rsidR="00B30BA8" w:rsidRPr="00267433">
        <w:rPr>
          <w:rFonts w:ascii="Times New Roman" w:hAnsi="Times New Roman" w:cs="Times New Roman"/>
          <w:b/>
          <w:sz w:val="24"/>
        </w:rPr>
        <w:t>w</w:t>
      </w:r>
      <w:r w:rsidR="008C286C" w:rsidRPr="00267433">
        <w:rPr>
          <w:rFonts w:ascii="Times New Roman" w:hAnsi="Times New Roman" w:cs="Times New Roman"/>
          <w:b/>
          <w:sz w:val="24"/>
        </w:rPr>
        <w:t xml:space="preserve">orker </w:t>
      </w:r>
      <w:r w:rsidR="00B30BA8" w:rsidRPr="00267433">
        <w:rPr>
          <w:rFonts w:ascii="Times New Roman" w:hAnsi="Times New Roman" w:cs="Times New Roman"/>
          <w:b/>
          <w:sz w:val="24"/>
        </w:rPr>
        <w:t>f</w:t>
      </w:r>
      <w:r w:rsidR="008C286C" w:rsidRPr="00267433">
        <w:rPr>
          <w:rFonts w:ascii="Times New Roman" w:hAnsi="Times New Roman" w:cs="Times New Roman"/>
          <w:b/>
          <w:sz w:val="24"/>
        </w:rPr>
        <w:t xml:space="preserve">atalities and </w:t>
      </w:r>
      <w:r w:rsidR="00B30BA8" w:rsidRPr="00267433">
        <w:rPr>
          <w:rFonts w:ascii="Times New Roman" w:hAnsi="Times New Roman" w:cs="Times New Roman"/>
          <w:b/>
          <w:sz w:val="24"/>
        </w:rPr>
        <w:t>fatalities i</w:t>
      </w:r>
      <w:r w:rsidR="008C286C" w:rsidRPr="00267433">
        <w:rPr>
          <w:rFonts w:ascii="Times New Roman" w:hAnsi="Times New Roman" w:cs="Times New Roman"/>
          <w:b/>
          <w:sz w:val="24"/>
        </w:rPr>
        <w:t xml:space="preserve">njury </w:t>
      </w:r>
      <w:r w:rsidR="00B30BA8" w:rsidRPr="00267433">
        <w:rPr>
          <w:rFonts w:ascii="Times New Roman" w:hAnsi="Times New Roman" w:cs="Times New Roman"/>
          <w:b/>
          <w:sz w:val="24"/>
        </w:rPr>
        <w:t>r</w:t>
      </w:r>
      <w:r w:rsidR="008C286C" w:rsidRPr="00267433">
        <w:rPr>
          <w:rFonts w:ascii="Times New Roman" w:hAnsi="Times New Roman" w:cs="Times New Roman"/>
          <w:b/>
          <w:sz w:val="24"/>
        </w:rPr>
        <w:t>ate</w:t>
      </w:r>
      <w:r w:rsidR="002B08CC" w:rsidRPr="00267433">
        <w:rPr>
          <w:rFonts w:ascii="Times New Roman" w:hAnsi="Times New Roman" w:cs="Times New Roman"/>
          <w:b/>
          <w:sz w:val="24"/>
        </w:rPr>
        <w:t xml:space="preserve"> in USA-2016</w:t>
      </w:r>
      <w:r w:rsidR="008C286C" w:rsidRPr="00267433">
        <w:rPr>
          <w:rFonts w:ascii="Times New Roman" w:hAnsi="Times New Roman" w:cs="Times New Roman"/>
          <w:b/>
          <w:sz w:val="24"/>
        </w:rPr>
        <w:t xml:space="preserve"> (BLS, 2018).</w:t>
      </w:r>
    </w:p>
    <w:p w14:paraId="1A66769C" w14:textId="31FA5E5A" w:rsidR="00AC4217" w:rsidRPr="00267433" w:rsidRDefault="004403F7" w:rsidP="00552A55">
      <w:pPr>
        <w:spacing w:line="360" w:lineRule="auto"/>
        <w:jc w:val="both"/>
        <w:rPr>
          <w:rFonts w:ascii="Times New Roman" w:hAnsi="Times New Roman" w:cs="Times New Roman"/>
          <w:sz w:val="24"/>
        </w:rPr>
      </w:pPr>
      <w:r w:rsidRPr="00267433">
        <w:rPr>
          <w:rFonts w:ascii="Times New Roman" w:hAnsi="Times New Roman" w:cs="Times New Roman"/>
          <w:sz w:val="24"/>
        </w:rPr>
        <w:t>Similarly, t</w:t>
      </w:r>
      <w:r w:rsidR="00AF65F2" w:rsidRPr="00267433">
        <w:rPr>
          <w:rFonts w:ascii="Times New Roman" w:hAnsi="Times New Roman" w:cs="Times New Roman"/>
          <w:sz w:val="24"/>
        </w:rPr>
        <w:t>he statistics published by the Health and Safety Executive (HSE) in the United Kingdom show that there were 144 fatal injuries to workers in the past year</w:t>
      </w:r>
      <w:r w:rsidR="00380F8F" w:rsidRPr="00267433">
        <w:rPr>
          <w:rFonts w:ascii="Times New Roman" w:hAnsi="Times New Roman" w:cs="Times New Roman"/>
          <w:sz w:val="24"/>
        </w:rPr>
        <w:t>,</w:t>
      </w:r>
      <w:r w:rsidR="00AF65F2" w:rsidRPr="00267433">
        <w:rPr>
          <w:rFonts w:ascii="Times New Roman" w:hAnsi="Times New Roman" w:cs="Times New Roman"/>
          <w:sz w:val="24"/>
        </w:rPr>
        <w:t xml:space="preserve"> out of which 38 were from </w:t>
      </w:r>
      <w:r w:rsidR="00CD0231" w:rsidRPr="00267433">
        <w:rPr>
          <w:rFonts w:ascii="Times New Roman" w:hAnsi="Times New Roman" w:cs="Times New Roman"/>
          <w:sz w:val="24"/>
        </w:rPr>
        <w:t xml:space="preserve">the </w:t>
      </w:r>
      <w:r w:rsidR="00AF65F2" w:rsidRPr="00267433">
        <w:rPr>
          <w:rFonts w:ascii="Times New Roman" w:hAnsi="Times New Roman" w:cs="Times New Roman"/>
          <w:sz w:val="24"/>
        </w:rPr>
        <w:t>construction</w:t>
      </w:r>
      <w:r w:rsidR="00653AFC" w:rsidRPr="00267433">
        <w:rPr>
          <w:rFonts w:ascii="Times New Roman" w:hAnsi="Times New Roman" w:cs="Times New Roman"/>
          <w:sz w:val="24"/>
        </w:rPr>
        <w:t xml:space="preserve"> sector</w:t>
      </w:r>
      <w:r w:rsidR="00AF65F2" w:rsidRPr="00267433">
        <w:rPr>
          <w:rFonts w:ascii="Times New Roman" w:hAnsi="Times New Roman" w:cs="Times New Roman"/>
          <w:sz w:val="24"/>
        </w:rPr>
        <w:t xml:space="preserve"> as shown in figure 1</w:t>
      </w:r>
      <w:r w:rsidR="007F7CA2" w:rsidRPr="00267433">
        <w:rPr>
          <w:rFonts w:ascii="Times New Roman" w:hAnsi="Times New Roman" w:cs="Times New Roman"/>
          <w:sz w:val="24"/>
        </w:rPr>
        <w:t>0</w:t>
      </w:r>
      <w:r w:rsidR="00AF65F2" w:rsidRPr="00267433">
        <w:rPr>
          <w:rFonts w:ascii="Times New Roman" w:hAnsi="Times New Roman" w:cs="Times New Roman"/>
          <w:sz w:val="24"/>
        </w:rPr>
        <w:t>.</w:t>
      </w:r>
      <w:r w:rsidR="007B5070" w:rsidRPr="00267433">
        <w:rPr>
          <w:rFonts w:ascii="Times New Roman" w:hAnsi="Times New Roman" w:cs="Times New Roman"/>
          <w:sz w:val="24"/>
        </w:rPr>
        <w:t xml:space="preserve"> </w:t>
      </w:r>
      <w:r w:rsidR="00552A55" w:rsidRPr="00267433">
        <w:rPr>
          <w:rFonts w:ascii="Times New Roman" w:hAnsi="Times New Roman" w:cs="Times New Roman"/>
          <w:sz w:val="24"/>
        </w:rPr>
        <w:t xml:space="preserve">The main reason </w:t>
      </w:r>
      <w:r w:rsidR="00A642C0" w:rsidRPr="00267433">
        <w:rPr>
          <w:rFonts w:ascii="Times New Roman" w:hAnsi="Times New Roman" w:cs="Times New Roman"/>
          <w:sz w:val="24"/>
        </w:rPr>
        <w:t>for the</w:t>
      </w:r>
      <w:r w:rsidR="00552A55" w:rsidRPr="00267433">
        <w:rPr>
          <w:rFonts w:ascii="Times New Roman" w:hAnsi="Times New Roman" w:cs="Times New Roman"/>
          <w:sz w:val="24"/>
        </w:rPr>
        <w:t xml:space="preserve"> fatal</w:t>
      </w:r>
      <w:r w:rsidR="00A642C0" w:rsidRPr="00267433">
        <w:rPr>
          <w:rFonts w:ascii="Times New Roman" w:hAnsi="Times New Roman" w:cs="Times New Roman"/>
          <w:sz w:val="24"/>
        </w:rPr>
        <w:t>itie</w:t>
      </w:r>
      <w:r w:rsidR="00552A55" w:rsidRPr="00267433">
        <w:rPr>
          <w:rFonts w:ascii="Times New Roman" w:hAnsi="Times New Roman" w:cs="Times New Roman"/>
          <w:sz w:val="24"/>
        </w:rPr>
        <w:t xml:space="preserve">s in the UK is </w:t>
      </w:r>
      <w:r w:rsidR="007B5070" w:rsidRPr="00267433">
        <w:rPr>
          <w:rFonts w:ascii="Times New Roman" w:hAnsi="Times New Roman" w:cs="Times New Roman"/>
          <w:sz w:val="24"/>
        </w:rPr>
        <w:t xml:space="preserve">similar to the </w:t>
      </w:r>
      <w:r w:rsidR="00552A55" w:rsidRPr="00267433">
        <w:rPr>
          <w:rFonts w:ascii="Times New Roman" w:hAnsi="Times New Roman" w:cs="Times New Roman"/>
          <w:sz w:val="24"/>
        </w:rPr>
        <w:t xml:space="preserve">USA, which </w:t>
      </w:r>
      <w:r w:rsidR="00CD0231" w:rsidRPr="00267433">
        <w:rPr>
          <w:rFonts w:ascii="Times New Roman" w:hAnsi="Times New Roman" w:cs="Times New Roman"/>
          <w:sz w:val="24"/>
        </w:rPr>
        <w:t>is falls</w:t>
      </w:r>
      <w:r w:rsidR="00552A55" w:rsidRPr="00267433">
        <w:rPr>
          <w:rFonts w:ascii="Times New Roman" w:hAnsi="Times New Roman" w:cs="Times New Roman"/>
          <w:sz w:val="24"/>
        </w:rPr>
        <w:t xml:space="preserve"> from height</w:t>
      </w:r>
      <w:r w:rsidR="007B5070" w:rsidRPr="00267433">
        <w:rPr>
          <w:rFonts w:ascii="Times New Roman" w:hAnsi="Times New Roman" w:cs="Times New Roman"/>
          <w:sz w:val="24"/>
        </w:rPr>
        <w:t>,</w:t>
      </w:r>
      <w:r w:rsidR="00552A55" w:rsidRPr="00267433">
        <w:rPr>
          <w:rFonts w:ascii="Times New Roman" w:hAnsi="Times New Roman" w:cs="Times New Roman"/>
          <w:sz w:val="24"/>
        </w:rPr>
        <w:t xml:space="preserve"> account</w:t>
      </w:r>
      <w:r w:rsidR="007B5070" w:rsidRPr="00267433">
        <w:rPr>
          <w:rFonts w:ascii="Times New Roman" w:hAnsi="Times New Roman" w:cs="Times New Roman"/>
          <w:sz w:val="24"/>
        </w:rPr>
        <w:t>ed</w:t>
      </w:r>
      <w:r w:rsidR="00552A55" w:rsidRPr="00267433">
        <w:rPr>
          <w:rFonts w:ascii="Times New Roman" w:hAnsi="Times New Roman" w:cs="Times New Roman"/>
          <w:sz w:val="24"/>
        </w:rPr>
        <w:t xml:space="preserve"> for 35 (24.3%) of the total fatal accidents (HSE, 2018).</w:t>
      </w:r>
      <w:r w:rsidR="001D2D5F" w:rsidRPr="00267433">
        <w:rPr>
          <w:rFonts w:ascii="Times New Roman" w:hAnsi="Times New Roman" w:cs="Times New Roman"/>
          <w:sz w:val="24"/>
        </w:rPr>
        <w:t xml:space="preserve"> The comparison of fatalities which was 233 in 20</w:t>
      </w:r>
      <w:r w:rsidR="003745D2" w:rsidRPr="00267433">
        <w:rPr>
          <w:rFonts w:ascii="Times New Roman" w:hAnsi="Times New Roman" w:cs="Times New Roman"/>
          <w:sz w:val="24"/>
        </w:rPr>
        <w:t>0</w:t>
      </w:r>
      <w:r w:rsidR="001D2D5F" w:rsidRPr="00267433">
        <w:rPr>
          <w:rFonts w:ascii="Times New Roman" w:hAnsi="Times New Roman" w:cs="Times New Roman"/>
          <w:sz w:val="24"/>
        </w:rPr>
        <w:t>7-2008 and 144 in 201</w:t>
      </w:r>
      <w:r w:rsidR="003745D2" w:rsidRPr="00267433">
        <w:rPr>
          <w:rFonts w:ascii="Times New Roman" w:hAnsi="Times New Roman" w:cs="Times New Roman"/>
          <w:sz w:val="24"/>
        </w:rPr>
        <w:t>7</w:t>
      </w:r>
      <w:r w:rsidR="001D2D5F" w:rsidRPr="00267433">
        <w:rPr>
          <w:rFonts w:ascii="Times New Roman" w:hAnsi="Times New Roman" w:cs="Times New Roman"/>
          <w:sz w:val="24"/>
        </w:rPr>
        <w:t>-2018 show</w:t>
      </w:r>
      <w:r w:rsidR="00970713" w:rsidRPr="00267433">
        <w:rPr>
          <w:rFonts w:ascii="Times New Roman" w:hAnsi="Times New Roman" w:cs="Times New Roman"/>
          <w:sz w:val="24"/>
        </w:rPr>
        <w:t>s</w:t>
      </w:r>
      <w:r w:rsidR="001D2D5F" w:rsidRPr="00267433">
        <w:rPr>
          <w:rFonts w:ascii="Times New Roman" w:hAnsi="Times New Roman" w:cs="Times New Roman"/>
          <w:sz w:val="24"/>
        </w:rPr>
        <w:t xml:space="preserve"> that the fatality rate has been down by 62%. The safety performance in the United Kingdom is</w:t>
      </w:r>
      <w:r w:rsidR="00CD0231" w:rsidRPr="00267433">
        <w:rPr>
          <w:rFonts w:ascii="Times New Roman" w:hAnsi="Times New Roman" w:cs="Times New Roman"/>
          <w:sz w:val="24"/>
        </w:rPr>
        <w:t>,</w:t>
      </w:r>
      <w:r w:rsidR="001D2D5F" w:rsidRPr="00267433">
        <w:rPr>
          <w:rFonts w:ascii="Times New Roman" w:hAnsi="Times New Roman" w:cs="Times New Roman"/>
          <w:sz w:val="24"/>
        </w:rPr>
        <w:t xml:space="preserve"> therefore, comparatively better than the United States as the reduction in fatalities was only 25% in the United States. </w:t>
      </w:r>
      <w:r w:rsidR="003239BB" w:rsidRPr="00267433">
        <w:rPr>
          <w:rFonts w:ascii="Times New Roman" w:hAnsi="Times New Roman" w:cs="Times New Roman"/>
          <w:sz w:val="24"/>
        </w:rPr>
        <w:t>T</w:t>
      </w:r>
      <w:r w:rsidR="001D2D5F" w:rsidRPr="00267433">
        <w:rPr>
          <w:rFonts w:ascii="Times New Roman" w:hAnsi="Times New Roman" w:cs="Times New Roman"/>
          <w:sz w:val="24"/>
        </w:rPr>
        <w:t xml:space="preserve">his </w:t>
      </w:r>
      <w:r w:rsidR="003239BB" w:rsidRPr="00267433">
        <w:rPr>
          <w:rFonts w:ascii="Times New Roman" w:hAnsi="Times New Roman" w:cs="Times New Roman"/>
          <w:sz w:val="24"/>
        </w:rPr>
        <w:t xml:space="preserve">is </w:t>
      </w:r>
      <w:r w:rsidR="001D2D5F" w:rsidRPr="00267433">
        <w:rPr>
          <w:rFonts w:ascii="Times New Roman" w:hAnsi="Times New Roman" w:cs="Times New Roman"/>
          <w:sz w:val="24"/>
        </w:rPr>
        <w:t xml:space="preserve">a simple comparison which </w:t>
      </w:r>
      <w:r w:rsidR="00533DD0" w:rsidRPr="00267433">
        <w:rPr>
          <w:rFonts w:ascii="Times New Roman" w:hAnsi="Times New Roman" w:cs="Times New Roman"/>
          <w:sz w:val="24"/>
        </w:rPr>
        <w:t>only considers</w:t>
      </w:r>
      <w:r w:rsidR="001D2D5F" w:rsidRPr="00267433">
        <w:rPr>
          <w:rFonts w:ascii="Times New Roman" w:hAnsi="Times New Roman" w:cs="Times New Roman"/>
          <w:sz w:val="24"/>
        </w:rPr>
        <w:t xml:space="preserve"> the reduction in </w:t>
      </w:r>
      <w:r w:rsidR="00D838C4" w:rsidRPr="00267433">
        <w:rPr>
          <w:rFonts w:ascii="Times New Roman" w:hAnsi="Times New Roman" w:cs="Times New Roman"/>
          <w:sz w:val="24"/>
        </w:rPr>
        <w:t xml:space="preserve">the </w:t>
      </w:r>
      <w:r w:rsidR="001D2D5F" w:rsidRPr="00267433">
        <w:rPr>
          <w:rFonts w:ascii="Times New Roman" w:hAnsi="Times New Roman" w:cs="Times New Roman"/>
          <w:sz w:val="24"/>
        </w:rPr>
        <w:t>number of fatalities</w:t>
      </w:r>
      <w:r w:rsidR="007B5070" w:rsidRPr="00267433">
        <w:rPr>
          <w:rFonts w:ascii="Times New Roman" w:hAnsi="Times New Roman" w:cs="Times New Roman"/>
          <w:sz w:val="24"/>
        </w:rPr>
        <w:t xml:space="preserve">, irrespective </w:t>
      </w:r>
      <w:r w:rsidR="00CD0231" w:rsidRPr="00267433">
        <w:rPr>
          <w:rFonts w:ascii="Times New Roman" w:hAnsi="Times New Roman" w:cs="Times New Roman"/>
          <w:sz w:val="24"/>
        </w:rPr>
        <w:t>of</w:t>
      </w:r>
      <w:r w:rsidR="007B5070" w:rsidRPr="00267433">
        <w:rPr>
          <w:rFonts w:ascii="Times New Roman" w:hAnsi="Times New Roman" w:cs="Times New Roman"/>
          <w:sz w:val="24"/>
        </w:rPr>
        <w:t xml:space="preserve"> the size of the industries in both countries</w:t>
      </w:r>
      <w:r w:rsidR="00533DD0" w:rsidRPr="00267433">
        <w:rPr>
          <w:rFonts w:ascii="Times New Roman" w:hAnsi="Times New Roman" w:cs="Times New Roman"/>
          <w:sz w:val="24"/>
        </w:rPr>
        <w:t xml:space="preserve">. </w:t>
      </w:r>
      <w:r w:rsidR="007B5070" w:rsidRPr="00267433">
        <w:rPr>
          <w:rFonts w:ascii="Times New Roman" w:hAnsi="Times New Roman" w:cs="Times New Roman"/>
          <w:sz w:val="24"/>
        </w:rPr>
        <w:t>It is</w:t>
      </w:r>
      <w:r w:rsidR="00CD0231" w:rsidRPr="00267433">
        <w:rPr>
          <w:rFonts w:ascii="Times New Roman" w:hAnsi="Times New Roman" w:cs="Times New Roman"/>
          <w:sz w:val="24"/>
        </w:rPr>
        <w:t>, therefore,</w:t>
      </w:r>
      <w:r w:rsidR="007B5070" w:rsidRPr="00267433">
        <w:rPr>
          <w:rFonts w:ascii="Times New Roman" w:hAnsi="Times New Roman" w:cs="Times New Roman"/>
          <w:sz w:val="24"/>
        </w:rPr>
        <w:t xml:space="preserve"> necessary that </w:t>
      </w:r>
      <w:r w:rsidR="001D2D5F" w:rsidRPr="00267433">
        <w:rPr>
          <w:rFonts w:ascii="Times New Roman" w:hAnsi="Times New Roman" w:cs="Times New Roman"/>
          <w:sz w:val="24"/>
        </w:rPr>
        <w:t xml:space="preserve">other parameters need to be considered </w:t>
      </w:r>
      <w:r w:rsidR="007B5070" w:rsidRPr="00267433">
        <w:rPr>
          <w:rFonts w:ascii="Times New Roman" w:hAnsi="Times New Roman" w:cs="Times New Roman"/>
          <w:sz w:val="24"/>
        </w:rPr>
        <w:t>in such comparison</w:t>
      </w:r>
      <w:r w:rsidR="001D2D5F" w:rsidRPr="00267433">
        <w:rPr>
          <w:rFonts w:ascii="Times New Roman" w:hAnsi="Times New Roman" w:cs="Times New Roman"/>
          <w:sz w:val="24"/>
        </w:rPr>
        <w:t xml:space="preserve">. </w:t>
      </w:r>
      <w:r w:rsidR="00BE2C18" w:rsidRPr="00267433">
        <w:rPr>
          <w:rFonts w:ascii="Times New Roman" w:hAnsi="Times New Roman" w:cs="Times New Roman"/>
          <w:sz w:val="24"/>
        </w:rPr>
        <w:t xml:space="preserve">The comparison of </w:t>
      </w:r>
      <w:r w:rsidR="0069149F">
        <w:rPr>
          <w:rFonts w:ascii="Times New Roman" w:hAnsi="Times New Roman" w:cs="Times New Roman"/>
          <w:sz w:val="24"/>
        </w:rPr>
        <w:t xml:space="preserve">the </w:t>
      </w:r>
      <w:r w:rsidR="00BE2C18" w:rsidRPr="00267433">
        <w:rPr>
          <w:rFonts w:ascii="Times New Roman" w:hAnsi="Times New Roman" w:cs="Times New Roman"/>
          <w:sz w:val="24"/>
        </w:rPr>
        <w:t>safety performance of one country with another country could</w:t>
      </w:r>
      <w:r w:rsidR="00B1177F" w:rsidRPr="00267433">
        <w:rPr>
          <w:rFonts w:ascii="Times New Roman" w:hAnsi="Times New Roman" w:cs="Times New Roman"/>
          <w:sz w:val="24"/>
        </w:rPr>
        <w:t xml:space="preserve"> help</w:t>
      </w:r>
      <w:r w:rsidR="001D2D5F" w:rsidRPr="00267433">
        <w:rPr>
          <w:rFonts w:ascii="Times New Roman" w:hAnsi="Times New Roman" w:cs="Times New Roman"/>
          <w:sz w:val="24"/>
        </w:rPr>
        <w:t xml:space="preserve"> organizations to learn from each other</w:t>
      </w:r>
      <w:r w:rsidR="007B3AA5" w:rsidRPr="00267433">
        <w:rPr>
          <w:rFonts w:ascii="Times New Roman" w:hAnsi="Times New Roman" w:cs="Times New Roman"/>
          <w:sz w:val="24"/>
        </w:rPr>
        <w:t>’s</w:t>
      </w:r>
      <w:r w:rsidR="001D2D5F" w:rsidRPr="00267433">
        <w:rPr>
          <w:rFonts w:ascii="Times New Roman" w:hAnsi="Times New Roman" w:cs="Times New Roman"/>
          <w:sz w:val="24"/>
        </w:rPr>
        <w:t xml:space="preserve"> experience and to </w:t>
      </w:r>
      <w:r w:rsidR="00A515E1" w:rsidRPr="00267433">
        <w:rPr>
          <w:rFonts w:ascii="Times New Roman" w:hAnsi="Times New Roman" w:cs="Times New Roman"/>
          <w:sz w:val="24"/>
        </w:rPr>
        <w:t>i</w:t>
      </w:r>
      <w:r w:rsidR="001D2D5F" w:rsidRPr="00267433">
        <w:rPr>
          <w:rFonts w:ascii="Times New Roman" w:hAnsi="Times New Roman" w:cs="Times New Roman"/>
          <w:sz w:val="24"/>
        </w:rPr>
        <w:t>mprove the safety per</w:t>
      </w:r>
      <w:r w:rsidR="00A515E1" w:rsidRPr="00267433">
        <w:rPr>
          <w:rFonts w:ascii="Times New Roman" w:hAnsi="Times New Roman" w:cs="Times New Roman"/>
          <w:sz w:val="24"/>
        </w:rPr>
        <w:t xml:space="preserve">formance in their respective jurisdictions. </w:t>
      </w:r>
      <w:r w:rsidR="001D2D5F" w:rsidRPr="00267433">
        <w:rPr>
          <w:rFonts w:ascii="Times New Roman" w:hAnsi="Times New Roman" w:cs="Times New Roman"/>
          <w:sz w:val="24"/>
        </w:rPr>
        <w:t xml:space="preserve">       </w:t>
      </w:r>
      <w:r w:rsidR="009D37F1" w:rsidRPr="00267433">
        <w:rPr>
          <w:rFonts w:ascii="Times New Roman" w:hAnsi="Times New Roman" w:cs="Times New Roman"/>
          <w:sz w:val="24"/>
        </w:rPr>
        <w:t xml:space="preserve"> </w:t>
      </w:r>
    </w:p>
    <w:p w14:paraId="0A8FA10D" w14:textId="2717CF02" w:rsidR="00C134AA" w:rsidRDefault="00C134AA" w:rsidP="00AC4217">
      <w:pPr>
        <w:spacing w:line="360" w:lineRule="auto"/>
        <w:jc w:val="center"/>
        <w:rPr>
          <w:rFonts w:ascii="Times New Roman" w:hAnsi="Times New Roman" w:cs="Times New Roman"/>
          <w:b/>
          <w:sz w:val="24"/>
        </w:rPr>
      </w:pPr>
      <w:r>
        <w:rPr>
          <w:noProof/>
        </w:rPr>
        <w:lastRenderedPageBreak/>
        <w:drawing>
          <wp:inline distT="0" distB="0" distL="0" distR="0" wp14:anchorId="576D3945" wp14:editId="143AF917">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CC4ABC" w14:textId="77777777" w:rsidR="00AC4217" w:rsidRPr="00267433" w:rsidRDefault="00AC4217" w:rsidP="00AC4217">
      <w:pPr>
        <w:spacing w:line="360" w:lineRule="auto"/>
        <w:jc w:val="center"/>
        <w:rPr>
          <w:rFonts w:ascii="Times New Roman" w:hAnsi="Times New Roman" w:cs="Times New Roman"/>
          <w:b/>
          <w:sz w:val="24"/>
        </w:rPr>
      </w:pPr>
      <w:r w:rsidRPr="00267433">
        <w:rPr>
          <w:rFonts w:ascii="Times New Roman" w:hAnsi="Times New Roman" w:cs="Times New Roman"/>
          <w:b/>
          <w:sz w:val="24"/>
        </w:rPr>
        <w:t>Figure</w:t>
      </w:r>
      <w:r w:rsidR="00F31795" w:rsidRPr="00267433">
        <w:rPr>
          <w:rFonts w:ascii="Times New Roman" w:hAnsi="Times New Roman" w:cs="Times New Roman"/>
          <w:b/>
          <w:sz w:val="24"/>
        </w:rPr>
        <w:t xml:space="preserve"> 1</w:t>
      </w:r>
      <w:r w:rsidR="00797D92" w:rsidRPr="00267433">
        <w:rPr>
          <w:rFonts w:ascii="Times New Roman" w:hAnsi="Times New Roman" w:cs="Times New Roman"/>
          <w:b/>
          <w:sz w:val="24"/>
        </w:rPr>
        <w:t>0</w:t>
      </w:r>
      <w:r w:rsidR="00F31795" w:rsidRPr="00267433">
        <w:rPr>
          <w:rFonts w:ascii="Times New Roman" w:hAnsi="Times New Roman" w:cs="Times New Roman"/>
          <w:b/>
          <w:sz w:val="24"/>
        </w:rPr>
        <w:t>:</w:t>
      </w:r>
      <w:r w:rsidRPr="00267433">
        <w:rPr>
          <w:rFonts w:ascii="Times New Roman" w:hAnsi="Times New Roman" w:cs="Times New Roman"/>
          <w:b/>
          <w:sz w:val="24"/>
        </w:rPr>
        <w:t xml:space="preserve"> Occupational Fatal Injuries in UK 2017-2018 (HSE, </w:t>
      </w:r>
      <w:r w:rsidR="00F31795" w:rsidRPr="00267433">
        <w:rPr>
          <w:rFonts w:ascii="Times New Roman" w:hAnsi="Times New Roman" w:cs="Times New Roman"/>
          <w:b/>
          <w:sz w:val="24"/>
        </w:rPr>
        <w:t>2018</w:t>
      </w:r>
      <w:r w:rsidRPr="00267433">
        <w:rPr>
          <w:rFonts w:ascii="Times New Roman" w:hAnsi="Times New Roman" w:cs="Times New Roman"/>
          <w:b/>
          <w:sz w:val="24"/>
        </w:rPr>
        <w:t>)</w:t>
      </w:r>
    </w:p>
    <w:p w14:paraId="7A162B2E" w14:textId="44DB3163" w:rsidR="00500402" w:rsidRPr="00267433" w:rsidRDefault="00836346" w:rsidP="00A1137E">
      <w:pPr>
        <w:spacing w:line="360" w:lineRule="auto"/>
        <w:jc w:val="both"/>
        <w:rPr>
          <w:rFonts w:ascii="Times New Roman" w:hAnsi="Times New Roman" w:cs="Times New Roman"/>
          <w:sz w:val="24"/>
        </w:rPr>
      </w:pPr>
      <w:r w:rsidRPr="00267433">
        <w:rPr>
          <w:rFonts w:ascii="Times New Roman" w:hAnsi="Times New Roman" w:cs="Times New Roman"/>
          <w:sz w:val="24"/>
        </w:rPr>
        <w:t>Similarly, i</w:t>
      </w:r>
      <w:r w:rsidR="00A515E1" w:rsidRPr="00267433">
        <w:rPr>
          <w:rFonts w:ascii="Times New Roman" w:hAnsi="Times New Roman" w:cs="Times New Roman"/>
          <w:sz w:val="24"/>
        </w:rPr>
        <w:t xml:space="preserve">n Australia, there have been 182 fatalities in 2016 representing a rate of death of 1.5 per 100,000 workers (Safe Work Australia, 2018). </w:t>
      </w:r>
      <w:r w:rsidR="00B1177F" w:rsidRPr="00267433">
        <w:rPr>
          <w:rFonts w:ascii="Times New Roman" w:hAnsi="Times New Roman" w:cs="Times New Roman"/>
          <w:sz w:val="24"/>
        </w:rPr>
        <w:t>The number of fatalities and fatalities rate, both have been reduced in Australia since 2006, which was 284 and 2.8</w:t>
      </w:r>
      <w:r w:rsidR="003C0EEB" w:rsidRPr="00267433">
        <w:rPr>
          <w:rFonts w:ascii="Times New Roman" w:hAnsi="Times New Roman" w:cs="Times New Roman"/>
          <w:sz w:val="24"/>
        </w:rPr>
        <w:t>%</w:t>
      </w:r>
      <w:r w:rsidR="00B1177F" w:rsidRPr="00267433">
        <w:rPr>
          <w:rFonts w:ascii="Times New Roman" w:hAnsi="Times New Roman" w:cs="Times New Roman"/>
          <w:sz w:val="24"/>
        </w:rPr>
        <w:t xml:space="preserve"> re</w:t>
      </w:r>
      <w:r w:rsidR="007F7CA2" w:rsidRPr="00267433">
        <w:rPr>
          <w:rFonts w:ascii="Times New Roman" w:hAnsi="Times New Roman" w:cs="Times New Roman"/>
          <w:sz w:val="24"/>
        </w:rPr>
        <w:t>spectively as shown in figure 1</w:t>
      </w:r>
      <w:r w:rsidR="009C3AAF" w:rsidRPr="00267433">
        <w:rPr>
          <w:rFonts w:ascii="Times New Roman" w:hAnsi="Times New Roman" w:cs="Times New Roman"/>
          <w:sz w:val="24"/>
        </w:rPr>
        <w:t>1</w:t>
      </w:r>
      <w:r w:rsidR="00B1177F" w:rsidRPr="00267433">
        <w:rPr>
          <w:rFonts w:ascii="Times New Roman" w:hAnsi="Times New Roman" w:cs="Times New Roman"/>
          <w:sz w:val="24"/>
        </w:rPr>
        <w:t xml:space="preserve">. The reduction in </w:t>
      </w:r>
      <w:r w:rsidR="00041374" w:rsidRPr="00267433">
        <w:rPr>
          <w:rFonts w:ascii="Times New Roman" w:hAnsi="Times New Roman" w:cs="Times New Roman"/>
          <w:sz w:val="24"/>
        </w:rPr>
        <w:t xml:space="preserve">the </w:t>
      </w:r>
      <w:r w:rsidR="00B1177F" w:rsidRPr="00267433">
        <w:rPr>
          <w:rFonts w:ascii="Times New Roman" w:hAnsi="Times New Roman" w:cs="Times New Roman"/>
          <w:sz w:val="24"/>
        </w:rPr>
        <w:t>number of fatalities considering</w:t>
      </w:r>
      <w:r w:rsidR="00C91151" w:rsidRPr="00267433">
        <w:rPr>
          <w:rFonts w:ascii="Times New Roman" w:hAnsi="Times New Roman" w:cs="Times New Roman"/>
          <w:sz w:val="24"/>
        </w:rPr>
        <w:t xml:space="preserve"> the</w:t>
      </w:r>
      <w:r w:rsidR="00B1177F" w:rsidRPr="00267433">
        <w:rPr>
          <w:rFonts w:ascii="Times New Roman" w:hAnsi="Times New Roman" w:cs="Times New Roman"/>
          <w:sz w:val="24"/>
        </w:rPr>
        <w:t xml:space="preserve"> 2006 and 2016 data is recorded as 56%.</w:t>
      </w:r>
      <w:r w:rsidR="0069382D" w:rsidRPr="00267433">
        <w:rPr>
          <w:rFonts w:ascii="Times New Roman" w:hAnsi="Times New Roman" w:cs="Times New Roman"/>
          <w:sz w:val="24"/>
        </w:rPr>
        <w:t xml:space="preserve"> The data further reveal</w:t>
      </w:r>
      <w:r w:rsidR="00C91151" w:rsidRPr="00267433">
        <w:rPr>
          <w:rFonts w:ascii="Times New Roman" w:hAnsi="Times New Roman" w:cs="Times New Roman"/>
          <w:sz w:val="24"/>
        </w:rPr>
        <w:t>s</w:t>
      </w:r>
      <w:r w:rsidR="0069382D" w:rsidRPr="00267433">
        <w:rPr>
          <w:rFonts w:ascii="Times New Roman" w:hAnsi="Times New Roman" w:cs="Times New Roman"/>
          <w:sz w:val="24"/>
        </w:rPr>
        <w:t xml:space="preserve"> that there were 35 fatalities among the workers working in the construction industry of Australia in 2016, representing 19% of the total fatalities.</w:t>
      </w:r>
      <w:r w:rsidR="00A1137E" w:rsidRPr="00267433">
        <w:rPr>
          <w:rFonts w:ascii="Times New Roman" w:hAnsi="Times New Roman" w:cs="Times New Roman"/>
          <w:sz w:val="24"/>
        </w:rPr>
        <w:t xml:space="preserve"> Figure 1</w:t>
      </w:r>
      <w:r w:rsidR="007F7CA2" w:rsidRPr="00267433">
        <w:rPr>
          <w:rFonts w:ascii="Times New Roman" w:hAnsi="Times New Roman" w:cs="Times New Roman"/>
          <w:sz w:val="24"/>
        </w:rPr>
        <w:t>2</w:t>
      </w:r>
      <w:r w:rsidR="00A1137E" w:rsidRPr="00267433">
        <w:rPr>
          <w:rFonts w:ascii="Times New Roman" w:hAnsi="Times New Roman" w:cs="Times New Roman"/>
          <w:sz w:val="24"/>
        </w:rPr>
        <w:t xml:space="preserve"> further shows the distribution of fatalities </w:t>
      </w:r>
      <w:r w:rsidR="00C91151" w:rsidRPr="00267433">
        <w:rPr>
          <w:rFonts w:ascii="Times New Roman" w:hAnsi="Times New Roman" w:cs="Times New Roman"/>
          <w:sz w:val="24"/>
        </w:rPr>
        <w:t xml:space="preserve">that </w:t>
      </w:r>
      <w:r w:rsidR="00A1137E" w:rsidRPr="00267433">
        <w:rPr>
          <w:rFonts w:ascii="Times New Roman" w:hAnsi="Times New Roman" w:cs="Times New Roman"/>
          <w:sz w:val="24"/>
        </w:rPr>
        <w:t xml:space="preserve">took place in 2016 </w:t>
      </w:r>
      <w:r w:rsidR="0011715D" w:rsidRPr="00267433">
        <w:rPr>
          <w:rFonts w:ascii="Times New Roman" w:hAnsi="Times New Roman" w:cs="Times New Roman"/>
          <w:sz w:val="24"/>
        </w:rPr>
        <w:t>in the</w:t>
      </w:r>
      <w:r w:rsidR="00A1137E" w:rsidRPr="00267433">
        <w:rPr>
          <w:rFonts w:ascii="Times New Roman" w:hAnsi="Times New Roman" w:cs="Times New Roman"/>
          <w:sz w:val="24"/>
        </w:rPr>
        <w:t xml:space="preserve"> different Australian industries</w:t>
      </w:r>
      <w:r w:rsidR="00D5074D" w:rsidRPr="00267433">
        <w:rPr>
          <w:rFonts w:ascii="Times New Roman" w:hAnsi="Times New Roman" w:cs="Times New Roman"/>
          <w:sz w:val="24"/>
        </w:rPr>
        <w:t xml:space="preserve">. The figure </w:t>
      </w:r>
      <w:r w:rsidR="00A1137E" w:rsidRPr="00267433">
        <w:rPr>
          <w:rFonts w:ascii="Times New Roman" w:hAnsi="Times New Roman" w:cs="Times New Roman"/>
          <w:sz w:val="24"/>
        </w:rPr>
        <w:t>clearly reflect</w:t>
      </w:r>
      <w:r w:rsidR="0011715D" w:rsidRPr="00267433">
        <w:rPr>
          <w:rFonts w:ascii="Times New Roman" w:hAnsi="Times New Roman" w:cs="Times New Roman"/>
          <w:sz w:val="24"/>
        </w:rPr>
        <w:t>s</w:t>
      </w:r>
      <w:r w:rsidR="00A1137E" w:rsidRPr="00267433">
        <w:rPr>
          <w:rFonts w:ascii="Times New Roman" w:hAnsi="Times New Roman" w:cs="Times New Roman"/>
          <w:sz w:val="24"/>
        </w:rPr>
        <w:t xml:space="preserve"> that </w:t>
      </w:r>
      <w:r w:rsidR="0011715D" w:rsidRPr="00267433">
        <w:rPr>
          <w:rFonts w:ascii="Times New Roman" w:hAnsi="Times New Roman" w:cs="Times New Roman"/>
          <w:sz w:val="24"/>
        </w:rPr>
        <w:t xml:space="preserve">the </w:t>
      </w:r>
      <w:r w:rsidR="00A1137E" w:rsidRPr="00267433">
        <w:rPr>
          <w:rFonts w:ascii="Times New Roman" w:hAnsi="Times New Roman" w:cs="Times New Roman"/>
          <w:sz w:val="24"/>
        </w:rPr>
        <w:t>construction industry falls in the top three industries w</w:t>
      </w:r>
      <w:r w:rsidR="00812BA2" w:rsidRPr="00267433">
        <w:rPr>
          <w:rFonts w:ascii="Times New Roman" w:hAnsi="Times New Roman" w:cs="Times New Roman"/>
          <w:sz w:val="24"/>
        </w:rPr>
        <w:t>ith the</w:t>
      </w:r>
      <w:r w:rsidR="00A1137E" w:rsidRPr="00267433">
        <w:rPr>
          <w:rFonts w:ascii="Times New Roman" w:hAnsi="Times New Roman" w:cs="Times New Roman"/>
          <w:sz w:val="24"/>
        </w:rPr>
        <w:t xml:space="preserve"> high</w:t>
      </w:r>
      <w:r w:rsidR="00812BA2" w:rsidRPr="00267433">
        <w:rPr>
          <w:rFonts w:ascii="Times New Roman" w:hAnsi="Times New Roman" w:cs="Times New Roman"/>
          <w:sz w:val="24"/>
        </w:rPr>
        <w:t>est</w:t>
      </w:r>
      <w:r w:rsidR="00A1137E" w:rsidRPr="00267433">
        <w:rPr>
          <w:rFonts w:ascii="Times New Roman" w:hAnsi="Times New Roman" w:cs="Times New Roman"/>
          <w:sz w:val="24"/>
        </w:rPr>
        <w:t xml:space="preserve"> fatalities.</w:t>
      </w:r>
      <w:r w:rsidR="001E1177" w:rsidRPr="00267433">
        <w:rPr>
          <w:rFonts w:ascii="Times New Roman" w:hAnsi="Times New Roman" w:cs="Times New Roman"/>
          <w:sz w:val="24"/>
        </w:rPr>
        <w:t xml:space="preserve"> Overall</w:t>
      </w:r>
      <w:r w:rsidR="00E4608F" w:rsidRPr="00267433">
        <w:rPr>
          <w:rFonts w:ascii="Times New Roman" w:hAnsi="Times New Roman" w:cs="Times New Roman"/>
          <w:sz w:val="24"/>
        </w:rPr>
        <w:t>,</w:t>
      </w:r>
      <w:r w:rsidR="001E1177" w:rsidRPr="00267433">
        <w:rPr>
          <w:rFonts w:ascii="Times New Roman" w:hAnsi="Times New Roman" w:cs="Times New Roman"/>
          <w:sz w:val="24"/>
        </w:rPr>
        <w:t xml:space="preserve"> th</w:t>
      </w:r>
      <w:r w:rsidR="00812BA2" w:rsidRPr="00267433">
        <w:rPr>
          <w:rFonts w:ascii="Times New Roman" w:hAnsi="Times New Roman" w:cs="Times New Roman"/>
          <w:sz w:val="24"/>
        </w:rPr>
        <w:t>e</w:t>
      </w:r>
      <w:r w:rsidR="001E1177" w:rsidRPr="00267433">
        <w:rPr>
          <w:rFonts w:ascii="Times New Roman" w:hAnsi="Times New Roman" w:cs="Times New Roman"/>
          <w:sz w:val="24"/>
        </w:rPr>
        <w:t xml:space="preserve"> industries</w:t>
      </w:r>
      <w:r w:rsidR="00812BA2" w:rsidRPr="00267433">
        <w:rPr>
          <w:rFonts w:ascii="Times New Roman" w:hAnsi="Times New Roman" w:cs="Times New Roman"/>
          <w:sz w:val="24"/>
        </w:rPr>
        <w:t xml:space="preserve"> of</w:t>
      </w:r>
      <w:r w:rsidR="00063404" w:rsidRPr="00267433">
        <w:rPr>
          <w:rFonts w:ascii="Times New Roman" w:hAnsi="Times New Roman" w:cs="Times New Roman"/>
          <w:sz w:val="24"/>
        </w:rPr>
        <w:t xml:space="preserve"> Tr</w:t>
      </w:r>
      <w:r w:rsidR="001E1177" w:rsidRPr="00267433">
        <w:rPr>
          <w:rFonts w:ascii="Times New Roman" w:hAnsi="Times New Roman" w:cs="Times New Roman"/>
          <w:sz w:val="24"/>
        </w:rPr>
        <w:t>ansport, postal and warehousing; Agriculture, forestry and fishing; and Construction</w:t>
      </w:r>
      <w:r w:rsidR="00063404" w:rsidRPr="00267433">
        <w:rPr>
          <w:rFonts w:ascii="Times New Roman" w:hAnsi="Times New Roman" w:cs="Times New Roman"/>
          <w:sz w:val="24"/>
        </w:rPr>
        <w:t xml:space="preserve"> </w:t>
      </w:r>
      <w:r w:rsidR="001E1177" w:rsidRPr="00267433">
        <w:rPr>
          <w:rFonts w:ascii="Times New Roman" w:hAnsi="Times New Roman" w:cs="Times New Roman"/>
          <w:sz w:val="24"/>
        </w:rPr>
        <w:t xml:space="preserve">accounted for 69% of the total fatalities and </w:t>
      </w:r>
      <w:r w:rsidR="001E7E73" w:rsidRPr="00267433">
        <w:rPr>
          <w:rFonts w:ascii="Times New Roman" w:hAnsi="Times New Roman" w:cs="Times New Roman"/>
          <w:sz w:val="24"/>
        </w:rPr>
        <w:t xml:space="preserve">are </w:t>
      </w:r>
      <w:r w:rsidR="001E1177" w:rsidRPr="00267433">
        <w:rPr>
          <w:rFonts w:ascii="Times New Roman" w:hAnsi="Times New Roman" w:cs="Times New Roman"/>
          <w:sz w:val="24"/>
        </w:rPr>
        <w:t>therefore regarded as t</w:t>
      </w:r>
      <w:r w:rsidR="009E448D" w:rsidRPr="00267433">
        <w:rPr>
          <w:rFonts w:ascii="Times New Roman" w:hAnsi="Times New Roman" w:cs="Times New Roman"/>
          <w:sz w:val="24"/>
        </w:rPr>
        <w:t xml:space="preserve">he most </w:t>
      </w:r>
      <w:r w:rsidR="001E7E73" w:rsidRPr="00267433">
        <w:rPr>
          <w:rFonts w:ascii="Times New Roman" w:hAnsi="Times New Roman" w:cs="Times New Roman"/>
          <w:sz w:val="24"/>
        </w:rPr>
        <w:t>hazardous</w:t>
      </w:r>
      <w:r w:rsidR="001E1177" w:rsidRPr="00267433">
        <w:rPr>
          <w:rFonts w:ascii="Times New Roman" w:hAnsi="Times New Roman" w:cs="Times New Roman"/>
          <w:sz w:val="24"/>
        </w:rPr>
        <w:t xml:space="preserve"> industries</w:t>
      </w:r>
      <w:r w:rsidR="00D5074D" w:rsidRPr="00267433">
        <w:rPr>
          <w:rFonts w:ascii="Times New Roman" w:hAnsi="Times New Roman" w:cs="Times New Roman"/>
          <w:sz w:val="24"/>
        </w:rPr>
        <w:t xml:space="preserve"> in Australia</w:t>
      </w:r>
      <w:r w:rsidR="001E1177" w:rsidRPr="00267433">
        <w:rPr>
          <w:rFonts w:ascii="Times New Roman" w:hAnsi="Times New Roman" w:cs="Times New Roman"/>
          <w:sz w:val="24"/>
        </w:rPr>
        <w:t>.</w:t>
      </w:r>
      <w:r w:rsidR="00E55961" w:rsidRPr="00267433">
        <w:rPr>
          <w:rFonts w:ascii="Times New Roman" w:hAnsi="Times New Roman" w:cs="Times New Roman"/>
          <w:sz w:val="24"/>
        </w:rPr>
        <w:t xml:space="preserve"> The most common and frequent causes of fatality in </w:t>
      </w:r>
      <w:r w:rsidR="00E407DA" w:rsidRPr="00267433">
        <w:rPr>
          <w:rFonts w:ascii="Times New Roman" w:hAnsi="Times New Roman" w:cs="Times New Roman"/>
          <w:sz w:val="24"/>
        </w:rPr>
        <w:t xml:space="preserve">the Australian </w:t>
      </w:r>
      <w:r w:rsidR="00E55961" w:rsidRPr="00267433">
        <w:rPr>
          <w:rFonts w:ascii="Times New Roman" w:hAnsi="Times New Roman" w:cs="Times New Roman"/>
          <w:sz w:val="24"/>
        </w:rPr>
        <w:t>construction industry</w:t>
      </w:r>
      <w:r w:rsidR="00E407DA" w:rsidRPr="00267433">
        <w:rPr>
          <w:rFonts w:ascii="Times New Roman" w:hAnsi="Times New Roman" w:cs="Times New Roman"/>
          <w:sz w:val="24"/>
        </w:rPr>
        <w:t xml:space="preserve"> is, again,</w:t>
      </w:r>
      <w:r w:rsidR="00E55961" w:rsidRPr="00267433">
        <w:rPr>
          <w:rFonts w:ascii="Times New Roman" w:hAnsi="Times New Roman" w:cs="Times New Roman"/>
          <w:sz w:val="24"/>
        </w:rPr>
        <w:t xml:space="preserve"> the same </w:t>
      </w:r>
      <w:r w:rsidR="00E407DA" w:rsidRPr="00267433">
        <w:rPr>
          <w:rFonts w:ascii="Times New Roman" w:hAnsi="Times New Roman" w:cs="Times New Roman"/>
          <w:sz w:val="24"/>
        </w:rPr>
        <w:t>as th</w:t>
      </w:r>
      <w:r w:rsidR="000268F8" w:rsidRPr="00267433">
        <w:rPr>
          <w:rFonts w:ascii="Times New Roman" w:hAnsi="Times New Roman" w:cs="Times New Roman"/>
          <w:sz w:val="24"/>
        </w:rPr>
        <w:t>at</w:t>
      </w:r>
      <w:r w:rsidR="00E55961" w:rsidRPr="00267433">
        <w:rPr>
          <w:rFonts w:ascii="Times New Roman" w:hAnsi="Times New Roman" w:cs="Times New Roman"/>
          <w:sz w:val="24"/>
        </w:rPr>
        <w:t xml:space="preserve"> </w:t>
      </w:r>
      <w:r w:rsidR="000268F8" w:rsidRPr="00267433">
        <w:rPr>
          <w:rFonts w:ascii="Times New Roman" w:hAnsi="Times New Roman" w:cs="Times New Roman"/>
          <w:sz w:val="24"/>
        </w:rPr>
        <w:t xml:space="preserve">of the </w:t>
      </w:r>
      <w:r w:rsidR="00E55961" w:rsidRPr="00267433">
        <w:rPr>
          <w:rFonts w:ascii="Times New Roman" w:hAnsi="Times New Roman" w:cs="Times New Roman"/>
          <w:sz w:val="24"/>
        </w:rPr>
        <w:t xml:space="preserve">United Kingdom and </w:t>
      </w:r>
      <w:r w:rsidR="000268F8" w:rsidRPr="00267433">
        <w:rPr>
          <w:rFonts w:ascii="Times New Roman" w:hAnsi="Times New Roman" w:cs="Times New Roman"/>
          <w:sz w:val="24"/>
        </w:rPr>
        <w:t xml:space="preserve">the </w:t>
      </w:r>
      <w:r w:rsidR="00E55961" w:rsidRPr="00267433">
        <w:rPr>
          <w:rFonts w:ascii="Times New Roman" w:hAnsi="Times New Roman" w:cs="Times New Roman"/>
          <w:sz w:val="24"/>
        </w:rPr>
        <w:t xml:space="preserve">United States, which </w:t>
      </w:r>
      <w:r w:rsidR="000268F8" w:rsidRPr="00267433">
        <w:rPr>
          <w:rFonts w:ascii="Times New Roman" w:hAnsi="Times New Roman" w:cs="Times New Roman"/>
          <w:sz w:val="24"/>
        </w:rPr>
        <w:t>is</w:t>
      </w:r>
      <w:r w:rsidR="00E55961" w:rsidRPr="00267433">
        <w:rPr>
          <w:rFonts w:ascii="Times New Roman" w:hAnsi="Times New Roman" w:cs="Times New Roman"/>
          <w:sz w:val="24"/>
        </w:rPr>
        <w:t xml:space="preserve"> fall</w:t>
      </w:r>
      <w:r w:rsidR="00CD0231" w:rsidRPr="00267433">
        <w:rPr>
          <w:rFonts w:ascii="Times New Roman" w:hAnsi="Times New Roman" w:cs="Times New Roman"/>
          <w:sz w:val="24"/>
        </w:rPr>
        <w:t>s</w:t>
      </w:r>
      <w:r w:rsidR="00E55961" w:rsidRPr="00267433">
        <w:rPr>
          <w:rFonts w:ascii="Times New Roman" w:hAnsi="Times New Roman" w:cs="Times New Roman"/>
          <w:sz w:val="24"/>
        </w:rPr>
        <w:t xml:space="preserve"> from height</w:t>
      </w:r>
      <w:r w:rsidR="000268F8" w:rsidRPr="00267433">
        <w:rPr>
          <w:rFonts w:ascii="Times New Roman" w:hAnsi="Times New Roman" w:cs="Times New Roman"/>
          <w:sz w:val="24"/>
        </w:rPr>
        <w:t xml:space="preserve">, </w:t>
      </w:r>
      <w:r w:rsidR="00E55961" w:rsidRPr="00267433">
        <w:rPr>
          <w:rFonts w:ascii="Times New Roman" w:hAnsi="Times New Roman" w:cs="Times New Roman"/>
          <w:sz w:val="24"/>
        </w:rPr>
        <w:t>account</w:t>
      </w:r>
      <w:r w:rsidR="00D5074D" w:rsidRPr="00267433">
        <w:rPr>
          <w:rFonts w:ascii="Times New Roman" w:hAnsi="Times New Roman" w:cs="Times New Roman"/>
          <w:sz w:val="24"/>
        </w:rPr>
        <w:t>ed</w:t>
      </w:r>
      <w:r w:rsidR="00E55961" w:rsidRPr="00267433">
        <w:rPr>
          <w:rFonts w:ascii="Times New Roman" w:hAnsi="Times New Roman" w:cs="Times New Roman"/>
          <w:sz w:val="24"/>
        </w:rPr>
        <w:t xml:space="preserve"> for 27% of all the</w:t>
      </w:r>
      <w:r w:rsidR="000003DA" w:rsidRPr="00267433">
        <w:rPr>
          <w:rFonts w:ascii="Times New Roman" w:hAnsi="Times New Roman" w:cs="Times New Roman"/>
          <w:sz w:val="24"/>
        </w:rPr>
        <w:t xml:space="preserve"> fatalities</w:t>
      </w:r>
      <w:r w:rsidR="00E55961" w:rsidRPr="00267433">
        <w:rPr>
          <w:rFonts w:ascii="Times New Roman" w:hAnsi="Times New Roman" w:cs="Times New Roman"/>
          <w:sz w:val="24"/>
        </w:rPr>
        <w:t xml:space="preserve">. This percentage is based on data spanning over </w:t>
      </w:r>
      <w:r w:rsidR="00551D4A" w:rsidRPr="00267433">
        <w:rPr>
          <w:rFonts w:ascii="Times New Roman" w:hAnsi="Times New Roman" w:cs="Times New Roman"/>
          <w:sz w:val="24"/>
        </w:rPr>
        <w:t xml:space="preserve">the </w:t>
      </w:r>
      <w:r w:rsidR="00E55961" w:rsidRPr="00267433">
        <w:rPr>
          <w:rFonts w:ascii="Times New Roman" w:hAnsi="Times New Roman" w:cs="Times New Roman"/>
          <w:sz w:val="24"/>
        </w:rPr>
        <w:t xml:space="preserve">ten years </w:t>
      </w:r>
      <w:r w:rsidR="00551D4A" w:rsidRPr="00267433">
        <w:rPr>
          <w:rFonts w:ascii="Times New Roman" w:hAnsi="Times New Roman" w:cs="Times New Roman"/>
          <w:sz w:val="24"/>
        </w:rPr>
        <w:t xml:space="preserve">from </w:t>
      </w:r>
      <w:r w:rsidR="00E55961" w:rsidRPr="00267433">
        <w:rPr>
          <w:rFonts w:ascii="Times New Roman" w:hAnsi="Times New Roman" w:cs="Times New Roman"/>
          <w:sz w:val="24"/>
        </w:rPr>
        <w:t>200</w:t>
      </w:r>
      <w:r w:rsidR="008A3BA4" w:rsidRPr="00267433">
        <w:rPr>
          <w:rFonts w:ascii="Times New Roman" w:hAnsi="Times New Roman" w:cs="Times New Roman"/>
          <w:sz w:val="24"/>
        </w:rPr>
        <w:t>6</w:t>
      </w:r>
      <w:r w:rsidR="00E55961" w:rsidRPr="00267433">
        <w:rPr>
          <w:rFonts w:ascii="Times New Roman" w:hAnsi="Times New Roman" w:cs="Times New Roman"/>
          <w:sz w:val="24"/>
        </w:rPr>
        <w:t xml:space="preserve"> to 2016.  </w:t>
      </w:r>
      <w:r w:rsidR="001E1177" w:rsidRPr="00267433">
        <w:rPr>
          <w:rFonts w:ascii="Times New Roman" w:hAnsi="Times New Roman" w:cs="Times New Roman"/>
          <w:sz w:val="24"/>
        </w:rPr>
        <w:t xml:space="preserve"> </w:t>
      </w:r>
      <w:r w:rsidR="00A1137E" w:rsidRPr="00267433">
        <w:rPr>
          <w:rFonts w:ascii="Times New Roman" w:hAnsi="Times New Roman" w:cs="Times New Roman"/>
          <w:sz w:val="24"/>
        </w:rPr>
        <w:t xml:space="preserve">  </w:t>
      </w:r>
      <w:r w:rsidR="0069382D" w:rsidRPr="00267433">
        <w:rPr>
          <w:rFonts w:ascii="Times New Roman" w:hAnsi="Times New Roman" w:cs="Times New Roman"/>
          <w:sz w:val="24"/>
        </w:rPr>
        <w:t xml:space="preserve">   </w:t>
      </w:r>
      <w:r w:rsidR="00B1177F" w:rsidRPr="00267433">
        <w:rPr>
          <w:rFonts w:ascii="Times New Roman" w:hAnsi="Times New Roman" w:cs="Times New Roman"/>
          <w:sz w:val="24"/>
        </w:rPr>
        <w:t xml:space="preserve"> </w:t>
      </w:r>
      <w:r w:rsidR="00A515E1" w:rsidRPr="00267433">
        <w:rPr>
          <w:rFonts w:ascii="Times New Roman" w:hAnsi="Times New Roman" w:cs="Times New Roman"/>
          <w:sz w:val="24"/>
        </w:rPr>
        <w:t xml:space="preserve">  </w:t>
      </w:r>
    </w:p>
    <w:p w14:paraId="2A632218" w14:textId="0E9E2024" w:rsidR="00C134AA" w:rsidRDefault="00C134AA" w:rsidP="002A2AD0">
      <w:pPr>
        <w:spacing w:line="360" w:lineRule="auto"/>
        <w:jc w:val="center"/>
        <w:rPr>
          <w:rFonts w:ascii="Times New Roman" w:hAnsi="Times New Roman" w:cs="Times New Roman"/>
          <w:b/>
          <w:sz w:val="24"/>
        </w:rPr>
      </w:pPr>
      <w:r>
        <w:rPr>
          <w:noProof/>
        </w:rPr>
        <w:lastRenderedPageBreak/>
        <w:drawing>
          <wp:inline distT="0" distB="0" distL="0" distR="0" wp14:anchorId="6343C344" wp14:editId="46776A65">
            <wp:extent cx="5943600" cy="3169285"/>
            <wp:effectExtent l="0" t="0" r="1905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32C640" w14:textId="77777777" w:rsidR="00027C84" w:rsidRPr="00267433" w:rsidRDefault="00027C84" w:rsidP="002A2AD0">
      <w:pPr>
        <w:spacing w:line="360" w:lineRule="auto"/>
        <w:jc w:val="center"/>
        <w:rPr>
          <w:rFonts w:ascii="Times New Roman" w:hAnsi="Times New Roman" w:cs="Times New Roman"/>
          <w:b/>
          <w:sz w:val="24"/>
        </w:rPr>
      </w:pPr>
      <w:r w:rsidRPr="00267433">
        <w:rPr>
          <w:rFonts w:ascii="Times New Roman" w:hAnsi="Times New Roman" w:cs="Times New Roman"/>
          <w:b/>
          <w:sz w:val="24"/>
        </w:rPr>
        <w:t>Figure 1</w:t>
      </w:r>
      <w:r w:rsidR="009C3AAF" w:rsidRPr="00267433">
        <w:rPr>
          <w:rFonts w:ascii="Times New Roman" w:hAnsi="Times New Roman" w:cs="Times New Roman"/>
          <w:b/>
          <w:sz w:val="24"/>
        </w:rPr>
        <w:t>1</w:t>
      </w:r>
      <w:r w:rsidRPr="00267433">
        <w:rPr>
          <w:rFonts w:ascii="Times New Roman" w:hAnsi="Times New Roman" w:cs="Times New Roman"/>
          <w:b/>
          <w:sz w:val="24"/>
        </w:rPr>
        <w:t>: number of fatalities and fatality rate in Australia (2003 – 2016)</w:t>
      </w:r>
      <w:r w:rsidR="009E448D" w:rsidRPr="00267433">
        <w:rPr>
          <w:rFonts w:ascii="Times New Roman" w:hAnsi="Times New Roman" w:cs="Times New Roman"/>
          <w:b/>
          <w:sz w:val="24"/>
        </w:rPr>
        <w:t xml:space="preserve"> - (Safe Work Australia, 2018)</w:t>
      </w:r>
    </w:p>
    <w:p w14:paraId="0B56E23B" w14:textId="24800B24" w:rsidR="00C134AA" w:rsidRDefault="00C134AA" w:rsidP="002A2AD0">
      <w:pPr>
        <w:spacing w:line="360" w:lineRule="auto"/>
        <w:jc w:val="center"/>
        <w:rPr>
          <w:rFonts w:ascii="Times New Roman" w:hAnsi="Times New Roman" w:cs="Times New Roman"/>
          <w:b/>
          <w:sz w:val="24"/>
        </w:rPr>
      </w:pPr>
      <w:r>
        <w:rPr>
          <w:noProof/>
        </w:rPr>
        <w:lastRenderedPageBreak/>
        <w:drawing>
          <wp:inline distT="0" distB="0" distL="0" distR="0" wp14:anchorId="5F383406" wp14:editId="4E195BD8">
            <wp:extent cx="5943600" cy="6551930"/>
            <wp:effectExtent l="0" t="0" r="19050" b="203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EC441" w14:textId="77777777" w:rsidR="009E448D" w:rsidRPr="00267433" w:rsidRDefault="009E448D" w:rsidP="002A2AD0">
      <w:pPr>
        <w:spacing w:line="360" w:lineRule="auto"/>
        <w:jc w:val="center"/>
        <w:rPr>
          <w:rFonts w:ascii="Times New Roman" w:hAnsi="Times New Roman" w:cs="Times New Roman"/>
          <w:b/>
          <w:sz w:val="24"/>
        </w:rPr>
      </w:pPr>
      <w:r w:rsidRPr="00267433">
        <w:rPr>
          <w:rFonts w:ascii="Times New Roman" w:hAnsi="Times New Roman" w:cs="Times New Roman"/>
          <w:b/>
          <w:sz w:val="24"/>
        </w:rPr>
        <w:t>Figure 1</w:t>
      </w:r>
      <w:r w:rsidR="00BD6BC6" w:rsidRPr="00267433">
        <w:rPr>
          <w:rFonts w:ascii="Times New Roman" w:hAnsi="Times New Roman" w:cs="Times New Roman"/>
          <w:b/>
          <w:sz w:val="24"/>
        </w:rPr>
        <w:t>2</w:t>
      </w:r>
      <w:r w:rsidR="00CC63DF" w:rsidRPr="00267433">
        <w:rPr>
          <w:rFonts w:ascii="Times New Roman" w:hAnsi="Times New Roman" w:cs="Times New Roman"/>
          <w:b/>
          <w:sz w:val="24"/>
        </w:rPr>
        <w:t>:</w:t>
      </w:r>
      <w:r w:rsidRPr="00267433">
        <w:rPr>
          <w:rFonts w:ascii="Times New Roman" w:hAnsi="Times New Roman" w:cs="Times New Roman"/>
          <w:b/>
          <w:sz w:val="24"/>
        </w:rPr>
        <w:t xml:space="preserve"> </w:t>
      </w:r>
      <w:r w:rsidR="00CC63DF" w:rsidRPr="00267433">
        <w:rPr>
          <w:rFonts w:ascii="Times New Roman" w:hAnsi="Times New Roman" w:cs="Times New Roman"/>
          <w:b/>
          <w:sz w:val="24"/>
        </w:rPr>
        <w:t>Distributions</w:t>
      </w:r>
      <w:r w:rsidRPr="00267433">
        <w:rPr>
          <w:rFonts w:ascii="Times New Roman" w:hAnsi="Times New Roman" w:cs="Times New Roman"/>
          <w:b/>
          <w:sz w:val="24"/>
        </w:rPr>
        <w:t xml:space="preserve"> of Fatalities in Australian Industries (Safe Work Australia, 2018)</w:t>
      </w:r>
    </w:p>
    <w:p w14:paraId="16A12F35" w14:textId="78A92504" w:rsidR="00D34ABD" w:rsidRPr="00267433" w:rsidRDefault="00D34ABD" w:rsidP="00B2123A">
      <w:pPr>
        <w:spacing w:line="360" w:lineRule="auto"/>
        <w:jc w:val="both"/>
        <w:rPr>
          <w:rFonts w:ascii="Times New Roman" w:hAnsi="Times New Roman" w:cs="Times New Roman"/>
          <w:sz w:val="24"/>
        </w:rPr>
      </w:pPr>
      <w:r w:rsidRPr="00267433">
        <w:rPr>
          <w:rFonts w:ascii="Times New Roman" w:hAnsi="Times New Roman" w:cs="Times New Roman"/>
          <w:sz w:val="24"/>
        </w:rPr>
        <w:t>As the focus of this research is the GCC construction industry, the next section</w:t>
      </w:r>
      <w:r w:rsidR="00D838C4" w:rsidRPr="00267433">
        <w:rPr>
          <w:rFonts w:ascii="Times New Roman" w:hAnsi="Times New Roman" w:cs="Times New Roman"/>
          <w:sz w:val="24"/>
        </w:rPr>
        <w:t>, therefore,</w:t>
      </w:r>
      <w:r w:rsidRPr="00267433">
        <w:rPr>
          <w:rFonts w:ascii="Times New Roman" w:hAnsi="Times New Roman" w:cs="Times New Roman"/>
          <w:sz w:val="24"/>
        </w:rPr>
        <w:t xml:space="preserve"> aims to explore the safety and health in the GCC construction industry. </w:t>
      </w:r>
    </w:p>
    <w:p w14:paraId="0898AD47" w14:textId="6D00394E" w:rsidR="00A3164F" w:rsidRPr="00267433" w:rsidRDefault="00C250DD" w:rsidP="00D74173">
      <w:pPr>
        <w:pStyle w:val="Heading2"/>
      </w:pPr>
      <w:r w:rsidRPr="00267433">
        <w:lastRenderedPageBreak/>
        <w:t>3.3.</w:t>
      </w:r>
      <w:r w:rsidR="009D3502" w:rsidRPr="00267433">
        <w:t xml:space="preserve"> Construction Safety and Health in GCC Countries:</w:t>
      </w:r>
    </w:p>
    <w:p w14:paraId="665A23F0" w14:textId="70671EDE" w:rsidR="00D37972" w:rsidRPr="00267433" w:rsidRDefault="00A3164F" w:rsidP="0036675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Although </w:t>
      </w:r>
      <w:r w:rsidR="003021C1" w:rsidRPr="00267433">
        <w:rPr>
          <w:rFonts w:ascii="Times New Roman" w:hAnsi="Times New Roman" w:cs="Times New Roman"/>
          <w:sz w:val="24"/>
        </w:rPr>
        <w:t>it is a fact that the</w:t>
      </w:r>
      <w:r w:rsidRPr="00267433">
        <w:rPr>
          <w:rFonts w:ascii="Times New Roman" w:hAnsi="Times New Roman" w:cs="Times New Roman"/>
          <w:sz w:val="24"/>
        </w:rPr>
        <w:t xml:space="preserve"> </w:t>
      </w:r>
      <w:r w:rsidR="003021C1" w:rsidRPr="00267433">
        <w:rPr>
          <w:rFonts w:ascii="Times New Roman" w:hAnsi="Times New Roman" w:cs="Times New Roman"/>
          <w:sz w:val="24"/>
        </w:rPr>
        <w:t>construction industry is not a</w:t>
      </w:r>
      <w:r w:rsidR="007C318B" w:rsidRPr="00267433">
        <w:rPr>
          <w:rFonts w:ascii="Times New Roman" w:hAnsi="Times New Roman" w:cs="Times New Roman"/>
          <w:sz w:val="24"/>
        </w:rPr>
        <w:t>ccident</w:t>
      </w:r>
      <w:r w:rsidR="00CD0231" w:rsidRPr="00267433">
        <w:rPr>
          <w:rFonts w:ascii="Times New Roman" w:hAnsi="Times New Roman" w:cs="Times New Roman"/>
          <w:sz w:val="24"/>
        </w:rPr>
        <w:t>-</w:t>
      </w:r>
      <w:r w:rsidR="007C318B" w:rsidRPr="00267433">
        <w:rPr>
          <w:rFonts w:ascii="Times New Roman" w:hAnsi="Times New Roman" w:cs="Times New Roman"/>
          <w:sz w:val="24"/>
        </w:rPr>
        <w:t>free anywhere in the world</w:t>
      </w:r>
      <w:r w:rsidRPr="00267433">
        <w:rPr>
          <w:rFonts w:ascii="Times New Roman" w:hAnsi="Times New Roman" w:cs="Times New Roman"/>
          <w:sz w:val="24"/>
        </w:rPr>
        <w:t xml:space="preserve">, the </w:t>
      </w:r>
      <w:r w:rsidR="007C318B" w:rsidRPr="00267433">
        <w:rPr>
          <w:rFonts w:ascii="Times New Roman" w:hAnsi="Times New Roman" w:cs="Times New Roman"/>
          <w:sz w:val="24"/>
        </w:rPr>
        <w:t>situation in the</w:t>
      </w:r>
      <w:r w:rsidRPr="00267433">
        <w:rPr>
          <w:rFonts w:ascii="Times New Roman" w:hAnsi="Times New Roman" w:cs="Times New Roman"/>
          <w:sz w:val="24"/>
        </w:rPr>
        <w:t xml:space="preserve"> GCC countries</w:t>
      </w:r>
      <w:r w:rsidR="00C45A26" w:rsidRPr="00267433">
        <w:rPr>
          <w:rFonts w:ascii="Times New Roman" w:hAnsi="Times New Roman" w:cs="Times New Roman"/>
          <w:sz w:val="24"/>
        </w:rPr>
        <w:t xml:space="preserve"> i</w:t>
      </w:r>
      <w:r w:rsidR="007C318B" w:rsidRPr="00267433">
        <w:rPr>
          <w:rFonts w:ascii="Times New Roman" w:hAnsi="Times New Roman" w:cs="Times New Roman"/>
          <w:sz w:val="24"/>
        </w:rPr>
        <w:t>s particularly alarming</w:t>
      </w:r>
      <w:r w:rsidR="00C45A26" w:rsidRPr="00267433">
        <w:rPr>
          <w:rFonts w:ascii="Times New Roman" w:hAnsi="Times New Roman" w:cs="Times New Roman"/>
          <w:sz w:val="24"/>
        </w:rPr>
        <w:t xml:space="preserve">. </w:t>
      </w:r>
      <w:r w:rsidR="00D043BA" w:rsidRPr="00267433">
        <w:rPr>
          <w:rFonts w:ascii="Times New Roman" w:hAnsi="Times New Roman" w:cs="Times New Roman"/>
          <w:sz w:val="24"/>
        </w:rPr>
        <w:t xml:space="preserve">There is </w:t>
      </w:r>
      <w:r w:rsidR="00965A13" w:rsidRPr="00267433">
        <w:rPr>
          <w:rFonts w:ascii="Times New Roman" w:hAnsi="Times New Roman" w:cs="Times New Roman"/>
          <w:sz w:val="24"/>
        </w:rPr>
        <w:t xml:space="preserve">a </w:t>
      </w:r>
      <w:r w:rsidR="00D043BA" w:rsidRPr="00267433">
        <w:rPr>
          <w:rFonts w:ascii="Times New Roman" w:hAnsi="Times New Roman" w:cs="Times New Roman"/>
          <w:sz w:val="24"/>
        </w:rPr>
        <w:t xml:space="preserve">lack of accurate data related to </w:t>
      </w:r>
      <w:r w:rsidR="00965A13" w:rsidRPr="00267433">
        <w:rPr>
          <w:rFonts w:ascii="Times New Roman" w:hAnsi="Times New Roman" w:cs="Times New Roman"/>
          <w:sz w:val="24"/>
        </w:rPr>
        <w:t xml:space="preserve">the </w:t>
      </w:r>
      <w:r w:rsidR="00D043BA" w:rsidRPr="00267433">
        <w:rPr>
          <w:rFonts w:ascii="Times New Roman" w:hAnsi="Times New Roman" w:cs="Times New Roman"/>
          <w:sz w:val="24"/>
        </w:rPr>
        <w:t>number of accidents and fatalities in these countries</w:t>
      </w:r>
      <w:r w:rsidR="00B611CC" w:rsidRPr="00267433">
        <w:rPr>
          <w:rFonts w:ascii="Times New Roman" w:hAnsi="Times New Roman" w:cs="Times New Roman"/>
          <w:sz w:val="24"/>
        </w:rPr>
        <w:t>.</w:t>
      </w:r>
      <w:r w:rsidR="00965A13" w:rsidRPr="00267433">
        <w:rPr>
          <w:rFonts w:ascii="Times New Roman" w:hAnsi="Times New Roman" w:cs="Times New Roman"/>
          <w:sz w:val="24"/>
        </w:rPr>
        <w:t xml:space="preserve"> </w:t>
      </w:r>
      <w:r w:rsidR="00B611CC" w:rsidRPr="00267433">
        <w:rPr>
          <w:rFonts w:ascii="Times New Roman" w:hAnsi="Times New Roman" w:cs="Times New Roman"/>
          <w:sz w:val="24"/>
        </w:rPr>
        <w:t xml:space="preserve">The most frequent source of information is </w:t>
      </w:r>
      <w:r w:rsidR="00D043BA" w:rsidRPr="00267433">
        <w:rPr>
          <w:rFonts w:ascii="Times New Roman" w:hAnsi="Times New Roman" w:cs="Times New Roman"/>
          <w:sz w:val="24"/>
        </w:rPr>
        <w:t>the report</w:t>
      </w:r>
      <w:r w:rsidR="00B611CC" w:rsidRPr="00267433">
        <w:rPr>
          <w:rFonts w:ascii="Times New Roman" w:hAnsi="Times New Roman" w:cs="Times New Roman"/>
          <w:sz w:val="24"/>
        </w:rPr>
        <w:t>s</w:t>
      </w:r>
      <w:r w:rsidR="00D043BA" w:rsidRPr="00267433">
        <w:rPr>
          <w:rFonts w:ascii="Times New Roman" w:hAnsi="Times New Roman" w:cs="Times New Roman"/>
          <w:sz w:val="24"/>
        </w:rPr>
        <w:t xml:space="preserve"> published </w:t>
      </w:r>
      <w:r w:rsidR="00965A13" w:rsidRPr="00267433">
        <w:rPr>
          <w:rFonts w:ascii="Times New Roman" w:hAnsi="Times New Roman" w:cs="Times New Roman"/>
          <w:sz w:val="24"/>
        </w:rPr>
        <w:t>by</w:t>
      </w:r>
      <w:r w:rsidR="00D043BA" w:rsidRPr="00267433">
        <w:rPr>
          <w:rFonts w:ascii="Times New Roman" w:hAnsi="Times New Roman" w:cs="Times New Roman"/>
          <w:sz w:val="24"/>
        </w:rPr>
        <w:t xml:space="preserve"> the media or international independent organizations. </w:t>
      </w:r>
      <w:r w:rsidR="00B611CC" w:rsidRPr="00267433">
        <w:rPr>
          <w:rFonts w:ascii="Times New Roman" w:hAnsi="Times New Roman" w:cs="Times New Roman"/>
          <w:sz w:val="24"/>
        </w:rPr>
        <w:t>R</w:t>
      </w:r>
      <w:r w:rsidR="00762256" w:rsidRPr="00267433">
        <w:rPr>
          <w:rFonts w:ascii="Times New Roman" w:hAnsi="Times New Roman" w:cs="Times New Roman"/>
          <w:sz w:val="24"/>
        </w:rPr>
        <w:t>ecently</w:t>
      </w:r>
      <w:r w:rsidR="00896078" w:rsidRPr="00267433">
        <w:rPr>
          <w:rFonts w:ascii="Times New Roman" w:hAnsi="Times New Roman" w:cs="Times New Roman"/>
          <w:sz w:val="24"/>
        </w:rPr>
        <w:t xml:space="preserve">, the </w:t>
      </w:r>
      <w:r w:rsidR="00B611CC" w:rsidRPr="00267433">
        <w:rPr>
          <w:rFonts w:ascii="Times New Roman" w:hAnsi="Times New Roman" w:cs="Times New Roman"/>
          <w:sz w:val="24"/>
        </w:rPr>
        <w:t>deaths of construction workers in the construction of a stadium for the football world cup 2022 have</w:t>
      </w:r>
      <w:r w:rsidR="00896078" w:rsidRPr="00267433">
        <w:rPr>
          <w:rFonts w:ascii="Times New Roman" w:hAnsi="Times New Roman" w:cs="Times New Roman"/>
          <w:sz w:val="24"/>
        </w:rPr>
        <w:t xml:space="preserve"> attracted the attention of media and international organization</w:t>
      </w:r>
      <w:r w:rsidR="00E450C0" w:rsidRPr="00267433">
        <w:rPr>
          <w:rFonts w:ascii="Times New Roman" w:hAnsi="Times New Roman" w:cs="Times New Roman"/>
          <w:sz w:val="24"/>
        </w:rPr>
        <w:t>s</w:t>
      </w:r>
      <w:r w:rsidR="00896078" w:rsidRPr="00267433">
        <w:rPr>
          <w:rFonts w:ascii="Times New Roman" w:hAnsi="Times New Roman" w:cs="Times New Roman"/>
          <w:sz w:val="24"/>
        </w:rPr>
        <w:t>. Some of these report</w:t>
      </w:r>
      <w:r w:rsidR="00E450C0" w:rsidRPr="00267433">
        <w:rPr>
          <w:rFonts w:ascii="Times New Roman" w:hAnsi="Times New Roman" w:cs="Times New Roman"/>
          <w:sz w:val="24"/>
        </w:rPr>
        <w:t>s</w:t>
      </w:r>
      <w:r w:rsidR="00896078" w:rsidRPr="00267433">
        <w:rPr>
          <w:rFonts w:ascii="Times New Roman" w:hAnsi="Times New Roman" w:cs="Times New Roman"/>
          <w:sz w:val="24"/>
        </w:rPr>
        <w:t xml:space="preserve"> show</w:t>
      </w:r>
      <w:r w:rsidR="00E450C0" w:rsidRPr="00267433">
        <w:rPr>
          <w:rFonts w:ascii="Times New Roman" w:hAnsi="Times New Roman" w:cs="Times New Roman"/>
          <w:sz w:val="24"/>
        </w:rPr>
        <w:t xml:space="preserve"> </w:t>
      </w:r>
      <w:r w:rsidR="00896078" w:rsidRPr="00267433">
        <w:rPr>
          <w:rFonts w:ascii="Times New Roman" w:hAnsi="Times New Roman" w:cs="Times New Roman"/>
          <w:sz w:val="24"/>
        </w:rPr>
        <w:t xml:space="preserve">the number of construction workers </w:t>
      </w:r>
      <w:r w:rsidR="002D1184" w:rsidRPr="00267433">
        <w:rPr>
          <w:rFonts w:ascii="Times New Roman" w:hAnsi="Times New Roman" w:cs="Times New Roman"/>
          <w:sz w:val="24"/>
        </w:rPr>
        <w:t xml:space="preserve">that </w:t>
      </w:r>
      <w:r w:rsidR="00896078" w:rsidRPr="00267433">
        <w:rPr>
          <w:rFonts w:ascii="Times New Roman" w:hAnsi="Times New Roman" w:cs="Times New Roman"/>
          <w:sz w:val="24"/>
        </w:rPr>
        <w:t xml:space="preserve">died </w:t>
      </w:r>
      <w:r w:rsidR="002D1184" w:rsidRPr="00267433">
        <w:rPr>
          <w:rFonts w:ascii="Times New Roman" w:hAnsi="Times New Roman" w:cs="Times New Roman"/>
          <w:sz w:val="24"/>
        </w:rPr>
        <w:t>in</w:t>
      </w:r>
      <w:r w:rsidR="00896078" w:rsidRPr="00267433">
        <w:rPr>
          <w:rFonts w:ascii="Times New Roman" w:hAnsi="Times New Roman" w:cs="Times New Roman"/>
          <w:sz w:val="24"/>
        </w:rPr>
        <w:t xml:space="preserve"> th</w:t>
      </w:r>
      <w:r w:rsidR="002D1184" w:rsidRPr="00267433">
        <w:rPr>
          <w:rFonts w:ascii="Times New Roman" w:hAnsi="Times New Roman" w:cs="Times New Roman"/>
          <w:sz w:val="24"/>
        </w:rPr>
        <w:t>e</w:t>
      </w:r>
      <w:r w:rsidR="00896078" w:rsidRPr="00267433">
        <w:rPr>
          <w:rFonts w:ascii="Times New Roman" w:hAnsi="Times New Roman" w:cs="Times New Roman"/>
          <w:sz w:val="24"/>
        </w:rPr>
        <w:t xml:space="preserve"> project </w:t>
      </w:r>
      <w:r w:rsidR="00B611CC" w:rsidRPr="00267433">
        <w:rPr>
          <w:rFonts w:ascii="Times New Roman" w:hAnsi="Times New Roman" w:cs="Times New Roman"/>
          <w:sz w:val="24"/>
        </w:rPr>
        <w:t>has</w:t>
      </w:r>
      <w:r w:rsidR="00896078" w:rsidRPr="00267433">
        <w:rPr>
          <w:rFonts w:ascii="Times New Roman" w:hAnsi="Times New Roman" w:cs="Times New Roman"/>
          <w:sz w:val="24"/>
        </w:rPr>
        <w:t xml:space="preserve"> already reached 1200</w:t>
      </w:r>
      <w:r w:rsidR="00B611CC" w:rsidRPr="00267433">
        <w:rPr>
          <w:rFonts w:ascii="Times New Roman" w:hAnsi="Times New Roman" w:cs="Times New Roman"/>
          <w:sz w:val="24"/>
        </w:rPr>
        <w:t>. Some of the reports estimate</w:t>
      </w:r>
      <w:r w:rsidR="002D1184" w:rsidRPr="00267433">
        <w:rPr>
          <w:rFonts w:ascii="Times New Roman" w:hAnsi="Times New Roman" w:cs="Times New Roman"/>
          <w:sz w:val="24"/>
        </w:rPr>
        <w:t xml:space="preserve"> </w:t>
      </w:r>
      <w:r w:rsidR="00B611CC" w:rsidRPr="00267433">
        <w:rPr>
          <w:rFonts w:ascii="Times New Roman" w:hAnsi="Times New Roman" w:cs="Times New Roman"/>
          <w:sz w:val="24"/>
        </w:rPr>
        <w:t>that</w:t>
      </w:r>
      <w:r w:rsidR="00896078" w:rsidRPr="00267433">
        <w:rPr>
          <w:rFonts w:ascii="Times New Roman" w:hAnsi="Times New Roman" w:cs="Times New Roman"/>
          <w:sz w:val="24"/>
        </w:rPr>
        <w:t xml:space="preserve"> </w:t>
      </w:r>
      <w:r w:rsidR="002D1184" w:rsidRPr="00267433">
        <w:rPr>
          <w:rFonts w:ascii="Times New Roman" w:hAnsi="Times New Roman" w:cs="Times New Roman"/>
          <w:sz w:val="24"/>
        </w:rPr>
        <w:t>the</w:t>
      </w:r>
      <w:r w:rsidR="00896078" w:rsidRPr="00267433">
        <w:rPr>
          <w:rFonts w:ascii="Times New Roman" w:hAnsi="Times New Roman" w:cs="Times New Roman"/>
          <w:sz w:val="24"/>
        </w:rPr>
        <w:t xml:space="preserve"> number </w:t>
      </w:r>
      <w:r w:rsidR="00B611CC" w:rsidRPr="00267433">
        <w:rPr>
          <w:rFonts w:ascii="Times New Roman" w:hAnsi="Times New Roman" w:cs="Times New Roman"/>
          <w:sz w:val="24"/>
        </w:rPr>
        <w:t xml:space="preserve">of deaths in this project </w:t>
      </w:r>
      <w:r w:rsidR="00896078" w:rsidRPr="00267433">
        <w:rPr>
          <w:rFonts w:ascii="Times New Roman" w:hAnsi="Times New Roman" w:cs="Times New Roman"/>
          <w:sz w:val="24"/>
        </w:rPr>
        <w:t xml:space="preserve">will reach 4000 by the end of 2020 when </w:t>
      </w:r>
      <w:r w:rsidR="00131DFB" w:rsidRPr="00267433">
        <w:rPr>
          <w:rFonts w:ascii="Times New Roman" w:hAnsi="Times New Roman" w:cs="Times New Roman"/>
          <w:sz w:val="24"/>
        </w:rPr>
        <w:t>it is</w:t>
      </w:r>
      <w:r w:rsidR="00896078" w:rsidRPr="00267433">
        <w:rPr>
          <w:rFonts w:ascii="Times New Roman" w:hAnsi="Times New Roman" w:cs="Times New Roman"/>
          <w:sz w:val="24"/>
        </w:rPr>
        <w:t xml:space="preserve"> completed</w:t>
      </w:r>
      <w:r w:rsidR="00AA41C5" w:rsidRPr="00267433">
        <w:rPr>
          <w:rFonts w:ascii="Times New Roman" w:hAnsi="Times New Roman" w:cs="Times New Roman"/>
          <w:sz w:val="24"/>
        </w:rPr>
        <w:t xml:space="preserve"> (</w:t>
      </w:r>
      <w:r w:rsidR="00D70E0C" w:rsidRPr="00267433">
        <w:rPr>
          <w:rFonts w:ascii="Times New Roman" w:hAnsi="Times New Roman" w:cs="Times New Roman"/>
          <w:sz w:val="24"/>
        </w:rPr>
        <w:t>S</w:t>
      </w:r>
      <w:r w:rsidR="00AA41C5" w:rsidRPr="00267433">
        <w:rPr>
          <w:rFonts w:ascii="Times New Roman" w:hAnsi="Times New Roman" w:cs="Times New Roman"/>
          <w:sz w:val="24"/>
        </w:rPr>
        <w:t>afety Media, 2018</w:t>
      </w:r>
      <w:r w:rsidR="00185482" w:rsidRPr="00267433">
        <w:rPr>
          <w:rFonts w:ascii="Times New Roman" w:hAnsi="Times New Roman" w:cs="Times New Roman"/>
          <w:sz w:val="24"/>
        </w:rPr>
        <w:t xml:space="preserve">; </w:t>
      </w:r>
      <w:r w:rsidR="006E4017" w:rsidRPr="00267433">
        <w:rPr>
          <w:rFonts w:ascii="Times New Roman" w:hAnsi="Times New Roman" w:cs="Times New Roman"/>
          <w:sz w:val="24"/>
        </w:rPr>
        <w:t>ITUC, 2014</w:t>
      </w:r>
      <w:r w:rsidR="00AA41C5" w:rsidRPr="00267433">
        <w:rPr>
          <w:rFonts w:ascii="Times New Roman" w:hAnsi="Times New Roman" w:cs="Times New Roman"/>
          <w:sz w:val="24"/>
        </w:rPr>
        <w:t>)</w:t>
      </w:r>
      <w:r w:rsidR="00896078" w:rsidRPr="00267433">
        <w:rPr>
          <w:rFonts w:ascii="Times New Roman" w:hAnsi="Times New Roman" w:cs="Times New Roman"/>
          <w:sz w:val="24"/>
        </w:rPr>
        <w:t>.</w:t>
      </w:r>
      <w:r w:rsidR="00AA41C5" w:rsidRPr="00267433">
        <w:rPr>
          <w:rFonts w:ascii="Times New Roman" w:hAnsi="Times New Roman" w:cs="Times New Roman"/>
          <w:sz w:val="24"/>
        </w:rPr>
        <w:t xml:space="preserve"> </w:t>
      </w:r>
      <w:r w:rsidR="00A5055E" w:rsidRPr="00267433">
        <w:rPr>
          <w:rFonts w:ascii="Times New Roman" w:hAnsi="Times New Roman" w:cs="Times New Roman"/>
          <w:sz w:val="24"/>
        </w:rPr>
        <w:t>The Human Right</w:t>
      </w:r>
      <w:r w:rsidR="00CD0231" w:rsidRPr="00267433">
        <w:rPr>
          <w:rFonts w:ascii="Times New Roman" w:hAnsi="Times New Roman" w:cs="Times New Roman"/>
          <w:sz w:val="24"/>
        </w:rPr>
        <w:t>s</w:t>
      </w:r>
      <w:r w:rsidR="00A5055E" w:rsidRPr="00267433">
        <w:rPr>
          <w:rFonts w:ascii="Times New Roman" w:hAnsi="Times New Roman" w:cs="Times New Roman"/>
          <w:sz w:val="24"/>
        </w:rPr>
        <w:t xml:space="preserve"> Watch report indicates that the total workforce in Qatar is approximately two million</w:t>
      </w:r>
      <w:r w:rsidR="00D70E0C" w:rsidRPr="00267433">
        <w:rPr>
          <w:rFonts w:ascii="Times New Roman" w:hAnsi="Times New Roman" w:cs="Times New Roman"/>
          <w:sz w:val="24"/>
        </w:rPr>
        <w:t>, with</w:t>
      </w:r>
      <w:r w:rsidR="00A5055E" w:rsidRPr="00267433">
        <w:rPr>
          <w:rFonts w:ascii="Times New Roman" w:hAnsi="Times New Roman" w:cs="Times New Roman"/>
          <w:sz w:val="24"/>
        </w:rPr>
        <w:t xml:space="preserve"> 95% of this workforce </w:t>
      </w:r>
      <w:r w:rsidR="00D70E0C" w:rsidRPr="00267433">
        <w:rPr>
          <w:rFonts w:ascii="Times New Roman" w:hAnsi="Times New Roman" w:cs="Times New Roman"/>
          <w:sz w:val="24"/>
        </w:rPr>
        <w:t>being</w:t>
      </w:r>
      <w:r w:rsidR="00A5055E" w:rsidRPr="00267433">
        <w:rPr>
          <w:rFonts w:ascii="Times New Roman" w:hAnsi="Times New Roman" w:cs="Times New Roman"/>
          <w:sz w:val="24"/>
        </w:rPr>
        <w:t xml:space="preserve"> expatriates</w:t>
      </w:r>
      <w:r w:rsidR="00B611CC" w:rsidRPr="00267433">
        <w:rPr>
          <w:rFonts w:ascii="Times New Roman" w:hAnsi="Times New Roman" w:cs="Times New Roman"/>
          <w:sz w:val="24"/>
        </w:rPr>
        <w:t xml:space="preserve">. A total of </w:t>
      </w:r>
      <w:r w:rsidR="00A5055E" w:rsidRPr="00267433">
        <w:rPr>
          <w:rFonts w:ascii="Times New Roman" w:hAnsi="Times New Roman" w:cs="Times New Roman"/>
          <w:sz w:val="24"/>
        </w:rPr>
        <w:t>800,000</w:t>
      </w:r>
      <w:r w:rsidR="00B611CC" w:rsidRPr="00267433">
        <w:rPr>
          <w:rFonts w:ascii="Times New Roman" w:hAnsi="Times New Roman" w:cs="Times New Roman"/>
          <w:sz w:val="24"/>
        </w:rPr>
        <w:t xml:space="preserve"> expatriates (</w:t>
      </w:r>
      <w:r w:rsidR="00A5055E" w:rsidRPr="00267433">
        <w:rPr>
          <w:rFonts w:ascii="Times New Roman" w:hAnsi="Times New Roman" w:cs="Times New Roman"/>
          <w:sz w:val="24"/>
        </w:rPr>
        <w:t>40%</w:t>
      </w:r>
      <w:r w:rsidR="00B611CC" w:rsidRPr="00267433">
        <w:rPr>
          <w:rFonts w:ascii="Times New Roman" w:hAnsi="Times New Roman" w:cs="Times New Roman"/>
          <w:sz w:val="24"/>
        </w:rPr>
        <w:t xml:space="preserve"> </w:t>
      </w:r>
      <w:r w:rsidR="00A5055E" w:rsidRPr="00267433">
        <w:rPr>
          <w:rFonts w:ascii="Times New Roman" w:hAnsi="Times New Roman" w:cs="Times New Roman"/>
          <w:sz w:val="24"/>
        </w:rPr>
        <w:t xml:space="preserve">are employed </w:t>
      </w:r>
      <w:r w:rsidR="00D70E0C" w:rsidRPr="00267433">
        <w:rPr>
          <w:rFonts w:ascii="Times New Roman" w:hAnsi="Times New Roman" w:cs="Times New Roman"/>
          <w:sz w:val="24"/>
        </w:rPr>
        <w:t>by the</w:t>
      </w:r>
      <w:r w:rsidR="00A5055E" w:rsidRPr="00267433">
        <w:rPr>
          <w:rFonts w:ascii="Times New Roman" w:hAnsi="Times New Roman" w:cs="Times New Roman"/>
          <w:sz w:val="24"/>
        </w:rPr>
        <w:t xml:space="preserve"> construction sector (Human Right</w:t>
      </w:r>
      <w:r w:rsidR="00CD0231" w:rsidRPr="00267433">
        <w:rPr>
          <w:rFonts w:ascii="Times New Roman" w:hAnsi="Times New Roman" w:cs="Times New Roman"/>
          <w:sz w:val="24"/>
        </w:rPr>
        <w:t>s</w:t>
      </w:r>
      <w:r w:rsidR="00A5055E" w:rsidRPr="00267433">
        <w:rPr>
          <w:rFonts w:ascii="Times New Roman" w:hAnsi="Times New Roman" w:cs="Times New Roman"/>
          <w:sz w:val="24"/>
        </w:rPr>
        <w:t xml:space="preserve"> Watch, 2018). </w:t>
      </w:r>
      <w:r w:rsidR="00D37972" w:rsidRPr="00267433">
        <w:rPr>
          <w:rFonts w:ascii="Times New Roman" w:hAnsi="Times New Roman" w:cs="Times New Roman"/>
          <w:sz w:val="24"/>
        </w:rPr>
        <w:t xml:space="preserve">The report further shows that in </w:t>
      </w:r>
      <w:r w:rsidR="00B611CC" w:rsidRPr="00267433">
        <w:rPr>
          <w:rFonts w:ascii="Times New Roman" w:hAnsi="Times New Roman" w:cs="Times New Roman"/>
          <w:sz w:val="24"/>
        </w:rPr>
        <w:t xml:space="preserve">only </w:t>
      </w:r>
      <w:r w:rsidR="00D37972" w:rsidRPr="00267433">
        <w:rPr>
          <w:rFonts w:ascii="Times New Roman" w:hAnsi="Times New Roman" w:cs="Times New Roman"/>
          <w:sz w:val="24"/>
        </w:rPr>
        <w:t>2012, a total of 520 workers from India, Bangladesh</w:t>
      </w:r>
      <w:r w:rsidR="00CD0231" w:rsidRPr="00267433">
        <w:rPr>
          <w:rFonts w:ascii="Times New Roman" w:hAnsi="Times New Roman" w:cs="Times New Roman"/>
          <w:sz w:val="24"/>
        </w:rPr>
        <w:t>,</w:t>
      </w:r>
      <w:r w:rsidR="00D37972" w:rsidRPr="00267433">
        <w:rPr>
          <w:rFonts w:ascii="Times New Roman" w:hAnsi="Times New Roman" w:cs="Times New Roman"/>
          <w:sz w:val="24"/>
        </w:rPr>
        <w:t xml:space="preserve"> and Nepal died due to different work</w:t>
      </w:r>
      <w:r w:rsidR="0001721A" w:rsidRPr="00267433">
        <w:rPr>
          <w:rFonts w:ascii="Times New Roman" w:hAnsi="Times New Roman" w:cs="Times New Roman"/>
          <w:sz w:val="24"/>
        </w:rPr>
        <w:t>-</w:t>
      </w:r>
      <w:r w:rsidR="00D37972" w:rsidRPr="00267433">
        <w:rPr>
          <w:rFonts w:ascii="Times New Roman" w:hAnsi="Times New Roman" w:cs="Times New Roman"/>
          <w:sz w:val="24"/>
        </w:rPr>
        <w:t xml:space="preserve">related accidents and conditions in Qatar.  </w:t>
      </w:r>
      <w:r w:rsidR="00A5055E" w:rsidRPr="00267433">
        <w:rPr>
          <w:rFonts w:ascii="Times New Roman" w:hAnsi="Times New Roman" w:cs="Times New Roman"/>
          <w:sz w:val="24"/>
        </w:rPr>
        <w:t xml:space="preserve">  </w:t>
      </w:r>
      <w:r w:rsidR="00D043BA" w:rsidRPr="00267433">
        <w:rPr>
          <w:rFonts w:ascii="Times New Roman" w:hAnsi="Times New Roman" w:cs="Times New Roman"/>
          <w:sz w:val="24"/>
        </w:rPr>
        <w:t xml:space="preserve"> </w:t>
      </w:r>
    </w:p>
    <w:p w14:paraId="25A4FE72" w14:textId="15EC437B" w:rsidR="00442C21" w:rsidRPr="00267433" w:rsidRDefault="00920961" w:rsidP="0036675C">
      <w:pPr>
        <w:spacing w:line="360" w:lineRule="auto"/>
        <w:jc w:val="both"/>
        <w:rPr>
          <w:rFonts w:ascii="Times New Roman" w:hAnsi="Times New Roman" w:cs="Times New Roman"/>
          <w:sz w:val="24"/>
        </w:rPr>
      </w:pPr>
      <w:r w:rsidRPr="00267433">
        <w:rPr>
          <w:rFonts w:ascii="Times New Roman" w:hAnsi="Times New Roman" w:cs="Times New Roman"/>
          <w:sz w:val="24"/>
        </w:rPr>
        <w:t>Similarly, Umar and Wamuziri (2016</w:t>
      </w:r>
      <w:r w:rsidR="00456592" w:rsidRPr="00267433">
        <w:rPr>
          <w:rFonts w:ascii="Times New Roman" w:hAnsi="Times New Roman" w:cs="Times New Roman"/>
          <w:sz w:val="24"/>
        </w:rPr>
        <w:t>-b</w:t>
      </w:r>
      <w:r w:rsidRPr="00267433">
        <w:rPr>
          <w:rFonts w:ascii="Times New Roman" w:hAnsi="Times New Roman" w:cs="Times New Roman"/>
          <w:sz w:val="24"/>
        </w:rPr>
        <w:t>) noted that, officially, there are no statistics in Oman as to how many construction workers were injured at work. However, data from ten reputable construction organizations show that in 2014, more than 3500 construction workers received medical treatment due to work</w:t>
      </w:r>
      <w:r w:rsidR="007E3554" w:rsidRPr="00267433">
        <w:rPr>
          <w:rFonts w:ascii="Times New Roman" w:hAnsi="Times New Roman" w:cs="Times New Roman"/>
          <w:sz w:val="24"/>
        </w:rPr>
        <w:t>-related</w:t>
      </w:r>
      <w:r w:rsidRPr="00267433">
        <w:rPr>
          <w:rFonts w:ascii="Times New Roman" w:hAnsi="Times New Roman" w:cs="Times New Roman"/>
          <w:sz w:val="24"/>
        </w:rPr>
        <w:t xml:space="preserve"> injuries. Due to the severity of </w:t>
      </w:r>
      <w:r w:rsidR="007E3554" w:rsidRPr="00267433">
        <w:rPr>
          <w:rFonts w:ascii="Times New Roman" w:hAnsi="Times New Roman" w:cs="Times New Roman"/>
          <w:sz w:val="24"/>
        </w:rPr>
        <w:t xml:space="preserve">the </w:t>
      </w:r>
      <w:r w:rsidRPr="00267433">
        <w:rPr>
          <w:rFonts w:ascii="Times New Roman" w:hAnsi="Times New Roman" w:cs="Times New Roman"/>
          <w:sz w:val="24"/>
        </w:rPr>
        <w:t>injuries, around 10% of these workers were hospitalized. The report further reveals that roughly 18% of these workers, who were hospitalized, later died at their work or in hospital. In comparison to the previous year’s data, the number of injured workers rose by 246. For various reasons including reputation, company owners hesitate to publicize such information.</w:t>
      </w:r>
      <w:r w:rsidR="00A655CF" w:rsidRPr="00267433">
        <w:rPr>
          <w:rFonts w:ascii="Times New Roman" w:hAnsi="Times New Roman" w:cs="Times New Roman"/>
          <w:sz w:val="24"/>
        </w:rPr>
        <w:t xml:space="preserve"> Umar and Wamuziri (2016</w:t>
      </w:r>
      <w:r w:rsidR="00456592" w:rsidRPr="00267433">
        <w:rPr>
          <w:rFonts w:ascii="Times New Roman" w:hAnsi="Times New Roman" w:cs="Times New Roman"/>
          <w:sz w:val="24"/>
        </w:rPr>
        <w:t>-</w:t>
      </w:r>
      <w:r w:rsidR="00744E3E">
        <w:rPr>
          <w:rFonts w:ascii="Times New Roman" w:hAnsi="Times New Roman" w:cs="Times New Roman"/>
          <w:sz w:val="24"/>
        </w:rPr>
        <w:t>c</w:t>
      </w:r>
      <w:r w:rsidR="00A655CF" w:rsidRPr="00267433">
        <w:rPr>
          <w:rFonts w:ascii="Times New Roman" w:hAnsi="Times New Roman" w:cs="Times New Roman"/>
          <w:sz w:val="24"/>
        </w:rPr>
        <w:t>) further quoted the</w:t>
      </w:r>
      <w:r w:rsidR="006942A6" w:rsidRPr="00267433">
        <w:rPr>
          <w:rFonts w:ascii="Times New Roman" w:hAnsi="Times New Roman" w:cs="Times New Roman"/>
          <w:sz w:val="24"/>
        </w:rPr>
        <w:t xml:space="preserve"> reports</w:t>
      </w:r>
      <w:r w:rsidR="00A655CF" w:rsidRPr="00267433">
        <w:rPr>
          <w:rFonts w:ascii="Times New Roman" w:hAnsi="Times New Roman" w:cs="Times New Roman"/>
          <w:sz w:val="24"/>
        </w:rPr>
        <w:t xml:space="preserve"> of one daily newspaper covering six months (from May 2015 to November 2015)</w:t>
      </w:r>
      <w:r w:rsidR="00A10753" w:rsidRPr="00267433">
        <w:rPr>
          <w:rFonts w:ascii="Times New Roman" w:hAnsi="Times New Roman" w:cs="Times New Roman"/>
          <w:sz w:val="24"/>
        </w:rPr>
        <w:t xml:space="preserve">, which </w:t>
      </w:r>
      <w:r w:rsidR="00A655CF" w:rsidRPr="00267433">
        <w:rPr>
          <w:rFonts w:ascii="Times New Roman" w:hAnsi="Times New Roman" w:cs="Times New Roman"/>
          <w:sz w:val="24"/>
        </w:rPr>
        <w:t>stated that 9 construction workers died and 25 were injured in Oman. Apparently, these accidents t</w:t>
      </w:r>
      <w:r w:rsidR="00917140" w:rsidRPr="00267433">
        <w:rPr>
          <w:rFonts w:ascii="Times New Roman" w:hAnsi="Times New Roman" w:cs="Times New Roman"/>
          <w:sz w:val="24"/>
        </w:rPr>
        <w:t>ook</w:t>
      </w:r>
      <w:r w:rsidR="00A655CF" w:rsidRPr="00267433">
        <w:rPr>
          <w:rFonts w:ascii="Times New Roman" w:hAnsi="Times New Roman" w:cs="Times New Roman"/>
          <w:sz w:val="24"/>
        </w:rPr>
        <w:t xml:space="preserve"> place in </w:t>
      </w:r>
      <w:r w:rsidR="00917140" w:rsidRPr="00267433">
        <w:rPr>
          <w:rFonts w:ascii="Times New Roman" w:hAnsi="Times New Roman" w:cs="Times New Roman"/>
          <w:sz w:val="24"/>
        </w:rPr>
        <w:t xml:space="preserve">the </w:t>
      </w:r>
      <w:r w:rsidR="00A655CF" w:rsidRPr="00267433">
        <w:rPr>
          <w:rFonts w:ascii="Times New Roman" w:hAnsi="Times New Roman" w:cs="Times New Roman"/>
          <w:sz w:val="24"/>
        </w:rPr>
        <w:t>major cities of Oman</w:t>
      </w:r>
      <w:r w:rsidR="00917140" w:rsidRPr="00267433">
        <w:rPr>
          <w:rFonts w:ascii="Times New Roman" w:hAnsi="Times New Roman" w:cs="Times New Roman"/>
          <w:sz w:val="24"/>
        </w:rPr>
        <w:t>,</w:t>
      </w:r>
      <w:r w:rsidR="00A655CF" w:rsidRPr="00267433">
        <w:rPr>
          <w:rFonts w:ascii="Times New Roman" w:hAnsi="Times New Roman" w:cs="Times New Roman"/>
          <w:sz w:val="24"/>
        </w:rPr>
        <w:t xml:space="preserve"> therefore were reported in the newspapers, there may</w:t>
      </w:r>
      <w:r w:rsidR="00917140" w:rsidRPr="00267433">
        <w:rPr>
          <w:rFonts w:ascii="Times New Roman" w:hAnsi="Times New Roman" w:cs="Times New Roman"/>
          <w:sz w:val="24"/>
        </w:rPr>
        <w:t xml:space="preserve"> have</w:t>
      </w:r>
      <w:r w:rsidR="00A655CF" w:rsidRPr="00267433">
        <w:rPr>
          <w:rFonts w:ascii="Times New Roman" w:hAnsi="Times New Roman" w:cs="Times New Roman"/>
          <w:sz w:val="24"/>
        </w:rPr>
        <w:t xml:space="preserve"> b</w:t>
      </w:r>
      <w:r w:rsidR="00917140" w:rsidRPr="00267433">
        <w:rPr>
          <w:rFonts w:ascii="Times New Roman" w:hAnsi="Times New Roman" w:cs="Times New Roman"/>
          <w:sz w:val="24"/>
        </w:rPr>
        <w:t>een</w:t>
      </w:r>
      <w:r w:rsidR="00A655CF" w:rsidRPr="00267433">
        <w:rPr>
          <w:rFonts w:ascii="Times New Roman" w:hAnsi="Times New Roman" w:cs="Times New Roman"/>
          <w:sz w:val="24"/>
        </w:rPr>
        <w:t xml:space="preserve"> accidents resulting</w:t>
      </w:r>
      <w:r w:rsidR="00CD0231" w:rsidRPr="00267433">
        <w:rPr>
          <w:rFonts w:ascii="Times New Roman" w:hAnsi="Times New Roman" w:cs="Times New Roman"/>
          <w:sz w:val="24"/>
        </w:rPr>
        <w:t xml:space="preserve"> in</w:t>
      </w:r>
      <w:r w:rsidR="00A655CF" w:rsidRPr="00267433">
        <w:rPr>
          <w:rFonts w:ascii="Times New Roman" w:hAnsi="Times New Roman" w:cs="Times New Roman"/>
          <w:sz w:val="24"/>
        </w:rPr>
        <w:t xml:space="preserve"> injuries and fatalities in remote area</w:t>
      </w:r>
      <w:r w:rsidR="00917140" w:rsidRPr="00267433">
        <w:rPr>
          <w:rFonts w:ascii="Times New Roman" w:hAnsi="Times New Roman" w:cs="Times New Roman"/>
          <w:sz w:val="24"/>
        </w:rPr>
        <w:t>s,</w:t>
      </w:r>
      <w:r w:rsidR="00A655CF" w:rsidRPr="00267433">
        <w:rPr>
          <w:rFonts w:ascii="Times New Roman" w:hAnsi="Times New Roman" w:cs="Times New Roman"/>
          <w:sz w:val="24"/>
        </w:rPr>
        <w:t xml:space="preserve"> but </w:t>
      </w:r>
      <w:r w:rsidR="00917140" w:rsidRPr="00267433">
        <w:rPr>
          <w:rFonts w:ascii="Times New Roman" w:hAnsi="Times New Roman" w:cs="Times New Roman"/>
          <w:sz w:val="24"/>
        </w:rPr>
        <w:t xml:space="preserve">these were not </w:t>
      </w:r>
      <w:r w:rsidR="00A655CF" w:rsidRPr="00267433">
        <w:rPr>
          <w:rFonts w:ascii="Times New Roman" w:hAnsi="Times New Roman" w:cs="Times New Roman"/>
          <w:sz w:val="24"/>
        </w:rPr>
        <w:t>reported in the newspaper. Thus</w:t>
      </w:r>
      <w:r w:rsidR="00917140" w:rsidRPr="00267433">
        <w:rPr>
          <w:rFonts w:ascii="Times New Roman" w:hAnsi="Times New Roman" w:cs="Times New Roman"/>
          <w:sz w:val="24"/>
        </w:rPr>
        <w:t>,</w:t>
      </w:r>
      <w:r w:rsidR="00A655CF" w:rsidRPr="00267433">
        <w:rPr>
          <w:rFonts w:ascii="Times New Roman" w:hAnsi="Times New Roman" w:cs="Times New Roman"/>
          <w:sz w:val="24"/>
        </w:rPr>
        <w:t xml:space="preserve"> the actual number of fatalities and injuries may be greater than th</w:t>
      </w:r>
      <w:r w:rsidR="00CD0231" w:rsidRPr="00267433">
        <w:rPr>
          <w:rFonts w:ascii="Times New Roman" w:hAnsi="Times New Roman" w:cs="Times New Roman"/>
          <w:sz w:val="24"/>
        </w:rPr>
        <w:t>ose</w:t>
      </w:r>
      <w:r w:rsidR="00A655CF" w:rsidRPr="00267433">
        <w:rPr>
          <w:rFonts w:ascii="Times New Roman" w:hAnsi="Times New Roman" w:cs="Times New Roman"/>
          <w:sz w:val="24"/>
        </w:rPr>
        <w:t xml:space="preserve"> reported in the newspaper.</w:t>
      </w:r>
      <w:r w:rsidR="00442C21" w:rsidRPr="00267433">
        <w:rPr>
          <w:rFonts w:ascii="Times New Roman" w:hAnsi="Times New Roman" w:cs="Times New Roman"/>
          <w:sz w:val="24"/>
        </w:rPr>
        <w:t xml:space="preserve"> </w:t>
      </w:r>
    </w:p>
    <w:p w14:paraId="34D0DE59" w14:textId="14A544E5" w:rsidR="00B17D49" w:rsidRPr="00267433" w:rsidRDefault="00A80CCE" w:rsidP="00A80CCE">
      <w:pPr>
        <w:spacing w:line="360" w:lineRule="auto"/>
        <w:jc w:val="both"/>
        <w:rPr>
          <w:rFonts w:ascii="Times New Roman" w:hAnsi="Times New Roman" w:cs="Times New Roman"/>
          <w:sz w:val="24"/>
        </w:rPr>
      </w:pPr>
      <w:r w:rsidRPr="00267433">
        <w:rPr>
          <w:rFonts w:ascii="Times New Roman" w:hAnsi="Times New Roman" w:cs="Times New Roman"/>
          <w:sz w:val="24"/>
        </w:rPr>
        <w:lastRenderedPageBreak/>
        <w:t xml:space="preserve">In </w:t>
      </w:r>
      <w:r w:rsidR="00CD0231" w:rsidRPr="00267433">
        <w:rPr>
          <w:rFonts w:ascii="Times New Roman" w:hAnsi="Times New Roman" w:cs="Times New Roman"/>
          <w:sz w:val="24"/>
        </w:rPr>
        <w:t xml:space="preserve">the </w:t>
      </w:r>
      <w:r w:rsidRPr="00267433">
        <w:rPr>
          <w:rFonts w:ascii="Times New Roman" w:hAnsi="Times New Roman" w:cs="Times New Roman"/>
          <w:sz w:val="24"/>
        </w:rPr>
        <w:t xml:space="preserve">United Arab Emirates, almost 70% of construction organizations have a serious lack </w:t>
      </w:r>
      <w:r w:rsidR="00CD0231" w:rsidRPr="00267433">
        <w:rPr>
          <w:rFonts w:ascii="Times New Roman" w:hAnsi="Times New Roman" w:cs="Times New Roman"/>
          <w:sz w:val="24"/>
        </w:rPr>
        <w:t>of</w:t>
      </w:r>
      <w:r w:rsidRPr="00267433">
        <w:rPr>
          <w:rFonts w:ascii="Times New Roman" w:hAnsi="Times New Roman" w:cs="Times New Roman"/>
          <w:sz w:val="24"/>
        </w:rPr>
        <w:t xml:space="preserve"> understanding</w:t>
      </w:r>
      <w:r w:rsidR="00CD0231" w:rsidRPr="00267433">
        <w:rPr>
          <w:rFonts w:ascii="Times New Roman" w:hAnsi="Times New Roman" w:cs="Times New Roman"/>
          <w:sz w:val="24"/>
        </w:rPr>
        <w:t xml:space="preserve"> of</w:t>
      </w:r>
      <w:r w:rsidRPr="00267433">
        <w:rPr>
          <w:rFonts w:ascii="Times New Roman" w:hAnsi="Times New Roman" w:cs="Times New Roman"/>
          <w:sz w:val="24"/>
        </w:rPr>
        <w:t xml:space="preserve"> the importance of health and Safety policy. Construction organizations classified as medium </w:t>
      </w:r>
      <w:r w:rsidR="006D6842" w:rsidRPr="00267433">
        <w:rPr>
          <w:rFonts w:ascii="Times New Roman" w:hAnsi="Times New Roman" w:cs="Times New Roman"/>
          <w:sz w:val="24"/>
        </w:rPr>
        <w:t>in size</w:t>
      </w:r>
      <w:r w:rsidRPr="00267433">
        <w:rPr>
          <w:rFonts w:ascii="Times New Roman" w:hAnsi="Times New Roman" w:cs="Times New Roman"/>
          <w:sz w:val="24"/>
        </w:rPr>
        <w:t xml:space="preserve">, have no </w:t>
      </w:r>
      <w:r w:rsidR="006D6842" w:rsidRPr="00267433">
        <w:rPr>
          <w:rFonts w:ascii="Times New Roman" w:hAnsi="Times New Roman" w:cs="Times New Roman"/>
          <w:sz w:val="24"/>
        </w:rPr>
        <w:t>dedicated health and</w:t>
      </w:r>
      <w:r w:rsidRPr="00267433">
        <w:rPr>
          <w:rFonts w:ascii="Times New Roman" w:hAnsi="Times New Roman" w:cs="Times New Roman"/>
          <w:sz w:val="24"/>
        </w:rPr>
        <w:t xml:space="preserve"> safety officer. Most of the small construction organizations and some of the medium</w:t>
      </w:r>
      <w:r w:rsidR="00CD0231" w:rsidRPr="00267433">
        <w:rPr>
          <w:rFonts w:ascii="Times New Roman" w:hAnsi="Times New Roman" w:cs="Times New Roman"/>
          <w:sz w:val="24"/>
        </w:rPr>
        <w:t>-</w:t>
      </w:r>
      <w:r w:rsidRPr="00267433">
        <w:rPr>
          <w:rFonts w:ascii="Times New Roman" w:hAnsi="Times New Roman" w:cs="Times New Roman"/>
          <w:sz w:val="24"/>
        </w:rPr>
        <w:t>sized construction organizations do not have a written health</w:t>
      </w:r>
      <w:r w:rsidR="009A2372" w:rsidRPr="00267433">
        <w:rPr>
          <w:rFonts w:ascii="Times New Roman" w:hAnsi="Times New Roman" w:cs="Times New Roman"/>
          <w:sz w:val="24"/>
        </w:rPr>
        <w:t xml:space="preserve"> and safety </w:t>
      </w:r>
      <w:r w:rsidRPr="00267433">
        <w:rPr>
          <w:rFonts w:ascii="Times New Roman" w:hAnsi="Times New Roman" w:cs="Times New Roman"/>
          <w:sz w:val="24"/>
        </w:rPr>
        <w:t>policy.  Only 18% of construction organizations conduct continuous</w:t>
      </w:r>
      <w:r w:rsidR="00BD575E" w:rsidRPr="00267433">
        <w:rPr>
          <w:rFonts w:ascii="Times New Roman" w:hAnsi="Times New Roman" w:cs="Times New Roman"/>
          <w:sz w:val="24"/>
        </w:rPr>
        <w:t xml:space="preserve"> </w:t>
      </w:r>
      <w:r w:rsidRPr="00267433">
        <w:rPr>
          <w:rFonts w:ascii="Times New Roman" w:hAnsi="Times New Roman" w:cs="Times New Roman"/>
          <w:sz w:val="24"/>
        </w:rPr>
        <w:t xml:space="preserve">health </w:t>
      </w:r>
      <w:r w:rsidR="00495145" w:rsidRPr="00267433">
        <w:rPr>
          <w:rFonts w:ascii="Times New Roman" w:hAnsi="Times New Roman" w:cs="Times New Roman"/>
          <w:sz w:val="24"/>
        </w:rPr>
        <w:t xml:space="preserve">and safety </w:t>
      </w:r>
      <w:r w:rsidRPr="00267433">
        <w:rPr>
          <w:rFonts w:ascii="Times New Roman" w:hAnsi="Times New Roman" w:cs="Times New Roman"/>
          <w:sz w:val="24"/>
        </w:rPr>
        <w:t xml:space="preserve">training </w:t>
      </w:r>
      <w:r w:rsidR="00495145" w:rsidRPr="00267433">
        <w:rPr>
          <w:rFonts w:ascii="Times New Roman" w:hAnsi="Times New Roman" w:cs="Times New Roman"/>
          <w:sz w:val="24"/>
        </w:rPr>
        <w:t>of</w:t>
      </w:r>
      <w:r w:rsidRPr="00267433">
        <w:rPr>
          <w:rFonts w:ascii="Times New Roman" w:hAnsi="Times New Roman" w:cs="Times New Roman"/>
          <w:sz w:val="24"/>
        </w:rPr>
        <w:t xml:space="preserve"> their </w:t>
      </w:r>
      <w:r w:rsidR="00BD575E" w:rsidRPr="00267433">
        <w:rPr>
          <w:rFonts w:ascii="Times New Roman" w:hAnsi="Times New Roman" w:cs="Times New Roman"/>
          <w:sz w:val="24"/>
        </w:rPr>
        <w:t>workers (Middle East Annual Conference, 2014)</w:t>
      </w:r>
      <w:r w:rsidRPr="00267433">
        <w:rPr>
          <w:rFonts w:ascii="Times New Roman" w:hAnsi="Times New Roman" w:cs="Times New Roman"/>
          <w:sz w:val="24"/>
        </w:rPr>
        <w:t>.</w:t>
      </w:r>
      <w:r w:rsidR="00CA20ED" w:rsidRPr="00267433">
        <w:rPr>
          <w:rFonts w:ascii="Times New Roman" w:hAnsi="Times New Roman" w:cs="Times New Roman"/>
          <w:sz w:val="24"/>
        </w:rPr>
        <w:t xml:space="preserve"> </w:t>
      </w:r>
      <w:r w:rsidR="00B17D49" w:rsidRPr="00267433">
        <w:rPr>
          <w:rFonts w:ascii="Times New Roman" w:hAnsi="Times New Roman" w:cs="Times New Roman"/>
          <w:sz w:val="24"/>
        </w:rPr>
        <w:t>Statistics related to occupational health</w:t>
      </w:r>
      <w:r w:rsidR="00034B21" w:rsidRPr="00267433">
        <w:rPr>
          <w:rFonts w:ascii="Times New Roman" w:hAnsi="Times New Roman" w:cs="Times New Roman"/>
          <w:sz w:val="24"/>
        </w:rPr>
        <w:t xml:space="preserve"> and safety</w:t>
      </w:r>
      <w:r w:rsidR="00B17D49" w:rsidRPr="00267433">
        <w:rPr>
          <w:rFonts w:ascii="Times New Roman" w:hAnsi="Times New Roman" w:cs="Times New Roman"/>
          <w:sz w:val="24"/>
        </w:rPr>
        <w:t xml:space="preserve"> performance of construction organizations working in </w:t>
      </w:r>
      <w:r w:rsidR="003E505E" w:rsidRPr="00267433">
        <w:rPr>
          <w:rFonts w:ascii="Times New Roman" w:hAnsi="Times New Roman" w:cs="Times New Roman"/>
          <w:sz w:val="24"/>
        </w:rPr>
        <w:t>Dubai</w:t>
      </w:r>
      <w:r w:rsidR="00B17D49" w:rsidRPr="00267433">
        <w:rPr>
          <w:rFonts w:ascii="Times New Roman" w:hAnsi="Times New Roman" w:cs="Times New Roman"/>
          <w:sz w:val="24"/>
        </w:rPr>
        <w:t xml:space="preserve"> shows that in 2013, 71% of the construction companies (out of 130) have no occupational health</w:t>
      </w:r>
      <w:r w:rsidR="00034B21" w:rsidRPr="00267433">
        <w:rPr>
          <w:rFonts w:ascii="Times New Roman" w:hAnsi="Times New Roman" w:cs="Times New Roman"/>
          <w:sz w:val="24"/>
        </w:rPr>
        <w:t xml:space="preserve"> and safety</w:t>
      </w:r>
      <w:r w:rsidR="00B17D49" w:rsidRPr="00267433">
        <w:rPr>
          <w:rFonts w:ascii="Times New Roman" w:hAnsi="Times New Roman" w:cs="Times New Roman"/>
          <w:sz w:val="24"/>
        </w:rPr>
        <w:t xml:space="preserve"> training for their workers. Similarly, more than 70% of the construction </w:t>
      </w:r>
      <w:r w:rsidR="007E4F7A" w:rsidRPr="00267433">
        <w:rPr>
          <w:rFonts w:ascii="Times New Roman" w:hAnsi="Times New Roman" w:cs="Times New Roman"/>
          <w:sz w:val="24"/>
        </w:rPr>
        <w:t xml:space="preserve">workers </w:t>
      </w:r>
      <w:r w:rsidR="00B17D49" w:rsidRPr="00267433">
        <w:rPr>
          <w:rFonts w:ascii="Times New Roman" w:hAnsi="Times New Roman" w:cs="Times New Roman"/>
          <w:sz w:val="24"/>
        </w:rPr>
        <w:t>believe that the</w:t>
      </w:r>
      <w:r w:rsidR="007E4F7A" w:rsidRPr="00267433">
        <w:rPr>
          <w:rFonts w:ascii="Times New Roman" w:hAnsi="Times New Roman" w:cs="Times New Roman"/>
          <w:sz w:val="24"/>
        </w:rPr>
        <w:t xml:space="preserve"> training they receiv</w:t>
      </w:r>
      <w:r w:rsidR="0050173D" w:rsidRPr="00267433">
        <w:rPr>
          <w:rFonts w:ascii="Times New Roman" w:hAnsi="Times New Roman" w:cs="Times New Roman"/>
          <w:sz w:val="24"/>
        </w:rPr>
        <w:t>ed was</w:t>
      </w:r>
      <w:r w:rsidR="007E4F7A" w:rsidRPr="00267433">
        <w:rPr>
          <w:rFonts w:ascii="Times New Roman" w:hAnsi="Times New Roman" w:cs="Times New Roman"/>
          <w:sz w:val="24"/>
        </w:rPr>
        <w:t xml:space="preserve"> outdated (</w:t>
      </w:r>
      <w:r w:rsidR="0050173D" w:rsidRPr="00267433">
        <w:rPr>
          <w:rFonts w:ascii="Times New Roman" w:hAnsi="Times New Roman" w:cs="Times New Roman"/>
          <w:sz w:val="24"/>
        </w:rPr>
        <w:t>S</w:t>
      </w:r>
      <w:r w:rsidR="007E4F7A" w:rsidRPr="00267433">
        <w:rPr>
          <w:rFonts w:ascii="Times New Roman" w:hAnsi="Times New Roman" w:cs="Times New Roman"/>
          <w:sz w:val="24"/>
        </w:rPr>
        <w:t xml:space="preserve">afety Media, 2018). </w:t>
      </w:r>
      <w:r w:rsidR="00B17D49" w:rsidRPr="00267433">
        <w:rPr>
          <w:rFonts w:ascii="Times New Roman" w:hAnsi="Times New Roman" w:cs="Times New Roman"/>
          <w:sz w:val="24"/>
        </w:rPr>
        <w:t xml:space="preserve">      </w:t>
      </w:r>
    </w:p>
    <w:p w14:paraId="5512C82E" w14:textId="20375654" w:rsidR="004C4E94" w:rsidRPr="00267433" w:rsidRDefault="00563BBE" w:rsidP="00A80CCE">
      <w:pPr>
        <w:spacing w:line="360" w:lineRule="auto"/>
        <w:jc w:val="both"/>
        <w:rPr>
          <w:rFonts w:ascii="Times New Roman" w:hAnsi="Times New Roman" w:cs="Times New Roman"/>
          <w:sz w:val="24"/>
        </w:rPr>
      </w:pPr>
      <w:r w:rsidRPr="00267433">
        <w:rPr>
          <w:rFonts w:ascii="Times New Roman" w:hAnsi="Times New Roman" w:cs="Times New Roman"/>
          <w:sz w:val="24"/>
        </w:rPr>
        <w:t>The statistics published by the General Organization for Social Insurance</w:t>
      </w:r>
      <w:r w:rsidR="00A706B0" w:rsidRPr="00267433">
        <w:rPr>
          <w:rFonts w:ascii="Times New Roman" w:hAnsi="Times New Roman" w:cs="Times New Roman"/>
          <w:sz w:val="24"/>
        </w:rPr>
        <w:t xml:space="preserve"> (GOSI)</w:t>
      </w:r>
      <w:r w:rsidRPr="00267433">
        <w:rPr>
          <w:rFonts w:ascii="Times New Roman" w:hAnsi="Times New Roman" w:cs="Times New Roman"/>
          <w:sz w:val="24"/>
        </w:rPr>
        <w:t xml:space="preserve"> of Saudi Arabia indicate</w:t>
      </w:r>
      <w:r w:rsidR="0050173D" w:rsidRPr="00267433">
        <w:rPr>
          <w:rFonts w:ascii="Times New Roman" w:hAnsi="Times New Roman" w:cs="Times New Roman"/>
          <w:sz w:val="24"/>
        </w:rPr>
        <w:t>d</w:t>
      </w:r>
      <w:r w:rsidRPr="00267433">
        <w:rPr>
          <w:rFonts w:ascii="Times New Roman" w:hAnsi="Times New Roman" w:cs="Times New Roman"/>
          <w:sz w:val="24"/>
        </w:rPr>
        <w:t xml:space="preserve"> that </w:t>
      </w:r>
      <w:r w:rsidR="00CD67C8" w:rsidRPr="00267433">
        <w:rPr>
          <w:rFonts w:ascii="Times New Roman" w:hAnsi="Times New Roman" w:cs="Times New Roman"/>
          <w:sz w:val="24"/>
        </w:rPr>
        <w:t xml:space="preserve">in </w:t>
      </w:r>
      <w:r w:rsidR="0050173D" w:rsidRPr="00267433">
        <w:rPr>
          <w:rFonts w:ascii="Times New Roman" w:hAnsi="Times New Roman" w:cs="Times New Roman"/>
          <w:sz w:val="24"/>
        </w:rPr>
        <w:t xml:space="preserve">the </w:t>
      </w:r>
      <w:r w:rsidR="00CD67C8" w:rsidRPr="00267433">
        <w:rPr>
          <w:rFonts w:ascii="Times New Roman" w:hAnsi="Times New Roman" w:cs="Times New Roman"/>
          <w:sz w:val="24"/>
        </w:rPr>
        <w:t xml:space="preserve">third quarter of 2018, occupational injuries in construction were 47% of the total occupational injuries in Saudi Arabia as shown in figure </w:t>
      </w:r>
      <w:r w:rsidR="007F7CA2" w:rsidRPr="00267433">
        <w:rPr>
          <w:rFonts w:ascii="Times New Roman" w:hAnsi="Times New Roman" w:cs="Times New Roman"/>
          <w:sz w:val="24"/>
        </w:rPr>
        <w:t>13</w:t>
      </w:r>
      <w:r w:rsidR="00CD67C8" w:rsidRPr="00267433">
        <w:rPr>
          <w:rFonts w:ascii="Times New Roman" w:hAnsi="Times New Roman" w:cs="Times New Roman"/>
          <w:sz w:val="24"/>
        </w:rPr>
        <w:t xml:space="preserve"> (GOSI, 2018).</w:t>
      </w:r>
      <w:r w:rsidR="0071770D" w:rsidRPr="00267433">
        <w:rPr>
          <w:rFonts w:ascii="Times New Roman" w:hAnsi="Times New Roman" w:cs="Times New Roman"/>
          <w:sz w:val="24"/>
        </w:rPr>
        <w:t xml:space="preserve"> This graph clearly</w:t>
      </w:r>
      <w:r w:rsidR="004B5D00" w:rsidRPr="00267433">
        <w:rPr>
          <w:rFonts w:ascii="Times New Roman" w:hAnsi="Times New Roman" w:cs="Times New Roman"/>
          <w:sz w:val="24"/>
        </w:rPr>
        <w:t xml:space="preserve"> shows that the</w:t>
      </w:r>
      <w:r w:rsidR="0071770D" w:rsidRPr="00267433">
        <w:rPr>
          <w:rFonts w:ascii="Times New Roman" w:hAnsi="Times New Roman" w:cs="Times New Roman"/>
          <w:sz w:val="24"/>
        </w:rPr>
        <w:t xml:space="preserve"> construction industry in Saudi Arabia is the most </w:t>
      </w:r>
      <w:r w:rsidR="004B5D00" w:rsidRPr="00267433">
        <w:rPr>
          <w:rFonts w:ascii="Times New Roman" w:hAnsi="Times New Roman" w:cs="Times New Roman"/>
          <w:sz w:val="24"/>
        </w:rPr>
        <w:t>hazardous</w:t>
      </w:r>
      <w:r w:rsidR="0071770D" w:rsidRPr="00267433">
        <w:rPr>
          <w:rFonts w:ascii="Times New Roman" w:hAnsi="Times New Roman" w:cs="Times New Roman"/>
          <w:sz w:val="24"/>
        </w:rPr>
        <w:t xml:space="preserve"> sector which </w:t>
      </w:r>
      <w:r w:rsidR="003E505E" w:rsidRPr="00267433">
        <w:rPr>
          <w:rFonts w:ascii="Times New Roman" w:hAnsi="Times New Roman" w:cs="Times New Roman"/>
          <w:sz w:val="24"/>
        </w:rPr>
        <w:t>accumulates</w:t>
      </w:r>
      <w:r w:rsidR="0071770D" w:rsidRPr="00267433">
        <w:rPr>
          <w:rFonts w:ascii="Times New Roman" w:hAnsi="Times New Roman" w:cs="Times New Roman"/>
          <w:sz w:val="24"/>
        </w:rPr>
        <w:t xml:space="preserve"> </w:t>
      </w:r>
      <w:r w:rsidR="004B5D00" w:rsidRPr="00267433">
        <w:rPr>
          <w:rFonts w:ascii="Times New Roman" w:hAnsi="Times New Roman" w:cs="Times New Roman"/>
          <w:sz w:val="24"/>
        </w:rPr>
        <w:t xml:space="preserve">almost </w:t>
      </w:r>
      <w:r w:rsidR="0071770D" w:rsidRPr="00267433">
        <w:rPr>
          <w:rFonts w:ascii="Times New Roman" w:hAnsi="Times New Roman" w:cs="Times New Roman"/>
          <w:sz w:val="24"/>
        </w:rPr>
        <w:t>half of the injuries (3</w:t>
      </w:r>
      <w:r w:rsidR="00CD0231" w:rsidRPr="00267433">
        <w:rPr>
          <w:rFonts w:ascii="Times New Roman" w:hAnsi="Times New Roman" w:cs="Times New Roman"/>
          <w:sz w:val="24"/>
        </w:rPr>
        <w:t>,</w:t>
      </w:r>
      <w:r w:rsidR="0071770D" w:rsidRPr="00267433">
        <w:rPr>
          <w:rFonts w:ascii="Times New Roman" w:hAnsi="Times New Roman" w:cs="Times New Roman"/>
          <w:sz w:val="24"/>
        </w:rPr>
        <w:t>625 out of 7</w:t>
      </w:r>
      <w:r w:rsidR="00CD0231" w:rsidRPr="00267433">
        <w:rPr>
          <w:rFonts w:ascii="Times New Roman" w:hAnsi="Times New Roman" w:cs="Times New Roman"/>
          <w:sz w:val="24"/>
        </w:rPr>
        <w:t>,</w:t>
      </w:r>
      <w:r w:rsidR="0071770D" w:rsidRPr="00267433">
        <w:rPr>
          <w:rFonts w:ascii="Times New Roman" w:hAnsi="Times New Roman" w:cs="Times New Roman"/>
          <w:sz w:val="24"/>
        </w:rPr>
        <w:t xml:space="preserve">776) </w:t>
      </w:r>
      <w:r w:rsidR="002A71FB" w:rsidRPr="00267433">
        <w:rPr>
          <w:rFonts w:ascii="Times New Roman" w:hAnsi="Times New Roman" w:cs="Times New Roman"/>
          <w:sz w:val="24"/>
        </w:rPr>
        <w:t xml:space="preserve">that </w:t>
      </w:r>
      <w:r w:rsidR="0071770D" w:rsidRPr="00267433">
        <w:rPr>
          <w:rFonts w:ascii="Times New Roman" w:hAnsi="Times New Roman" w:cs="Times New Roman"/>
          <w:sz w:val="24"/>
        </w:rPr>
        <w:t>took place in the third quarter of 2018. If the</w:t>
      </w:r>
      <w:r w:rsidR="002A71FB" w:rsidRPr="00267433">
        <w:rPr>
          <w:rFonts w:ascii="Times New Roman" w:hAnsi="Times New Roman" w:cs="Times New Roman"/>
          <w:sz w:val="24"/>
        </w:rPr>
        <w:t xml:space="preserve"> number of</w:t>
      </w:r>
      <w:r w:rsidR="0071770D" w:rsidRPr="00267433">
        <w:rPr>
          <w:rFonts w:ascii="Times New Roman" w:hAnsi="Times New Roman" w:cs="Times New Roman"/>
          <w:sz w:val="24"/>
        </w:rPr>
        <w:t xml:space="preserve"> injuries</w:t>
      </w:r>
      <w:r w:rsidR="002A71FB" w:rsidRPr="00267433">
        <w:rPr>
          <w:rFonts w:ascii="Times New Roman" w:hAnsi="Times New Roman" w:cs="Times New Roman"/>
          <w:sz w:val="24"/>
        </w:rPr>
        <w:t xml:space="preserve"> </w:t>
      </w:r>
      <w:r w:rsidR="0071770D" w:rsidRPr="00267433">
        <w:rPr>
          <w:rFonts w:ascii="Times New Roman" w:hAnsi="Times New Roman" w:cs="Times New Roman"/>
          <w:sz w:val="24"/>
        </w:rPr>
        <w:t xml:space="preserve">is estimated </w:t>
      </w:r>
      <w:r w:rsidR="00235CA8" w:rsidRPr="00267433">
        <w:rPr>
          <w:rFonts w:ascii="Times New Roman" w:hAnsi="Times New Roman" w:cs="Times New Roman"/>
          <w:sz w:val="24"/>
        </w:rPr>
        <w:t>at</w:t>
      </w:r>
      <w:r w:rsidR="0071770D" w:rsidRPr="00267433">
        <w:rPr>
          <w:rFonts w:ascii="Times New Roman" w:hAnsi="Times New Roman" w:cs="Times New Roman"/>
          <w:sz w:val="24"/>
        </w:rPr>
        <w:t xml:space="preserve"> the same rate as of </w:t>
      </w:r>
      <w:r w:rsidR="00235CA8" w:rsidRPr="00267433">
        <w:rPr>
          <w:rFonts w:ascii="Times New Roman" w:hAnsi="Times New Roman" w:cs="Times New Roman"/>
          <w:sz w:val="24"/>
        </w:rPr>
        <w:t xml:space="preserve">the </w:t>
      </w:r>
      <w:r w:rsidR="0071770D" w:rsidRPr="00267433">
        <w:rPr>
          <w:rFonts w:ascii="Times New Roman" w:hAnsi="Times New Roman" w:cs="Times New Roman"/>
          <w:sz w:val="24"/>
        </w:rPr>
        <w:t xml:space="preserve">third quarter </w:t>
      </w:r>
      <w:r w:rsidR="00235CA8" w:rsidRPr="00267433">
        <w:rPr>
          <w:rFonts w:ascii="Times New Roman" w:hAnsi="Times New Roman" w:cs="Times New Roman"/>
          <w:sz w:val="24"/>
        </w:rPr>
        <w:t>of</w:t>
      </w:r>
      <w:r w:rsidR="0071770D" w:rsidRPr="00267433">
        <w:rPr>
          <w:rFonts w:ascii="Times New Roman" w:hAnsi="Times New Roman" w:cs="Times New Roman"/>
          <w:sz w:val="24"/>
        </w:rPr>
        <w:t xml:space="preserve"> 2018, </w:t>
      </w:r>
      <w:r w:rsidR="00235CA8" w:rsidRPr="00267433">
        <w:rPr>
          <w:rFonts w:ascii="Times New Roman" w:hAnsi="Times New Roman" w:cs="Times New Roman"/>
          <w:sz w:val="24"/>
        </w:rPr>
        <w:t xml:space="preserve">the </w:t>
      </w:r>
      <w:r w:rsidR="0071770D" w:rsidRPr="00267433">
        <w:rPr>
          <w:rFonts w:ascii="Times New Roman" w:hAnsi="Times New Roman" w:cs="Times New Roman"/>
          <w:sz w:val="24"/>
        </w:rPr>
        <w:t xml:space="preserve">total number of injuries will </w:t>
      </w:r>
      <w:r w:rsidR="00235CA8" w:rsidRPr="00267433">
        <w:rPr>
          <w:rFonts w:ascii="Times New Roman" w:hAnsi="Times New Roman" w:cs="Times New Roman"/>
          <w:sz w:val="24"/>
        </w:rPr>
        <w:t>stand</w:t>
      </w:r>
      <w:r w:rsidR="0071770D" w:rsidRPr="00267433">
        <w:rPr>
          <w:rFonts w:ascii="Times New Roman" w:hAnsi="Times New Roman" w:cs="Times New Roman"/>
          <w:sz w:val="24"/>
        </w:rPr>
        <w:t xml:space="preserve"> at 14</w:t>
      </w:r>
      <w:r w:rsidR="00CD0231" w:rsidRPr="00267433">
        <w:rPr>
          <w:rFonts w:ascii="Times New Roman" w:hAnsi="Times New Roman" w:cs="Times New Roman"/>
          <w:sz w:val="24"/>
        </w:rPr>
        <w:t>,</w:t>
      </w:r>
      <w:r w:rsidR="0071770D" w:rsidRPr="00267433">
        <w:rPr>
          <w:rFonts w:ascii="Times New Roman" w:hAnsi="Times New Roman" w:cs="Times New Roman"/>
          <w:sz w:val="24"/>
        </w:rPr>
        <w:t>500 (3</w:t>
      </w:r>
      <w:r w:rsidR="00CD0231" w:rsidRPr="00267433">
        <w:rPr>
          <w:rFonts w:ascii="Times New Roman" w:hAnsi="Times New Roman" w:cs="Times New Roman"/>
          <w:sz w:val="24"/>
        </w:rPr>
        <w:t>,</w:t>
      </w:r>
      <w:r w:rsidR="0071770D" w:rsidRPr="00267433">
        <w:rPr>
          <w:rFonts w:ascii="Times New Roman" w:hAnsi="Times New Roman" w:cs="Times New Roman"/>
          <w:sz w:val="24"/>
        </w:rPr>
        <w:t>625 x 4</w:t>
      </w:r>
      <w:r w:rsidR="00235CA8" w:rsidRPr="00267433">
        <w:rPr>
          <w:rFonts w:ascii="Times New Roman" w:hAnsi="Times New Roman" w:cs="Times New Roman"/>
          <w:sz w:val="24"/>
        </w:rPr>
        <w:t xml:space="preserve"> = 14</w:t>
      </w:r>
      <w:r w:rsidR="00CD0231" w:rsidRPr="00267433">
        <w:rPr>
          <w:rFonts w:ascii="Times New Roman" w:hAnsi="Times New Roman" w:cs="Times New Roman"/>
          <w:sz w:val="24"/>
        </w:rPr>
        <w:t>,</w:t>
      </w:r>
      <w:r w:rsidR="00235CA8" w:rsidRPr="00267433">
        <w:rPr>
          <w:rFonts w:ascii="Times New Roman" w:hAnsi="Times New Roman" w:cs="Times New Roman"/>
          <w:sz w:val="24"/>
        </w:rPr>
        <w:t>500</w:t>
      </w:r>
      <w:r w:rsidR="0071770D" w:rsidRPr="00267433">
        <w:rPr>
          <w:rFonts w:ascii="Times New Roman" w:hAnsi="Times New Roman" w:cs="Times New Roman"/>
          <w:sz w:val="24"/>
        </w:rPr>
        <w:t>).</w:t>
      </w:r>
      <w:r w:rsidR="0034783C" w:rsidRPr="00267433">
        <w:rPr>
          <w:rFonts w:ascii="Times New Roman" w:hAnsi="Times New Roman" w:cs="Times New Roman"/>
          <w:sz w:val="24"/>
        </w:rPr>
        <w:t xml:space="preserve"> </w:t>
      </w:r>
      <w:r w:rsidR="00D96C6C" w:rsidRPr="00267433">
        <w:rPr>
          <w:rFonts w:ascii="Times New Roman" w:hAnsi="Times New Roman" w:cs="Times New Roman"/>
          <w:sz w:val="24"/>
        </w:rPr>
        <w:t>The statistics further reveal that in the same period, fall from height was the most frequent cause of injuries followed by struck and collision, then rubbed and abrasion</w:t>
      </w:r>
      <w:r w:rsidR="007F7CA2" w:rsidRPr="00267433">
        <w:rPr>
          <w:rFonts w:ascii="Times New Roman" w:hAnsi="Times New Roman" w:cs="Times New Roman"/>
          <w:sz w:val="24"/>
        </w:rPr>
        <w:t xml:space="preserve"> (figure 14</w:t>
      </w:r>
      <w:r w:rsidR="00D96C6C" w:rsidRPr="00267433">
        <w:rPr>
          <w:rFonts w:ascii="Times New Roman" w:hAnsi="Times New Roman" w:cs="Times New Roman"/>
          <w:sz w:val="24"/>
        </w:rPr>
        <w:t>).</w:t>
      </w:r>
      <w:r w:rsidR="00A706B0" w:rsidRPr="00267433">
        <w:rPr>
          <w:rFonts w:ascii="Times New Roman" w:hAnsi="Times New Roman" w:cs="Times New Roman"/>
          <w:sz w:val="24"/>
        </w:rPr>
        <w:t xml:space="preserve"> The </w:t>
      </w:r>
      <w:r w:rsidR="00235CA8" w:rsidRPr="00267433">
        <w:rPr>
          <w:rFonts w:ascii="Times New Roman" w:hAnsi="Times New Roman" w:cs="Times New Roman"/>
          <w:sz w:val="24"/>
        </w:rPr>
        <w:t xml:space="preserve">data from </w:t>
      </w:r>
      <w:r w:rsidR="00CD0231" w:rsidRPr="00267433">
        <w:rPr>
          <w:rFonts w:ascii="Times New Roman" w:hAnsi="Times New Roman" w:cs="Times New Roman"/>
          <w:sz w:val="24"/>
        </w:rPr>
        <w:t xml:space="preserve">the </w:t>
      </w:r>
      <w:r w:rsidR="00A706B0" w:rsidRPr="00267433">
        <w:rPr>
          <w:rFonts w:ascii="Times New Roman" w:hAnsi="Times New Roman" w:cs="Times New Roman"/>
          <w:sz w:val="24"/>
        </w:rPr>
        <w:t>General Organization for Social Insurance further indicates that the number of death</w:t>
      </w:r>
      <w:r w:rsidR="00676A75" w:rsidRPr="00267433">
        <w:rPr>
          <w:rFonts w:ascii="Times New Roman" w:hAnsi="Times New Roman" w:cs="Times New Roman"/>
          <w:sz w:val="24"/>
        </w:rPr>
        <w:t>s</w:t>
      </w:r>
      <w:r w:rsidR="00A706B0" w:rsidRPr="00267433">
        <w:rPr>
          <w:rFonts w:ascii="Times New Roman" w:hAnsi="Times New Roman" w:cs="Times New Roman"/>
          <w:sz w:val="24"/>
        </w:rPr>
        <w:t xml:space="preserve"> in the </w:t>
      </w:r>
      <w:r w:rsidR="00E42FCE" w:rsidRPr="00267433">
        <w:rPr>
          <w:rFonts w:ascii="Times New Roman" w:hAnsi="Times New Roman" w:cs="Times New Roman"/>
          <w:sz w:val="24"/>
        </w:rPr>
        <w:t>same period was</w:t>
      </w:r>
      <w:r w:rsidR="00A706B0" w:rsidRPr="00267433">
        <w:rPr>
          <w:rFonts w:ascii="Times New Roman" w:hAnsi="Times New Roman" w:cs="Times New Roman"/>
          <w:sz w:val="24"/>
        </w:rPr>
        <w:t>. This can be translated into the number of death</w:t>
      </w:r>
      <w:r w:rsidR="00BF26EB" w:rsidRPr="00267433">
        <w:rPr>
          <w:rFonts w:ascii="Times New Roman" w:hAnsi="Times New Roman" w:cs="Times New Roman"/>
          <w:sz w:val="24"/>
        </w:rPr>
        <w:t>s</w:t>
      </w:r>
      <w:r w:rsidR="00A706B0" w:rsidRPr="00267433">
        <w:rPr>
          <w:rFonts w:ascii="Times New Roman" w:hAnsi="Times New Roman" w:cs="Times New Roman"/>
          <w:sz w:val="24"/>
        </w:rPr>
        <w:t xml:space="preserve"> per year which would roughly</w:t>
      </w:r>
      <w:r w:rsidR="00BF26EB" w:rsidRPr="00267433">
        <w:rPr>
          <w:rFonts w:ascii="Times New Roman" w:hAnsi="Times New Roman" w:cs="Times New Roman"/>
          <w:sz w:val="24"/>
        </w:rPr>
        <w:t xml:space="preserve"> be</w:t>
      </w:r>
      <w:r w:rsidR="00A706B0" w:rsidRPr="00267433">
        <w:rPr>
          <w:rFonts w:ascii="Times New Roman" w:hAnsi="Times New Roman" w:cs="Times New Roman"/>
          <w:sz w:val="24"/>
        </w:rPr>
        <w:t xml:space="preserve"> equal to 64 (16x4</w:t>
      </w:r>
      <w:r w:rsidR="00E42FCE" w:rsidRPr="00267433">
        <w:rPr>
          <w:rFonts w:ascii="Times New Roman" w:hAnsi="Times New Roman" w:cs="Times New Roman"/>
          <w:sz w:val="24"/>
        </w:rPr>
        <w:t xml:space="preserve"> = 64</w:t>
      </w:r>
      <w:r w:rsidR="00A706B0" w:rsidRPr="00267433">
        <w:rPr>
          <w:rFonts w:ascii="Times New Roman" w:hAnsi="Times New Roman" w:cs="Times New Roman"/>
          <w:sz w:val="24"/>
        </w:rPr>
        <w:t>). This number</w:t>
      </w:r>
      <w:r w:rsidR="00CD0231" w:rsidRPr="00267433">
        <w:rPr>
          <w:rFonts w:ascii="Times New Roman" w:hAnsi="Times New Roman" w:cs="Times New Roman"/>
          <w:sz w:val="24"/>
        </w:rPr>
        <w:t>,</w:t>
      </w:r>
      <w:r w:rsidR="00A706B0" w:rsidRPr="00267433">
        <w:rPr>
          <w:rFonts w:ascii="Times New Roman" w:hAnsi="Times New Roman" w:cs="Times New Roman"/>
          <w:sz w:val="24"/>
        </w:rPr>
        <w:t xml:space="preserve"> however</w:t>
      </w:r>
      <w:r w:rsidR="00E42FCE" w:rsidRPr="00267433">
        <w:rPr>
          <w:rFonts w:ascii="Times New Roman" w:hAnsi="Times New Roman" w:cs="Times New Roman"/>
          <w:sz w:val="24"/>
        </w:rPr>
        <w:t>,</w:t>
      </w:r>
      <w:r w:rsidR="00A706B0" w:rsidRPr="00267433">
        <w:rPr>
          <w:rFonts w:ascii="Times New Roman" w:hAnsi="Times New Roman" w:cs="Times New Roman"/>
          <w:sz w:val="24"/>
        </w:rPr>
        <w:t xml:space="preserve"> appear</w:t>
      </w:r>
      <w:r w:rsidR="00CD0231" w:rsidRPr="00267433">
        <w:rPr>
          <w:rFonts w:ascii="Times New Roman" w:hAnsi="Times New Roman" w:cs="Times New Roman"/>
          <w:sz w:val="24"/>
        </w:rPr>
        <w:t>s</w:t>
      </w:r>
      <w:r w:rsidR="00A706B0" w:rsidRPr="00267433">
        <w:rPr>
          <w:rFonts w:ascii="Times New Roman" w:hAnsi="Times New Roman" w:cs="Times New Roman"/>
          <w:sz w:val="24"/>
        </w:rPr>
        <w:t xml:space="preserve"> not to be reliable simply because of the overall health </w:t>
      </w:r>
      <w:r w:rsidR="00BF26EB" w:rsidRPr="00267433">
        <w:rPr>
          <w:rFonts w:ascii="Times New Roman" w:hAnsi="Times New Roman" w:cs="Times New Roman"/>
          <w:sz w:val="24"/>
        </w:rPr>
        <w:t>and safety situation</w:t>
      </w:r>
      <w:r w:rsidR="00E42FCE" w:rsidRPr="00267433">
        <w:rPr>
          <w:rFonts w:ascii="Times New Roman" w:hAnsi="Times New Roman" w:cs="Times New Roman"/>
          <w:sz w:val="24"/>
        </w:rPr>
        <w:t xml:space="preserve"> in the</w:t>
      </w:r>
      <w:r w:rsidR="00A706B0" w:rsidRPr="00267433">
        <w:rPr>
          <w:rFonts w:ascii="Times New Roman" w:hAnsi="Times New Roman" w:cs="Times New Roman"/>
          <w:sz w:val="24"/>
        </w:rPr>
        <w:t xml:space="preserve"> region. For instance, one project</w:t>
      </w:r>
      <w:r w:rsidR="0037445B" w:rsidRPr="00267433">
        <w:rPr>
          <w:rFonts w:ascii="Times New Roman" w:hAnsi="Times New Roman" w:cs="Times New Roman"/>
          <w:sz w:val="24"/>
        </w:rPr>
        <w:t>, the football world cup stadium,</w:t>
      </w:r>
      <w:r w:rsidR="00A706B0" w:rsidRPr="00267433">
        <w:rPr>
          <w:rFonts w:ascii="Times New Roman" w:hAnsi="Times New Roman" w:cs="Times New Roman"/>
          <w:sz w:val="24"/>
        </w:rPr>
        <w:t xml:space="preserve"> in Qatar resulted</w:t>
      </w:r>
      <w:r w:rsidR="00997A84" w:rsidRPr="00267433">
        <w:rPr>
          <w:rFonts w:ascii="Times New Roman" w:hAnsi="Times New Roman" w:cs="Times New Roman"/>
          <w:sz w:val="24"/>
        </w:rPr>
        <w:t xml:space="preserve"> in</w:t>
      </w:r>
      <w:r w:rsidR="00A706B0" w:rsidRPr="00267433">
        <w:rPr>
          <w:rFonts w:ascii="Times New Roman" w:hAnsi="Times New Roman" w:cs="Times New Roman"/>
          <w:sz w:val="24"/>
        </w:rPr>
        <w:t xml:space="preserve"> 1200 death</w:t>
      </w:r>
      <w:r w:rsidR="0037445B" w:rsidRPr="00267433">
        <w:rPr>
          <w:rFonts w:ascii="Times New Roman" w:hAnsi="Times New Roman" w:cs="Times New Roman"/>
          <w:sz w:val="24"/>
        </w:rPr>
        <w:t xml:space="preserve"> from 2010 to 2017, roughly 171 deaths per year. It is hard to believe that worker</w:t>
      </w:r>
      <w:r w:rsidR="00CD0231" w:rsidRPr="00267433">
        <w:rPr>
          <w:rFonts w:ascii="Times New Roman" w:hAnsi="Times New Roman" w:cs="Times New Roman"/>
          <w:sz w:val="24"/>
        </w:rPr>
        <w:t>'</w:t>
      </w:r>
      <w:r w:rsidR="0037445B" w:rsidRPr="00267433">
        <w:rPr>
          <w:rFonts w:ascii="Times New Roman" w:hAnsi="Times New Roman" w:cs="Times New Roman"/>
          <w:sz w:val="24"/>
        </w:rPr>
        <w:t>s deaths per year in the UK (</w:t>
      </w:r>
      <w:r w:rsidR="00376A7A" w:rsidRPr="00267433">
        <w:rPr>
          <w:rFonts w:ascii="Times New Roman" w:hAnsi="Times New Roman" w:cs="Times New Roman"/>
          <w:sz w:val="24"/>
        </w:rPr>
        <w:t>~</w:t>
      </w:r>
      <w:r w:rsidR="0037445B" w:rsidRPr="00267433">
        <w:rPr>
          <w:rFonts w:ascii="Times New Roman" w:hAnsi="Times New Roman" w:cs="Times New Roman"/>
          <w:sz w:val="24"/>
        </w:rPr>
        <w:t>14</w:t>
      </w:r>
      <w:r w:rsidR="003745D2" w:rsidRPr="00267433">
        <w:rPr>
          <w:rFonts w:ascii="Times New Roman" w:hAnsi="Times New Roman" w:cs="Times New Roman"/>
          <w:sz w:val="24"/>
        </w:rPr>
        <w:t>4</w:t>
      </w:r>
      <w:r w:rsidR="0037445B" w:rsidRPr="00267433">
        <w:rPr>
          <w:rFonts w:ascii="Times New Roman" w:hAnsi="Times New Roman" w:cs="Times New Roman"/>
          <w:sz w:val="24"/>
        </w:rPr>
        <w:t>) are more than the deaths of workers in Saudi Arabia (~64).</w:t>
      </w:r>
      <w:r w:rsidR="003745D2" w:rsidRPr="00267433">
        <w:rPr>
          <w:rFonts w:ascii="Times New Roman" w:hAnsi="Times New Roman" w:cs="Times New Roman"/>
          <w:sz w:val="24"/>
        </w:rPr>
        <w:t xml:space="preserve"> </w:t>
      </w:r>
      <w:r w:rsidR="00104F67" w:rsidRPr="00267433">
        <w:rPr>
          <w:rFonts w:ascii="Times New Roman" w:hAnsi="Times New Roman" w:cs="Times New Roman"/>
          <w:sz w:val="24"/>
        </w:rPr>
        <w:t>Similarly,</w:t>
      </w:r>
      <w:r w:rsidR="00090C13" w:rsidRPr="00267433">
        <w:rPr>
          <w:rFonts w:ascii="Times New Roman" w:hAnsi="Times New Roman" w:cs="Times New Roman"/>
          <w:sz w:val="24"/>
        </w:rPr>
        <w:t xml:space="preserve"> in the United States</w:t>
      </w:r>
      <w:r w:rsidR="00D838C4" w:rsidRPr="00267433">
        <w:rPr>
          <w:rFonts w:ascii="Times New Roman" w:hAnsi="Times New Roman" w:cs="Times New Roman"/>
          <w:sz w:val="24"/>
        </w:rPr>
        <w:t>,</w:t>
      </w:r>
      <w:r w:rsidR="00090C13" w:rsidRPr="00267433">
        <w:rPr>
          <w:rFonts w:ascii="Times New Roman" w:hAnsi="Times New Roman" w:cs="Times New Roman"/>
          <w:sz w:val="24"/>
        </w:rPr>
        <w:t xml:space="preserve"> there are robust occupational health </w:t>
      </w:r>
      <w:r w:rsidR="00997A84" w:rsidRPr="00267433">
        <w:rPr>
          <w:rFonts w:ascii="Times New Roman" w:hAnsi="Times New Roman" w:cs="Times New Roman"/>
          <w:sz w:val="24"/>
        </w:rPr>
        <w:t xml:space="preserve">and safety </w:t>
      </w:r>
      <w:r w:rsidR="00090C13" w:rsidRPr="00267433">
        <w:rPr>
          <w:rFonts w:ascii="Times New Roman" w:hAnsi="Times New Roman" w:cs="Times New Roman"/>
          <w:sz w:val="24"/>
        </w:rPr>
        <w:t xml:space="preserve">systems </w:t>
      </w:r>
      <w:r w:rsidR="000D3B76" w:rsidRPr="00267433">
        <w:rPr>
          <w:rFonts w:ascii="Times New Roman" w:hAnsi="Times New Roman" w:cs="Times New Roman"/>
          <w:sz w:val="24"/>
        </w:rPr>
        <w:t xml:space="preserve">that </w:t>
      </w:r>
      <w:r w:rsidR="00090C13" w:rsidRPr="00267433">
        <w:rPr>
          <w:rFonts w:ascii="Times New Roman" w:hAnsi="Times New Roman" w:cs="Times New Roman"/>
          <w:sz w:val="24"/>
        </w:rPr>
        <w:t>are</w:t>
      </w:r>
      <w:r w:rsidR="004B4E36" w:rsidRPr="00267433">
        <w:rPr>
          <w:rFonts w:ascii="Times New Roman" w:hAnsi="Times New Roman" w:cs="Times New Roman"/>
          <w:sz w:val="24"/>
        </w:rPr>
        <w:t xml:space="preserve"> proposed</w:t>
      </w:r>
      <w:r w:rsidR="00090C13" w:rsidRPr="00267433">
        <w:rPr>
          <w:rFonts w:ascii="Times New Roman" w:hAnsi="Times New Roman" w:cs="Times New Roman"/>
          <w:sz w:val="24"/>
        </w:rPr>
        <w:t xml:space="preserve"> and implemented through the government organization</w:t>
      </w:r>
      <w:r w:rsidR="00D838C4" w:rsidRPr="00267433">
        <w:rPr>
          <w:rFonts w:ascii="Times New Roman" w:hAnsi="Times New Roman" w:cs="Times New Roman"/>
          <w:sz w:val="24"/>
        </w:rPr>
        <w:t>'s</w:t>
      </w:r>
      <w:r w:rsidR="00090C13" w:rsidRPr="00267433">
        <w:rPr>
          <w:rFonts w:ascii="Times New Roman" w:hAnsi="Times New Roman" w:cs="Times New Roman"/>
          <w:sz w:val="24"/>
        </w:rPr>
        <w:t xml:space="preserve"> Occupational Safety and Health Administration (OSHA</w:t>
      </w:r>
      <w:r w:rsidR="00F666DD" w:rsidRPr="00267433">
        <w:rPr>
          <w:rFonts w:ascii="Times New Roman" w:hAnsi="Times New Roman" w:cs="Times New Roman"/>
          <w:sz w:val="24"/>
        </w:rPr>
        <w:t xml:space="preserve">). </w:t>
      </w:r>
      <w:r w:rsidR="00425213" w:rsidRPr="00267433">
        <w:rPr>
          <w:rFonts w:ascii="Times New Roman" w:hAnsi="Times New Roman" w:cs="Times New Roman"/>
          <w:sz w:val="24"/>
        </w:rPr>
        <w:t>D</w:t>
      </w:r>
      <w:r w:rsidR="00090C13" w:rsidRPr="00267433">
        <w:rPr>
          <w:rFonts w:ascii="Times New Roman" w:hAnsi="Times New Roman" w:cs="Times New Roman"/>
          <w:sz w:val="24"/>
        </w:rPr>
        <w:t>espite these systems</w:t>
      </w:r>
      <w:r w:rsidR="00F666DD" w:rsidRPr="00267433">
        <w:rPr>
          <w:rFonts w:ascii="Times New Roman" w:hAnsi="Times New Roman" w:cs="Times New Roman"/>
          <w:sz w:val="24"/>
        </w:rPr>
        <w:t xml:space="preserve">, </w:t>
      </w:r>
      <w:r w:rsidR="00090C13" w:rsidRPr="00267433">
        <w:rPr>
          <w:rFonts w:ascii="Times New Roman" w:hAnsi="Times New Roman" w:cs="Times New Roman"/>
          <w:sz w:val="24"/>
        </w:rPr>
        <w:t>there were 991 fatalities</w:t>
      </w:r>
      <w:r w:rsidR="00425213" w:rsidRPr="00267433">
        <w:rPr>
          <w:rFonts w:ascii="Times New Roman" w:hAnsi="Times New Roman" w:cs="Times New Roman"/>
          <w:sz w:val="24"/>
        </w:rPr>
        <w:t xml:space="preserve"> per year</w:t>
      </w:r>
      <w:r w:rsidR="0081506D" w:rsidRPr="00267433">
        <w:rPr>
          <w:rFonts w:ascii="Times New Roman" w:hAnsi="Times New Roman" w:cs="Times New Roman"/>
          <w:sz w:val="24"/>
        </w:rPr>
        <w:t xml:space="preserve"> (10.10% of the total injuries)</w:t>
      </w:r>
      <w:r w:rsidR="00090C13" w:rsidRPr="00267433">
        <w:rPr>
          <w:rFonts w:ascii="Times New Roman" w:hAnsi="Times New Roman" w:cs="Times New Roman"/>
          <w:sz w:val="24"/>
        </w:rPr>
        <w:t xml:space="preserve"> in the United States;</w:t>
      </w:r>
      <w:r w:rsidR="00F666DD" w:rsidRPr="00267433">
        <w:rPr>
          <w:rFonts w:ascii="Times New Roman" w:hAnsi="Times New Roman" w:cs="Times New Roman"/>
          <w:sz w:val="24"/>
        </w:rPr>
        <w:t xml:space="preserve"> a lot</w:t>
      </w:r>
      <w:r w:rsidR="00090C13" w:rsidRPr="00267433">
        <w:rPr>
          <w:rFonts w:ascii="Times New Roman" w:hAnsi="Times New Roman" w:cs="Times New Roman"/>
          <w:sz w:val="24"/>
        </w:rPr>
        <w:t xml:space="preserve"> more than</w:t>
      </w:r>
      <w:r w:rsidR="00293264" w:rsidRPr="00267433">
        <w:rPr>
          <w:rFonts w:ascii="Times New Roman" w:hAnsi="Times New Roman" w:cs="Times New Roman"/>
          <w:sz w:val="24"/>
        </w:rPr>
        <w:t xml:space="preserve"> the</w:t>
      </w:r>
      <w:r w:rsidR="00090C13" w:rsidRPr="00267433">
        <w:rPr>
          <w:rFonts w:ascii="Times New Roman" w:hAnsi="Times New Roman" w:cs="Times New Roman"/>
          <w:sz w:val="24"/>
        </w:rPr>
        <w:t xml:space="preserve"> fatalities </w:t>
      </w:r>
      <w:r w:rsidR="00293264" w:rsidRPr="00267433">
        <w:rPr>
          <w:rFonts w:ascii="Times New Roman" w:hAnsi="Times New Roman" w:cs="Times New Roman"/>
          <w:sz w:val="24"/>
        </w:rPr>
        <w:t xml:space="preserve">in </w:t>
      </w:r>
      <w:r w:rsidR="00090C13" w:rsidRPr="00267433">
        <w:rPr>
          <w:rFonts w:ascii="Times New Roman" w:hAnsi="Times New Roman" w:cs="Times New Roman"/>
          <w:sz w:val="24"/>
        </w:rPr>
        <w:t>Saudi Arabia (~64</w:t>
      </w:r>
      <w:r w:rsidR="0081506D" w:rsidRPr="00267433">
        <w:rPr>
          <w:rFonts w:ascii="Times New Roman" w:hAnsi="Times New Roman" w:cs="Times New Roman"/>
          <w:sz w:val="24"/>
        </w:rPr>
        <w:t xml:space="preserve"> or 0.2% of the total injuries</w:t>
      </w:r>
      <w:r w:rsidR="00090C13" w:rsidRPr="00267433">
        <w:rPr>
          <w:rFonts w:ascii="Times New Roman" w:hAnsi="Times New Roman" w:cs="Times New Roman"/>
          <w:sz w:val="24"/>
        </w:rPr>
        <w:t xml:space="preserve">). </w:t>
      </w:r>
      <w:r w:rsidR="00FA7015" w:rsidRPr="00267433">
        <w:rPr>
          <w:rFonts w:ascii="Times New Roman" w:hAnsi="Times New Roman" w:cs="Times New Roman"/>
          <w:sz w:val="24"/>
        </w:rPr>
        <w:t>T</w:t>
      </w:r>
      <w:r w:rsidR="00293264" w:rsidRPr="00267433">
        <w:rPr>
          <w:rFonts w:ascii="Times New Roman" w:hAnsi="Times New Roman" w:cs="Times New Roman"/>
          <w:sz w:val="24"/>
        </w:rPr>
        <w:t>he</w:t>
      </w:r>
      <w:r w:rsidR="00104F67" w:rsidRPr="00267433">
        <w:rPr>
          <w:rFonts w:ascii="Times New Roman" w:hAnsi="Times New Roman" w:cs="Times New Roman"/>
          <w:sz w:val="24"/>
        </w:rPr>
        <w:t xml:space="preserve"> General Organization for Social Insurance, Saudi Arabia</w:t>
      </w:r>
      <w:r w:rsidR="00F056A4" w:rsidRPr="00267433">
        <w:rPr>
          <w:rFonts w:ascii="Times New Roman" w:hAnsi="Times New Roman" w:cs="Times New Roman"/>
          <w:sz w:val="24"/>
        </w:rPr>
        <w:t>’s</w:t>
      </w:r>
      <w:r w:rsidR="00104F67" w:rsidRPr="00267433">
        <w:rPr>
          <w:rFonts w:ascii="Times New Roman" w:hAnsi="Times New Roman" w:cs="Times New Roman"/>
          <w:sz w:val="24"/>
        </w:rPr>
        <w:t xml:space="preserve"> statistics </w:t>
      </w:r>
      <w:r w:rsidR="00FA7015" w:rsidRPr="00267433">
        <w:rPr>
          <w:rFonts w:ascii="Times New Roman" w:hAnsi="Times New Roman" w:cs="Times New Roman"/>
          <w:sz w:val="24"/>
        </w:rPr>
        <w:t xml:space="preserve">for the same period further </w:t>
      </w:r>
      <w:r w:rsidR="00104F67" w:rsidRPr="00267433">
        <w:rPr>
          <w:rFonts w:ascii="Times New Roman" w:hAnsi="Times New Roman" w:cs="Times New Roman"/>
          <w:sz w:val="24"/>
        </w:rPr>
        <w:t xml:space="preserve">shows that 4002 </w:t>
      </w:r>
      <w:r w:rsidR="00104F67" w:rsidRPr="00267433">
        <w:rPr>
          <w:rFonts w:ascii="Times New Roman" w:hAnsi="Times New Roman" w:cs="Times New Roman"/>
          <w:sz w:val="24"/>
        </w:rPr>
        <w:lastRenderedPageBreak/>
        <w:t>injuries (51%) out of 7</w:t>
      </w:r>
      <w:r w:rsidR="00CD0231" w:rsidRPr="00267433">
        <w:rPr>
          <w:rFonts w:ascii="Times New Roman" w:hAnsi="Times New Roman" w:cs="Times New Roman"/>
          <w:sz w:val="24"/>
        </w:rPr>
        <w:t>,</w:t>
      </w:r>
      <w:r w:rsidR="00104F67" w:rsidRPr="00267433">
        <w:rPr>
          <w:rFonts w:ascii="Times New Roman" w:hAnsi="Times New Roman" w:cs="Times New Roman"/>
          <w:sz w:val="24"/>
        </w:rPr>
        <w:t xml:space="preserve">776 were recovered without disabilities, while 386 injuries (5%) resulted in permanent disabilities. The </w:t>
      </w:r>
      <w:r w:rsidR="00981A01" w:rsidRPr="00267433">
        <w:rPr>
          <w:rFonts w:ascii="Times New Roman" w:hAnsi="Times New Roman" w:cs="Times New Roman"/>
          <w:sz w:val="24"/>
        </w:rPr>
        <w:t>report further indicates</w:t>
      </w:r>
      <w:r w:rsidR="00104F67" w:rsidRPr="00267433">
        <w:rPr>
          <w:rFonts w:ascii="Times New Roman" w:hAnsi="Times New Roman" w:cs="Times New Roman"/>
          <w:sz w:val="24"/>
        </w:rPr>
        <w:t xml:space="preserve"> that 3</w:t>
      </w:r>
      <w:r w:rsidR="00CD0231" w:rsidRPr="00267433">
        <w:rPr>
          <w:rFonts w:ascii="Times New Roman" w:hAnsi="Times New Roman" w:cs="Times New Roman"/>
          <w:sz w:val="24"/>
        </w:rPr>
        <w:t>,</w:t>
      </w:r>
      <w:r w:rsidR="00104F67" w:rsidRPr="00267433">
        <w:rPr>
          <w:rFonts w:ascii="Times New Roman" w:hAnsi="Times New Roman" w:cs="Times New Roman"/>
          <w:sz w:val="24"/>
        </w:rPr>
        <w:t xml:space="preserve">372 injuries (43%) are still under treatment as shown in table </w:t>
      </w:r>
      <w:r w:rsidR="00981A01" w:rsidRPr="00267433">
        <w:rPr>
          <w:rFonts w:ascii="Times New Roman" w:hAnsi="Times New Roman" w:cs="Times New Roman"/>
          <w:sz w:val="24"/>
        </w:rPr>
        <w:t>3.</w:t>
      </w:r>
      <w:r w:rsidR="00104F67" w:rsidRPr="00267433">
        <w:rPr>
          <w:rFonts w:ascii="Times New Roman" w:hAnsi="Times New Roman" w:cs="Times New Roman"/>
          <w:sz w:val="24"/>
        </w:rPr>
        <w:t xml:space="preserve">  </w:t>
      </w:r>
      <w:r w:rsidR="0037445B" w:rsidRPr="00267433">
        <w:rPr>
          <w:rFonts w:ascii="Times New Roman" w:hAnsi="Times New Roman" w:cs="Times New Roman"/>
          <w:sz w:val="24"/>
        </w:rPr>
        <w:t xml:space="preserve">  </w:t>
      </w:r>
      <w:r w:rsidR="00CD67C8" w:rsidRPr="00267433">
        <w:rPr>
          <w:rFonts w:ascii="Times New Roman" w:hAnsi="Times New Roman" w:cs="Times New Roman"/>
          <w:sz w:val="24"/>
        </w:rPr>
        <w:t xml:space="preserve">    </w:t>
      </w:r>
      <w:r w:rsidR="00B17D49" w:rsidRPr="00267433">
        <w:rPr>
          <w:rFonts w:ascii="Times New Roman" w:hAnsi="Times New Roman" w:cs="Times New Roman"/>
          <w:sz w:val="24"/>
        </w:rPr>
        <w:t xml:space="preserve">        </w:t>
      </w:r>
    </w:p>
    <w:p w14:paraId="0F1D3DA8" w14:textId="27D0B222" w:rsidR="0034783C" w:rsidRPr="00267433" w:rsidRDefault="00C134AA" w:rsidP="00A80CCE">
      <w:pPr>
        <w:spacing w:line="360" w:lineRule="auto"/>
        <w:jc w:val="both"/>
        <w:rPr>
          <w:rFonts w:ascii="Times New Roman" w:hAnsi="Times New Roman" w:cs="Times New Roman"/>
          <w:b/>
          <w:sz w:val="24"/>
        </w:rPr>
      </w:pPr>
      <w:r>
        <w:rPr>
          <w:noProof/>
        </w:rPr>
        <w:drawing>
          <wp:inline distT="0" distB="0" distL="0" distR="0" wp14:anchorId="71E132AC" wp14:editId="233BDC2D">
            <wp:extent cx="5943600" cy="3942080"/>
            <wp:effectExtent l="0" t="0" r="19050" b="203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4783C" w:rsidRPr="00267433">
        <w:rPr>
          <w:rFonts w:ascii="Times New Roman" w:hAnsi="Times New Roman" w:cs="Times New Roman"/>
          <w:b/>
          <w:sz w:val="24"/>
        </w:rPr>
        <w:t>Figure 1</w:t>
      </w:r>
      <w:r w:rsidR="00D23EF2" w:rsidRPr="00267433">
        <w:rPr>
          <w:rFonts w:ascii="Times New Roman" w:hAnsi="Times New Roman" w:cs="Times New Roman"/>
          <w:b/>
          <w:sz w:val="24"/>
        </w:rPr>
        <w:t>3</w:t>
      </w:r>
      <w:r w:rsidR="0034783C" w:rsidRPr="00267433">
        <w:rPr>
          <w:rFonts w:ascii="Times New Roman" w:hAnsi="Times New Roman" w:cs="Times New Roman"/>
          <w:b/>
          <w:sz w:val="24"/>
        </w:rPr>
        <w:t xml:space="preserve">: </w:t>
      </w:r>
      <w:r w:rsidR="00103FE7" w:rsidRPr="00267433">
        <w:rPr>
          <w:rFonts w:ascii="Times New Roman" w:hAnsi="Times New Roman" w:cs="Times New Roman"/>
          <w:b/>
          <w:sz w:val="24"/>
        </w:rPr>
        <w:t>Number and Percentage of Injuries in Different Sectors in Saudi Arabia – 3</w:t>
      </w:r>
      <w:r w:rsidR="00103FE7" w:rsidRPr="00267433">
        <w:rPr>
          <w:rFonts w:ascii="Times New Roman" w:hAnsi="Times New Roman" w:cs="Times New Roman"/>
          <w:b/>
          <w:sz w:val="24"/>
          <w:vertAlign w:val="superscript"/>
        </w:rPr>
        <w:t>rd</w:t>
      </w:r>
      <w:r w:rsidR="00103FE7" w:rsidRPr="00267433">
        <w:rPr>
          <w:rFonts w:ascii="Times New Roman" w:hAnsi="Times New Roman" w:cs="Times New Roman"/>
          <w:b/>
          <w:sz w:val="24"/>
        </w:rPr>
        <w:t xml:space="preserve"> Quarter 2018 (GOSI, 2018).</w:t>
      </w:r>
    </w:p>
    <w:p w14:paraId="41F9D477" w14:textId="77777777" w:rsidR="00C134AA" w:rsidRDefault="00C134AA" w:rsidP="005B1BCC">
      <w:pPr>
        <w:spacing w:line="360" w:lineRule="auto"/>
        <w:rPr>
          <w:rFonts w:ascii="Times New Roman" w:hAnsi="Times New Roman" w:cs="Times New Roman"/>
          <w:b/>
          <w:sz w:val="24"/>
        </w:rPr>
      </w:pPr>
      <w:r>
        <w:rPr>
          <w:noProof/>
        </w:rPr>
        <w:lastRenderedPageBreak/>
        <w:drawing>
          <wp:inline distT="0" distB="0" distL="0" distR="0" wp14:anchorId="4BFE50F4" wp14:editId="76746FC3">
            <wp:extent cx="5200650" cy="52959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AB717A" w14:textId="2858B877" w:rsidR="00103FE7" w:rsidRDefault="00835C61" w:rsidP="005B1BCC">
      <w:pPr>
        <w:spacing w:line="360" w:lineRule="auto"/>
        <w:rPr>
          <w:rFonts w:ascii="Times New Roman" w:hAnsi="Times New Roman" w:cs="Times New Roman"/>
          <w:b/>
          <w:sz w:val="24"/>
        </w:rPr>
      </w:pPr>
      <w:r w:rsidRPr="00267433">
        <w:rPr>
          <w:rFonts w:ascii="Times New Roman" w:hAnsi="Times New Roman" w:cs="Times New Roman"/>
          <w:b/>
          <w:sz w:val="24"/>
        </w:rPr>
        <w:t xml:space="preserve">Figure </w:t>
      </w:r>
      <w:r w:rsidR="009C3AAF" w:rsidRPr="00267433">
        <w:rPr>
          <w:rFonts w:ascii="Times New Roman" w:hAnsi="Times New Roman" w:cs="Times New Roman"/>
          <w:b/>
          <w:sz w:val="24"/>
        </w:rPr>
        <w:t>1</w:t>
      </w:r>
      <w:r w:rsidRPr="00267433">
        <w:rPr>
          <w:rFonts w:ascii="Times New Roman" w:hAnsi="Times New Roman" w:cs="Times New Roman"/>
          <w:b/>
          <w:sz w:val="24"/>
        </w:rPr>
        <w:t>4</w:t>
      </w:r>
      <w:r w:rsidR="00103FE7" w:rsidRPr="00267433">
        <w:rPr>
          <w:rFonts w:ascii="Times New Roman" w:hAnsi="Times New Roman" w:cs="Times New Roman"/>
          <w:b/>
          <w:sz w:val="24"/>
        </w:rPr>
        <w:t>: Different Causes of Injuries in Saudi Arabia – 3</w:t>
      </w:r>
      <w:r w:rsidR="00103FE7" w:rsidRPr="00267433">
        <w:rPr>
          <w:rFonts w:ascii="Times New Roman" w:hAnsi="Times New Roman" w:cs="Times New Roman"/>
          <w:b/>
          <w:sz w:val="24"/>
          <w:vertAlign w:val="superscript"/>
        </w:rPr>
        <w:t>rd</w:t>
      </w:r>
      <w:r w:rsidR="00103FE7" w:rsidRPr="00267433">
        <w:rPr>
          <w:rFonts w:ascii="Times New Roman" w:hAnsi="Times New Roman" w:cs="Times New Roman"/>
          <w:b/>
          <w:sz w:val="24"/>
        </w:rPr>
        <w:t xml:space="preserve"> Quarter 2018 (GOSI, 2018).</w:t>
      </w:r>
    </w:p>
    <w:p w14:paraId="69642D6C" w14:textId="77777777" w:rsidR="00FD12AF" w:rsidRDefault="00FD12AF" w:rsidP="005B1BCC">
      <w:pPr>
        <w:spacing w:line="360" w:lineRule="auto"/>
        <w:rPr>
          <w:rFonts w:ascii="Times New Roman" w:hAnsi="Times New Roman" w:cs="Times New Roman"/>
          <w:b/>
          <w:sz w:val="24"/>
        </w:rPr>
      </w:pPr>
    </w:p>
    <w:p w14:paraId="432F7255" w14:textId="77777777" w:rsidR="00FD12AF" w:rsidRDefault="00FD12AF" w:rsidP="005B1BCC">
      <w:pPr>
        <w:spacing w:line="360" w:lineRule="auto"/>
        <w:rPr>
          <w:rFonts w:ascii="Times New Roman" w:hAnsi="Times New Roman" w:cs="Times New Roman"/>
          <w:b/>
          <w:sz w:val="24"/>
        </w:rPr>
      </w:pPr>
    </w:p>
    <w:p w14:paraId="0E420884" w14:textId="77777777" w:rsidR="00FD12AF" w:rsidRDefault="00FD12AF" w:rsidP="005B1BCC">
      <w:pPr>
        <w:spacing w:line="360" w:lineRule="auto"/>
        <w:rPr>
          <w:rFonts w:ascii="Times New Roman" w:hAnsi="Times New Roman" w:cs="Times New Roman"/>
          <w:b/>
          <w:sz w:val="24"/>
        </w:rPr>
      </w:pPr>
    </w:p>
    <w:p w14:paraId="164D5712" w14:textId="77777777" w:rsidR="00FD12AF" w:rsidRDefault="00FD12AF" w:rsidP="005B1BCC">
      <w:pPr>
        <w:spacing w:line="360" w:lineRule="auto"/>
        <w:rPr>
          <w:rFonts w:ascii="Times New Roman" w:hAnsi="Times New Roman" w:cs="Times New Roman"/>
          <w:b/>
          <w:sz w:val="24"/>
        </w:rPr>
      </w:pPr>
    </w:p>
    <w:p w14:paraId="3011F9F9" w14:textId="77777777" w:rsidR="00FD12AF" w:rsidRPr="00267433" w:rsidRDefault="00FD12AF" w:rsidP="005B1BCC">
      <w:pPr>
        <w:spacing w:line="360" w:lineRule="auto"/>
        <w:rPr>
          <w:rFonts w:ascii="Times New Roman" w:hAnsi="Times New Roman" w:cs="Times New Roman"/>
          <w:b/>
          <w:sz w:val="24"/>
        </w:rPr>
      </w:pPr>
    </w:p>
    <w:tbl>
      <w:tblPr>
        <w:tblW w:w="7077" w:type="dxa"/>
        <w:jc w:val="center"/>
        <w:shd w:val="clear" w:color="auto" w:fill="FFFFFF" w:themeFill="background1"/>
        <w:tblLook w:val="04A0" w:firstRow="1" w:lastRow="0" w:firstColumn="1" w:lastColumn="0" w:noHBand="0" w:noVBand="1"/>
      </w:tblPr>
      <w:tblGrid>
        <w:gridCol w:w="2840"/>
        <w:gridCol w:w="1121"/>
        <w:gridCol w:w="1121"/>
        <w:gridCol w:w="960"/>
        <w:gridCol w:w="1035"/>
      </w:tblGrid>
      <w:tr w:rsidR="00C134AA" w:rsidRPr="00C70EFC" w14:paraId="16C443FB" w14:textId="77777777" w:rsidTr="00C134AA">
        <w:trPr>
          <w:trHeight w:val="570"/>
          <w:jc w:val="center"/>
        </w:trPr>
        <w:tc>
          <w:tcPr>
            <w:tcW w:w="28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030A76"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lastRenderedPageBreak/>
              <w:t>During the Third Quarter 2018</w:t>
            </w:r>
          </w:p>
        </w:tc>
        <w:tc>
          <w:tcPr>
            <w:tcW w:w="4237" w:type="dxa"/>
            <w:gridSpan w:val="4"/>
            <w:tcBorders>
              <w:top w:val="single" w:sz="4" w:space="0" w:color="000000"/>
              <w:left w:val="nil"/>
              <w:bottom w:val="single" w:sz="4" w:space="0" w:color="000000"/>
              <w:right w:val="single" w:sz="4" w:space="0" w:color="000000"/>
            </w:tcBorders>
            <w:shd w:val="clear" w:color="auto" w:fill="FFFFFF" w:themeFill="background1"/>
            <w:vAlign w:val="center"/>
            <w:hideMark/>
          </w:tcPr>
          <w:p w14:paraId="43B5211E"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Injuries distribution in the private sector by recovery situation</w:t>
            </w:r>
          </w:p>
        </w:tc>
      </w:tr>
      <w:tr w:rsidR="00C134AA" w:rsidRPr="00C70EFC" w14:paraId="5E150F87" w14:textId="77777777" w:rsidTr="00C134AA">
        <w:trPr>
          <w:trHeight w:val="114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270C3FC"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Office name</w:t>
            </w:r>
          </w:p>
        </w:tc>
        <w:tc>
          <w:tcPr>
            <w:tcW w:w="1121" w:type="dxa"/>
            <w:tcBorders>
              <w:top w:val="nil"/>
              <w:left w:val="nil"/>
              <w:bottom w:val="single" w:sz="4" w:space="0" w:color="000000"/>
              <w:right w:val="single" w:sz="4" w:space="0" w:color="000000"/>
            </w:tcBorders>
            <w:shd w:val="clear" w:color="auto" w:fill="FFFFFF" w:themeFill="background1"/>
            <w:vAlign w:val="center"/>
            <w:hideMark/>
          </w:tcPr>
          <w:p w14:paraId="3B1B5F2F" w14:textId="77777777" w:rsidR="00C134AA" w:rsidRPr="00C70EFC" w:rsidRDefault="00C134AA" w:rsidP="00F86B6C">
            <w:pPr>
              <w:bidi/>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Cured Without Disability</w:t>
            </w:r>
          </w:p>
        </w:tc>
        <w:tc>
          <w:tcPr>
            <w:tcW w:w="1121" w:type="dxa"/>
            <w:tcBorders>
              <w:top w:val="nil"/>
              <w:left w:val="nil"/>
              <w:bottom w:val="single" w:sz="4" w:space="0" w:color="000000"/>
              <w:right w:val="single" w:sz="4" w:space="0" w:color="000000"/>
            </w:tcBorders>
            <w:shd w:val="clear" w:color="auto" w:fill="FFFFFF" w:themeFill="background1"/>
            <w:vAlign w:val="center"/>
            <w:hideMark/>
          </w:tcPr>
          <w:p w14:paraId="241F503E" w14:textId="77777777" w:rsidR="00C134AA" w:rsidRPr="00C70EFC" w:rsidRDefault="00C134AA" w:rsidP="00F86B6C">
            <w:pPr>
              <w:bidi/>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Cured With Disability</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14:paraId="60560D8C" w14:textId="77777777" w:rsidR="00C134AA" w:rsidRPr="00C70EFC" w:rsidRDefault="00C134AA" w:rsidP="00F86B6C">
            <w:pPr>
              <w:bidi/>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Death</w:t>
            </w:r>
          </w:p>
        </w:tc>
        <w:tc>
          <w:tcPr>
            <w:tcW w:w="1035" w:type="dxa"/>
            <w:tcBorders>
              <w:top w:val="nil"/>
              <w:left w:val="nil"/>
              <w:bottom w:val="single" w:sz="4" w:space="0" w:color="000000"/>
              <w:right w:val="single" w:sz="4" w:space="0" w:color="000000"/>
            </w:tcBorders>
            <w:shd w:val="clear" w:color="auto" w:fill="FFFFFF" w:themeFill="background1"/>
            <w:vAlign w:val="center"/>
            <w:hideMark/>
          </w:tcPr>
          <w:p w14:paraId="6052A872" w14:textId="77777777" w:rsidR="00C134AA" w:rsidRPr="00C70EFC" w:rsidRDefault="00C134AA" w:rsidP="00F86B6C">
            <w:pPr>
              <w:bidi/>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tl/>
              </w:rPr>
              <w:br/>
            </w:r>
            <w:r w:rsidRPr="00C70EFC">
              <w:rPr>
                <w:rFonts w:ascii="Times New Roman" w:eastAsia="Times New Roman" w:hAnsi="Times New Roman" w:cs="Times New Roman"/>
                <w:b/>
                <w:bCs/>
                <w:color w:val="000000"/>
              </w:rPr>
              <w:t>Under recovery</w:t>
            </w:r>
          </w:p>
        </w:tc>
      </w:tr>
      <w:tr w:rsidR="00C134AA" w:rsidRPr="00C70EFC" w14:paraId="6BCC2FA3"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901A062"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Riyadh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E72B07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864</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0E95992"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182</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631DE55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7</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0CF345DF"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612</w:t>
            </w:r>
          </w:p>
        </w:tc>
      </w:tr>
      <w:tr w:rsidR="00C134AA" w:rsidRPr="00C70EFC" w14:paraId="57769BA2"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34C5FD4"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 xml:space="preserve">Al </w:t>
            </w:r>
            <w:proofErr w:type="spellStart"/>
            <w:r w:rsidRPr="00C70EFC">
              <w:rPr>
                <w:rFonts w:ascii="Times New Roman" w:eastAsia="Times New Roman" w:hAnsi="Times New Roman" w:cs="Times New Roman"/>
                <w:b/>
                <w:bCs/>
                <w:color w:val="000000"/>
              </w:rPr>
              <w:t>Qassem</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404F2C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47</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CE37172"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9</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3C840D7D"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31063D9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116</w:t>
            </w:r>
          </w:p>
        </w:tc>
      </w:tr>
      <w:tr w:rsidR="00C134AA" w:rsidRPr="00C70EFC" w14:paraId="1A0263BB"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C3D6965"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Hail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B0135D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6</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87B2D08"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087B610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00460A3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17</w:t>
            </w:r>
          </w:p>
        </w:tc>
      </w:tr>
      <w:tr w:rsidR="00C134AA" w:rsidRPr="00C70EFC" w14:paraId="3AD5C157"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8B8B38E"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 xml:space="preserve">Al </w:t>
            </w:r>
            <w:proofErr w:type="spellStart"/>
            <w:r w:rsidRPr="00C70EFC">
              <w:rPr>
                <w:rFonts w:ascii="Times New Roman" w:eastAsia="Times New Roman" w:hAnsi="Times New Roman" w:cs="Times New Roman"/>
                <w:b/>
                <w:bCs/>
                <w:color w:val="000000"/>
              </w:rPr>
              <w:t>Kharj</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0CD46C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E2022F2"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21E966A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1214964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26</w:t>
            </w:r>
          </w:p>
        </w:tc>
      </w:tr>
      <w:tr w:rsidR="00C134AA" w:rsidRPr="00C70EFC" w14:paraId="0D4642E7"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566EC24"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Makkah/Jeddah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487DEA22"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793</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18BF804"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59</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11B666E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1D958CC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657</w:t>
            </w:r>
          </w:p>
        </w:tc>
      </w:tr>
      <w:tr w:rsidR="00C134AA" w:rsidRPr="00C70EFC" w14:paraId="591664D9"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5B814985"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Makkah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9EE569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319</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77CF8E9"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24</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3065C78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4BA376E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137</w:t>
            </w:r>
          </w:p>
        </w:tc>
      </w:tr>
      <w:tr w:rsidR="00C134AA" w:rsidRPr="00C70EFC" w14:paraId="55A3B704"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4B27B13F"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Madinah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4CC7A49D"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199</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202F60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35</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66A4251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4230651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332</w:t>
            </w:r>
          </w:p>
        </w:tc>
      </w:tr>
      <w:tr w:rsidR="00C134AA" w:rsidRPr="00C70EFC" w14:paraId="3275E12F"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4B0F81D"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Tabouk</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42B13F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28</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3AA347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43AA85A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7FD53C4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43</w:t>
            </w:r>
          </w:p>
        </w:tc>
      </w:tr>
      <w:tr w:rsidR="00C134AA" w:rsidRPr="00C70EFC" w14:paraId="1FC5C4A9"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F4C91E0"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 xml:space="preserve">Al </w:t>
            </w:r>
            <w:proofErr w:type="spellStart"/>
            <w:r w:rsidRPr="00C70EFC">
              <w:rPr>
                <w:rFonts w:ascii="Times New Roman" w:eastAsia="Times New Roman" w:hAnsi="Times New Roman" w:cs="Times New Roman"/>
                <w:b/>
                <w:bCs/>
                <w:color w:val="000000"/>
              </w:rPr>
              <w:t>Taif</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67853B5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60</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D42EAFF"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0B3E29C8"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6AD59BC5"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57</w:t>
            </w:r>
          </w:p>
        </w:tc>
      </w:tr>
      <w:tr w:rsidR="00C134AA" w:rsidRPr="00C70EFC" w14:paraId="1305C78D"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116570C"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Yanbu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1161E0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29</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88BEFD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11</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0B7D71A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667E36B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45</w:t>
            </w:r>
          </w:p>
        </w:tc>
      </w:tr>
      <w:tr w:rsidR="00C134AA" w:rsidRPr="00C70EFC" w14:paraId="2862B8F2"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5FC5211F"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Eastren</w:t>
            </w:r>
            <w:proofErr w:type="spellEnd"/>
            <w:r w:rsidRPr="00C70EFC">
              <w:rPr>
                <w:rFonts w:ascii="Times New Roman" w:eastAsia="Times New Roman" w:hAnsi="Times New Roman" w:cs="Times New Roman"/>
                <w:b/>
                <w:bCs/>
                <w:color w:val="000000"/>
              </w:rPr>
              <w:t xml:space="preserve"> Region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894853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1 181</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64C87356"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23</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78FDA5F2"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35D430D9"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504</w:t>
            </w:r>
          </w:p>
        </w:tc>
      </w:tr>
      <w:tr w:rsidR="00C134AA" w:rsidRPr="00C70EFC" w14:paraId="6A8B9A73"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E5DD3A9"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Ahsa</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08DD9A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197</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CE2CA3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7</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237523F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5FF2394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188</w:t>
            </w:r>
          </w:p>
        </w:tc>
      </w:tr>
      <w:tr w:rsidR="00C134AA" w:rsidRPr="00C70EFC" w14:paraId="6931205D"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8B12930"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 xml:space="preserve">Al </w:t>
            </w:r>
            <w:proofErr w:type="spellStart"/>
            <w:r w:rsidRPr="00C70EFC">
              <w:rPr>
                <w:rFonts w:ascii="Times New Roman" w:eastAsia="Times New Roman" w:hAnsi="Times New Roman" w:cs="Times New Roman"/>
                <w:b/>
                <w:bCs/>
                <w:color w:val="000000"/>
              </w:rPr>
              <w:t>Jouf</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F85D02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B8E7CF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445C2C8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1F24FE0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r>
      <w:tr w:rsidR="00C134AA" w:rsidRPr="00C70EFC" w14:paraId="17C21554"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CB36BE0"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Jubail</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A3E2CE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228</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E4E0438"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17</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0204B1D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09262765"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127</w:t>
            </w:r>
          </w:p>
        </w:tc>
      </w:tr>
      <w:tr w:rsidR="00C134AA" w:rsidRPr="00C70EFC" w14:paraId="1469D117"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BB8F480"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Hafer</w:t>
            </w:r>
            <w:proofErr w:type="spellEnd"/>
            <w:r w:rsidRPr="00C70EFC">
              <w:rPr>
                <w:rFonts w:ascii="Times New Roman" w:eastAsia="Times New Roman" w:hAnsi="Times New Roman" w:cs="Times New Roman"/>
                <w:b/>
                <w:bCs/>
                <w:color w:val="000000"/>
              </w:rPr>
              <w:t xml:space="preserve"> Al-</w:t>
            </w:r>
            <w:proofErr w:type="spellStart"/>
            <w:r w:rsidRPr="00C70EFC">
              <w:rPr>
                <w:rFonts w:ascii="Times New Roman" w:eastAsia="Times New Roman" w:hAnsi="Times New Roman" w:cs="Times New Roman"/>
                <w:b/>
                <w:bCs/>
                <w:color w:val="000000"/>
              </w:rPr>
              <w:t>Batin</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188978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02AAB2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7FF54F8F"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00FA10F9"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8</w:t>
            </w:r>
          </w:p>
        </w:tc>
      </w:tr>
      <w:tr w:rsidR="00C134AA" w:rsidRPr="00C70EFC" w14:paraId="2B88AFF6"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A870E6A"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Northren</w:t>
            </w:r>
            <w:proofErr w:type="spellEnd"/>
            <w:r w:rsidRPr="00C70EFC">
              <w:rPr>
                <w:rFonts w:ascii="Times New Roman" w:eastAsia="Times New Roman" w:hAnsi="Times New Roman" w:cs="Times New Roman"/>
                <w:b/>
                <w:bCs/>
                <w:color w:val="000000"/>
              </w:rPr>
              <w:t xml:space="preserve"> Borders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6A40BA2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50336BC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5FB973F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68A20AE4"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r>
      <w:tr w:rsidR="00C134AA" w:rsidRPr="00C70EFC" w14:paraId="6FECCA64"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5D32FC2"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Assir</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1DBF295"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29</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6DF5EE15"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4</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0EBB7F1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4A0654B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305</w:t>
            </w:r>
          </w:p>
        </w:tc>
      </w:tr>
      <w:tr w:rsidR="00C134AA" w:rsidRPr="00C70EFC" w14:paraId="74A501C6"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A1D5D54"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Jazan</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3925B3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20C26F4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5E33BAE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01960E08"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140</w:t>
            </w:r>
          </w:p>
        </w:tc>
      </w:tr>
      <w:tr w:rsidR="00C134AA" w:rsidRPr="00C70EFC" w14:paraId="6013A1DB"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94203F6"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Al Baha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749EE37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6</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E89F447"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5D6CEE6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3701EDFC"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24</w:t>
            </w:r>
          </w:p>
        </w:tc>
      </w:tr>
      <w:tr w:rsidR="00C134AA" w:rsidRPr="00C70EFC" w14:paraId="7E75EDCB"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C352912"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Najran</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4E758190"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12</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0CF84C0E"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4</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2C8A674A"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54A9502F"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20</w:t>
            </w:r>
          </w:p>
        </w:tc>
      </w:tr>
      <w:tr w:rsidR="00C134AA" w:rsidRPr="00C70EFC" w14:paraId="6BD59BCA"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D3072F8"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proofErr w:type="spellStart"/>
            <w:r w:rsidRPr="00C70EFC">
              <w:rPr>
                <w:rFonts w:ascii="Times New Roman" w:eastAsia="Times New Roman" w:hAnsi="Times New Roman" w:cs="Times New Roman"/>
                <w:b/>
                <w:bCs/>
                <w:color w:val="000000"/>
              </w:rPr>
              <w:t>Bisha</w:t>
            </w:r>
            <w:proofErr w:type="spellEnd"/>
            <w:r w:rsidRPr="00C70EFC">
              <w:rPr>
                <w:rFonts w:ascii="Times New Roman" w:eastAsia="Times New Roman" w:hAnsi="Times New Roman" w:cs="Times New Roman"/>
                <w:b/>
                <w:bCs/>
                <w:color w:val="000000"/>
              </w:rPr>
              <w:t xml:space="preserve"> Office</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6B74F11"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1160F0C8"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2</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4F01E593"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0</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16D105BB" w14:textId="77777777" w:rsidR="00C134AA" w:rsidRPr="00C70EFC" w:rsidRDefault="00C134AA" w:rsidP="00F86B6C">
            <w:pPr>
              <w:spacing w:after="0" w:line="240" w:lineRule="auto"/>
              <w:jc w:val="center"/>
              <w:rPr>
                <w:rFonts w:ascii="Times New Roman" w:eastAsia="Times New Roman" w:hAnsi="Times New Roman" w:cs="Times New Roman"/>
                <w:color w:val="000000"/>
              </w:rPr>
            </w:pPr>
            <w:r w:rsidRPr="00C70EFC">
              <w:rPr>
                <w:rFonts w:ascii="Times New Roman" w:eastAsia="Times New Roman" w:hAnsi="Times New Roman" w:cs="Times New Roman"/>
                <w:color w:val="000000"/>
              </w:rPr>
              <w:t>11</w:t>
            </w:r>
          </w:p>
        </w:tc>
      </w:tr>
      <w:tr w:rsidR="00C134AA" w:rsidRPr="00C70EFC" w14:paraId="56CA509C" w14:textId="77777777" w:rsidTr="00C134AA">
        <w:trPr>
          <w:trHeight w:val="300"/>
          <w:jc w:val="center"/>
        </w:trPr>
        <w:tc>
          <w:tcPr>
            <w:tcW w:w="2840"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CC691CF"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 xml:space="preserve">Total </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68D4B4F2"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Pr="00C70EFC">
              <w:rPr>
                <w:rFonts w:ascii="Times New Roman" w:eastAsia="Times New Roman" w:hAnsi="Times New Roman" w:cs="Times New Roman"/>
                <w:b/>
                <w:bCs/>
                <w:color w:val="000000"/>
              </w:rPr>
              <w:t>002</w:t>
            </w:r>
          </w:p>
        </w:tc>
        <w:tc>
          <w:tcPr>
            <w:tcW w:w="1121" w:type="dxa"/>
            <w:tcBorders>
              <w:top w:val="nil"/>
              <w:left w:val="nil"/>
              <w:bottom w:val="single" w:sz="4" w:space="0" w:color="000000"/>
              <w:right w:val="single" w:sz="4" w:space="0" w:color="000000"/>
            </w:tcBorders>
            <w:shd w:val="clear" w:color="auto" w:fill="FFFFFF" w:themeFill="background1"/>
            <w:noWrap/>
            <w:vAlign w:val="center"/>
            <w:hideMark/>
          </w:tcPr>
          <w:p w14:paraId="432EA6C5"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386</w:t>
            </w:r>
          </w:p>
        </w:tc>
        <w:tc>
          <w:tcPr>
            <w:tcW w:w="960" w:type="dxa"/>
            <w:tcBorders>
              <w:top w:val="nil"/>
              <w:left w:val="nil"/>
              <w:bottom w:val="single" w:sz="4" w:space="0" w:color="000000"/>
              <w:right w:val="single" w:sz="4" w:space="0" w:color="000000"/>
            </w:tcBorders>
            <w:shd w:val="clear" w:color="auto" w:fill="FFFFFF" w:themeFill="background1"/>
            <w:noWrap/>
            <w:vAlign w:val="center"/>
            <w:hideMark/>
          </w:tcPr>
          <w:p w14:paraId="6FC09AE5"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sidRPr="00C70EFC">
              <w:rPr>
                <w:rFonts w:ascii="Times New Roman" w:eastAsia="Times New Roman" w:hAnsi="Times New Roman" w:cs="Times New Roman"/>
                <w:b/>
                <w:bCs/>
                <w:color w:val="000000"/>
              </w:rPr>
              <w:t>16</w:t>
            </w:r>
          </w:p>
        </w:tc>
        <w:tc>
          <w:tcPr>
            <w:tcW w:w="1035" w:type="dxa"/>
            <w:tcBorders>
              <w:top w:val="nil"/>
              <w:left w:val="nil"/>
              <w:bottom w:val="single" w:sz="4" w:space="0" w:color="000000"/>
              <w:right w:val="single" w:sz="4" w:space="0" w:color="000000"/>
            </w:tcBorders>
            <w:shd w:val="clear" w:color="auto" w:fill="FFFFFF" w:themeFill="background1"/>
            <w:noWrap/>
            <w:vAlign w:val="center"/>
            <w:hideMark/>
          </w:tcPr>
          <w:p w14:paraId="4B034065" w14:textId="77777777" w:rsidR="00C134AA" w:rsidRPr="00C70EFC" w:rsidRDefault="00C134AA" w:rsidP="00F86B6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Pr="00C70EFC">
              <w:rPr>
                <w:rFonts w:ascii="Times New Roman" w:eastAsia="Times New Roman" w:hAnsi="Times New Roman" w:cs="Times New Roman"/>
                <w:b/>
                <w:bCs/>
                <w:color w:val="000000"/>
              </w:rPr>
              <w:t>372</w:t>
            </w:r>
          </w:p>
        </w:tc>
      </w:tr>
    </w:tbl>
    <w:p w14:paraId="4B2446A1" w14:textId="6EBAE420" w:rsidR="00C70EFC" w:rsidRPr="00267433" w:rsidRDefault="00835C61" w:rsidP="009D3502">
      <w:pPr>
        <w:spacing w:line="360" w:lineRule="auto"/>
        <w:rPr>
          <w:rFonts w:ascii="Times New Roman" w:hAnsi="Times New Roman" w:cs="Times New Roman"/>
          <w:b/>
          <w:sz w:val="24"/>
        </w:rPr>
      </w:pPr>
      <w:r w:rsidRPr="00267433">
        <w:rPr>
          <w:rFonts w:ascii="Times New Roman" w:hAnsi="Times New Roman" w:cs="Times New Roman"/>
          <w:b/>
          <w:sz w:val="24"/>
        </w:rPr>
        <w:t xml:space="preserve">Table </w:t>
      </w:r>
      <w:r w:rsidR="00120176" w:rsidRPr="00267433">
        <w:rPr>
          <w:rFonts w:ascii="Times New Roman" w:hAnsi="Times New Roman" w:cs="Times New Roman"/>
          <w:b/>
          <w:sz w:val="24"/>
        </w:rPr>
        <w:t xml:space="preserve">3: </w:t>
      </w:r>
      <w:r w:rsidR="00C70715" w:rsidRPr="00267433">
        <w:rPr>
          <w:rFonts w:ascii="Times New Roman" w:hAnsi="Times New Roman" w:cs="Times New Roman"/>
          <w:b/>
          <w:sz w:val="24"/>
        </w:rPr>
        <w:t xml:space="preserve">Number of Injuries and Recovery Status in </w:t>
      </w:r>
      <w:r w:rsidR="0069149F">
        <w:rPr>
          <w:rFonts w:ascii="Times New Roman" w:hAnsi="Times New Roman" w:cs="Times New Roman"/>
          <w:b/>
          <w:sz w:val="24"/>
        </w:rPr>
        <w:t xml:space="preserve">the </w:t>
      </w:r>
      <w:r w:rsidR="00C70715" w:rsidRPr="00267433">
        <w:rPr>
          <w:rFonts w:ascii="Times New Roman" w:hAnsi="Times New Roman" w:cs="Times New Roman"/>
          <w:b/>
          <w:sz w:val="24"/>
        </w:rPr>
        <w:t xml:space="preserve">Industrial Sector of Saudi Arabia </w:t>
      </w:r>
      <w:r w:rsidR="00743E91" w:rsidRPr="00267433">
        <w:rPr>
          <w:rFonts w:ascii="Times New Roman" w:hAnsi="Times New Roman" w:cs="Times New Roman"/>
          <w:b/>
          <w:sz w:val="24"/>
        </w:rPr>
        <w:t>– 3rd Quarter 2018 (GOSI, 2018).</w:t>
      </w:r>
    </w:p>
    <w:p w14:paraId="53B6B6E7" w14:textId="20970D03" w:rsidR="0095441D" w:rsidRPr="00267433" w:rsidRDefault="00311C26" w:rsidP="00835BB3">
      <w:pPr>
        <w:spacing w:line="360" w:lineRule="auto"/>
        <w:jc w:val="both"/>
        <w:rPr>
          <w:rFonts w:ascii="Times New Roman" w:hAnsi="Times New Roman" w:cs="Times New Roman"/>
          <w:sz w:val="24"/>
        </w:rPr>
      </w:pPr>
      <w:r w:rsidRPr="00267433">
        <w:rPr>
          <w:rFonts w:ascii="Times New Roman" w:hAnsi="Times New Roman" w:cs="Times New Roman"/>
          <w:sz w:val="24"/>
        </w:rPr>
        <w:t xml:space="preserve">The occupational safety and health situation in Kuwait is not different from other GCC countries. </w:t>
      </w:r>
      <w:r w:rsidR="00331534" w:rsidRPr="00267433">
        <w:rPr>
          <w:rFonts w:ascii="Times New Roman" w:hAnsi="Times New Roman" w:cs="Times New Roman"/>
          <w:sz w:val="24"/>
        </w:rPr>
        <w:t xml:space="preserve">Many researchers have concluded that construction in Kuwait is </w:t>
      </w:r>
      <w:r w:rsidR="005D4251" w:rsidRPr="00267433">
        <w:rPr>
          <w:rFonts w:ascii="Times New Roman" w:hAnsi="Times New Roman" w:cs="Times New Roman"/>
          <w:sz w:val="24"/>
        </w:rPr>
        <w:t xml:space="preserve">the </w:t>
      </w:r>
      <w:r w:rsidR="00331534" w:rsidRPr="00267433">
        <w:rPr>
          <w:rFonts w:ascii="Times New Roman" w:hAnsi="Times New Roman" w:cs="Times New Roman"/>
          <w:sz w:val="24"/>
        </w:rPr>
        <w:t>most hazardous industry</w:t>
      </w:r>
      <w:r w:rsidR="008F3DA8" w:rsidRPr="00267433">
        <w:rPr>
          <w:rFonts w:ascii="Times New Roman" w:hAnsi="Times New Roman" w:cs="Times New Roman"/>
          <w:sz w:val="24"/>
        </w:rPr>
        <w:t xml:space="preserve"> </w:t>
      </w:r>
      <w:r w:rsidR="00331534" w:rsidRPr="00267433">
        <w:rPr>
          <w:rFonts w:ascii="Times New Roman" w:hAnsi="Times New Roman" w:cs="Times New Roman"/>
          <w:sz w:val="24"/>
        </w:rPr>
        <w:t>(</w:t>
      </w:r>
      <w:proofErr w:type="spellStart"/>
      <w:r w:rsidR="00C85CCE" w:rsidRPr="00267433">
        <w:rPr>
          <w:rFonts w:ascii="Times New Roman" w:hAnsi="Times New Roman" w:cs="Times New Roman"/>
          <w:sz w:val="24"/>
        </w:rPr>
        <w:t>Kartam</w:t>
      </w:r>
      <w:proofErr w:type="spellEnd"/>
      <w:r w:rsidR="00C85CCE" w:rsidRPr="00267433">
        <w:rPr>
          <w:rFonts w:ascii="Times New Roman" w:hAnsi="Times New Roman" w:cs="Times New Roman"/>
          <w:sz w:val="24"/>
        </w:rPr>
        <w:t xml:space="preserve"> and </w:t>
      </w:r>
      <w:proofErr w:type="spellStart"/>
      <w:r w:rsidR="00C85CCE" w:rsidRPr="00267433">
        <w:rPr>
          <w:rFonts w:ascii="Times New Roman" w:hAnsi="Times New Roman" w:cs="Times New Roman"/>
          <w:sz w:val="24"/>
        </w:rPr>
        <w:t>Bouz</w:t>
      </w:r>
      <w:proofErr w:type="spellEnd"/>
      <w:r w:rsidR="00C85CCE" w:rsidRPr="00267433">
        <w:rPr>
          <w:rFonts w:ascii="Times New Roman" w:hAnsi="Times New Roman" w:cs="Times New Roman"/>
          <w:sz w:val="24"/>
        </w:rPr>
        <w:t xml:space="preserve">, 1998; </w:t>
      </w:r>
      <w:r w:rsidR="0048233F" w:rsidRPr="00267433">
        <w:rPr>
          <w:rFonts w:ascii="Times New Roman" w:hAnsi="Times New Roman" w:cs="Times New Roman"/>
          <w:sz w:val="24"/>
        </w:rPr>
        <w:t>Al-</w:t>
      </w:r>
      <w:proofErr w:type="spellStart"/>
      <w:r w:rsidR="0048233F" w:rsidRPr="00267433">
        <w:rPr>
          <w:rFonts w:ascii="Times New Roman" w:hAnsi="Times New Roman" w:cs="Times New Roman"/>
          <w:sz w:val="24"/>
        </w:rPr>
        <w:t>Tabtabai</w:t>
      </w:r>
      <w:proofErr w:type="spellEnd"/>
      <w:r w:rsidR="0048233F" w:rsidRPr="00267433">
        <w:rPr>
          <w:rFonts w:ascii="Times New Roman" w:hAnsi="Times New Roman" w:cs="Times New Roman"/>
          <w:sz w:val="24"/>
        </w:rPr>
        <w:t xml:space="preserve">, 2002; </w:t>
      </w:r>
      <w:r w:rsidR="003422E2" w:rsidRPr="00267433">
        <w:rPr>
          <w:rFonts w:ascii="Times New Roman" w:hAnsi="Times New Roman" w:cs="Times New Roman"/>
          <w:sz w:val="24"/>
        </w:rPr>
        <w:t>Al-</w:t>
      </w:r>
      <w:proofErr w:type="spellStart"/>
      <w:r w:rsidR="003422E2" w:rsidRPr="00267433">
        <w:rPr>
          <w:rFonts w:ascii="Times New Roman" w:hAnsi="Times New Roman" w:cs="Times New Roman"/>
          <w:sz w:val="24"/>
        </w:rPr>
        <w:t>Kandary</w:t>
      </w:r>
      <w:proofErr w:type="spellEnd"/>
      <w:r w:rsidR="003422E2" w:rsidRPr="00267433">
        <w:rPr>
          <w:rFonts w:ascii="Times New Roman" w:hAnsi="Times New Roman" w:cs="Times New Roman"/>
          <w:sz w:val="24"/>
        </w:rPr>
        <w:t xml:space="preserve"> and Al-</w:t>
      </w:r>
      <w:proofErr w:type="spellStart"/>
      <w:r w:rsidR="003422E2" w:rsidRPr="00267433">
        <w:rPr>
          <w:rFonts w:ascii="Times New Roman" w:hAnsi="Times New Roman" w:cs="Times New Roman"/>
          <w:sz w:val="24"/>
        </w:rPr>
        <w:t>Waheeb</w:t>
      </w:r>
      <w:proofErr w:type="spellEnd"/>
      <w:r w:rsidR="003422E2" w:rsidRPr="00267433">
        <w:rPr>
          <w:rFonts w:ascii="Times New Roman" w:hAnsi="Times New Roman" w:cs="Times New Roman"/>
          <w:sz w:val="24"/>
        </w:rPr>
        <w:t xml:space="preserve">, 2015). </w:t>
      </w:r>
      <w:r w:rsidR="005F3CE3" w:rsidRPr="00267433">
        <w:rPr>
          <w:rFonts w:ascii="Times New Roman" w:hAnsi="Times New Roman" w:cs="Times New Roman"/>
          <w:sz w:val="24"/>
        </w:rPr>
        <w:t xml:space="preserve">Construction accidents in Kuwait accounted for 34% - 48% for all injuries involving disabilities </w:t>
      </w:r>
      <w:r w:rsidR="005D4251" w:rsidRPr="00267433">
        <w:rPr>
          <w:rFonts w:ascii="Times New Roman" w:hAnsi="Times New Roman" w:cs="Times New Roman"/>
          <w:sz w:val="24"/>
        </w:rPr>
        <w:t>from</w:t>
      </w:r>
      <w:r w:rsidR="005F3CE3" w:rsidRPr="00267433">
        <w:rPr>
          <w:rFonts w:ascii="Times New Roman" w:hAnsi="Times New Roman" w:cs="Times New Roman"/>
          <w:sz w:val="24"/>
        </w:rPr>
        <w:t xml:space="preserve"> 1994 to 1996. Similarly, </w:t>
      </w:r>
      <w:r w:rsidR="006E7445" w:rsidRPr="00267433">
        <w:rPr>
          <w:rFonts w:ascii="Times New Roman" w:hAnsi="Times New Roman" w:cs="Times New Roman"/>
          <w:sz w:val="24"/>
        </w:rPr>
        <w:t xml:space="preserve">during </w:t>
      </w:r>
      <w:r w:rsidR="005F3CE3" w:rsidRPr="00267433">
        <w:rPr>
          <w:rFonts w:ascii="Times New Roman" w:hAnsi="Times New Roman" w:cs="Times New Roman"/>
          <w:sz w:val="24"/>
        </w:rPr>
        <w:t xml:space="preserve">the same period, the accidents in </w:t>
      </w:r>
      <w:r w:rsidR="00D838C4" w:rsidRPr="00267433">
        <w:rPr>
          <w:rFonts w:ascii="Times New Roman" w:hAnsi="Times New Roman" w:cs="Times New Roman"/>
          <w:sz w:val="24"/>
        </w:rPr>
        <w:t xml:space="preserve">the </w:t>
      </w:r>
      <w:r w:rsidR="005F3CE3" w:rsidRPr="00267433">
        <w:rPr>
          <w:rFonts w:ascii="Times New Roman" w:hAnsi="Times New Roman" w:cs="Times New Roman"/>
          <w:sz w:val="24"/>
        </w:rPr>
        <w:t>construction industry in Kuwait were accounted for deaths of 42% - 62% resulting from all injuries</w:t>
      </w:r>
      <w:r w:rsidR="00B507D3" w:rsidRPr="00267433">
        <w:rPr>
          <w:rFonts w:ascii="Times New Roman" w:hAnsi="Times New Roman" w:cs="Times New Roman"/>
          <w:sz w:val="24"/>
        </w:rPr>
        <w:t xml:space="preserve"> (Al-</w:t>
      </w:r>
      <w:proofErr w:type="spellStart"/>
      <w:r w:rsidR="00B507D3" w:rsidRPr="00267433">
        <w:rPr>
          <w:rFonts w:ascii="Times New Roman" w:hAnsi="Times New Roman" w:cs="Times New Roman"/>
          <w:sz w:val="24"/>
        </w:rPr>
        <w:t>Kandary</w:t>
      </w:r>
      <w:proofErr w:type="spellEnd"/>
      <w:r w:rsidR="00B507D3" w:rsidRPr="00267433">
        <w:rPr>
          <w:rFonts w:ascii="Times New Roman" w:hAnsi="Times New Roman" w:cs="Times New Roman"/>
          <w:sz w:val="24"/>
        </w:rPr>
        <w:t xml:space="preserve"> and Al-</w:t>
      </w:r>
      <w:proofErr w:type="spellStart"/>
      <w:r w:rsidR="00B507D3" w:rsidRPr="00267433">
        <w:rPr>
          <w:rFonts w:ascii="Times New Roman" w:hAnsi="Times New Roman" w:cs="Times New Roman"/>
          <w:sz w:val="24"/>
        </w:rPr>
        <w:t>Waheeb</w:t>
      </w:r>
      <w:proofErr w:type="spellEnd"/>
      <w:r w:rsidR="00B507D3" w:rsidRPr="00267433">
        <w:rPr>
          <w:rFonts w:ascii="Times New Roman" w:hAnsi="Times New Roman" w:cs="Times New Roman"/>
          <w:sz w:val="24"/>
        </w:rPr>
        <w:t>, 2015)</w:t>
      </w:r>
      <w:r w:rsidR="005F3CE3" w:rsidRPr="00267433">
        <w:rPr>
          <w:rFonts w:ascii="Times New Roman" w:hAnsi="Times New Roman" w:cs="Times New Roman"/>
          <w:sz w:val="24"/>
        </w:rPr>
        <w:t>.</w:t>
      </w:r>
      <w:r w:rsidR="00FA7015" w:rsidRPr="00267433">
        <w:rPr>
          <w:rFonts w:ascii="Times New Roman" w:hAnsi="Times New Roman" w:cs="Times New Roman"/>
          <w:sz w:val="24"/>
        </w:rPr>
        <w:t xml:space="preserve"> </w:t>
      </w:r>
      <w:r w:rsidR="005F3CE3" w:rsidRPr="00267433">
        <w:rPr>
          <w:rFonts w:ascii="Times New Roman" w:hAnsi="Times New Roman" w:cs="Times New Roman"/>
          <w:sz w:val="24"/>
        </w:rPr>
        <w:t xml:space="preserve">   </w:t>
      </w:r>
    </w:p>
    <w:p w14:paraId="2C5969BB" w14:textId="0F3E3F3D" w:rsidR="003E0DCC" w:rsidRPr="00267433" w:rsidRDefault="00D53EB7" w:rsidP="00835BB3">
      <w:pPr>
        <w:spacing w:line="360" w:lineRule="auto"/>
        <w:jc w:val="both"/>
        <w:rPr>
          <w:rFonts w:ascii="Times New Roman" w:hAnsi="Times New Roman" w:cs="Times New Roman"/>
          <w:sz w:val="24"/>
        </w:rPr>
      </w:pPr>
      <w:r w:rsidRPr="00267433">
        <w:rPr>
          <w:rFonts w:ascii="Times New Roman" w:hAnsi="Times New Roman" w:cs="Times New Roman"/>
          <w:sz w:val="24"/>
        </w:rPr>
        <w:lastRenderedPageBreak/>
        <w:t xml:space="preserve">The above facts clearly reveal that the occupational health </w:t>
      </w:r>
      <w:r w:rsidR="002D4ED6" w:rsidRPr="00267433">
        <w:rPr>
          <w:rFonts w:ascii="Times New Roman" w:hAnsi="Times New Roman" w:cs="Times New Roman"/>
          <w:sz w:val="24"/>
        </w:rPr>
        <w:t xml:space="preserve">and safety </w:t>
      </w:r>
      <w:r w:rsidRPr="00267433">
        <w:rPr>
          <w:rFonts w:ascii="Times New Roman" w:hAnsi="Times New Roman" w:cs="Times New Roman"/>
          <w:sz w:val="24"/>
        </w:rPr>
        <w:t xml:space="preserve">conditions around the world are not at </w:t>
      </w:r>
      <w:r w:rsidR="005D4251" w:rsidRPr="00267433">
        <w:rPr>
          <w:rFonts w:ascii="Times New Roman" w:hAnsi="Times New Roman" w:cs="Times New Roman"/>
          <w:sz w:val="24"/>
        </w:rPr>
        <w:t xml:space="preserve">a </w:t>
      </w:r>
      <w:r w:rsidRPr="00267433">
        <w:rPr>
          <w:rFonts w:ascii="Times New Roman" w:hAnsi="Times New Roman" w:cs="Times New Roman"/>
          <w:sz w:val="24"/>
        </w:rPr>
        <w:t xml:space="preserve">satisfactory level. Workers in developing countries are more </w:t>
      </w:r>
      <w:r w:rsidR="00311C26" w:rsidRPr="00267433">
        <w:rPr>
          <w:rFonts w:ascii="Times New Roman" w:hAnsi="Times New Roman" w:cs="Times New Roman"/>
          <w:sz w:val="24"/>
        </w:rPr>
        <w:t>exposed</w:t>
      </w:r>
      <w:r w:rsidRPr="00267433">
        <w:rPr>
          <w:rFonts w:ascii="Times New Roman" w:hAnsi="Times New Roman" w:cs="Times New Roman"/>
          <w:sz w:val="24"/>
        </w:rPr>
        <w:t xml:space="preserve"> to the risks of having accidents at work compared to developed countries</w:t>
      </w:r>
      <w:r w:rsidR="00C30A17">
        <w:rPr>
          <w:rFonts w:ascii="Times New Roman" w:hAnsi="Times New Roman" w:cs="Times New Roman"/>
          <w:sz w:val="24"/>
        </w:rPr>
        <w:t xml:space="preserve"> (Umar, 2017-b)</w:t>
      </w:r>
      <w:r w:rsidRPr="00267433">
        <w:rPr>
          <w:rFonts w:ascii="Times New Roman" w:hAnsi="Times New Roman" w:cs="Times New Roman"/>
          <w:sz w:val="24"/>
        </w:rPr>
        <w:t xml:space="preserve">. </w:t>
      </w:r>
      <w:r w:rsidR="00026098" w:rsidRPr="00267433">
        <w:rPr>
          <w:rFonts w:ascii="Times New Roman" w:hAnsi="Times New Roman" w:cs="Times New Roman"/>
          <w:sz w:val="24"/>
        </w:rPr>
        <w:t>The c</w:t>
      </w:r>
      <w:r w:rsidRPr="00267433">
        <w:rPr>
          <w:rFonts w:ascii="Times New Roman" w:hAnsi="Times New Roman" w:cs="Times New Roman"/>
          <w:sz w:val="24"/>
        </w:rPr>
        <w:t xml:space="preserve">onstruction industry is considered </w:t>
      </w:r>
      <w:r w:rsidR="00026098" w:rsidRPr="00267433">
        <w:rPr>
          <w:rFonts w:ascii="Times New Roman" w:hAnsi="Times New Roman" w:cs="Times New Roman"/>
          <w:sz w:val="24"/>
        </w:rPr>
        <w:t>a</w:t>
      </w:r>
      <w:r w:rsidRPr="00267433">
        <w:rPr>
          <w:rFonts w:ascii="Times New Roman" w:hAnsi="Times New Roman" w:cs="Times New Roman"/>
          <w:sz w:val="24"/>
        </w:rPr>
        <w:t xml:space="preserve">s </w:t>
      </w:r>
      <w:r w:rsidR="00026098" w:rsidRPr="00267433">
        <w:rPr>
          <w:rFonts w:ascii="Times New Roman" w:hAnsi="Times New Roman" w:cs="Times New Roman"/>
          <w:sz w:val="24"/>
        </w:rPr>
        <w:t>the</w:t>
      </w:r>
      <w:r w:rsidRPr="00267433">
        <w:rPr>
          <w:rFonts w:ascii="Times New Roman" w:hAnsi="Times New Roman" w:cs="Times New Roman"/>
          <w:sz w:val="24"/>
        </w:rPr>
        <w:t xml:space="preserve"> leading industry </w:t>
      </w:r>
      <w:r w:rsidR="00026098" w:rsidRPr="00267433">
        <w:rPr>
          <w:rFonts w:ascii="Times New Roman" w:hAnsi="Times New Roman" w:cs="Times New Roman"/>
          <w:sz w:val="24"/>
        </w:rPr>
        <w:t>that</w:t>
      </w:r>
      <w:r w:rsidRPr="00267433">
        <w:rPr>
          <w:rFonts w:ascii="Times New Roman" w:hAnsi="Times New Roman" w:cs="Times New Roman"/>
          <w:sz w:val="24"/>
        </w:rPr>
        <w:t xml:space="preserve"> provides work to</w:t>
      </w:r>
      <w:r w:rsidR="00026098" w:rsidRPr="00267433">
        <w:rPr>
          <w:rFonts w:ascii="Times New Roman" w:hAnsi="Times New Roman" w:cs="Times New Roman"/>
          <w:sz w:val="24"/>
        </w:rPr>
        <w:t xml:space="preserve"> many</w:t>
      </w:r>
      <w:r w:rsidRPr="00267433">
        <w:rPr>
          <w:rFonts w:ascii="Times New Roman" w:hAnsi="Times New Roman" w:cs="Times New Roman"/>
          <w:sz w:val="24"/>
        </w:rPr>
        <w:t xml:space="preserve"> people globally. </w:t>
      </w:r>
      <w:r w:rsidR="00877410" w:rsidRPr="00267433">
        <w:rPr>
          <w:rFonts w:ascii="Times New Roman" w:hAnsi="Times New Roman" w:cs="Times New Roman"/>
          <w:sz w:val="24"/>
        </w:rPr>
        <w:t>While the</w:t>
      </w:r>
      <w:r w:rsidR="00890BD8" w:rsidRPr="00267433">
        <w:rPr>
          <w:rFonts w:ascii="Times New Roman" w:hAnsi="Times New Roman" w:cs="Times New Roman"/>
          <w:sz w:val="24"/>
        </w:rPr>
        <w:t xml:space="preserve"> </w:t>
      </w:r>
      <w:r w:rsidR="00984F22" w:rsidRPr="00267433">
        <w:rPr>
          <w:rFonts w:ascii="Times New Roman" w:hAnsi="Times New Roman" w:cs="Times New Roman"/>
          <w:sz w:val="24"/>
        </w:rPr>
        <w:t>construction</w:t>
      </w:r>
      <w:r w:rsidRPr="00267433">
        <w:rPr>
          <w:rFonts w:ascii="Times New Roman" w:hAnsi="Times New Roman" w:cs="Times New Roman"/>
          <w:sz w:val="24"/>
        </w:rPr>
        <w:t xml:space="preserve"> </w:t>
      </w:r>
      <w:r w:rsidR="00890BD8" w:rsidRPr="00267433">
        <w:rPr>
          <w:rFonts w:ascii="Times New Roman" w:hAnsi="Times New Roman" w:cs="Times New Roman"/>
          <w:sz w:val="24"/>
        </w:rPr>
        <w:t>industry remains</w:t>
      </w:r>
      <w:r w:rsidRPr="00267433">
        <w:rPr>
          <w:rFonts w:ascii="Times New Roman" w:hAnsi="Times New Roman" w:cs="Times New Roman"/>
          <w:sz w:val="24"/>
        </w:rPr>
        <w:t xml:space="preserve"> one of the most </w:t>
      </w:r>
      <w:r w:rsidR="00890BD8" w:rsidRPr="00267433">
        <w:rPr>
          <w:rFonts w:ascii="Times New Roman" w:hAnsi="Times New Roman" w:cs="Times New Roman"/>
          <w:sz w:val="24"/>
        </w:rPr>
        <w:t>hazardous</w:t>
      </w:r>
      <w:r w:rsidRPr="00267433">
        <w:rPr>
          <w:rFonts w:ascii="Times New Roman" w:hAnsi="Times New Roman" w:cs="Times New Roman"/>
          <w:sz w:val="24"/>
        </w:rPr>
        <w:t xml:space="preserve"> </w:t>
      </w:r>
      <w:r w:rsidR="007B745E" w:rsidRPr="00267433">
        <w:rPr>
          <w:rFonts w:ascii="Times New Roman" w:hAnsi="Times New Roman" w:cs="Times New Roman"/>
          <w:sz w:val="24"/>
        </w:rPr>
        <w:t>professions</w:t>
      </w:r>
      <w:r w:rsidR="00311C26" w:rsidRPr="00267433">
        <w:rPr>
          <w:rFonts w:ascii="Times New Roman" w:hAnsi="Times New Roman" w:cs="Times New Roman"/>
          <w:sz w:val="24"/>
        </w:rPr>
        <w:t>, it</w:t>
      </w:r>
      <w:r w:rsidRPr="00267433">
        <w:rPr>
          <w:rFonts w:ascii="Times New Roman" w:hAnsi="Times New Roman" w:cs="Times New Roman"/>
          <w:sz w:val="24"/>
        </w:rPr>
        <w:t xml:space="preserve"> is </w:t>
      </w:r>
      <w:r w:rsidR="00877410" w:rsidRPr="00267433">
        <w:rPr>
          <w:rFonts w:ascii="Times New Roman" w:hAnsi="Times New Roman" w:cs="Times New Roman"/>
          <w:sz w:val="24"/>
        </w:rPr>
        <w:t>expected to continue</w:t>
      </w:r>
      <w:r w:rsidRPr="00267433">
        <w:rPr>
          <w:rFonts w:ascii="Times New Roman" w:hAnsi="Times New Roman" w:cs="Times New Roman"/>
          <w:sz w:val="24"/>
        </w:rPr>
        <w:t xml:space="preserve"> expanding in</w:t>
      </w:r>
      <w:r w:rsidR="00877410" w:rsidRPr="00267433">
        <w:rPr>
          <w:rFonts w:ascii="Times New Roman" w:hAnsi="Times New Roman" w:cs="Times New Roman"/>
          <w:sz w:val="24"/>
        </w:rPr>
        <w:t xml:space="preserve"> the</w:t>
      </w:r>
      <w:r w:rsidRPr="00267433">
        <w:rPr>
          <w:rFonts w:ascii="Times New Roman" w:hAnsi="Times New Roman" w:cs="Times New Roman"/>
          <w:sz w:val="24"/>
        </w:rPr>
        <w:t xml:space="preserve"> future.</w:t>
      </w:r>
      <w:r w:rsidR="00984F22" w:rsidRPr="00267433">
        <w:rPr>
          <w:rFonts w:ascii="Times New Roman" w:hAnsi="Times New Roman" w:cs="Times New Roman"/>
          <w:sz w:val="24"/>
        </w:rPr>
        <w:t xml:space="preserve"> The GCC construction industry is also expected to be growing and will employ more p</w:t>
      </w:r>
      <w:r w:rsidR="007A537E" w:rsidRPr="00267433">
        <w:rPr>
          <w:rFonts w:ascii="Times New Roman" w:hAnsi="Times New Roman" w:cs="Times New Roman"/>
          <w:sz w:val="24"/>
        </w:rPr>
        <w:t>eople</w:t>
      </w:r>
      <w:r w:rsidR="00984F22" w:rsidRPr="00267433">
        <w:rPr>
          <w:rFonts w:ascii="Times New Roman" w:hAnsi="Times New Roman" w:cs="Times New Roman"/>
          <w:sz w:val="24"/>
        </w:rPr>
        <w:t xml:space="preserve"> in</w:t>
      </w:r>
      <w:r w:rsidR="007A537E" w:rsidRPr="00267433">
        <w:rPr>
          <w:rFonts w:ascii="Times New Roman" w:hAnsi="Times New Roman" w:cs="Times New Roman"/>
          <w:sz w:val="24"/>
        </w:rPr>
        <w:t xml:space="preserve"> the</w:t>
      </w:r>
      <w:r w:rsidR="00984F22" w:rsidRPr="00267433">
        <w:rPr>
          <w:rFonts w:ascii="Times New Roman" w:hAnsi="Times New Roman" w:cs="Times New Roman"/>
          <w:sz w:val="24"/>
        </w:rPr>
        <w:t xml:space="preserve"> future. Overall, </w:t>
      </w:r>
      <w:r w:rsidR="003B07CE" w:rsidRPr="00267433">
        <w:rPr>
          <w:rFonts w:ascii="Times New Roman" w:hAnsi="Times New Roman" w:cs="Times New Roman"/>
          <w:sz w:val="24"/>
        </w:rPr>
        <w:t>in different GCC countries</w:t>
      </w:r>
      <w:r w:rsidR="00D838C4" w:rsidRPr="00267433">
        <w:rPr>
          <w:rFonts w:ascii="Times New Roman" w:hAnsi="Times New Roman" w:cs="Times New Roman"/>
          <w:sz w:val="24"/>
        </w:rPr>
        <w:t>,</w:t>
      </w:r>
      <w:r w:rsidR="003B07CE" w:rsidRPr="00267433">
        <w:rPr>
          <w:rFonts w:ascii="Times New Roman" w:hAnsi="Times New Roman" w:cs="Times New Roman"/>
          <w:sz w:val="24"/>
        </w:rPr>
        <w:t xml:space="preserve"> the </w:t>
      </w:r>
      <w:r w:rsidR="00984F22" w:rsidRPr="00267433">
        <w:rPr>
          <w:rFonts w:ascii="Times New Roman" w:hAnsi="Times New Roman" w:cs="Times New Roman"/>
          <w:sz w:val="24"/>
        </w:rPr>
        <w:t xml:space="preserve">occupational health </w:t>
      </w:r>
      <w:r w:rsidR="007A537E" w:rsidRPr="00267433">
        <w:rPr>
          <w:rFonts w:ascii="Times New Roman" w:hAnsi="Times New Roman" w:cs="Times New Roman"/>
          <w:sz w:val="24"/>
        </w:rPr>
        <w:t xml:space="preserve">and safety </w:t>
      </w:r>
      <w:r w:rsidR="0027415B" w:rsidRPr="00267433">
        <w:rPr>
          <w:rFonts w:ascii="Times New Roman" w:hAnsi="Times New Roman" w:cs="Times New Roman"/>
          <w:sz w:val="24"/>
        </w:rPr>
        <w:t xml:space="preserve">conditions </w:t>
      </w:r>
      <w:r w:rsidR="003B07CE" w:rsidRPr="00267433">
        <w:rPr>
          <w:rFonts w:ascii="Times New Roman" w:hAnsi="Times New Roman" w:cs="Times New Roman"/>
          <w:sz w:val="24"/>
        </w:rPr>
        <w:t xml:space="preserve">in construction </w:t>
      </w:r>
      <w:r w:rsidR="0027415B" w:rsidRPr="00267433">
        <w:rPr>
          <w:rFonts w:ascii="Times New Roman" w:hAnsi="Times New Roman" w:cs="Times New Roman"/>
          <w:sz w:val="24"/>
        </w:rPr>
        <w:t xml:space="preserve">are worse </w:t>
      </w:r>
      <w:r w:rsidR="000C5CEF" w:rsidRPr="00267433">
        <w:rPr>
          <w:rFonts w:ascii="Times New Roman" w:hAnsi="Times New Roman" w:cs="Times New Roman"/>
          <w:sz w:val="24"/>
        </w:rPr>
        <w:t xml:space="preserve">as </w:t>
      </w:r>
      <w:r w:rsidR="0027415B" w:rsidRPr="00267433">
        <w:rPr>
          <w:rFonts w:ascii="Times New Roman" w:hAnsi="Times New Roman" w:cs="Times New Roman"/>
          <w:sz w:val="24"/>
        </w:rPr>
        <w:t xml:space="preserve">compared to </w:t>
      </w:r>
      <w:r w:rsidR="007A537E" w:rsidRPr="00267433">
        <w:rPr>
          <w:rFonts w:ascii="Times New Roman" w:hAnsi="Times New Roman" w:cs="Times New Roman"/>
          <w:sz w:val="24"/>
        </w:rPr>
        <w:t xml:space="preserve">the more </w:t>
      </w:r>
      <w:r w:rsidR="0027415B" w:rsidRPr="00267433">
        <w:rPr>
          <w:rFonts w:ascii="Times New Roman" w:hAnsi="Times New Roman" w:cs="Times New Roman"/>
          <w:sz w:val="24"/>
        </w:rPr>
        <w:t xml:space="preserve">mature construction industries of </w:t>
      </w:r>
      <w:r w:rsidR="007A537E" w:rsidRPr="00267433">
        <w:rPr>
          <w:rFonts w:ascii="Times New Roman" w:hAnsi="Times New Roman" w:cs="Times New Roman"/>
          <w:sz w:val="24"/>
        </w:rPr>
        <w:t>developed</w:t>
      </w:r>
      <w:r w:rsidR="00011727" w:rsidRPr="00267433">
        <w:rPr>
          <w:rFonts w:ascii="Times New Roman" w:hAnsi="Times New Roman" w:cs="Times New Roman"/>
          <w:sz w:val="24"/>
        </w:rPr>
        <w:t xml:space="preserve"> countries.</w:t>
      </w:r>
      <w:r w:rsidR="003E0DCC" w:rsidRPr="00267433">
        <w:rPr>
          <w:rFonts w:ascii="Times New Roman" w:hAnsi="Times New Roman" w:cs="Times New Roman"/>
          <w:sz w:val="24"/>
        </w:rPr>
        <w:t xml:space="preserve"> Th</w:t>
      </w:r>
      <w:r w:rsidR="000C5CEF" w:rsidRPr="00267433">
        <w:rPr>
          <w:rFonts w:ascii="Times New Roman" w:hAnsi="Times New Roman" w:cs="Times New Roman"/>
          <w:sz w:val="24"/>
        </w:rPr>
        <w:t>is is an open fact that</w:t>
      </w:r>
      <w:r w:rsidR="003E0DCC" w:rsidRPr="00267433">
        <w:rPr>
          <w:rFonts w:ascii="Times New Roman" w:hAnsi="Times New Roman" w:cs="Times New Roman"/>
          <w:sz w:val="24"/>
        </w:rPr>
        <w:t xml:space="preserve"> </w:t>
      </w:r>
      <w:r w:rsidR="005D4251" w:rsidRPr="00267433">
        <w:rPr>
          <w:rFonts w:ascii="Times New Roman" w:hAnsi="Times New Roman" w:cs="Times New Roman"/>
          <w:sz w:val="24"/>
        </w:rPr>
        <w:t xml:space="preserve">the </w:t>
      </w:r>
      <w:r w:rsidR="003E0DCC" w:rsidRPr="00267433">
        <w:rPr>
          <w:rFonts w:ascii="Times New Roman" w:hAnsi="Times New Roman" w:cs="Times New Roman"/>
          <w:sz w:val="24"/>
        </w:rPr>
        <w:t xml:space="preserve">improvement of occupational health </w:t>
      </w:r>
      <w:r w:rsidR="003F2034" w:rsidRPr="00267433">
        <w:rPr>
          <w:rFonts w:ascii="Times New Roman" w:hAnsi="Times New Roman" w:cs="Times New Roman"/>
          <w:sz w:val="24"/>
        </w:rPr>
        <w:t xml:space="preserve">and safety </w:t>
      </w:r>
      <w:r w:rsidR="003E0DCC" w:rsidRPr="00267433">
        <w:rPr>
          <w:rFonts w:ascii="Times New Roman" w:hAnsi="Times New Roman" w:cs="Times New Roman"/>
          <w:sz w:val="24"/>
        </w:rPr>
        <w:t>conditions</w:t>
      </w:r>
      <w:r w:rsidR="0062182A" w:rsidRPr="00267433">
        <w:rPr>
          <w:rFonts w:ascii="Times New Roman" w:hAnsi="Times New Roman" w:cs="Times New Roman"/>
          <w:sz w:val="24"/>
        </w:rPr>
        <w:t xml:space="preserve"> </w:t>
      </w:r>
      <w:r w:rsidR="003E0DCC" w:rsidRPr="00267433">
        <w:rPr>
          <w:rFonts w:ascii="Times New Roman" w:hAnsi="Times New Roman" w:cs="Times New Roman"/>
          <w:sz w:val="24"/>
        </w:rPr>
        <w:t xml:space="preserve">in all industrial sectors </w:t>
      </w:r>
      <w:r w:rsidR="003F2034" w:rsidRPr="00267433">
        <w:rPr>
          <w:rFonts w:ascii="Times New Roman" w:hAnsi="Times New Roman" w:cs="Times New Roman"/>
          <w:sz w:val="24"/>
        </w:rPr>
        <w:t>is</w:t>
      </w:r>
      <w:r w:rsidR="003E0DCC" w:rsidRPr="00267433">
        <w:rPr>
          <w:rFonts w:ascii="Times New Roman" w:hAnsi="Times New Roman" w:cs="Times New Roman"/>
          <w:sz w:val="24"/>
        </w:rPr>
        <w:t xml:space="preserve"> in the best interest of the individuals, organizations, societies</w:t>
      </w:r>
      <w:r w:rsidR="005D4251" w:rsidRPr="00267433">
        <w:rPr>
          <w:rFonts w:ascii="Times New Roman" w:hAnsi="Times New Roman" w:cs="Times New Roman"/>
          <w:sz w:val="24"/>
        </w:rPr>
        <w:t>,</w:t>
      </w:r>
      <w:r w:rsidR="003E0DCC" w:rsidRPr="00267433">
        <w:rPr>
          <w:rFonts w:ascii="Times New Roman" w:hAnsi="Times New Roman" w:cs="Times New Roman"/>
          <w:sz w:val="24"/>
        </w:rPr>
        <w:t xml:space="preserve"> and countries.</w:t>
      </w:r>
      <w:r w:rsidR="00D34ABD" w:rsidRPr="00267433">
        <w:rPr>
          <w:rFonts w:ascii="Times New Roman" w:hAnsi="Times New Roman" w:cs="Times New Roman"/>
          <w:sz w:val="24"/>
        </w:rPr>
        <w:t xml:space="preserve"> The next section</w:t>
      </w:r>
      <w:r w:rsidR="00D838C4" w:rsidRPr="00267433">
        <w:rPr>
          <w:rFonts w:ascii="Times New Roman" w:hAnsi="Times New Roman" w:cs="Times New Roman"/>
          <w:sz w:val="24"/>
        </w:rPr>
        <w:t>, therefore,</w:t>
      </w:r>
      <w:r w:rsidR="00D34ABD" w:rsidRPr="00267433">
        <w:rPr>
          <w:rFonts w:ascii="Times New Roman" w:hAnsi="Times New Roman" w:cs="Times New Roman"/>
          <w:sz w:val="24"/>
        </w:rPr>
        <w:t xml:space="preserve"> shed</w:t>
      </w:r>
      <w:r w:rsidR="00A2283D" w:rsidRPr="00267433">
        <w:rPr>
          <w:rFonts w:ascii="Times New Roman" w:hAnsi="Times New Roman" w:cs="Times New Roman"/>
          <w:sz w:val="24"/>
        </w:rPr>
        <w:t>s</w:t>
      </w:r>
      <w:r w:rsidR="00D34ABD" w:rsidRPr="00267433">
        <w:rPr>
          <w:rFonts w:ascii="Times New Roman" w:hAnsi="Times New Roman" w:cs="Times New Roman"/>
          <w:sz w:val="24"/>
        </w:rPr>
        <w:t xml:space="preserve"> light on the methods which are useful to improve the safety performance of construction organizations. </w:t>
      </w:r>
    </w:p>
    <w:p w14:paraId="44522223" w14:textId="0D7C23F4" w:rsidR="003E0DCC" w:rsidRPr="00267433" w:rsidRDefault="00C250DD" w:rsidP="00C250DD">
      <w:pPr>
        <w:pStyle w:val="Heading2"/>
      </w:pPr>
      <w:r w:rsidRPr="00267433">
        <w:rPr>
          <w:rStyle w:val="Heading2Char"/>
          <w:b/>
        </w:rPr>
        <w:t>3.4.</w:t>
      </w:r>
      <w:r w:rsidR="00FF4127" w:rsidRPr="00267433">
        <w:t xml:space="preserve"> </w:t>
      </w:r>
      <w:r w:rsidR="00A100D1" w:rsidRPr="00267433">
        <w:t>Improving Safety Performance:</w:t>
      </w:r>
    </w:p>
    <w:p w14:paraId="6E753998" w14:textId="3F9D6B32" w:rsidR="00FF0EA8" w:rsidRPr="00267433" w:rsidRDefault="00556245"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As discussed in </w:t>
      </w:r>
      <w:r w:rsidR="00CC599E" w:rsidRPr="00267433">
        <w:rPr>
          <w:rFonts w:ascii="Times New Roman" w:hAnsi="Times New Roman" w:cs="Times New Roman"/>
          <w:sz w:val="24"/>
        </w:rPr>
        <w:t xml:space="preserve">the </w:t>
      </w:r>
      <w:r w:rsidRPr="00267433">
        <w:rPr>
          <w:rFonts w:ascii="Times New Roman" w:hAnsi="Times New Roman" w:cs="Times New Roman"/>
          <w:sz w:val="24"/>
        </w:rPr>
        <w:t xml:space="preserve">above </w:t>
      </w:r>
      <w:r w:rsidR="005717A5" w:rsidRPr="00267433">
        <w:rPr>
          <w:rFonts w:ascii="Times New Roman" w:hAnsi="Times New Roman" w:cs="Times New Roman"/>
          <w:sz w:val="24"/>
        </w:rPr>
        <w:t>sections</w:t>
      </w:r>
      <w:r w:rsidR="00CC599E" w:rsidRPr="00267433">
        <w:rPr>
          <w:rFonts w:ascii="Times New Roman" w:hAnsi="Times New Roman" w:cs="Times New Roman"/>
          <w:sz w:val="24"/>
        </w:rPr>
        <w:t xml:space="preserve">, </w:t>
      </w:r>
      <w:r w:rsidR="00400371" w:rsidRPr="00267433">
        <w:rPr>
          <w:rFonts w:ascii="Times New Roman" w:hAnsi="Times New Roman" w:cs="Times New Roman"/>
          <w:sz w:val="24"/>
        </w:rPr>
        <w:t>workers</w:t>
      </w:r>
      <w:r w:rsidR="00CC599E" w:rsidRPr="00267433">
        <w:rPr>
          <w:rFonts w:ascii="Times New Roman" w:hAnsi="Times New Roman" w:cs="Times New Roman"/>
          <w:sz w:val="24"/>
        </w:rPr>
        <w:t>’</w:t>
      </w:r>
      <w:r w:rsidR="00400371" w:rsidRPr="00267433">
        <w:rPr>
          <w:rFonts w:ascii="Times New Roman" w:hAnsi="Times New Roman" w:cs="Times New Roman"/>
          <w:sz w:val="24"/>
        </w:rPr>
        <w:t xml:space="preserve"> deaths and injuries </w:t>
      </w:r>
      <w:r w:rsidR="00CC599E" w:rsidRPr="00267433">
        <w:rPr>
          <w:rFonts w:ascii="Times New Roman" w:hAnsi="Times New Roman" w:cs="Times New Roman"/>
          <w:sz w:val="24"/>
        </w:rPr>
        <w:t xml:space="preserve">in construction </w:t>
      </w:r>
      <w:r w:rsidR="00400371" w:rsidRPr="00267433">
        <w:rPr>
          <w:rFonts w:ascii="Times New Roman" w:hAnsi="Times New Roman" w:cs="Times New Roman"/>
          <w:sz w:val="24"/>
        </w:rPr>
        <w:t>are alarming</w:t>
      </w:r>
      <w:r w:rsidR="00CC599E" w:rsidRPr="00267433">
        <w:rPr>
          <w:rFonts w:ascii="Times New Roman" w:hAnsi="Times New Roman" w:cs="Times New Roman"/>
          <w:sz w:val="24"/>
        </w:rPr>
        <w:t>,</w:t>
      </w:r>
      <w:r w:rsidR="00400371" w:rsidRPr="00267433">
        <w:rPr>
          <w:rFonts w:ascii="Times New Roman" w:hAnsi="Times New Roman" w:cs="Times New Roman"/>
          <w:sz w:val="24"/>
        </w:rPr>
        <w:t xml:space="preserve"> not only in the GCC countries</w:t>
      </w:r>
      <w:r w:rsidR="0001721A" w:rsidRPr="00267433">
        <w:rPr>
          <w:rFonts w:ascii="Times New Roman" w:hAnsi="Times New Roman" w:cs="Times New Roman"/>
          <w:sz w:val="24"/>
        </w:rPr>
        <w:t>,</w:t>
      </w:r>
      <w:r w:rsidR="00400371" w:rsidRPr="00267433">
        <w:rPr>
          <w:rFonts w:ascii="Times New Roman" w:hAnsi="Times New Roman" w:cs="Times New Roman"/>
          <w:sz w:val="24"/>
        </w:rPr>
        <w:t xml:space="preserve"> but this is </w:t>
      </w:r>
      <w:r w:rsidR="005717A5" w:rsidRPr="00267433">
        <w:rPr>
          <w:rFonts w:ascii="Times New Roman" w:hAnsi="Times New Roman" w:cs="Times New Roman"/>
          <w:sz w:val="24"/>
        </w:rPr>
        <w:t xml:space="preserve">a global issue in which a number of factors are involved. </w:t>
      </w:r>
      <w:r w:rsidR="00B073A6" w:rsidRPr="00267433">
        <w:rPr>
          <w:rFonts w:ascii="Times New Roman" w:hAnsi="Times New Roman" w:cs="Times New Roman"/>
          <w:sz w:val="24"/>
        </w:rPr>
        <w:t>For instance, what cause</w:t>
      </w:r>
      <w:r w:rsidR="005D4251" w:rsidRPr="00267433">
        <w:rPr>
          <w:rFonts w:ascii="Times New Roman" w:hAnsi="Times New Roman" w:cs="Times New Roman"/>
          <w:sz w:val="24"/>
        </w:rPr>
        <w:t>s</w:t>
      </w:r>
      <w:r w:rsidR="00B073A6" w:rsidRPr="00267433">
        <w:rPr>
          <w:rFonts w:ascii="Times New Roman" w:hAnsi="Times New Roman" w:cs="Times New Roman"/>
          <w:sz w:val="24"/>
        </w:rPr>
        <w:t xml:space="preserve"> an accident or an injury in construction? If the top management of the construction organizations knows this, they will be able to develop </w:t>
      </w:r>
      <w:r w:rsidR="003D341D" w:rsidRPr="00267433">
        <w:rPr>
          <w:rFonts w:ascii="Times New Roman" w:hAnsi="Times New Roman" w:cs="Times New Roman"/>
          <w:sz w:val="24"/>
        </w:rPr>
        <w:t xml:space="preserve">preventive </w:t>
      </w:r>
      <w:r w:rsidR="00B073A6" w:rsidRPr="00267433">
        <w:rPr>
          <w:rFonts w:ascii="Times New Roman" w:hAnsi="Times New Roman" w:cs="Times New Roman"/>
          <w:sz w:val="24"/>
        </w:rPr>
        <w:t>strategies to avoid such causes or factors in their future projects.</w:t>
      </w:r>
      <w:r w:rsidR="006722CC" w:rsidRPr="00267433">
        <w:rPr>
          <w:rFonts w:ascii="Times New Roman" w:hAnsi="Times New Roman" w:cs="Times New Roman"/>
          <w:sz w:val="24"/>
        </w:rPr>
        <w:t xml:space="preserve"> </w:t>
      </w:r>
      <w:r w:rsidR="009F1544" w:rsidRPr="00267433">
        <w:rPr>
          <w:rFonts w:ascii="Times New Roman" w:hAnsi="Times New Roman" w:cs="Times New Roman"/>
          <w:sz w:val="24"/>
        </w:rPr>
        <w:t>It is</w:t>
      </w:r>
      <w:r w:rsidR="005D4251" w:rsidRPr="00267433">
        <w:rPr>
          <w:rFonts w:ascii="Times New Roman" w:hAnsi="Times New Roman" w:cs="Times New Roman"/>
          <w:sz w:val="24"/>
        </w:rPr>
        <w:t>, therefore,</w:t>
      </w:r>
      <w:r w:rsidR="009F1544" w:rsidRPr="00267433">
        <w:rPr>
          <w:rFonts w:ascii="Times New Roman" w:hAnsi="Times New Roman" w:cs="Times New Roman"/>
          <w:sz w:val="24"/>
        </w:rPr>
        <w:t xml:space="preserve"> necessary that top management of construction organizations know what exactly cause</w:t>
      </w:r>
      <w:r w:rsidR="00A0026A" w:rsidRPr="00267433">
        <w:rPr>
          <w:rFonts w:ascii="Times New Roman" w:hAnsi="Times New Roman" w:cs="Times New Roman"/>
          <w:sz w:val="24"/>
        </w:rPr>
        <w:t>s</w:t>
      </w:r>
      <w:r w:rsidR="009F1544" w:rsidRPr="00267433">
        <w:rPr>
          <w:rFonts w:ascii="Times New Roman" w:hAnsi="Times New Roman" w:cs="Times New Roman"/>
          <w:sz w:val="24"/>
        </w:rPr>
        <w:t xml:space="preserve"> the accidents in construction. </w:t>
      </w:r>
      <w:r w:rsidR="00AC2659" w:rsidRPr="00267433">
        <w:rPr>
          <w:rFonts w:ascii="Times New Roman" w:hAnsi="Times New Roman" w:cs="Times New Roman"/>
          <w:sz w:val="24"/>
        </w:rPr>
        <w:t>There are potential risks of accidents with the new materials being used in the construction sector and thus such materials in most cases are the cause of accidents in construction (</w:t>
      </w:r>
      <w:proofErr w:type="spellStart"/>
      <w:r w:rsidR="00AC2659" w:rsidRPr="00267433">
        <w:rPr>
          <w:rFonts w:ascii="Times New Roman" w:hAnsi="Times New Roman" w:cs="Times New Roman"/>
          <w:sz w:val="24"/>
        </w:rPr>
        <w:t>Díaz-Soler</w:t>
      </w:r>
      <w:proofErr w:type="spellEnd"/>
      <w:r w:rsidR="00AC2659" w:rsidRPr="00267433">
        <w:rPr>
          <w:rFonts w:ascii="Times New Roman" w:hAnsi="Times New Roman" w:cs="Times New Roman"/>
          <w:sz w:val="24"/>
        </w:rPr>
        <w:t xml:space="preserve"> et al., 2019). </w:t>
      </w:r>
      <w:r w:rsidR="006722CC" w:rsidRPr="00267433">
        <w:rPr>
          <w:rFonts w:ascii="Times New Roman" w:hAnsi="Times New Roman" w:cs="Times New Roman"/>
          <w:sz w:val="24"/>
        </w:rPr>
        <w:t xml:space="preserve">Accidents in a construction project may not happen on </w:t>
      </w:r>
      <w:r w:rsidR="0024445D" w:rsidRPr="00267433">
        <w:rPr>
          <w:rFonts w:ascii="Times New Roman" w:hAnsi="Times New Roman" w:cs="Times New Roman"/>
          <w:sz w:val="24"/>
        </w:rPr>
        <w:t xml:space="preserve">a </w:t>
      </w:r>
      <w:r w:rsidR="006722CC" w:rsidRPr="00267433">
        <w:rPr>
          <w:rFonts w:ascii="Times New Roman" w:hAnsi="Times New Roman" w:cs="Times New Roman"/>
          <w:sz w:val="24"/>
        </w:rPr>
        <w:t xml:space="preserve">daily basis, and apparently, management </w:t>
      </w:r>
      <w:r w:rsidR="009A474F" w:rsidRPr="00267433">
        <w:rPr>
          <w:rFonts w:ascii="Times New Roman" w:hAnsi="Times New Roman" w:cs="Times New Roman"/>
          <w:sz w:val="24"/>
        </w:rPr>
        <w:t xml:space="preserve">remains </w:t>
      </w:r>
      <w:r w:rsidR="006722CC" w:rsidRPr="00267433">
        <w:rPr>
          <w:rFonts w:ascii="Times New Roman" w:hAnsi="Times New Roman" w:cs="Times New Roman"/>
          <w:sz w:val="24"/>
        </w:rPr>
        <w:t xml:space="preserve">reluctant to spend on </w:t>
      </w:r>
      <w:r w:rsidR="007B200A" w:rsidRPr="00267433">
        <w:rPr>
          <w:rFonts w:ascii="Times New Roman" w:hAnsi="Times New Roman" w:cs="Times New Roman"/>
          <w:sz w:val="24"/>
        </w:rPr>
        <w:t>such</w:t>
      </w:r>
      <w:r w:rsidR="006722CC" w:rsidRPr="00267433">
        <w:rPr>
          <w:rFonts w:ascii="Times New Roman" w:hAnsi="Times New Roman" w:cs="Times New Roman"/>
          <w:sz w:val="24"/>
        </w:rPr>
        <w:t xml:space="preserve"> </w:t>
      </w:r>
      <w:r w:rsidR="007B200A" w:rsidRPr="00267433">
        <w:rPr>
          <w:rFonts w:ascii="Times New Roman" w:hAnsi="Times New Roman" w:cs="Times New Roman"/>
          <w:sz w:val="24"/>
        </w:rPr>
        <w:t>issues</w:t>
      </w:r>
      <w:r w:rsidR="00E7558F" w:rsidRPr="00267433">
        <w:rPr>
          <w:rFonts w:ascii="Times New Roman" w:hAnsi="Times New Roman" w:cs="Times New Roman"/>
          <w:sz w:val="24"/>
        </w:rPr>
        <w:t xml:space="preserve"> that</w:t>
      </w:r>
      <w:r w:rsidR="007B200A" w:rsidRPr="00267433">
        <w:rPr>
          <w:rFonts w:ascii="Times New Roman" w:hAnsi="Times New Roman" w:cs="Times New Roman"/>
          <w:sz w:val="24"/>
        </w:rPr>
        <w:t xml:space="preserve"> d</w:t>
      </w:r>
      <w:r w:rsidR="00E7558F" w:rsidRPr="00267433">
        <w:rPr>
          <w:rFonts w:ascii="Times New Roman" w:hAnsi="Times New Roman" w:cs="Times New Roman"/>
          <w:sz w:val="24"/>
        </w:rPr>
        <w:t>o not</w:t>
      </w:r>
      <w:r w:rsidR="006722CC" w:rsidRPr="00267433">
        <w:rPr>
          <w:rFonts w:ascii="Times New Roman" w:hAnsi="Times New Roman" w:cs="Times New Roman"/>
          <w:sz w:val="24"/>
        </w:rPr>
        <w:t xml:space="preserve"> appear </w:t>
      </w:r>
      <w:r w:rsidR="00E7558F" w:rsidRPr="00267433">
        <w:rPr>
          <w:rFonts w:ascii="Times New Roman" w:hAnsi="Times New Roman" w:cs="Times New Roman"/>
          <w:sz w:val="24"/>
        </w:rPr>
        <w:t xml:space="preserve">that </w:t>
      </w:r>
      <w:r w:rsidR="006722CC" w:rsidRPr="00267433">
        <w:rPr>
          <w:rFonts w:ascii="Times New Roman" w:hAnsi="Times New Roman" w:cs="Times New Roman"/>
          <w:sz w:val="24"/>
        </w:rPr>
        <w:t>frequently.</w:t>
      </w:r>
      <w:r w:rsidR="004F60E1" w:rsidRPr="00267433">
        <w:rPr>
          <w:rFonts w:ascii="Times New Roman" w:hAnsi="Times New Roman" w:cs="Times New Roman"/>
          <w:sz w:val="24"/>
        </w:rPr>
        <w:t xml:space="preserve"> The main component which management may be ignoring is that although the accidents may not be occurring </w:t>
      </w:r>
      <w:r w:rsidR="009F1544" w:rsidRPr="00267433">
        <w:rPr>
          <w:rFonts w:ascii="Times New Roman" w:hAnsi="Times New Roman" w:cs="Times New Roman"/>
          <w:sz w:val="24"/>
        </w:rPr>
        <w:t>on regular basis in their projects, however when</w:t>
      </w:r>
      <w:r w:rsidR="009A474F" w:rsidRPr="00267433">
        <w:rPr>
          <w:rFonts w:ascii="Times New Roman" w:hAnsi="Times New Roman" w:cs="Times New Roman"/>
          <w:sz w:val="24"/>
        </w:rPr>
        <w:t>ever an</w:t>
      </w:r>
      <w:r w:rsidR="009F1544" w:rsidRPr="00267433">
        <w:rPr>
          <w:rFonts w:ascii="Times New Roman" w:hAnsi="Times New Roman" w:cs="Times New Roman"/>
          <w:sz w:val="24"/>
        </w:rPr>
        <w:t xml:space="preserve"> accident </w:t>
      </w:r>
      <w:proofErr w:type="gramStart"/>
      <w:r w:rsidR="009F1544" w:rsidRPr="00267433">
        <w:rPr>
          <w:rFonts w:ascii="Times New Roman" w:hAnsi="Times New Roman" w:cs="Times New Roman"/>
          <w:sz w:val="24"/>
        </w:rPr>
        <w:t>happen</w:t>
      </w:r>
      <w:r w:rsidR="005D4251" w:rsidRPr="00267433">
        <w:rPr>
          <w:rFonts w:ascii="Times New Roman" w:hAnsi="Times New Roman" w:cs="Times New Roman"/>
          <w:sz w:val="24"/>
        </w:rPr>
        <w:t>s</w:t>
      </w:r>
      <w:proofErr w:type="gramEnd"/>
      <w:r w:rsidR="009F1544" w:rsidRPr="00267433">
        <w:rPr>
          <w:rFonts w:ascii="Times New Roman" w:hAnsi="Times New Roman" w:cs="Times New Roman"/>
          <w:sz w:val="24"/>
        </w:rPr>
        <w:t xml:space="preserve"> the </w:t>
      </w:r>
      <w:r w:rsidR="004F60E1" w:rsidRPr="00267433">
        <w:rPr>
          <w:rFonts w:ascii="Times New Roman" w:hAnsi="Times New Roman" w:cs="Times New Roman"/>
          <w:sz w:val="24"/>
        </w:rPr>
        <w:t xml:space="preserve">cost of </w:t>
      </w:r>
      <w:r w:rsidR="00E64C47" w:rsidRPr="00267433">
        <w:rPr>
          <w:rFonts w:ascii="Times New Roman" w:hAnsi="Times New Roman" w:cs="Times New Roman"/>
          <w:sz w:val="24"/>
        </w:rPr>
        <w:t xml:space="preserve">the </w:t>
      </w:r>
      <w:r w:rsidR="004F60E1" w:rsidRPr="00267433">
        <w:rPr>
          <w:rFonts w:ascii="Times New Roman" w:hAnsi="Times New Roman" w:cs="Times New Roman"/>
          <w:sz w:val="24"/>
        </w:rPr>
        <w:t>accident</w:t>
      </w:r>
      <w:r w:rsidR="009F1544" w:rsidRPr="00267433">
        <w:rPr>
          <w:rFonts w:ascii="Times New Roman" w:hAnsi="Times New Roman" w:cs="Times New Roman"/>
          <w:sz w:val="24"/>
        </w:rPr>
        <w:t xml:space="preserve"> may be overwhelming</w:t>
      </w:r>
      <w:r w:rsidR="00E64C47" w:rsidRPr="00267433">
        <w:rPr>
          <w:rFonts w:ascii="Times New Roman" w:hAnsi="Times New Roman" w:cs="Times New Roman"/>
          <w:sz w:val="24"/>
        </w:rPr>
        <w:t xml:space="preserve"> and</w:t>
      </w:r>
      <w:r w:rsidR="009F1544" w:rsidRPr="00267433">
        <w:rPr>
          <w:rFonts w:ascii="Times New Roman" w:hAnsi="Times New Roman" w:cs="Times New Roman"/>
          <w:sz w:val="24"/>
        </w:rPr>
        <w:t xml:space="preserve"> greater than the cost of prevention of accident</w:t>
      </w:r>
      <w:r w:rsidR="00E64C47" w:rsidRPr="00267433">
        <w:rPr>
          <w:rFonts w:ascii="Times New Roman" w:hAnsi="Times New Roman" w:cs="Times New Roman"/>
          <w:sz w:val="24"/>
        </w:rPr>
        <w:t xml:space="preserve"> in the first place</w:t>
      </w:r>
      <w:r w:rsidR="009F1544" w:rsidRPr="00267433">
        <w:rPr>
          <w:rFonts w:ascii="Times New Roman" w:hAnsi="Times New Roman" w:cs="Times New Roman"/>
          <w:sz w:val="24"/>
        </w:rPr>
        <w:t>. Thus</w:t>
      </w:r>
      <w:r w:rsidR="00E64C47" w:rsidRPr="00267433">
        <w:rPr>
          <w:rFonts w:ascii="Times New Roman" w:hAnsi="Times New Roman" w:cs="Times New Roman"/>
          <w:sz w:val="24"/>
        </w:rPr>
        <w:t>, it</w:t>
      </w:r>
      <w:r w:rsidR="009F1544" w:rsidRPr="00267433">
        <w:rPr>
          <w:rFonts w:ascii="Times New Roman" w:hAnsi="Times New Roman" w:cs="Times New Roman"/>
          <w:sz w:val="24"/>
        </w:rPr>
        <w:t xml:space="preserve"> is</w:t>
      </w:r>
      <w:r w:rsidR="00E64C47" w:rsidRPr="00267433">
        <w:rPr>
          <w:rFonts w:ascii="Times New Roman" w:hAnsi="Times New Roman" w:cs="Times New Roman"/>
          <w:sz w:val="24"/>
        </w:rPr>
        <w:t xml:space="preserve"> </w:t>
      </w:r>
      <w:r w:rsidR="009F1544" w:rsidRPr="00267433">
        <w:rPr>
          <w:rFonts w:ascii="Times New Roman" w:hAnsi="Times New Roman" w:cs="Times New Roman"/>
          <w:sz w:val="24"/>
        </w:rPr>
        <w:t xml:space="preserve">important to know what </w:t>
      </w:r>
      <w:r w:rsidR="0039453D" w:rsidRPr="00267433">
        <w:rPr>
          <w:rFonts w:ascii="Times New Roman" w:hAnsi="Times New Roman" w:cs="Times New Roman"/>
          <w:sz w:val="24"/>
        </w:rPr>
        <w:t>the cost</w:t>
      </w:r>
      <w:r w:rsidR="00A0026A" w:rsidRPr="00267433">
        <w:rPr>
          <w:rFonts w:ascii="Times New Roman" w:hAnsi="Times New Roman" w:cs="Times New Roman"/>
          <w:sz w:val="24"/>
        </w:rPr>
        <w:t>s of accidents in construction are</w:t>
      </w:r>
      <w:r w:rsidR="0039453D" w:rsidRPr="00267433">
        <w:rPr>
          <w:rFonts w:ascii="Times New Roman" w:hAnsi="Times New Roman" w:cs="Times New Roman"/>
          <w:sz w:val="24"/>
        </w:rPr>
        <w:t>.</w:t>
      </w:r>
      <w:r w:rsidR="009E0DE2" w:rsidRPr="00267433">
        <w:rPr>
          <w:rFonts w:ascii="Times New Roman" w:hAnsi="Times New Roman" w:cs="Times New Roman"/>
          <w:sz w:val="24"/>
        </w:rPr>
        <w:t xml:space="preserve"> </w:t>
      </w:r>
      <w:r w:rsidR="0084212A" w:rsidRPr="00267433">
        <w:rPr>
          <w:rFonts w:ascii="Times New Roman" w:hAnsi="Times New Roman" w:cs="Times New Roman"/>
          <w:sz w:val="24"/>
        </w:rPr>
        <w:t>Similarly, the existence of occupational health</w:t>
      </w:r>
      <w:r w:rsidR="00C12129" w:rsidRPr="00267433">
        <w:rPr>
          <w:rFonts w:ascii="Times New Roman" w:hAnsi="Times New Roman" w:cs="Times New Roman"/>
          <w:sz w:val="24"/>
        </w:rPr>
        <w:t xml:space="preserve"> and safety</w:t>
      </w:r>
      <w:r w:rsidR="0084212A" w:rsidRPr="00267433">
        <w:rPr>
          <w:rFonts w:ascii="Times New Roman" w:hAnsi="Times New Roman" w:cs="Times New Roman"/>
          <w:sz w:val="24"/>
        </w:rPr>
        <w:t xml:space="preserve"> regulations and its implementation in a country play a signification role in the reduction of occupational accidents. For instance, in the United States, worker</w:t>
      </w:r>
      <w:r w:rsidR="00A0026A" w:rsidRPr="00267433">
        <w:rPr>
          <w:rFonts w:ascii="Times New Roman" w:hAnsi="Times New Roman" w:cs="Times New Roman"/>
          <w:sz w:val="24"/>
        </w:rPr>
        <w:t>’s</w:t>
      </w:r>
      <w:r w:rsidR="0084212A" w:rsidRPr="00267433">
        <w:rPr>
          <w:rFonts w:ascii="Times New Roman" w:hAnsi="Times New Roman" w:cs="Times New Roman"/>
          <w:sz w:val="24"/>
        </w:rPr>
        <w:t xml:space="preserve"> deaths</w:t>
      </w:r>
      <w:r w:rsidR="00317613" w:rsidRPr="00267433">
        <w:rPr>
          <w:rFonts w:ascii="Times New Roman" w:hAnsi="Times New Roman" w:cs="Times New Roman"/>
          <w:sz w:val="24"/>
        </w:rPr>
        <w:t xml:space="preserve"> </w:t>
      </w:r>
      <w:r w:rsidR="00A0026A" w:rsidRPr="00267433">
        <w:rPr>
          <w:rFonts w:ascii="Times New Roman" w:hAnsi="Times New Roman" w:cs="Times New Roman"/>
          <w:sz w:val="24"/>
        </w:rPr>
        <w:t xml:space="preserve">rate </w:t>
      </w:r>
      <w:r w:rsidR="0084212A" w:rsidRPr="00267433">
        <w:rPr>
          <w:rFonts w:ascii="Times New Roman" w:hAnsi="Times New Roman" w:cs="Times New Roman"/>
          <w:sz w:val="24"/>
        </w:rPr>
        <w:t xml:space="preserve">before the establishment of the Occupational Safety and </w:t>
      </w:r>
      <w:r w:rsidR="00A0026A" w:rsidRPr="00267433">
        <w:rPr>
          <w:rFonts w:ascii="Times New Roman" w:hAnsi="Times New Roman" w:cs="Times New Roman"/>
          <w:sz w:val="24"/>
        </w:rPr>
        <w:t>H</w:t>
      </w:r>
      <w:r w:rsidR="0084212A" w:rsidRPr="00267433">
        <w:rPr>
          <w:rFonts w:ascii="Times New Roman" w:hAnsi="Times New Roman" w:cs="Times New Roman"/>
          <w:sz w:val="24"/>
        </w:rPr>
        <w:t xml:space="preserve">ealth Administration </w:t>
      </w:r>
      <w:r w:rsidR="00A0026A" w:rsidRPr="00267433">
        <w:rPr>
          <w:rFonts w:ascii="Times New Roman" w:hAnsi="Times New Roman" w:cs="Times New Roman"/>
          <w:sz w:val="24"/>
        </w:rPr>
        <w:t>A</w:t>
      </w:r>
      <w:r w:rsidR="0084212A" w:rsidRPr="00267433">
        <w:rPr>
          <w:rFonts w:ascii="Times New Roman" w:hAnsi="Times New Roman" w:cs="Times New Roman"/>
          <w:sz w:val="24"/>
        </w:rPr>
        <w:t>uthority in 1970</w:t>
      </w:r>
      <w:r w:rsidR="00A0026A" w:rsidRPr="00267433">
        <w:rPr>
          <w:rFonts w:ascii="Times New Roman" w:hAnsi="Times New Roman" w:cs="Times New Roman"/>
          <w:sz w:val="24"/>
        </w:rPr>
        <w:t>,</w:t>
      </w:r>
      <w:r w:rsidR="0084212A" w:rsidRPr="00267433">
        <w:rPr>
          <w:rFonts w:ascii="Times New Roman" w:hAnsi="Times New Roman" w:cs="Times New Roman"/>
          <w:sz w:val="24"/>
        </w:rPr>
        <w:t xml:space="preserve"> were 38 per day</w:t>
      </w:r>
      <w:r w:rsidR="00317613" w:rsidRPr="00267433">
        <w:rPr>
          <w:rFonts w:ascii="Times New Roman" w:hAnsi="Times New Roman" w:cs="Times New Roman"/>
          <w:sz w:val="24"/>
        </w:rPr>
        <w:t>,</w:t>
      </w:r>
      <w:r w:rsidR="0084212A" w:rsidRPr="00267433">
        <w:rPr>
          <w:rFonts w:ascii="Times New Roman" w:hAnsi="Times New Roman" w:cs="Times New Roman"/>
          <w:sz w:val="24"/>
        </w:rPr>
        <w:t xml:space="preserve"> which </w:t>
      </w:r>
      <w:r w:rsidR="00317613" w:rsidRPr="00267433">
        <w:rPr>
          <w:rFonts w:ascii="Times New Roman" w:hAnsi="Times New Roman" w:cs="Times New Roman"/>
          <w:sz w:val="24"/>
        </w:rPr>
        <w:t xml:space="preserve">then </w:t>
      </w:r>
      <w:r w:rsidR="0084212A" w:rsidRPr="00267433">
        <w:rPr>
          <w:rFonts w:ascii="Times New Roman" w:hAnsi="Times New Roman" w:cs="Times New Roman"/>
          <w:sz w:val="24"/>
        </w:rPr>
        <w:t>f</w:t>
      </w:r>
      <w:r w:rsidR="00317613" w:rsidRPr="00267433">
        <w:rPr>
          <w:rFonts w:ascii="Times New Roman" w:hAnsi="Times New Roman" w:cs="Times New Roman"/>
          <w:sz w:val="24"/>
        </w:rPr>
        <w:t>e</w:t>
      </w:r>
      <w:r w:rsidR="0084212A" w:rsidRPr="00267433">
        <w:rPr>
          <w:rFonts w:ascii="Times New Roman" w:hAnsi="Times New Roman" w:cs="Times New Roman"/>
          <w:sz w:val="24"/>
        </w:rPr>
        <w:t xml:space="preserve">ll to 14 per day in 2016 </w:t>
      </w:r>
      <w:r w:rsidR="0084212A" w:rsidRPr="00267433">
        <w:rPr>
          <w:rFonts w:ascii="Times New Roman" w:hAnsi="Times New Roman" w:cs="Times New Roman"/>
          <w:sz w:val="24"/>
        </w:rPr>
        <w:lastRenderedPageBreak/>
        <w:t>(OSHA, 2018).</w:t>
      </w:r>
      <w:r w:rsidR="00736387" w:rsidRPr="00267433">
        <w:rPr>
          <w:rFonts w:ascii="Times New Roman" w:hAnsi="Times New Roman" w:cs="Times New Roman"/>
          <w:sz w:val="24"/>
        </w:rPr>
        <w:t xml:space="preserve"> </w:t>
      </w:r>
      <w:r w:rsidR="00AA3E02" w:rsidRPr="00267433">
        <w:rPr>
          <w:rFonts w:ascii="Times New Roman" w:hAnsi="Times New Roman" w:cs="Times New Roman"/>
          <w:sz w:val="24"/>
        </w:rPr>
        <w:t xml:space="preserve">This reflects that the presence of the occupational health </w:t>
      </w:r>
      <w:r w:rsidR="003D0EC9" w:rsidRPr="00267433">
        <w:rPr>
          <w:rFonts w:ascii="Times New Roman" w:hAnsi="Times New Roman" w:cs="Times New Roman"/>
          <w:sz w:val="24"/>
        </w:rPr>
        <w:t xml:space="preserve">and safety </w:t>
      </w:r>
      <w:r w:rsidR="00AA3E02" w:rsidRPr="00267433">
        <w:rPr>
          <w:rFonts w:ascii="Times New Roman" w:hAnsi="Times New Roman" w:cs="Times New Roman"/>
          <w:sz w:val="24"/>
        </w:rPr>
        <w:t>regulations</w:t>
      </w:r>
      <w:r w:rsidR="00A0026A" w:rsidRPr="00267433">
        <w:rPr>
          <w:rFonts w:ascii="Times New Roman" w:hAnsi="Times New Roman" w:cs="Times New Roman"/>
          <w:sz w:val="24"/>
        </w:rPr>
        <w:t xml:space="preserve"> and its implementation</w:t>
      </w:r>
      <w:r w:rsidR="00AA3E02" w:rsidRPr="00267433">
        <w:rPr>
          <w:rFonts w:ascii="Times New Roman" w:hAnsi="Times New Roman" w:cs="Times New Roman"/>
          <w:sz w:val="24"/>
        </w:rPr>
        <w:t xml:space="preserve"> bring a significant improvement in the safety performance at </w:t>
      </w:r>
      <w:r w:rsidR="00A2283D" w:rsidRPr="00267433">
        <w:rPr>
          <w:rFonts w:ascii="Times New Roman" w:hAnsi="Times New Roman" w:cs="Times New Roman"/>
          <w:sz w:val="24"/>
        </w:rPr>
        <w:t xml:space="preserve">the </w:t>
      </w:r>
      <w:r w:rsidR="00AA3E02" w:rsidRPr="00267433">
        <w:rPr>
          <w:rFonts w:ascii="Times New Roman" w:hAnsi="Times New Roman" w:cs="Times New Roman"/>
          <w:sz w:val="24"/>
        </w:rPr>
        <w:t>country level.</w:t>
      </w:r>
      <w:r w:rsidR="009A474F" w:rsidRPr="00267433">
        <w:rPr>
          <w:rFonts w:ascii="Times New Roman" w:hAnsi="Times New Roman" w:cs="Times New Roman"/>
          <w:sz w:val="24"/>
        </w:rPr>
        <w:t xml:space="preserve"> The </w:t>
      </w:r>
      <w:r w:rsidR="003D0EC9" w:rsidRPr="00267433">
        <w:rPr>
          <w:rFonts w:ascii="Times New Roman" w:hAnsi="Times New Roman" w:cs="Times New Roman"/>
          <w:sz w:val="24"/>
        </w:rPr>
        <w:t>C</w:t>
      </w:r>
      <w:r w:rsidR="009A474F" w:rsidRPr="00267433">
        <w:rPr>
          <w:rFonts w:ascii="Times New Roman" w:hAnsi="Times New Roman" w:cs="Times New Roman"/>
          <w:sz w:val="24"/>
        </w:rPr>
        <w:t>onstruction, Design</w:t>
      </w:r>
      <w:r w:rsidR="005D4251" w:rsidRPr="00267433">
        <w:rPr>
          <w:rFonts w:ascii="Times New Roman" w:hAnsi="Times New Roman" w:cs="Times New Roman"/>
          <w:sz w:val="24"/>
        </w:rPr>
        <w:t>,</w:t>
      </w:r>
      <w:r w:rsidR="009A474F" w:rsidRPr="00267433">
        <w:rPr>
          <w:rFonts w:ascii="Times New Roman" w:hAnsi="Times New Roman" w:cs="Times New Roman"/>
          <w:sz w:val="24"/>
        </w:rPr>
        <w:t xml:space="preserve"> and Management (CDM) regulations which w</w:t>
      </w:r>
      <w:r w:rsidR="003D0EC9" w:rsidRPr="00267433">
        <w:rPr>
          <w:rFonts w:ascii="Times New Roman" w:hAnsi="Times New Roman" w:cs="Times New Roman"/>
          <w:sz w:val="24"/>
        </w:rPr>
        <w:t>ere first</w:t>
      </w:r>
      <w:r w:rsidR="009A474F" w:rsidRPr="00267433">
        <w:rPr>
          <w:rFonts w:ascii="Times New Roman" w:hAnsi="Times New Roman" w:cs="Times New Roman"/>
          <w:sz w:val="24"/>
        </w:rPr>
        <w:t xml:space="preserve"> enforced in </w:t>
      </w:r>
      <w:r w:rsidR="00061022" w:rsidRPr="00267433">
        <w:rPr>
          <w:rFonts w:ascii="Times New Roman" w:hAnsi="Times New Roman" w:cs="Times New Roman"/>
          <w:sz w:val="24"/>
        </w:rPr>
        <w:t xml:space="preserve">the United Kingdom in </w:t>
      </w:r>
      <w:r w:rsidR="009A474F" w:rsidRPr="00267433">
        <w:rPr>
          <w:rFonts w:ascii="Times New Roman" w:hAnsi="Times New Roman" w:cs="Times New Roman"/>
          <w:sz w:val="24"/>
        </w:rPr>
        <w:t>1995 were review and amended periodically</w:t>
      </w:r>
      <w:r w:rsidR="00061022" w:rsidRPr="00267433">
        <w:rPr>
          <w:rFonts w:ascii="Times New Roman" w:hAnsi="Times New Roman" w:cs="Times New Roman"/>
          <w:sz w:val="24"/>
        </w:rPr>
        <w:t>,</w:t>
      </w:r>
      <w:r w:rsidR="009A474F" w:rsidRPr="00267433">
        <w:rPr>
          <w:rFonts w:ascii="Times New Roman" w:hAnsi="Times New Roman" w:cs="Times New Roman"/>
          <w:sz w:val="24"/>
        </w:rPr>
        <w:t xml:space="preserve"> and the current CDM regulations </w:t>
      </w:r>
      <w:r w:rsidR="005D4251" w:rsidRPr="00267433">
        <w:rPr>
          <w:rFonts w:ascii="Times New Roman" w:hAnsi="Times New Roman" w:cs="Times New Roman"/>
          <w:sz w:val="24"/>
        </w:rPr>
        <w:t>are</w:t>
      </w:r>
      <w:r w:rsidR="009A474F" w:rsidRPr="00267433">
        <w:rPr>
          <w:rFonts w:ascii="Times New Roman" w:hAnsi="Times New Roman" w:cs="Times New Roman"/>
          <w:sz w:val="24"/>
        </w:rPr>
        <w:t xml:space="preserve"> the third version of the actual regulations bec</w:t>
      </w:r>
      <w:r w:rsidR="00A0026A" w:rsidRPr="00267433">
        <w:rPr>
          <w:rFonts w:ascii="Times New Roman" w:hAnsi="Times New Roman" w:cs="Times New Roman"/>
          <w:sz w:val="24"/>
        </w:rPr>
        <w:t>a</w:t>
      </w:r>
      <w:r w:rsidR="009A474F" w:rsidRPr="00267433">
        <w:rPr>
          <w:rFonts w:ascii="Times New Roman" w:hAnsi="Times New Roman" w:cs="Times New Roman"/>
          <w:sz w:val="24"/>
        </w:rPr>
        <w:t xml:space="preserve">me effective in 2015 (CDM, 2015). It is clear that the </w:t>
      </w:r>
      <w:r w:rsidR="00736387" w:rsidRPr="00267433">
        <w:rPr>
          <w:rFonts w:ascii="Times New Roman" w:hAnsi="Times New Roman" w:cs="Times New Roman"/>
          <w:sz w:val="24"/>
        </w:rPr>
        <w:t xml:space="preserve">review of the </w:t>
      </w:r>
      <w:r w:rsidR="00A0026A" w:rsidRPr="00267433">
        <w:rPr>
          <w:rFonts w:ascii="Times New Roman" w:hAnsi="Times New Roman" w:cs="Times New Roman"/>
          <w:sz w:val="24"/>
        </w:rPr>
        <w:t>existing</w:t>
      </w:r>
      <w:r w:rsidR="00736387" w:rsidRPr="00267433">
        <w:rPr>
          <w:rFonts w:ascii="Times New Roman" w:hAnsi="Times New Roman" w:cs="Times New Roman"/>
          <w:sz w:val="24"/>
        </w:rPr>
        <w:t xml:space="preserve"> occupational health </w:t>
      </w:r>
      <w:r w:rsidR="00235A7B" w:rsidRPr="00267433">
        <w:rPr>
          <w:rFonts w:ascii="Times New Roman" w:hAnsi="Times New Roman" w:cs="Times New Roman"/>
          <w:sz w:val="24"/>
        </w:rPr>
        <w:t xml:space="preserve">and safety </w:t>
      </w:r>
      <w:r w:rsidR="00736387" w:rsidRPr="00267433">
        <w:rPr>
          <w:rFonts w:ascii="Times New Roman" w:hAnsi="Times New Roman" w:cs="Times New Roman"/>
          <w:sz w:val="24"/>
        </w:rPr>
        <w:t>regulation</w:t>
      </w:r>
      <w:r w:rsidR="00A0026A" w:rsidRPr="00267433">
        <w:rPr>
          <w:rFonts w:ascii="Times New Roman" w:hAnsi="Times New Roman" w:cs="Times New Roman"/>
          <w:sz w:val="24"/>
        </w:rPr>
        <w:t>s</w:t>
      </w:r>
      <w:r w:rsidR="00736387" w:rsidRPr="00267433">
        <w:rPr>
          <w:rFonts w:ascii="Times New Roman" w:hAnsi="Times New Roman" w:cs="Times New Roman"/>
          <w:sz w:val="24"/>
        </w:rPr>
        <w:t xml:space="preserve"> on a periodic </w:t>
      </w:r>
      <w:r w:rsidR="0039453D" w:rsidRPr="00267433">
        <w:rPr>
          <w:rFonts w:ascii="Times New Roman" w:hAnsi="Times New Roman" w:cs="Times New Roman"/>
          <w:sz w:val="24"/>
        </w:rPr>
        <w:t>basis</w:t>
      </w:r>
      <w:r w:rsidR="00736387" w:rsidRPr="00267433">
        <w:rPr>
          <w:rFonts w:ascii="Times New Roman" w:hAnsi="Times New Roman" w:cs="Times New Roman"/>
          <w:sz w:val="24"/>
        </w:rPr>
        <w:t xml:space="preserve"> help</w:t>
      </w:r>
      <w:r w:rsidR="005D4251" w:rsidRPr="00267433">
        <w:rPr>
          <w:rFonts w:ascii="Times New Roman" w:hAnsi="Times New Roman" w:cs="Times New Roman"/>
          <w:sz w:val="24"/>
        </w:rPr>
        <w:t>s</w:t>
      </w:r>
      <w:r w:rsidR="00736387" w:rsidRPr="00267433">
        <w:rPr>
          <w:rFonts w:ascii="Times New Roman" w:hAnsi="Times New Roman" w:cs="Times New Roman"/>
          <w:sz w:val="24"/>
        </w:rPr>
        <w:t xml:space="preserve"> </w:t>
      </w:r>
      <w:r w:rsidR="00AA3E02" w:rsidRPr="00267433">
        <w:rPr>
          <w:rFonts w:ascii="Times New Roman" w:hAnsi="Times New Roman" w:cs="Times New Roman"/>
          <w:sz w:val="24"/>
        </w:rPr>
        <w:t xml:space="preserve">organizations to monitor the </w:t>
      </w:r>
      <w:r w:rsidR="005D0CC1" w:rsidRPr="00267433">
        <w:rPr>
          <w:rFonts w:ascii="Times New Roman" w:hAnsi="Times New Roman" w:cs="Times New Roman"/>
          <w:sz w:val="24"/>
        </w:rPr>
        <w:t xml:space="preserve">effectiveness and make necessary changes </w:t>
      </w:r>
      <w:r w:rsidR="00A0026A" w:rsidRPr="00267433">
        <w:rPr>
          <w:rFonts w:ascii="Times New Roman" w:hAnsi="Times New Roman" w:cs="Times New Roman"/>
          <w:sz w:val="24"/>
        </w:rPr>
        <w:t xml:space="preserve">to the regulations </w:t>
      </w:r>
      <w:r w:rsidR="005D0CC1" w:rsidRPr="00267433">
        <w:rPr>
          <w:rFonts w:ascii="Times New Roman" w:hAnsi="Times New Roman" w:cs="Times New Roman"/>
          <w:sz w:val="24"/>
        </w:rPr>
        <w:t xml:space="preserve">when </w:t>
      </w:r>
      <w:r w:rsidR="00F14726" w:rsidRPr="00267433">
        <w:rPr>
          <w:rFonts w:ascii="Times New Roman" w:hAnsi="Times New Roman" w:cs="Times New Roman"/>
          <w:sz w:val="24"/>
        </w:rPr>
        <w:t xml:space="preserve">and where </w:t>
      </w:r>
      <w:r w:rsidR="005D0CC1" w:rsidRPr="00267433">
        <w:rPr>
          <w:rFonts w:ascii="Times New Roman" w:hAnsi="Times New Roman" w:cs="Times New Roman"/>
          <w:sz w:val="24"/>
        </w:rPr>
        <w:t>require</w:t>
      </w:r>
      <w:r w:rsidR="00F14726" w:rsidRPr="00267433">
        <w:rPr>
          <w:rFonts w:ascii="Times New Roman" w:hAnsi="Times New Roman" w:cs="Times New Roman"/>
          <w:sz w:val="24"/>
        </w:rPr>
        <w:t>d</w:t>
      </w:r>
      <w:r w:rsidR="005D0CC1" w:rsidRPr="00267433">
        <w:rPr>
          <w:rFonts w:ascii="Times New Roman" w:hAnsi="Times New Roman" w:cs="Times New Roman"/>
          <w:sz w:val="24"/>
        </w:rPr>
        <w:t xml:space="preserve">. </w:t>
      </w:r>
      <w:r w:rsidR="00817010" w:rsidRPr="00267433">
        <w:rPr>
          <w:rFonts w:ascii="Times New Roman" w:hAnsi="Times New Roman" w:cs="Times New Roman"/>
          <w:sz w:val="24"/>
        </w:rPr>
        <w:t>The benchmarking of a country</w:t>
      </w:r>
      <w:r w:rsidR="00CF0CE1" w:rsidRPr="00267433">
        <w:rPr>
          <w:rFonts w:ascii="Times New Roman" w:hAnsi="Times New Roman" w:cs="Times New Roman"/>
          <w:sz w:val="24"/>
        </w:rPr>
        <w:t>’s safety</w:t>
      </w:r>
      <w:r w:rsidR="00817010" w:rsidRPr="00267433">
        <w:rPr>
          <w:rFonts w:ascii="Times New Roman" w:hAnsi="Times New Roman" w:cs="Times New Roman"/>
          <w:sz w:val="24"/>
        </w:rPr>
        <w:t xml:space="preserve"> regulation</w:t>
      </w:r>
      <w:r w:rsidR="00CF0CE1" w:rsidRPr="00267433">
        <w:rPr>
          <w:rFonts w:ascii="Times New Roman" w:hAnsi="Times New Roman" w:cs="Times New Roman"/>
          <w:sz w:val="24"/>
        </w:rPr>
        <w:t>s</w:t>
      </w:r>
      <w:r w:rsidR="00817010" w:rsidRPr="00267433">
        <w:rPr>
          <w:rFonts w:ascii="Times New Roman" w:hAnsi="Times New Roman" w:cs="Times New Roman"/>
          <w:sz w:val="24"/>
        </w:rPr>
        <w:t xml:space="preserve"> with another country which display an improved safety performance can help the decision</w:t>
      </w:r>
      <w:r w:rsidR="005D4251" w:rsidRPr="00267433">
        <w:rPr>
          <w:rFonts w:ascii="Times New Roman" w:hAnsi="Times New Roman" w:cs="Times New Roman"/>
          <w:sz w:val="24"/>
        </w:rPr>
        <w:t>-</w:t>
      </w:r>
      <w:r w:rsidR="00817010" w:rsidRPr="00267433">
        <w:rPr>
          <w:rFonts w:ascii="Times New Roman" w:hAnsi="Times New Roman" w:cs="Times New Roman"/>
          <w:sz w:val="24"/>
        </w:rPr>
        <w:t>maker t</w:t>
      </w:r>
      <w:r w:rsidR="00CF0CE1" w:rsidRPr="00267433">
        <w:rPr>
          <w:rFonts w:ascii="Times New Roman" w:hAnsi="Times New Roman" w:cs="Times New Roman"/>
          <w:sz w:val="24"/>
        </w:rPr>
        <w:t>o</w:t>
      </w:r>
      <w:r w:rsidR="00817010" w:rsidRPr="00267433">
        <w:rPr>
          <w:rFonts w:ascii="Times New Roman" w:hAnsi="Times New Roman" w:cs="Times New Roman"/>
          <w:sz w:val="24"/>
        </w:rPr>
        <w:t xml:space="preserve"> </w:t>
      </w:r>
      <w:r w:rsidR="00CF0CE1" w:rsidRPr="00267433">
        <w:rPr>
          <w:rFonts w:ascii="Times New Roman" w:hAnsi="Times New Roman" w:cs="Times New Roman"/>
          <w:sz w:val="24"/>
        </w:rPr>
        <w:t>propose</w:t>
      </w:r>
      <w:r w:rsidR="00817010" w:rsidRPr="00267433">
        <w:rPr>
          <w:rFonts w:ascii="Times New Roman" w:hAnsi="Times New Roman" w:cs="Times New Roman"/>
          <w:sz w:val="24"/>
        </w:rPr>
        <w:t xml:space="preserve"> necessary amendment</w:t>
      </w:r>
      <w:r w:rsidR="00CF0CE1" w:rsidRPr="00267433">
        <w:rPr>
          <w:rFonts w:ascii="Times New Roman" w:hAnsi="Times New Roman" w:cs="Times New Roman"/>
          <w:sz w:val="24"/>
        </w:rPr>
        <w:t>s</w:t>
      </w:r>
      <w:r w:rsidR="00817010" w:rsidRPr="00267433">
        <w:rPr>
          <w:rFonts w:ascii="Times New Roman" w:hAnsi="Times New Roman" w:cs="Times New Roman"/>
          <w:sz w:val="24"/>
        </w:rPr>
        <w:t xml:space="preserve"> to the existing regulations.</w:t>
      </w:r>
    </w:p>
    <w:p w14:paraId="06AAE6E0" w14:textId="0E012D7E" w:rsidR="004D0848" w:rsidRPr="00267433" w:rsidRDefault="003926C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One of the most important factors which </w:t>
      </w:r>
      <w:r w:rsidR="00B6545F" w:rsidRPr="00267433">
        <w:rPr>
          <w:rFonts w:ascii="Times New Roman" w:hAnsi="Times New Roman" w:cs="Times New Roman"/>
          <w:sz w:val="24"/>
        </w:rPr>
        <w:t>contribute</w:t>
      </w:r>
      <w:r w:rsidRPr="00267433">
        <w:rPr>
          <w:rFonts w:ascii="Times New Roman" w:hAnsi="Times New Roman" w:cs="Times New Roman"/>
          <w:sz w:val="24"/>
        </w:rPr>
        <w:t xml:space="preserve"> to the performance of workers both in terms of safety and productivity is</w:t>
      </w:r>
      <w:r w:rsidR="00B6545F" w:rsidRPr="00267433">
        <w:rPr>
          <w:rFonts w:ascii="Times New Roman" w:hAnsi="Times New Roman" w:cs="Times New Roman"/>
          <w:sz w:val="24"/>
        </w:rPr>
        <w:t xml:space="preserve"> the worker</w:t>
      </w:r>
      <w:r w:rsidR="005D4251" w:rsidRPr="00267433">
        <w:rPr>
          <w:rFonts w:ascii="Times New Roman" w:hAnsi="Times New Roman" w:cs="Times New Roman"/>
          <w:sz w:val="24"/>
        </w:rPr>
        <w:t>'</w:t>
      </w:r>
      <w:r w:rsidR="00B6545F" w:rsidRPr="00267433">
        <w:rPr>
          <w:rFonts w:ascii="Times New Roman" w:hAnsi="Times New Roman" w:cs="Times New Roman"/>
          <w:sz w:val="24"/>
        </w:rPr>
        <w:t xml:space="preserve">s wellbeing. </w:t>
      </w:r>
      <w:r w:rsidR="005D4251" w:rsidRPr="00267433">
        <w:rPr>
          <w:rFonts w:ascii="Times New Roman" w:hAnsi="Times New Roman" w:cs="Times New Roman"/>
          <w:sz w:val="24"/>
        </w:rPr>
        <w:t>Es</w:t>
      </w:r>
      <w:r w:rsidR="00CF0CE1" w:rsidRPr="00267433">
        <w:rPr>
          <w:rFonts w:ascii="Times New Roman" w:hAnsi="Times New Roman" w:cs="Times New Roman"/>
          <w:sz w:val="24"/>
        </w:rPr>
        <w:t>pecially,</w:t>
      </w:r>
      <w:r w:rsidR="00B6545F" w:rsidRPr="00267433">
        <w:rPr>
          <w:rFonts w:ascii="Times New Roman" w:hAnsi="Times New Roman" w:cs="Times New Roman"/>
          <w:sz w:val="24"/>
        </w:rPr>
        <w:t xml:space="preserve"> when it comes to GCC countries, the hot and humid environment could significantly affect the worker</w:t>
      </w:r>
      <w:r w:rsidR="005D4251" w:rsidRPr="00267433">
        <w:rPr>
          <w:rFonts w:ascii="Times New Roman" w:hAnsi="Times New Roman" w:cs="Times New Roman"/>
          <w:sz w:val="24"/>
        </w:rPr>
        <w:t>'</w:t>
      </w:r>
      <w:r w:rsidR="00B6545F" w:rsidRPr="00267433">
        <w:rPr>
          <w:rFonts w:ascii="Times New Roman" w:hAnsi="Times New Roman" w:cs="Times New Roman"/>
          <w:sz w:val="24"/>
        </w:rPr>
        <w:t>s performance.</w:t>
      </w:r>
      <w:r w:rsidR="006E4D54" w:rsidRPr="00267433">
        <w:rPr>
          <w:rFonts w:ascii="Times New Roman" w:hAnsi="Times New Roman" w:cs="Times New Roman"/>
          <w:sz w:val="24"/>
        </w:rPr>
        <w:t xml:space="preserve"> There have been many studies in different parts of the world</w:t>
      </w:r>
      <w:r w:rsidR="009125D3" w:rsidRPr="00267433">
        <w:rPr>
          <w:rFonts w:ascii="Times New Roman" w:hAnsi="Times New Roman" w:cs="Times New Roman"/>
          <w:sz w:val="24"/>
        </w:rPr>
        <w:t xml:space="preserve">, where it </w:t>
      </w:r>
      <w:r w:rsidR="00CF0CE1" w:rsidRPr="00267433">
        <w:rPr>
          <w:rFonts w:ascii="Times New Roman" w:hAnsi="Times New Roman" w:cs="Times New Roman"/>
          <w:sz w:val="24"/>
        </w:rPr>
        <w:t>has been</w:t>
      </w:r>
      <w:r w:rsidR="009125D3" w:rsidRPr="00267433">
        <w:rPr>
          <w:rFonts w:ascii="Times New Roman" w:hAnsi="Times New Roman" w:cs="Times New Roman"/>
          <w:sz w:val="24"/>
        </w:rPr>
        <w:t xml:space="preserve"> shown that the </w:t>
      </w:r>
      <w:r w:rsidR="006E4D54" w:rsidRPr="00267433">
        <w:rPr>
          <w:rFonts w:ascii="Times New Roman" w:hAnsi="Times New Roman" w:cs="Times New Roman"/>
          <w:sz w:val="24"/>
        </w:rPr>
        <w:t>worker</w:t>
      </w:r>
      <w:r w:rsidR="005D4251" w:rsidRPr="00267433">
        <w:rPr>
          <w:rFonts w:ascii="Times New Roman" w:hAnsi="Times New Roman" w:cs="Times New Roman"/>
          <w:sz w:val="24"/>
        </w:rPr>
        <w:t>'</w:t>
      </w:r>
      <w:r w:rsidR="006E4D54" w:rsidRPr="00267433">
        <w:rPr>
          <w:rFonts w:ascii="Times New Roman" w:hAnsi="Times New Roman" w:cs="Times New Roman"/>
          <w:sz w:val="24"/>
        </w:rPr>
        <w:t xml:space="preserve">s </w:t>
      </w:r>
      <w:r w:rsidR="0039453D" w:rsidRPr="00267433">
        <w:rPr>
          <w:rFonts w:ascii="Times New Roman" w:hAnsi="Times New Roman" w:cs="Times New Roman"/>
          <w:sz w:val="24"/>
        </w:rPr>
        <w:t>performance is</w:t>
      </w:r>
      <w:r w:rsidR="006E4D54" w:rsidRPr="00267433">
        <w:rPr>
          <w:rFonts w:ascii="Times New Roman" w:hAnsi="Times New Roman" w:cs="Times New Roman"/>
          <w:sz w:val="24"/>
        </w:rPr>
        <w:t xml:space="preserve"> directly linked with the environmental condition such humidity and temperature</w:t>
      </w:r>
      <w:r w:rsidR="00CA5AB7" w:rsidRPr="00267433">
        <w:rPr>
          <w:rFonts w:ascii="Times New Roman" w:hAnsi="Times New Roman" w:cs="Times New Roman"/>
          <w:sz w:val="24"/>
        </w:rPr>
        <w:t xml:space="preserve"> (Xiang et al, (2014), Yi and Chan, 2017)</w:t>
      </w:r>
      <w:r w:rsidR="006E4D54" w:rsidRPr="00267433">
        <w:rPr>
          <w:rFonts w:ascii="Times New Roman" w:hAnsi="Times New Roman" w:cs="Times New Roman"/>
          <w:sz w:val="24"/>
        </w:rPr>
        <w:t xml:space="preserve">. The researchers have also established </w:t>
      </w:r>
      <w:r w:rsidR="006557BF" w:rsidRPr="00267433">
        <w:rPr>
          <w:rFonts w:ascii="Times New Roman" w:hAnsi="Times New Roman" w:cs="Times New Roman"/>
          <w:sz w:val="24"/>
        </w:rPr>
        <w:t>that the human response process is highly affected by their physical health</w:t>
      </w:r>
      <w:r w:rsidR="00CA5AB7" w:rsidRPr="00267433">
        <w:rPr>
          <w:rFonts w:ascii="Times New Roman" w:hAnsi="Times New Roman" w:cs="Times New Roman"/>
          <w:sz w:val="24"/>
        </w:rPr>
        <w:t xml:space="preserve"> (</w:t>
      </w:r>
      <w:proofErr w:type="spellStart"/>
      <w:r w:rsidR="006F35F6" w:rsidRPr="00267433">
        <w:rPr>
          <w:rFonts w:ascii="Times New Roman" w:hAnsi="Times New Roman" w:cs="Times New Roman"/>
          <w:sz w:val="24"/>
        </w:rPr>
        <w:t>Beevers</w:t>
      </w:r>
      <w:proofErr w:type="spellEnd"/>
      <w:r w:rsidR="006F35F6" w:rsidRPr="00267433">
        <w:rPr>
          <w:rFonts w:ascii="Times New Roman" w:hAnsi="Times New Roman" w:cs="Times New Roman"/>
          <w:sz w:val="24"/>
        </w:rPr>
        <w:t xml:space="preserve"> and MacGregor, 1999; </w:t>
      </w:r>
      <w:r w:rsidR="00CA5AB7" w:rsidRPr="00267433">
        <w:rPr>
          <w:rFonts w:ascii="Times New Roman" w:hAnsi="Times New Roman" w:cs="Times New Roman"/>
          <w:sz w:val="24"/>
        </w:rPr>
        <w:t>Yi and Chan, 2016)</w:t>
      </w:r>
      <w:r w:rsidR="006557BF" w:rsidRPr="00267433">
        <w:rPr>
          <w:rFonts w:ascii="Times New Roman" w:hAnsi="Times New Roman" w:cs="Times New Roman"/>
          <w:sz w:val="24"/>
        </w:rPr>
        <w:t>. The physical health of workers can be easily assessed by their body mass index, blood pressure</w:t>
      </w:r>
      <w:r w:rsidR="005D4251" w:rsidRPr="00267433">
        <w:rPr>
          <w:rFonts w:ascii="Times New Roman" w:hAnsi="Times New Roman" w:cs="Times New Roman"/>
          <w:sz w:val="24"/>
        </w:rPr>
        <w:t>,</w:t>
      </w:r>
      <w:r w:rsidR="006557BF" w:rsidRPr="00267433">
        <w:rPr>
          <w:rFonts w:ascii="Times New Roman" w:hAnsi="Times New Roman" w:cs="Times New Roman"/>
          <w:sz w:val="24"/>
        </w:rPr>
        <w:t xml:space="preserve"> and heart rate. There is</w:t>
      </w:r>
      <w:r w:rsidR="005D4251" w:rsidRPr="00267433">
        <w:rPr>
          <w:rFonts w:ascii="Times New Roman" w:hAnsi="Times New Roman" w:cs="Times New Roman"/>
          <w:sz w:val="24"/>
        </w:rPr>
        <w:t>,</w:t>
      </w:r>
      <w:r w:rsidR="006557BF" w:rsidRPr="00267433">
        <w:rPr>
          <w:rFonts w:ascii="Times New Roman" w:hAnsi="Times New Roman" w:cs="Times New Roman"/>
          <w:sz w:val="24"/>
        </w:rPr>
        <w:t xml:space="preserve"> however</w:t>
      </w:r>
      <w:r w:rsidR="00CF0CE1" w:rsidRPr="00267433">
        <w:rPr>
          <w:rFonts w:ascii="Times New Roman" w:hAnsi="Times New Roman" w:cs="Times New Roman"/>
          <w:sz w:val="24"/>
        </w:rPr>
        <w:t>,</w:t>
      </w:r>
      <w:r w:rsidR="006557BF" w:rsidRPr="00267433">
        <w:rPr>
          <w:rFonts w:ascii="Times New Roman" w:hAnsi="Times New Roman" w:cs="Times New Roman"/>
          <w:sz w:val="24"/>
        </w:rPr>
        <w:t xml:space="preserve"> no comprehensive study in this area in any GCC country which </w:t>
      </w:r>
      <w:r w:rsidR="00124456" w:rsidRPr="00267433">
        <w:rPr>
          <w:rFonts w:ascii="Times New Roman" w:hAnsi="Times New Roman" w:cs="Times New Roman"/>
          <w:sz w:val="24"/>
        </w:rPr>
        <w:t>consider</w:t>
      </w:r>
      <w:r w:rsidR="005076A1" w:rsidRPr="00267433">
        <w:rPr>
          <w:rFonts w:ascii="Times New Roman" w:hAnsi="Times New Roman" w:cs="Times New Roman"/>
          <w:sz w:val="24"/>
        </w:rPr>
        <w:t>s</w:t>
      </w:r>
      <w:r w:rsidR="006557BF" w:rsidRPr="00267433">
        <w:rPr>
          <w:rFonts w:ascii="Times New Roman" w:hAnsi="Times New Roman" w:cs="Times New Roman"/>
          <w:sz w:val="24"/>
        </w:rPr>
        <w:t xml:space="preserve"> these factors</w:t>
      </w:r>
      <w:r w:rsidR="003B0AC4" w:rsidRPr="00267433">
        <w:rPr>
          <w:rFonts w:ascii="Times New Roman" w:hAnsi="Times New Roman" w:cs="Times New Roman"/>
          <w:sz w:val="24"/>
        </w:rPr>
        <w:t>,</w:t>
      </w:r>
      <w:r w:rsidR="00124456" w:rsidRPr="00267433">
        <w:rPr>
          <w:rFonts w:ascii="Times New Roman" w:hAnsi="Times New Roman" w:cs="Times New Roman"/>
          <w:sz w:val="24"/>
        </w:rPr>
        <w:t xml:space="preserve"> despite the fact th</w:t>
      </w:r>
      <w:r w:rsidR="003B0AC4" w:rsidRPr="00267433">
        <w:rPr>
          <w:rFonts w:ascii="Times New Roman" w:hAnsi="Times New Roman" w:cs="Times New Roman"/>
          <w:sz w:val="24"/>
        </w:rPr>
        <w:t>at</w:t>
      </w:r>
      <w:r w:rsidR="00124456" w:rsidRPr="00267433">
        <w:rPr>
          <w:rFonts w:ascii="Times New Roman" w:hAnsi="Times New Roman" w:cs="Times New Roman"/>
          <w:sz w:val="24"/>
        </w:rPr>
        <w:t xml:space="preserve"> all GCC countries</w:t>
      </w:r>
      <w:r w:rsidR="003B0AC4" w:rsidRPr="00267433">
        <w:rPr>
          <w:rFonts w:ascii="Times New Roman" w:hAnsi="Times New Roman" w:cs="Times New Roman"/>
          <w:sz w:val="24"/>
        </w:rPr>
        <w:t xml:space="preserve"> are </w:t>
      </w:r>
      <w:r w:rsidR="00124456" w:rsidRPr="00267433">
        <w:rPr>
          <w:rFonts w:ascii="Times New Roman" w:hAnsi="Times New Roman" w:cs="Times New Roman"/>
          <w:sz w:val="24"/>
        </w:rPr>
        <w:t xml:space="preserve">well known for </w:t>
      </w:r>
      <w:r w:rsidR="003B0AC4" w:rsidRPr="00267433">
        <w:rPr>
          <w:rFonts w:ascii="Times New Roman" w:hAnsi="Times New Roman" w:cs="Times New Roman"/>
          <w:sz w:val="24"/>
        </w:rPr>
        <w:t>their</w:t>
      </w:r>
      <w:r w:rsidR="00124456" w:rsidRPr="00267433">
        <w:rPr>
          <w:rFonts w:ascii="Times New Roman" w:hAnsi="Times New Roman" w:cs="Times New Roman"/>
          <w:sz w:val="24"/>
        </w:rPr>
        <w:t xml:space="preserve"> hot and humid climatic condition</w:t>
      </w:r>
      <w:r w:rsidR="00A42BFD" w:rsidRPr="00267433">
        <w:rPr>
          <w:rFonts w:ascii="Times New Roman" w:hAnsi="Times New Roman" w:cs="Times New Roman"/>
          <w:sz w:val="24"/>
        </w:rPr>
        <w:t>s</w:t>
      </w:r>
      <w:r w:rsidR="00124456" w:rsidRPr="00267433">
        <w:rPr>
          <w:rFonts w:ascii="Times New Roman" w:hAnsi="Times New Roman" w:cs="Times New Roman"/>
          <w:sz w:val="24"/>
        </w:rPr>
        <w:t xml:space="preserve">. </w:t>
      </w:r>
      <w:r w:rsidR="00B46290" w:rsidRPr="00267433">
        <w:rPr>
          <w:rFonts w:ascii="Times New Roman" w:hAnsi="Times New Roman" w:cs="Times New Roman"/>
          <w:sz w:val="24"/>
        </w:rPr>
        <w:t xml:space="preserve">For instance, the Qatar </w:t>
      </w:r>
      <w:r w:rsidR="00CF0CE1" w:rsidRPr="00267433">
        <w:rPr>
          <w:rFonts w:ascii="Times New Roman" w:hAnsi="Times New Roman" w:cs="Times New Roman"/>
          <w:sz w:val="24"/>
        </w:rPr>
        <w:t>M</w:t>
      </w:r>
      <w:r w:rsidR="00B46290" w:rsidRPr="00267433">
        <w:rPr>
          <w:rFonts w:ascii="Times New Roman" w:hAnsi="Times New Roman" w:cs="Times New Roman"/>
          <w:sz w:val="24"/>
        </w:rPr>
        <w:t xml:space="preserve">eteorology </w:t>
      </w:r>
      <w:r w:rsidR="00CF0CE1" w:rsidRPr="00267433">
        <w:rPr>
          <w:rFonts w:ascii="Times New Roman" w:hAnsi="Times New Roman" w:cs="Times New Roman"/>
          <w:sz w:val="24"/>
        </w:rPr>
        <w:t>D</w:t>
      </w:r>
      <w:r w:rsidR="00B46290" w:rsidRPr="00267433">
        <w:rPr>
          <w:rFonts w:ascii="Times New Roman" w:hAnsi="Times New Roman" w:cs="Times New Roman"/>
          <w:sz w:val="24"/>
        </w:rPr>
        <w:t>epartment data shows that the mean air temperature in Doha in the month of July remains as 35.4</w:t>
      </w:r>
      <w:r w:rsidR="00B46290" w:rsidRPr="00267433">
        <w:rPr>
          <w:rFonts w:ascii="Times New Roman" w:hAnsi="Times New Roman" w:cs="Times New Roman"/>
          <w:sz w:val="24"/>
          <w:vertAlign w:val="superscript"/>
        </w:rPr>
        <w:t xml:space="preserve">o </w:t>
      </w:r>
      <w:r w:rsidR="00B46290" w:rsidRPr="00267433">
        <w:rPr>
          <w:rFonts w:ascii="Times New Roman" w:hAnsi="Times New Roman" w:cs="Times New Roman"/>
          <w:sz w:val="24"/>
        </w:rPr>
        <w:t xml:space="preserve">C, while the mean relative humidity in the same month </w:t>
      </w:r>
      <w:r w:rsidR="00E4141B" w:rsidRPr="00267433">
        <w:rPr>
          <w:rFonts w:ascii="Times New Roman" w:hAnsi="Times New Roman" w:cs="Times New Roman"/>
          <w:sz w:val="24"/>
        </w:rPr>
        <w:t>stands</w:t>
      </w:r>
      <w:r w:rsidR="00B46290" w:rsidRPr="00267433">
        <w:rPr>
          <w:rFonts w:ascii="Times New Roman" w:hAnsi="Times New Roman" w:cs="Times New Roman"/>
          <w:sz w:val="24"/>
        </w:rPr>
        <w:t xml:space="preserve"> at 49%.  </w:t>
      </w:r>
      <w:r w:rsidR="00E4141B" w:rsidRPr="00267433">
        <w:rPr>
          <w:rFonts w:ascii="Times New Roman" w:hAnsi="Times New Roman" w:cs="Times New Roman"/>
          <w:sz w:val="24"/>
        </w:rPr>
        <w:t>Similarly, the highest temperature recorded in 2010, in Doha was 50.4</w:t>
      </w:r>
      <w:r w:rsidR="00E4141B" w:rsidRPr="00267433">
        <w:rPr>
          <w:rFonts w:ascii="Times New Roman" w:hAnsi="Times New Roman" w:cs="Times New Roman"/>
          <w:sz w:val="24"/>
          <w:vertAlign w:val="superscript"/>
        </w:rPr>
        <w:t>o</w:t>
      </w:r>
      <w:r w:rsidR="00E4141B" w:rsidRPr="00267433">
        <w:rPr>
          <w:rFonts w:ascii="Times New Roman" w:hAnsi="Times New Roman" w:cs="Times New Roman"/>
          <w:sz w:val="24"/>
        </w:rPr>
        <w:t xml:space="preserve"> C (</w:t>
      </w:r>
      <w:r w:rsidR="00744981" w:rsidRPr="00267433">
        <w:rPr>
          <w:rFonts w:ascii="Times New Roman" w:hAnsi="Times New Roman" w:cs="Times New Roman"/>
          <w:sz w:val="24"/>
        </w:rPr>
        <w:t>Meteorology Department, 2018)</w:t>
      </w:r>
      <w:r w:rsidR="00E4141B" w:rsidRPr="00267433">
        <w:rPr>
          <w:rFonts w:ascii="Times New Roman" w:hAnsi="Times New Roman" w:cs="Times New Roman"/>
          <w:sz w:val="24"/>
        </w:rPr>
        <w:t xml:space="preserve">. </w:t>
      </w:r>
      <w:r w:rsidR="003110CD" w:rsidRPr="00267433">
        <w:rPr>
          <w:rFonts w:ascii="Times New Roman" w:hAnsi="Times New Roman" w:cs="Times New Roman"/>
          <w:sz w:val="24"/>
        </w:rPr>
        <w:t xml:space="preserve">The official data in Oman shows that the average maximum temperature in </w:t>
      </w:r>
      <w:r w:rsidR="00CF0CE1" w:rsidRPr="00267433">
        <w:rPr>
          <w:rFonts w:ascii="Times New Roman" w:hAnsi="Times New Roman" w:cs="Times New Roman"/>
          <w:sz w:val="24"/>
        </w:rPr>
        <w:t xml:space="preserve">summer in </w:t>
      </w:r>
      <w:r w:rsidR="003110CD" w:rsidRPr="00267433">
        <w:rPr>
          <w:rFonts w:ascii="Times New Roman" w:hAnsi="Times New Roman" w:cs="Times New Roman"/>
          <w:sz w:val="24"/>
        </w:rPr>
        <w:t>Oman reaches 40</w:t>
      </w:r>
      <w:r w:rsidR="003110CD" w:rsidRPr="00267433">
        <w:rPr>
          <w:rFonts w:ascii="Times New Roman" w:hAnsi="Times New Roman" w:cs="Times New Roman"/>
          <w:sz w:val="24"/>
          <w:vertAlign w:val="superscript"/>
        </w:rPr>
        <w:t xml:space="preserve">o </w:t>
      </w:r>
      <w:r w:rsidR="009C3AAF" w:rsidRPr="00267433">
        <w:rPr>
          <w:rFonts w:ascii="Times New Roman" w:hAnsi="Times New Roman" w:cs="Times New Roman"/>
          <w:sz w:val="24"/>
        </w:rPr>
        <w:t>C as shown in figure 1</w:t>
      </w:r>
      <w:r w:rsidR="007F7CA2" w:rsidRPr="00267433">
        <w:rPr>
          <w:rFonts w:ascii="Times New Roman" w:hAnsi="Times New Roman" w:cs="Times New Roman"/>
          <w:sz w:val="24"/>
        </w:rPr>
        <w:t>5</w:t>
      </w:r>
      <w:r w:rsidR="009C3AAF" w:rsidRPr="00267433">
        <w:rPr>
          <w:rFonts w:ascii="Times New Roman" w:hAnsi="Times New Roman" w:cs="Times New Roman"/>
          <w:sz w:val="24"/>
        </w:rPr>
        <w:t xml:space="preserve"> (DGM, 2018). The maximum temperature in Oman reported by different newspapers</w:t>
      </w:r>
      <w:r w:rsidR="009A0DA0" w:rsidRPr="00267433">
        <w:rPr>
          <w:rFonts w:ascii="Times New Roman" w:hAnsi="Times New Roman" w:cs="Times New Roman"/>
          <w:sz w:val="24"/>
        </w:rPr>
        <w:t xml:space="preserve"> was higher</w:t>
      </w:r>
      <w:r w:rsidR="009C3AAF" w:rsidRPr="00267433">
        <w:rPr>
          <w:rFonts w:ascii="Times New Roman" w:hAnsi="Times New Roman" w:cs="Times New Roman"/>
          <w:sz w:val="24"/>
        </w:rPr>
        <w:t xml:space="preserve"> than the one reported by official authorities.</w:t>
      </w:r>
      <w:r w:rsidR="00822AC6" w:rsidRPr="00267433">
        <w:rPr>
          <w:rFonts w:ascii="Times New Roman" w:hAnsi="Times New Roman" w:cs="Times New Roman"/>
          <w:sz w:val="24"/>
        </w:rPr>
        <w:t xml:space="preserve"> A news article published in </w:t>
      </w:r>
      <w:r w:rsidR="00CF0CE1" w:rsidRPr="00267433">
        <w:rPr>
          <w:rFonts w:ascii="Times New Roman" w:hAnsi="Times New Roman" w:cs="Times New Roman"/>
          <w:sz w:val="24"/>
        </w:rPr>
        <w:t xml:space="preserve">a </w:t>
      </w:r>
      <w:r w:rsidR="00822AC6" w:rsidRPr="00267433">
        <w:rPr>
          <w:rFonts w:ascii="Times New Roman" w:hAnsi="Times New Roman" w:cs="Times New Roman"/>
          <w:sz w:val="24"/>
        </w:rPr>
        <w:t xml:space="preserve">daily newspaper in 2017, reported the maximum temperature in Oman </w:t>
      </w:r>
      <w:r w:rsidR="00C324FE" w:rsidRPr="00267433">
        <w:rPr>
          <w:rFonts w:ascii="Times New Roman" w:hAnsi="Times New Roman" w:cs="Times New Roman"/>
          <w:sz w:val="24"/>
        </w:rPr>
        <w:t>was</w:t>
      </w:r>
      <w:r w:rsidR="00822AC6" w:rsidRPr="00267433">
        <w:rPr>
          <w:rFonts w:ascii="Times New Roman" w:hAnsi="Times New Roman" w:cs="Times New Roman"/>
          <w:sz w:val="24"/>
        </w:rPr>
        <w:t xml:space="preserve"> 50</w:t>
      </w:r>
      <w:r w:rsidR="00822AC6" w:rsidRPr="00267433">
        <w:rPr>
          <w:rFonts w:ascii="Times New Roman" w:hAnsi="Times New Roman" w:cs="Times New Roman"/>
          <w:sz w:val="24"/>
          <w:vertAlign w:val="superscript"/>
        </w:rPr>
        <w:t>o</w:t>
      </w:r>
      <w:r w:rsidR="00822AC6" w:rsidRPr="00267433">
        <w:rPr>
          <w:rFonts w:ascii="Times New Roman" w:hAnsi="Times New Roman" w:cs="Times New Roman"/>
          <w:sz w:val="24"/>
        </w:rPr>
        <w:t xml:space="preserve">C. </w:t>
      </w:r>
      <w:proofErr w:type="gramStart"/>
      <w:r w:rsidR="00822AC6" w:rsidRPr="00267433">
        <w:rPr>
          <w:rFonts w:ascii="Times New Roman" w:hAnsi="Times New Roman" w:cs="Times New Roman"/>
          <w:sz w:val="24"/>
        </w:rPr>
        <w:t>(MD, 2016).</w:t>
      </w:r>
      <w:proofErr w:type="gramEnd"/>
      <w:r w:rsidR="00822AC6" w:rsidRPr="00267433">
        <w:rPr>
          <w:rFonts w:ascii="Times New Roman" w:hAnsi="Times New Roman" w:cs="Times New Roman"/>
          <w:sz w:val="24"/>
        </w:rPr>
        <w:t xml:space="preserve"> Similarly, another daily newspaper reported that the maximum temperature recorded in Oman in 2015 was 48</w:t>
      </w:r>
      <w:r w:rsidR="00822AC6" w:rsidRPr="00267433">
        <w:rPr>
          <w:rFonts w:ascii="Times New Roman" w:hAnsi="Times New Roman" w:cs="Times New Roman"/>
          <w:sz w:val="24"/>
          <w:vertAlign w:val="superscript"/>
        </w:rPr>
        <w:t>o</w:t>
      </w:r>
      <w:r w:rsidR="00822AC6" w:rsidRPr="00267433">
        <w:rPr>
          <w:rFonts w:ascii="Times New Roman" w:hAnsi="Times New Roman" w:cs="Times New Roman"/>
          <w:sz w:val="24"/>
        </w:rPr>
        <w:t xml:space="preserve"> C (TOM, 2015). </w:t>
      </w:r>
      <w:r w:rsidR="00CF0CE1" w:rsidRPr="00267433">
        <w:rPr>
          <w:rFonts w:ascii="Times New Roman" w:hAnsi="Times New Roman" w:cs="Times New Roman"/>
          <w:sz w:val="24"/>
        </w:rPr>
        <w:t>These high temperatures recorded in the GCC countries reflect</w:t>
      </w:r>
      <w:r w:rsidR="0039453D" w:rsidRPr="00267433">
        <w:rPr>
          <w:rFonts w:ascii="Times New Roman" w:hAnsi="Times New Roman" w:cs="Times New Roman"/>
          <w:sz w:val="24"/>
        </w:rPr>
        <w:t xml:space="preserve"> that</w:t>
      </w:r>
      <w:r w:rsidR="00270052" w:rsidRPr="00267433">
        <w:rPr>
          <w:rFonts w:ascii="Times New Roman" w:hAnsi="Times New Roman" w:cs="Times New Roman"/>
          <w:sz w:val="24"/>
        </w:rPr>
        <w:t xml:space="preserve"> </w:t>
      </w:r>
      <w:r w:rsidR="00A2283D" w:rsidRPr="00267433">
        <w:rPr>
          <w:rFonts w:ascii="Times New Roman" w:hAnsi="Times New Roman" w:cs="Times New Roman"/>
          <w:sz w:val="24"/>
        </w:rPr>
        <w:t xml:space="preserve">the </w:t>
      </w:r>
      <w:r w:rsidR="00124456" w:rsidRPr="00267433">
        <w:rPr>
          <w:rFonts w:ascii="Times New Roman" w:hAnsi="Times New Roman" w:cs="Times New Roman"/>
          <w:sz w:val="24"/>
        </w:rPr>
        <w:t>effect of heat stress on construction worker</w:t>
      </w:r>
      <w:r w:rsidR="005D4251" w:rsidRPr="00267433">
        <w:rPr>
          <w:rFonts w:ascii="Times New Roman" w:hAnsi="Times New Roman" w:cs="Times New Roman"/>
          <w:sz w:val="24"/>
        </w:rPr>
        <w:t>'</w:t>
      </w:r>
      <w:r w:rsidR="00124456" w:rsidRPr="00267433">
        <w:rPr>
          <w:rFonts w:ascii="Times New Roman" w:hAnsi="Times New Roman" w:cs="Times New Roman"/>
          <w:sz w:val="24"/>
        </w:rPr>
        <w:t xml:space="preserve">s performance </w:t>
      </w:r>
      <w:r w:rsidR="00270052" w:rsidRPr="00267433">
        <w:rPr>
          <w:rFonts w:ascii="Times New Roman" w:hAnsi="Times New Roman" w:cs="Times New Roman"/>
          <w:sz w:val="24"/>
        </w:rPr>
        <w:t xml:space="preserve">appears </w:t>
      </w:r>
      <w:r w:rsidR="00270052" w:rsidRPr="00267433">
        <w:rPr>
          <w:rFonts w:ascii="Times New Roman" w:hAnsi="Times New Roman" w:cs="Times New Roman"/>
          <w:sz w:val="24"/>
        </w:rPr>
        <w:lastRenderedPageBreak/>
        <w:t xml:space="preserve">to be </w:t>
      </w:r>
      <w:r w:rsidR="00822AC6" w:rsidRPr="00267433">
        <w:rPr>
          <w:rFonts w:ascii="Times New Roman" w:hAnsi="Times New Roman" w:cs="Times New Roman"/>
          <w:sz w:val="24"/>
        </w:rPr>
        <w:t>more</w:t>
      </w:r>
      <w:r w:rsidR="00124456" w:rsidRPr="00267433">
        <w:rPr>
          <w:rFonts w:ascii="Times New Roman" w:hAnsi="Times New Roman" w:cs="Times New Roman"/>
          <w:sz w:val="24"/>
        </w:rPr>
        <w:t xml:space="preserve"> </w:t>
      </w:r>
      <w:r w:rsidR="00CF0CE1" w:rsidRPr="00267433">
        <w:rPr>
          <w:rFonts w:ascii="Times New Roman" w:hAnsi="Times New Roman" w:cs="Times New Roman"/>
          <w:sz w:val="24"/>
        </w:rPr>
        <w:t xml:space="preserve">if </w:t>
      </w:r>
      <w:r w:rsidR="009C3AAF" w:rsidRPr="00267433">
        <w:rPr>
          <w:rFonts w:ascii="Times New Roman" w:hAnsi="Times New Roman" w:cs="Times New Roman"/>
          <w:sz w:val="24"/>
        </w:rPr>
        <w:t xml:space="preserve">compared </w:t>
      </w:r>
      <w:r w:rsidR="00124456" w:rsidRPr="00267433">
        <w:rPr>
          <w:rFonts w:ascii="Times New Roman" w:hAnsi="Times New Roman" w:cs="Times New Roman"/>
          <w:sz w:val="24"/>
        </w:rPr>
        <w:t xml:space="preserve">to any other part of the world. Similarly, </w:t>
      </w:r>
      <w:r w:rsidR="005D4251" w:rsidRPr="00267433">
        <w:rPr>
          <w:rFonts w:ascii="Times New Roman" w:hAnsi="Times New Roman" w:cs="Times New Roman"/>
          <w:sz w:val="24"/>
        </w:rPr>
        <w:t xml:space="preserve">the </w:t>
      </w:r>
      <w:r w:rsidR="00124456" w:rsidRPr="00267433">
        <w:rPr>
          <w:rFonts w:ascii="Times New Roman" w:hAnsi="Times New Roman" w:cs="Times New Roman"/>
          <w:sz w:val="24"/>
        </w:rPr>
        <w:t>worker</w:t>
      </w:r>
      <w:r w:rsidR="005D4251" w:rsidRPr="00267433">
        <w:rPr>
          <w:rFonts w:ascii="Times New Roman" w:hAnsi="Times New Roman" w:cs="Times New Roman"/>
          <w:sz w:val="24"/>
        </w:rPr>
        <w:t>'</w:t>
      </w:r>
      <w:r w:rsidR="000B2D6E" w:rsidRPr="00267433">
        <w:rPr>
          <w:rFonts w:ascii="Times New Roman" w:hAnsi="Times New Roman" w:cs="Times New Roman"/>
          <w:sz w:val="24"/>
        </w:rPr>
        <w:t>s</w:t>
      </w:r>
      <w:r w:rsidR="00124456" w:rsidRPr="00267433">
        <w:rPr>
          <w:rFonts w:ascii="Times New Roman" w:hAnsi="Times New Roman" w:cs="Times New Roman"/>
          <w:sz w:val="24"/>
        </w:rPr>
        <w:t xml:space="preserve"> body pain </w:t>
      </w:r>
      <w:r w:rsidR="00D948AB" w:rsidRPr="00267433">
        <w:rPr>
          <w:rFonts w:ascii="Times New Roman" w:hAnsi="Times New Roman" w:cs="Times New Roman"/>
          <w:sz w:val="24"/>
        </w:rPr>
        <w:t>supplemented by the extensive temperature may have an impact o</w:t>
      </w:r>
      <w:r w:rsidR="005D4251" w:rsidRPr="00267433">
        <w:rPr>
          <w:rFonts w:ascii="Times New Roman" w:hAnsi="Times New Roman" w:cs="Times New Roman"/>
          <w:sz w:val="24"/>
        </w:rPr>
        <w:t>n</w:t>
      </w:r>
      <w:r w:rsidR="00D948AB" w:rsidRPr="00267433">
        <w:rPr>
          <w:rFonts w:ascii="Times New Roman" w:hAnsi="Times New Roman" w:cs="Times New Roman"/>
          <w:sz w:val="24"/>
        </w:rPr>
        <w:t xml:space="preserve"> their response process</w:t>
      </w:r>
      <w:r w:rsidR="000B2D6E" w:rsidRPr="00267433">
        <w:rPr>
          <w:rFonts w:ascii="Times New Roman" w:hAnsi="Times New Roman" w:cs="Times New Roman"/>
          <w:sz w:val="24"/>
        </w:rPr>
        <w:t xml:space="preserve"> and </w:t>
      </w:r>
      <w:r w:rsidR="00CF0CE1" w:rsidRPr="00267433">
        <w:rPr>
          <w:rFonts w:ascii="Times New Roman" w:hAnsi="Times New Roman" w:cs="Times New Roman"/>
          <w:sz w:val="24"/>
        </w:rPr>
        <w:t>could</w:t>
      </w:r>
      <w:r w:rsidR="000B2D6E" w:rsidRPr="00267433">
        <w:rPr>
          <w:rFonts w:ascii="Times New Roman" w:hAnsi="Times New Roman" w:cs="Times New Roman"/>
          <w:sz w:val="24"/>
        </w:rPr>
        <w:t xml:space="preserve"> affect their safety and productivity</w:t>
      </w:r>
      <w:r w:rsidR="00D948AB" w:rsidRPr="00267433">
        <w:rPr>
          <w:rFonts w:ascii="Times New Roman" w:hAnsi="Times New Roman" w:cs="Times New Roman"/>
          <w:sz w:val="24"/>
        </w:rPr>
        <w:t>.</w:t>
      </w:r>
      <w:r w:rsidR="004D0848" w:rsidRPr="00267433">
        <w:rPr>
          <w:rFonts w:ascii="Times New Roman" w:hAnsi="Times New Roman" w:cs="Times New Roman"/>
          <w:sz w:val="24"/>
        </w:rPr>
        <w:t xml:space="preserve"> During the construction process, workers are required to work in an awkward position for a long time. This may significantly contribute to body pain in specific area</w:t>
      </w:r>
      <w:r w:rsidR="00B46A1A" w:rsidRPr="00267433">
        <w:rPr>
          <w:rFonts w:ascii="Times New Roman" w:hAnsi="Times New Roman" w:cs="Times New Roman"/>
          <w:sz w:val="24"/>
        </w:rPr>
        <w:t>s</w:t>
      </w:r>
      <w:r w:rsidR="004D0848" w:rsidRPr="00267433">
        <w:rPr>
          <w:rFonts w:ascii="Times New Roman" w:hAnsi="Times New Roman" w:cs="Times New Roman"/>
          <w:sz w:val="24"/>
        </w:rPr>
        <w:t xml:space="preserve">. </w:t>
      </w:r>
    </w:p>
    <w:p w14:paraId="51AEEEEC" w14:textId="6FC16841" w:rsidR="00450BD4" w:rsidRDefault="00450BD4" w:rsidP="006722CC">
      <w:pPr>
        <w:spacing w:line="360" w:lineRule="auto"/>
        <w:jc w:val="both"/>
        <w:rPr>
          <w:rFonts w:ascii="Times New Roman" w:hAnsi="Times New Roman" w:cs="Times New Roman"/>
          <w:b/>
          <w:sz w:val="24"/>
        </w:rPr>
      </w:pPr>
      <w:r>
        <w:rPr>
          <w:noProof/>
        </w:rPr>
        <w:drawing>
          <wp:inline distT="0" distB="0" distL="0" distR="0" wp14:anchorId="69C9831E" wp14:editId="61FFAC3E">
            <wp:extent cx="5943600" cy="2581910"/>
            <wp:effectExtent l="0" t="0" r="19050" b="279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D67A44" w14:textId="77777777" w:rsidR="009C3AAF" w:rsidRPr="00267433" w:rsidRDefault="00E07A11" w:rsidP="006722CC">
      <w:pPr>
        <w:spacing w:line="360" w:lineRule="auto"/>
        <w:jc w:val="both"/>
        <w:rPr>
          <w:rFonts w:ascii="Times New Roman" w:hAnsi="Times New Roman" w:cs="Times New Roman"/>
          <w:b/>
          <w:sz w:val="24"/>
        </w:rPr>
      </w:pPr>
      <w:r w:rsidRPr="00267433">
        <w:rPr>
          <w:rFonts w:ascii="Times New Roman" w:hAnsi="Times New Roman" w:cs="Times New Roman"/>
          <w:b/>
          <w:sz w:val="24"/>
        </w:rPr>
        <w:t>Figure 15</w:t>
      </w:r>
      <w:r w:rsidR="009C3AAF" w:rsidRPr="00267433">
        <w:rPr>
          <w:rFonts w:ascii="Times New Roman" w:hAnsi="Times New Roman" w:cs="Times New Roman"/>
          <w:b/>
          <w:sz w:val="24"/>
        </w:rPr>
        <w:t>: Average Minimum and Maximum Temperature in Oman (DGM, 2018)</w:t>
      </w:r>
    </w:p>
    <w:p w14:paraId="38F707A5" w14:textId="039354A0" w:rsidR="004421D7" w:rsidRPr="00267433" w:rsidRDefault="00744981"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While there have been several concepts and methods to improve safety performance and avoid accidents </w:t>
      </w:r>
      <w:r w:rsidR="00CC5D1C" w:rsidRPr="00267433">
        <w:rPr>
          <w:rFonts w:ascii="Times New Roman" w:hAnsi="Times New Roman" w:cs="Times New Roman"/>
          <w:sz w:val="24"/>
        </w:rPr>
        <w:t>in</w:t>
      </w:r>
      <w:r w:rsidRPr="00267433">
        <w:rPr>
          <w:rFonts w:ascii="Times New Roman" w:hAnsi="Times New Roman" w:cs="Times New Roman"/>
          <w:sz w:val="24"/>
        </w:rPr>
        <w:t xml:space="preserve"> </w:t>
      </w:r>
      <w:r w:rsidR="005D4251" w:rsidRPr="00267433">
        <w:rPr>
          <w:rFonts w:ascii="Times New Roman" w:hAnsi="Times New Roman" w:cs="Times New Roman"/>
          <w:sz w:val="24"/>
        </w:rPr>
        <w:t xml:space="preserve">the </w:t>
      </w:r>
      <w:r w:rsidRPr="00267433">
        <w:rPr>
          <w:rFonts w:ascii="Times New Roman" w:hAnsi="Times New Roman" w:cs="Times New Roman"/>
          <w:sz w:val="24"/>
        </w:rPr>
        <w:t>construction site</w:t>
      </w:r>
      <w:r w:rsidR="005D4251" w:rsidRPr="00267433">
        <w:rPr>
          <w:rFonts w:ascii="Times New Roman" w:hAnsi="Times New Roman" w:cs="Times New Roman"/>
          <w:sz w:val="24"/>
        </w:rPr>
        <w:t>s</w:t>
      </w:r>
      <w:r w:rsidRPr="00267433">
        <w:rPr>
          <w:rFonts w:ascii="Times New Roman" w:hAnsi="Times New Roman" w:cs="Times New Roman"/>
          <w:sz w:val="24"/>
        </w:rPr>
        <w:t>, safety culture and safety climate have attracted</w:t>
      </w:r>
      <w:r w:rsidR="00311B4B" w:rsidRPr="00267433">
        <w:rPr>
          <w:rFonts w:ascii="Times New Roman" w:hAnsi="Times New Roman" w:cs="Times New Roman"/>
          <w:sz w:val="24"/>
        </w:rPr>
        <w:t xml:space="preserve"> many</w:t>
      </w:r>
      <w:r w:rsidRPr="00267433">
        <w:rPr>
          <w:rFonts w:ascii="Times New Roman" w:hAnsi="Times New Roman" w:cs="Times New Roman"/>
          <w:sz w:val="24"/>
        </w:rPr>
        <w:t xml:space="preserve"> researchers and practitioners worldwide due to its significant impact on safety improvement</w:t>
      </w:r>
      <w:r w:rsidR="00737FA1" w:rsidRPr="00267433">
        <w:rPr>
          <w:rFonts w:ascii="Times New Roman" w:hAnsi="Times New Roman" w:cs="Times New Roman"/>
          <w:sz w:val="24"/>
        </w:rPr>
        <w:t xml:space="preserve"> (</w:t>
      </w:r>
      <w:proofErr w:type="spellStart"/>
      <w:r w:rsidR="004E598F" w:rsidRPr="00267433">
        <w:rPr>
          <w:rFonts w:ascii="Times New Roman" w:hAnsi="Times New Roman" w:cs="Times New Roman"/>
          <w:sz w:val="24"/>
        </w:rPr>
        <w:t>K</w:t>
      </w:r>
      <w:r w:rsidR="00737FA1" w:rsidRPr="00267433">
        <w:rPr>
          <w:rFonts w:ascii="Times New Roman" w:hAnsi="Times New Roman" w:cs="Times New Roman"/>
          <w:sz w:val="24"/>
        </w:rPr>
        <w:t>ines</w:t>
      </w:r>
      <w:proofErr w:type="spellEnd"/>
      <w:r w:rsidR="00737FA1" w:rsidRPr="00267433">
        <w:rPr>
          <w:rFonts w:ascii="Times New Roman" w:hAnsi="Times New Roman" w:cs="Times New Roman"/>
          <w:sz w:val="24"/>
        </w:rPr>
        <w:t xml:space="preserve"> et al</w:t>
      </w:r>
      <w:r w:rsidR="00A256E4" w:rsidRPr="00267433">
        <w:rPr>
          <w:rFonts w:ascii="Times New Roman" w:hAnsi="Times New Roman" w:cs="Times New Roman"/>
          <w:sz w:val="24"/>
        </w:rPr>
        <w:t>.</w:t>
      </w:r>
      <w:r w:rsidR="004B63AF" w:rsidRPr="00267433">
        <w:rPr>
          <w:rFonts w:ascii="Times New Roman" w:hAnsi="Times New Roman" w:cs="Times New Roman"/>
          <w:sz w:val="24"/>
        </w:rPr>
        <w:t xml:space="preserve">, </w:t>
      </w:r>
      <w:r w:rsidR="00737FA1" w:rsidRPr="00267433">
        <w:rPr>
          <w:rFonts w:ascii="Times New Roman" w:hAnsi="Times New Roman" w:cs="Times New Roman"/>
          <w:sz w:val="24"/>
        </w:rPr>
        <w:t>2011</w:t>
      </w:r>
      <w:r w:rsidR="005B7EB0" w:rsidRPr="00267433">
        <w:rPr>
          <w:rFonts w:ascii="Times New Roman" w:hAnsi="Times New Roman" w:cs="Times New Roman"/>
          <w:sz w:val="24"/>
        </w:rPr>
        <w:t>; Umar and Wamuziri, 2017</w:t>
      </w:r>
      <w:r w:rsidR="009909F4" w:rsidRPr="00267433">
        <w:rPr>
          <w:rFonts w:ascii="Times New Roman" w:hAnsi="Times New Roman" w:cs="Times New Roman"/>
          <w:sz w:val="24"/>
        </w:rPr>
        <w:t>; Probst et al., 2019</w:t>
      </w:r>
      <w:r w:rsidR="00737FA1" w:rsidRPr="00267433">
        <w:rPr>
          <w:rFonts w:ascii="Times New Roman" w:hAnsi="Times New Roman" w:cs="Times New Roman"/>
          <w:sz w:val="24"/>
        </w:rPr>
        <w:t>)</w:t>
      </w:r>
      <w:r w:rsidRPr="00267433">
        <w:rPr>
          <w:rFonts w:ascii="Times New Roman" w:hAnsi="Times New Roman" w:cs="Times New Roman"/>
          <w:sz w:val="24"/>
        </w:rPr>
        <w:t>. The concept</w:t>
      </w:r>
      <w:r w:rsidR="00A256E4" w:rsidRPr="00267433">
        <w:rPr>
          <w:rFonts w:ascii="Times New Roman" w:hAnsi="Times New Roman" w:cs="Times New Roman"/>
          <w:sz w:val="24"/>
        </w:rPr>
        <w:t>s</w:t>
      </w:r>
      <w:r w:rsidRPr="00267433">
        <w:rPr>
          <w:rFonts w:ascii="Times New Roman" w:hAnsi="Times New Roman" w:cs="Times New Roman"/>
          <w:sz w:val="24"/>
        </w:rPr>
        <w:t xml:space="preserve"> </w:t>
      </w:r>
      <w:r w:rsidR="00A256E4" w:rsidRPr="00267433">
        <w:rPr>
          <w:rFonts w:ascii="Times New Roman" w:hAnsi="Times New Roman" w:cs="Times New Roman"/>
          <w:sz w:val="24"/>
        </w:rPr>
        <w:t xml:space="preserve">of </w:t>
      </w:r>
      <w:r w:rsidRPr="00267433">
        <w:rPr>
          <w:rFonts w:ascii="Times New Roman" w:hAnsi="Times New Roman" w:cs="Times New Roman"/>
          <w:sz w:val="24"/>
        </w:rPr>
        <w:t>safety culture and safety climate g</w:t>
      </w:r>
      <w:r w:rsidR="00A256E4" w:rsidRPr="00267433">
        <w:rPr>
          <w:rFonts w:ascii="Times New Roman" w:hAnsi="Times New Roman" w:cs="Times New Roman"/>
          <w:sz w:val="24"/>
        </w:rPr>
        <w:t>o</w:t>
      </w:r>
      <w:r w:rsidRPr="00267433">
        <w:rPr>
          <w:rFonts w:ascii="Times New Roman" w:hAnsi="Times New Roman" w:cs="Times New Roman"/>
          <w:sz w:val="24"/>
        </w:rPr>
        <w:t xml:space="preserve">t more appreciation since 1980 when the theories of human age factors were adopted in organization performance. The safety culture represents the overall culture of an organization </w:t>
      </w:r>
      <w:r w:rsidR="00FB206C" w:rsidRPr="00267433">
        <w:rPr>
          <w:rFonts w:ascii="Times New Roman" w:hAnsi="Times New Roman" w:cs="Times New Roman"/>
          <w:sz w:val="24"/>
        </w:rPr>
        <w:t xml:space="preserve">reflecting </w:t>
      </w:r>
      <w:r w:rsidRPr="00267433">
        <w:rPr>
          <w:rFonts w:ascii="Times New Roman" w:hAnsi="Times New Roman" w:cs="Times New Roman"/>
          <w:sz w:val="24"/>
        </w:rPr>
        <w:t>how the safety is consider</w:t>
      </w:r>
      <w:r w:rsidR="00FB206C" w:rsidRPr="00267433">
        <w:rPr>
          <w:rFonts w:ascii="Times New Roman" w:hAnsi="Times New Roman" w:cs="Times New Roman"/>
          <w:sz w:val="24"/>
        </w:rPr>
        <w:t>ed</w:t>
      </w:r>
      <w:r w:rsidRPr="00267433">
        <w:rPr>
          <w:rFonts w:ascii="Times New Roman" w:hAnsi="Times New Roman" w:cs="Times New Roman"/>
          <w:sz w:val="24"/>
        </w:rPr>
        <w:t xml:space="preserve"> or treated</w:t>
      </w:r>
      <w:r w:rsidR="00CF0CE1" w:rsidRPr="00267433">
        <w:rPr>
          <w:rFonts w:ascii="Times New Roman" w:hAnsi="Times New Roman" w:cs="Times New Roman"/>
          <w:sz w:val="24"/>
        </w:rPr>
        <w:t xml:space="preserve"> in that organization</w:t>
      </w:r>
      <w:r w:rsidRPr="00267433">
        <w:rPr>
          <w:rFonts w:ascii="Times New Roman" w:hAnsi="Times New Roman" w:cs="Times New Roman"/>
          <w:sz w:val="24"/>
        </w:rPr>
        <w:t xml:space="preserve">. For example, </w:t>
      </w:r>
      <w:r w:rsidR="00A96CFA" w:rsidRPr="00267433">
        <w:rPr>
          <w:rFonts w:ascii="Times New Roman" w:hAnsi="Times New Roman" w:cs="Times New Roman"/>
          <w:sz w:val="24"/>
        </w:rPr>
        <w:t xml:space="preserve">if safety negligence in </w:t>
      </w:r>
      <w:r w:rsidR="00E71C37" w:rsidRPr="00267433">
        <w:rPr>
          <w:rFonts w:ascii="Times New Roman" w:hAnsi="Times New Roman" w:cs="Times New Roman"/>
          <w:sz w:val="24"/>
        </w:rPr>
        <w:t xml:space="preserve">an </w:t>
      </w:r>
      <w:r w:rsidR="00A96CFA" w:rsidRPr="00267433">
        <w:rPr>
          <w:rFonts w:ascii="Times New Roman" w:hAnsi="Times New Roman" w:cs="Times New Roman"/>
          <w:sz w:val="24"/>
        </w:rPr>
        <w:t xml:space="preserve">organization is a routine practice, the organization will reflect </w:t>
      </w:r>
      <w:r w:rsidR="0073618C" w:rsidRPr="00267433">
        <w:rPr>
          <w:rFonts w:ascii="Times New Roman" w:hAnsi="Times New Roman" w:cs="Times New Roman"/>
          <w:sz w:val="24"/>
        </w:rPr>
        <w:t>poor</w:t>
      </w:r>
      <w:r w:rsidR="00A96CFA" w:rsidRPr="00267433">
        <w:rPr>
          <w:rFonts w:ascii="Times New Roman" w:hAnsi="Times New Roman" w:cs="Times New Roman"/>
          <w:sz w:val="24"/>
        </w:rPr>
        <w:t xml:space="preserve"> safety culture. Such </w:t>
      </w:r>
      <w:r w:rsidR="005D4251" w:rsidRPr="00267433">
        <w:rPr>
          <w:rFonts w:ascii="Times New Roman" w:hAnsi="Times New Roman" w:cs="Times New Roman"/>
          <w:sz w:val="24"/>
        </w:rPr>
        <w:t xml:space="preserve">a </w:t>
      </w:r>
      <w:r w:rsidR="00A96CFA" w:rsidRPr="00267433">
        <w:rPr>
          <w:rFonts w:ascii="Times New Roman" w:hAnsi="Times New Roman" w:cs="Times New Roman"/>
          <w:sz w:val="24"/>
        </w:rPr>
        <w:t xml:space="preserve">culture </w:t>
      </w:r>
      <w:r w:rsidR="00E71C37" w:rsidRPr="00267433">
        <w:rPr>
          <w:rFonts w:ascii="Times New Roman" w:hAnsi="Times New Roman" w:cs="Times New Roman"/>
          <w:sz w:val="24"/>
        </w:rPr>
        <w:t>could</w:t>
      </w:r>
      <w:r w:rsidR="00531867" w:rsidRPr="00267433">
        <w:rPr>
          <w:rFonts w:ascii="Times New Roman" w:hAnsi="Times New Roman" w:cs="Times New Roman"/>
          <w:sz w:val="24"/>
        </w:rPr>
        <w:t xml:space="preserve"> naturally</w:t>
      </w:r>
      <w:r w:rsidR="00A96CFA" w:rsidRPr="00267433">
        <w:rPr>
          <w:rFonts w:ascii="Times New Roman" w:hAnsi="Times New Roman" w:cs="Times New Roman"/>
          <w:sz w:val="24"/>
        </w:rPr>
        <w:t xml:space="preserve"> result</w:t>
      </w:r>
      <w:r w:rsidR="00531867" w:rsidRPr="00267433">
        <w:rPr>
          <w:rFonts w:ascii="Times New Roman" w:hAnsi="Times New Roman" w:cs="Times New Roman"/>
          <w:sz w:val="24"/>
        </w:rPr>
        <w:t xml:space="preserve"> </w:t>
      </w:r>
      <w:r w:rsidR="00A96CFA" w:rsidRPr="00267433">
        <w:rPr>
          <w:rFonts w:ascii="Times New Roman" w:hAnsi="Times New Roman" w:cs="Times New Roman"/>
          <w:sz w:val="24"/>
        </w:rPr>
        <w:t>in accidents.</w:t>
      </w:r>
      <w:r w:rsidR="00680D73" w:rsidRPr="00267433">
        <w:rPr>
          <w:rFonts w:ascii="Times New Roman" w:hAnsi="Times New Roman" w:cs="Times New Roman"/>
          <w:sz w:val="24"/>
        </w:rPr>
        <w:t xml:space="preserve"> On </w:t>
      </w:r>
      <w:r w:rsidR="00531867" w:rsidRPr="00267433">
        <w:rPr>
          <w:rFonts w:ascii="Times New Roman" w:hAnsi="Times New Roman" w:cs="Times New Roman"/>
          <w:sz w:val="24"/>
        </w:rPr>
        <w:t xml:space="preserve">the </w:t>
      </w:r>
      <w:r w:rsidR="00680D73" w:rsidRPr="00267433">
        <w:rPr>
          <w:rFonts w:ascii="Times New Roman" w:hAnsi="Times New Roman" w:cs="Times New Roman"/>
          <w:sz w:val="24"/>
        </w:rPr>
        <w:t>other hand, if in an organization</w:t>
      </w:r>
      <w:r w:rsidR="00531867" w:rsidRPr="00267433">
        <w:rPr>
          <w:rFonts w:ascii="Times New Roman" w:hAnsi="Times New Roman" w:cs="Times New Roman"/>
          <w:sz w:val="24"/>
        </w:rPr>
        <w:t>,</w:t>
      </w:r>
      <w:r w:rsidR="00680D73" w:rsidRPr="00267433">
        <w:rPr>
          <w:rFonts w:ascii="Times New Roman" w:hAnsi="Times New Roman" w:cs="Times New Roman"/>
          <w:sz w:val="24"/>
        </w:rPr>
        <w:t xml:space="preserve"> </w:t>
      </w:r>
      <w:r w:rsidR="00531867" w:rsidRPr="00267433">
        <w:rPr>
          <w:rFonts w:ascii="Times New Roman" w:hAnsi="Times New Roman" w:cs="Times New Roman"/>
          <w:sz w:val="24"/>
        </w:rPr>
        <w:t xml:space="preserve">health and </w:t>
      </w:r>
      <w:r w:rsidR="00680D73" w:rsidRPr="00267433">
        <w:rPr>
          <w:rFonts w:ascii="Times New Roman" w:hAnsi="Times New Roman" w:cs="Times New Roman"/>
          <w:sz w:val="24"/>
        </w:rPr>
        <w:t xml:space="preserve">safety </w:t>
      </w:r>
      <w:r w:rsidR="00531867" w:rsidRPr="00267433">
        <w:rPr>
          <w:rFonts w:ascii="Times New Roman" w:hAnsi="Times New Roman" w:cs="Times New Roman"/>
          <w:sz w:val="24"/>
        </w:rPr>
        <w:t>regulations</w:t>
      </w:r>
      <w:r w:rsidR="00680D73" w:rsidRPr="00267433">
        <w:rPr>
          <w:rFonts w:ascii="Times New Roman" w:hAnsi="Times New Roman" w:cs="Times New Roman"/>
          <w:sz w:val="24"/>
        </w:rPr>
        <w:t xml:space="preserve"> </w:t>
      </w:r>
      <w:r w:rsidR="00531867" w:rsidRPr="00267433">
        <w:rPr>
          <w:rFonts w:ascii="Times New Roman" w:hAnsi="Times New Roman" w:cs="Times New Roman"/>
          <w:sz w:val="24"/>
        </w:rPr>
        <w:t xml:space="preserve">are </w:t>
      </w:r>
      <w:r w:rsidR="00680D73" w:rsidRPr="00267433">
        <w:rPr>
          <w:rFonts w:ascii="Times New Roman" w:hAnsi="Times New Roman" w:cs="Times New Roman"/>
          <w:sz w:val="24"/>
        </w:rPr>
        <w:t>strictly followed by the management</w:t>
      </w:r>
      <w:r w:rsidR="00531867" w:rsidRPr="00267433">
        <w:rPr>
          <w:rFonts w:ascii="Times New Roman" w:hAnsi="Times New Roman" w:cs="Times New Roman"/>
          <w:sz w:val="24"/>
        </w:rPr>
        <w:t xml:space="preserve"> and employers</w:t>
      </w:r>
      <w:r w:rsidR="00680D73" w:rsidRPr="00267433">
        <w:rPr>
          <w:rFonts w:ascii="Times New Roman" w:hAnsi="Times New Roman" w:cs="Times New Roman"/>
          <w:sz w:val="24"/>
        </w:rPr>
        <w:t>, such organization will display a rich safety culture and the number of accidents will be comparatively low</w:t>
      </w:r>
      <w:r w:rsidR="008E431C" w:rsidRPr="00267433">
        <w:rPr>
          <w:rFonts w:ascii="Times New Roman" w:hAnsi="Times New Roman" w:cs="Times New Roman"/>
          <w:sz w:val="24"/>
        </w:rPr>
        <w:t>er</w:t>
      </w:r>
      <w:r w:rsidR="00680D73" w:rsidRPr="00267433">
        <w:rPr>
          <w:rFonts w:ascii="Times New Roman" w:hAnsi="Times New Roman" w:cs="Times New Roman"/>
          <w:sz w:val="24"/>
        </w:rPr>
        <w:t xml:space="preserve"> than </w:t>
      </w:r>
      <w:r w:rsidR="00A2283D" w:rsidRPr="00267433">
        <w:rPr>
          <w:rFonts w:ascii="Times New Roman" w:hAnsi="Times New Roman" w:cs="Times New Roman"/>
          <w:sz w:val="24"/>
        </w:rPr>
        <w:t xml:space="preserve">the </w:t>
      </w:r>
      <w:r w:rsidR="00680D73" w:rsidRPr="00267433">
        <w:rPr>
          <w:rFonts w:ascii="Times New Roman" w:hAnsi="Times New Roman" w:cs="Times New Roman"/>
          <w:sz w:val="24"/>
        </w:rPr>
        <w:t xml:space="preserve">organization </w:t>
      </w:r>
      <w:r w:rsidR="008E431C" w:rsidRPr="00267433">
        <w:rPr>
          <w:rFonts w:ascii="Times New Roman" w:hAnsi="Times New Roman" w:cs="Times New Roman"/>
          <w:sz w:val="24"/>
        </w:rPr>
        <w:t>with</w:t>
      </w:r>
      <w:r w:rsidR="00680D73" w:rsidRPr="00267433">
        <w:rPr>
          <w:rFonts w:ascii="Times New Roman" w:hAnsi="Times New Roman" w:cs="Times New Roman"/>
          <w:sz w:val="24"/>
        </w:rPr>
        <w:t xml:space="preserve"> a poor safety culture. Overall, safety culture is contributed by the </w:t>
      </w:r>
      <w:r w:rsidR="0039453D" w:rsidRPr="00267433">
        <w:rPr>
          <w:rFonts w:ascii="Times New Roman" w:hAnsi="Times New Roman" w:cs="Times New Roman"/>
          <w:sz w:val="24"/>
        </w:rPr>
        <w:t>workers;</w:t>
      </w:r>
      <w:r w:rsidR="00680D73" w:rsidRPr="00267433">
        <w:rPr>
          <w:rFonts w:ascii="Times New Roman" w:hAnsi="Times New Roman" w:cs="Times New Roman"/>
          <w:sz w:val="24"/>
        </w:rPr>
        <w:t xml:space="preserve"> however</w:t>
      </w:r>
      <w:r w:rsidR="008E431C" w:rsidRPr="00267433">
        <w:rPr>
          <w:rFonts w:ascii="Times New Roman" w:hAnsi="Times New Roman" w:cs="Times New Roman"/>
          <w:sz w:val="24"/>
        </w:rPr>
        <w:t>,</w:t>
      </w:r>
      <w:r w:rsidR="00680D73" w:rsidRPr="00267433">
        <w:rPr>
          <w:rFonts w:ascii="Times New Roman" w:hAnsi="Times New Roman" w:cs="Times New Roman"/>
          <w:sz w:val="24"/>
        </w:rPr>
        <w:t xml:space="preserve"> it is highly influenced by the organization</w:t>
      </w:r>
      <w:r w:rsidR="008E431C" w:rsidRPr="00267433">
        <w:rPr>
          <w:rFonts w:ascii="Times New Roman" w:hAnsi="Times New Roman" w:cs="Times New Roman"/>
          <w:sz w:val="24"/>
        </w:rPr>
        <w:t>’s</w:t>
      </w:r>
      <w:r w:rsidR="00680D73" w:rsidRPr="00267433">
        <w:rPr>
          <w:rFonts w:ascii="Times New Roman" w:hAnsi="Times New Roman" w:cs="Times New Roman"/>
          <w:sz w:val="24"/>
        </w:rPr>
        <w:t xml:space="preserve"> top </w:t>
      </w:r>
      <w:r w:rsidR="00680D73" w:rsidRPr="00267433">
        <w:rPr>
          <w:rFonts w:ascii="Times New Roman" w:hAnsi="Times New Roman" w:cs="Times New Roman"/>
          <w:sz w:val="24"/>
        </w:rPr>
        <w:lastRenderedPageBreak/>
        <w:t>management.</w:t>
      </w:r>
      <w:r w:rsidR="004421D7" w:rsidRPr="00267433">
        <w:rPr>
          <w:rFonts w:ascii="Times New Roman" w:hAnsi="Times New Roman" w:cs="Times New Roman"/>
          <w:sz w:val="24"/>
        </w:rPr>
        <w:t xml:space="preserve"> Some researchers</w:t>
      </w:r>
      <w:r w:rsidR="00A2283D" w:rsidRPr="00267433">
        <w:rPr>
          <w:rFonts w:ascii="Times New Roman" w:hAnsi="Times New Roman" w:cs="Times New Roman"/>
          <w:sz w:val="24"/>
        </w:rPr>
        <w:t>,</w:t>
      </w:r>
      <w:r w:rsidR="004421D7" w:rsidRPr="00267433">
        <w:rPr>
          <w:rFonts w:ascii="Times New Roman" w:hAnsi="Times New Roman" w:cs="Times New Roman"/>
          <w:sz w:val="24"/>
        </w:rPr>
        <w:t xml:space="preserve"> however, stress that safety is highly influenced by the worker</w:t>
      </w:r>
      <w:r w:rsidR="00A2283D" w:rsidRPr="00267433">
        <w:rPr>
          <w:rFonts w:ascii="Times New Roman" w:hAnsi="Times New Roman" w:cs="Times New Roman"/>
          <w:sz w:val="24"/>
        </w:rPr>
        <w:t>'</w:t>
      </w:r>
      <w:r w:rsidR="004421D7" w:rsidRPr="00267433">
        <w:rPr>
          <w:rFonts w:ascii="Times New Roman" w:hAnsi="Times New Roman" w:cs="Times New Roman"/>
          <w:sz w:val="24"/>
        </w:rPr>
        <w:t xml:space="preserve">s behaviors and </w:t>
      </w:r>
      <w:r w:rsidR="00931A10" w:rsidRPr="00267433">
        <w:rPr>
          <w:rFonts w:ascii="Times New Roman" w:hAnsi="Times New Roman" w:cs="Times New Roman"/>
          <w:sz w:val="24"/>
        </w:rPr>
        <w:t xml:space="preserve">thus </w:t>
      </w:r>
      <w:r w:rsidR="004421D7" w:rsidRPr="00267433">
        <w:rPr>
          <w:rFonts w:ascii="Times New Roman" w:hAnsi="Times New Roman" w:cs="Times New Roman"/>
          <w:sz w:val="24"/>
        </w:rPr>
        <w:t xml:space="preserve">considers that monitoring of such behavior is important to ensure a rich safety culture at </w:t>
      </w:r>
      <w:r w:rsidR="0069149F">
        <w:rPr>
          <w:rFonts w:ascii="Times New Roman" w:hAnsi="Times New Roman" w:cs="Times New Roman"/>
          <w:sz w:val="24"/>
        </w:rPr>
        <w:t xml:space="preserve">the </w:t>
      </w:r>
      <w:r w:rsidR="004421D7" w:rsidRPr="00267433">
        <w:rPr>
          <w:rFonts w:ascii="Times New Roman" w:hAnsi="Times New Roman" w:cs="Times New Roman"/>
          <w:sz w:val="24"/>
        </w:rPr>
        <w:t>workplace (</w:t>
      </w:r>
      <w:r w:rsidR="00255CD8" w:rsidRPr="00267433">
        <w:rPr>
          <w:rFonts w:ascii="Times New Roman" w:hAnsi="Times New Roman" w:cs="Times New Roman"/>
          <w:sz w:val="24"/>
        </w:rPr>
        <w:t xml:space="preserve">Lee et al., 2019). </w:t>
      </w:r>
    </w:p>
    <w:p w14:paraId="5442DE4A" w14:textId="2131AB71" w:rsidR="00F04AAF" w:rsidRPr="00267433" w:rsidRDefault="00856495" w:rsidP="006722CC">
      <w:pPr>
        <w:spacing w:line="360" w:lineRule="auto"/>
        <w:jc w:val="both"/>
        <w:rPr>
          <w:rFonts w:ascii="Times New Roman" w:hAnsi="Times New Roman" w:cs="Times New Roman"/>
          <w:sz w:val="24"/>
        </w:rPr>
      </w:pPr>
      <w:r w:rsidRPr="00267433">
        <w:rPr>
          <w:rFonts w:ascii="Times New Roman" w:hAnsi="Times New Roman" w:cs="Times New Roman"/>
          <w:sz w:val="24"/>
        </w:rPr>
        <w:t>The researchers defined the s</w:t>
      </w:r>
      <w:r w:rsidR="00E96C8D" w:rsidRPr="00267433">
        <w:rPr>
          <w:rFonts w:ascii="Times New Roman" w:hAnsi="Times New Roman" w:cs="Times New Roman"/>
          <w:sz w:val="24"/>
        </w:rPr>
        <w:t xml:space="preserve">afety climate </w:t>
      </w:r>
      <w:r w:rsidRPr="00267433">
        <w:rPr>
          <w:rFonts w:ascii="Times New Roman" w:hAnsi="Times New Roman" w:cs="Times New Roman"/>
          <w:sz w:val="24"/>
        </w:rPr>
        <w:t>a</w:t>
      </w:r>
      <w:r w:rsidR="00E96C8D" w:rsidRPr="00267433">
        <w:rPr>
          <w:rFonts w:ascii="Times New Roman" w:hAnsi="Times New Roman" w:cs="Times New Roman"/>
          <w:sz w:val="24"/>
        </w:rPr>
        <w:t>s a subset of organization</w:t>
      </w:r>
      <w:r w:rsidR="005D4251" w:rsidRPr="00267433">
        <w:rPr>
          <w:rFonts w:ascii="Times New Roman" w:hAnsi="Times New Roman" w:cs="Times New Roman"/>
          <w:sz w:val="24"/>
        </w:rPr>
        <w:t>al</w:t>
      </w:r>
      <w:r w:rsidR="00E96C8D" w:rsidRPr="00267433">
        <w:rPr>
          <w:rFonts w:ascii="Times New Roman" w:hAnsi="Times New Roman" w:cs="Times New Roman"/>
          <w:sz w:val="24"/>
        </w:rPr>
        <w:t xml:space="preserve"> climate which is based on the worker</w:t>
      </w:r>
      <w:r w:rsidR="005D4251" w:rsidRPr="00267433">
        <w:rPr>
          <w:rFonts w:ascii="Times New Roman" w:hAnsi="Times New Roman" w:cs="Times New Roman"/>
          <w:sz w:val="24"/>
        </w:rPr>
        <w:t>'</w:t>
      </w:r>
      <w:r w:rsidR="00E96C8D" w:rsidRPr="00267433">
        <w:rPr>
          <w:rFonts w:ascii="Times New Roman" w:hAnsi="Times New Roman" w:cs="Times New Roman"/>
          <w:sz w:val="24"/>
        </w:rPr>
        <w:t>s or employees</w:t>
      </w:r>
      <w:r w:rsidR="004C1338" w:rsidRPr="00267433">
        <w:rPr>
          <w:rFonts w:ascii="Times New Roman" w:hAnsi="Times New Roman" w:cs="Times New Roman"/>
          <w:sz w:val="24"/>
        </w:rPr>
        <w:t>’</w:t>
      </w:r>
      <w:r w:rsidR="00E96C8D" w:rsidRPr="00267433">
        <w:rPr>
          <w:rFonts w:ascii="Times New Roman" w:hAnsi="Times New Roman" w:cs="Times New Roman"/>
          <w:sz w:val="24"/>
        </w:rPr>
        <w:t xml:space="preserve"> perceptions. The assessment of safety climate is considered as a barometer of safety culture</w:t>
      </w:r>
      <w:r w:rsidR="004C1338" w:rsidRPr="00267433">
        <w:rPr>
          <w:rFonts w:ascii="Times New Roman" w:hAnsi="Times New Roman" w:cs="Times New Roman"/>
          <w:sz w:val="24"/>
        </w:rPr>
        <w:t>. T</w:t>
      </w:r>
      <w:r w:rsidR="00E96C8D" w:rsidRPr="00267433">
        <w:rPr>
          <w:rFonts w:ascii="Times New Roman" w:hAnsi="Times New Roman" w:cs="Times New Roman"/>
          <w:sz w:val="24"/>
        </w:rPr>
        <w:t>herefore</w:t>
      </w:r>
      <w:r w:rsidR="004C1338" w:rsidRPr="00267433">
        <w:rPr>
          <w:rFonts w:ascii="Times New Roman" w:hAnsi="Times New Roman" w:cs="Times New Roman"/>
          <w:sz w:val="24"/>
        </w:rPr>
        <w:t>,</w:t>
      </w:r>
      <w:r w:rsidR="00E96C8D" w:rsidRPr="00267433">
        <w:rPr>
          <w:rFonts w:ascii="Times New Roman" w:hAnsi="Times New Roman" w:cs="Times New Roman"/>
          <w:sz w:val="24"/>
        </w:rPr>
        <w:t xml:space="preserve"> a mature safety climate will reflect a rich safety culture</w:t>
      </w:r>
      <w:r w:rsidR="004B63AF" w:rsidRPr="00267433">
        <w:rPr>
          <w:rFonts w:ascii="Times New Roman" w:hAnsi="Times New Roman" w:cs="Times New Roman"/>
          <w:sz w:val="24"/>
        </w:rPr>
        <w:t xml:space="preserve"> (Zohar, 2002)</w:t>
      </w:r>
      <w:r w:rsidR="00E96C8D" w:rsidRPr="00267433">
        <w:rPr>
          <w:rFonts w:ascii="Times New Roman" w:hAnsi="Times New Roman" w:cs="Times New Roman"/>
          <w:sz w:val="24"/>
        </w:rPr>
        <w:t xml:space="preserve">. The results of </w:t>
      </w:r>
      <w:r w:rsidR="00A2283D" w:rsidRPr="00267433">
        <w:rPr>
          <w:rFonts w:ascii="Times New Roman" w:hAnsi="Times New Roman" w:cs="Times New Roman"/>
          <w:sz w:val="24"/>
        </w:rPr>
        <w:t xml:space="preserve">the </w:t>
      </w:r>
      <w:r w:rsidR="00E96C8D" w:rsidRPr="00267433">
        <w:rPr>
          <w:rFonts w:ascii="Times New Roman" w:hAnsi="Times New Roman" w:cs="Times New Roman"/>
          <w:sz w:val="24"/>
        </w:rPr>
        <w:t>safety climate</w:t>
      </w:r>
      <w:r w:rsidR="004058D4" w:rsidRPr="00267433">
        <w:rPr>
          <w:rFonts w:ascii="Times New Roman" w:hAnsi="Times New Roman" w:cs="Times New Roman"/>
          <w:sz w:val="24"/>
        </w:rPr>
        <w:t xml:space="preserve"> can be regarded more effective as it </w:t>
      </w:r>
      <w:r w:rsidR="00431AE0" w:rsidRPr="00267433">
        <w:rPr>
          <w:rFonts w:ascii="Times New Roman" w:hAnsi="Times New Roman" w:cs="Times New Roman"/>
          <w:sz w:val="24"/>
        </w:rPr>
        <w:t>informs</w:t>
      </w:r>
      <w:r w:rsidR="004058D4" w:rsidRPr="00267433">
        <w:rPr>
          <w:rFonts w:ascii="Times New Roman" w:hAnsi="Times New Roman" w:cs="Times New Roman"/>
          <w:sz w:val="24"/>
        </w:rPr>
        <w:t xml:space="preserve"> the management very clearly in which </w:t>
      </w:r>
      <w:r w:rsidR="00431AE0" w:rsidRPr="00267433">
        <w:rPr>
          <w:rFonts w:ascii="Times New Roman" w:hAnsi="Times New Roman" w:cs="Times New Roman"/>
          <w:sz w:val="24"/>
        </w:rPr>
        <w:t>areas</w:t>
      </w:r>
      <w:r w:rsidR="004058D4" w:rsidRPr="00267433">
        <w:rPr>
          <w:rFonts w:ascii="Times New Roman" w:hAnsi="Times New Roman" w:cs="Times New Roman"/>
          <w:sz w:val="24"/>
        </w:rPr>
        <w:t xml:space="preserve"> the organization need</w:t>
      </w:r>
      <w:r w:rsidRPr="00267433">
        <w:rPr>
          <w:rFonts w:ascii="Times New Roman" w:hAnsi="Times New Roman" w:cs="Times New Roman"/>
          <w:sz w:val="24"/>
        </w:rPr>
        <w:t>s</w:t>
      </w:r>
      <w:r w:rsidR="004058D4" w:rsidRPr="00267433">
        <w:rPr>
          <w:rFonts w:ascii="Times New Roman" w:hAnsi="Times New Roman" w:cs="Times New Roman"/>
          <w:sz w:val="24"/>
        </w:rPr>
        <w:t xml:space="preserve"> improvement to achieve the required level of maturity</w:t>
      </w:r>
      <w:r w:rsidR="004B63AF" w:rsidRPr="00267433">
        <w:rPr>
          <w:rFonts w:ascii="Times New Roman" w:hAnsi="Times New Roman" w:cs="Times New Roman"/>
          <w:sz w:val="24"/>
        </w:rPr>
        <w:t xml:space="preserve"> (</w:t>
      </w:r>
      <w:proofErr w:type="spellStart"/>
      <w:r w:rsidR="004B63AF" w:rsidRPr="00267433">
        <w:rPr>
          <w:rFonts w:ascii="Times New Roman" w:hAnsi="Times New Roman" w:cs="Times New Roman"/>
          <w:sz w:val="24"/>
        </w:rPr>
        <w:t>Kines</w:t>
      </w:r>
      <w:proofErr w:type="spellEnd"/>
      <w:r w:rsidR="004B63AF" w:rsidRPr="00267433">
        <w:rPr>
          <w:rFonts w:ascii="Times New Roman" w:hAnsi="Times New Roman" w:cs="Times New Roman"/>
          <w:sz w:val="24"/>
        </w:rPr>
        <w:t xml:space="preserve"> et al, 2011)</w:t>
      </w:r>
      <w:r w:rsidR="004058D4" w:rsidRPr="00267433">
        <w:rPr>
          <w:rFonts w:ascii="Times New Roman" w:hAnsi="Times New Roman" w:cs="Times New Roman"/>
          <w:sz w:val="24"/>
        </w:rPr>
        <w:t>. Worldwide,</w:t>
      </w:r>
      <w:r w:rsidR="00431AE0" w:rsidRPr="00267433">
        <w:rPr>
          <w:rFonts w:ascii="Times New Roman" w:hAnsi="Times New Roman" w:cs="Times New Roman"/>
          <w:sz w:val="24"/>
        </w:rPr>
        <w:t xml:space="preserve"> </w:t>
      </w:r>
      <w:r w:rsidRPr="00267433">
        <w:rPr>
          <w:rFonts w:ascii="Times New Roman" w:hAnsi="Times New Roman" w:cs="Times New Roman"/>
          <w:sz w:val="24"/>
        </w:rPr>
        <w:t xml:space="preserve">many </w:t>
      </w:r>
      <w:r w:rsidR="004058D4" w:rsidRPr="00267433">
        <w:rPr>
          <w:rFonts w:ascii="Times New Roman" w:hAnsi="Times New Roman" w:cs="Times New Roman"/>
          <w:sz w:val="24"/>
        </w:rPr>
        <w:t>tools</w:t>
      </w:r>
      <w:r w:rsidR="00431AE0" w:rsidRPr="00267433">
        <w:rPr>
          <w:rFonts w:ascii="Times New Roman" w:hAnsi="Times New Roman" w:cs="Times New Roman"/>
          <w:sz w:val="24"/>
        </w:rPr>
        <w:t xml:space="preserve"> have been</w:t>
      </w:r>
      <w:r w:rsidR="004058D4" w:rsidRPr="00267433">
        <w:rPr>
          <w:rFonts w:ascii="Times New Roman" w:hAnsi="Times New Roman" w:cs="Times New Roman"/>
          <w:sz w:val="24"/>
        </w:rPr>
        <w:t xml:space="preserve"> developed for the assessment of safety climate which </w:t>
      </w:r>
      <w:r w:rsidRPr="00267433">
        <w:rPr>
          <w:rFonts w:ascii="Times New Roman" w:hAnsi="Times New Roman" w:cs="Times New Roman"/>
          <w:sz w:val="24"/>
        </w:rPr>
        <w:t>w</w:t>
      </w:r>
      <w:r w:rsidR="005D4251" w:rsidRPr="00267433">
        <w:rPr>
          <w:rFonts w:ascii="Times New Roman" w:hAnsi="Times New Roman" w:cs="Times New Roman"/>
          <w:sz w:val="24"/>
        </w:rPr>
        <w:t>as</w:t>
      </w:r>
      <w:r w:rsidRPr="00267433">
        <w:rPr>
          <w:rFonts w:ascii="Times New Roman" w:hAnsi="Times New Roman" w:cs="Times New Roman"/>
          <w:sz w:val="24"/>
        </w:rPr>
        <w:t xml:space="preserve"> used in different</w:t>
      </w:r>
      <w:r w:rsidR="004058D4" w:rsidRPr="00267433">
        <w:rPr>
          <w:rFonts w:ascii="Times New Roman" w:hAnsi="Times New Roman" w:cs="Times New Roman"/>
          <w:sz w:val="24"/>
        </w:rPr>
        <w:t xml:space="preserve"> industries including construction</w:t>
      </w:r>
      <w:r w:rsidRPr="00267433">
        <w:rPr>
          <w:rFonts w:ascii="Times New Roman" w:hAnsi="Times New Roman" w:cs="Times New Roman"/>
          <w:sz w:val="24"/>
        </w:rPr>
        <w:t>. A</w:t>
      </w:r>
      <w:r w:rsidR="004058D4" w:rsidRPr="00267433">
        <w:rPr>
          <w:rFonts w:ascii="Times New Roman" w:hAnsi="Times New Roman" w:cs="Times New Roman"/>
          <w:sz w:val="24"/>
        </w:rPr>
        <w:t xml:space="preserve">lthough, there is no such tool developed or used in the GCC countries. </w:t>
      </w:r>
      <w:r w:rsidR="00144CBA" w:rsidRPr="00267433">
        <w:rPr>
          <w:rFonts w:ascii="Times New Roman" w:hAnsi="Times New Roman" w:cs="Times New Roman"/>
          <w:sz w:val="24"/>
        </w:rPr>
        <w:t xml:space="preserve">The construction industry in </w:t>
      </w:r>
      <w:r w:rsidR="00786043" w:rsidRPr="00267433">
        <w:rPr>
          <w:rFonts w:ascii="Times New Roman" w:hAnsi="Times New Roman" w:cs="Times New Roman"/>
          <w:sz w:val="24"/>
        </w:rPr>
        <w:t xml:space="preserve">the </w:t>
      </w:r>
      <w:r w:rsidR="00144CBA" w:rsidRPr="00267433">
        <w:rPr>
          <w:rFonts w:ascii="Times New Roman" w:hAnsi="Times New Roman" w:cs="Times New Roman"/>
          <w:sz w:val="24"/>
        </w:rPr>
        <w:t>GCC</w:t>
      </w:r>
      <w:r w:rsidR="00786043" w:rsidRPr="00267433">
        <w:rPr>
          <w:rFonts w:ascii="Times New Roman" w:hAnsi="Times New Roman" w:cs="Times New Roman"/>
          <w:sz w:val="24"/>
        </w:rPr>
        <w:t xml:space="preserve"> region</w:t>
      </w:r>
      <w:r w:rsidR="00144CBA" w:rsidRPr="00267433">
        <w:rPr>
          <w:rFonts w:ascii="Times New Roman" w:hAnsi="Times New Roman" w:cs="Times New Roman"/>
          <w:sz w:val="24"/>
        </w:rPr>
        <w:t xml:space="preserve"> has its own parameters.</w:t>
      </w:r>
      <w:r w:rsidRPr="00267433">
        <w:rPr>
          <w:rFonts w:ascii="Times New Roman" w:hAnsi="Times New Roman" w:cs="Times New Roman"/>
          <w:sz w:val="24"/>
        </w:rPr>
        <w:t xml:space="preserve"> For instance, the workforce, which is more than 90% expatriates, belongs to different South Asian countries. </w:t>
      </w:r>
      <w:r w:rsidR="00144CBA" w:rsidRPr="00267433">
        <w:rPr>
          <w:rFonts w:ascii="Times New Roman" w:hAnsi="Times New Roman" w:cs="Times New Roman"/>
          <w:sz w:val="24"/>
        </w:rPr>
        <w:t>A tool developed and used in the United Kingdom or United States may not be e</w:t>
      </w:r>
      <w:r w:rsidR="00F53F00" w:rsidRPr="00267433">
        <w:rPr>
          <w:rFonts w:ascii="Times New Roman" w:hAnsi="Times New Roman" w:cs="Times New Roman"/>
          <w:sz w:val="24"/>
        </w:rPr>
        <w:t>ffective</w:t>
      </w:r>
      <w:r w:rsidR="00114F8B" w:rsidRPr="00267433">
        <w:rPr>
          <w:rFonts w:ascii="Times New Roman" w:hAnsi="Times New Roman" w:cs="Times New Roman"/>
          <w:sz w:val="24"/>
        </w:rPr>
        <w:t xml:space="preserve"> to </w:t>
      </w:r>
      <w:r w:rsidRPr="00267433">
        <w:rPr>
          <w:rFonts w:ascii="Times New Roman" w:hAnsi="Times New Roman" w:cs="Times New Roman"/>
          <w:sz w:val="24"/>
        </w:rPr>
        <w:t>be adopted</w:t>
      </w:r>
      <w:r w:rsidR="00F53F00" w:rsidRPr="00267433">
        <w:rPr>
          <w:rFonts w:ascii="Times New Roman" w:hAnsi="Times New Roman" w:cs="Times New Roman"/>
          <w:sz w:val="24"/>
        </w:rPr>
        <w:t xml:space="preserve"> in </w:t>
      </w:r>
      <w:r w:rsidR="00114F8B" w:rsidRPr="00267433">
        <w:rPr>
          <w:rFonts w:ascii="Times New Roman" w:hAnsi="Times New Roman" w:cs="Times New Roman"/>
          <w:sz w:val="24"/>
        </w:rPr>
        <w:t xml:space="preserve">the </w:t>
      </w:r>
      <w:r w:rsidR="00F53F00" w:rsidRPr="00267433">
        <w:rPr>
          <w:rFonts w:ascii="Times New Roman" w:hAnsi="Times New Roman" w:cs="Times New Roman"/>
          <w:sz w:val="24"/>
        </w:rPr>
        <w:t xml:space="preserve">GCC countries due to a variety of factors pertaining to </w:t>
      </w:r>
      <w:r w:rsidR="0069149F">
        <w:rPr>
          <w:rFonts w:ascii="Times New Roman" w:hAnsi="Times New Roman" w:cs="Times New Roman"/>
          <w:sz w:val="24"/>
        </w:rPr>
        <w:t xml:space="preserve">the </w:t>
      </w:r>
      <w:r w:rsidR="00F53F00" w:rsidRPr="00267433">
        <w:rPr>
          <w:rFonts w:ascii="Times New Roman" w:hAnsi="Times New Roman" w:cs="Times New Roman"/>
          <w:sz w:val="24"/>
        </w:rPr>
        <w:t xml:space="preserve">industry itself.  </w:t>
      </w:r>
      <w:r w:rsidR="00144CBA" w:rsidRPr="00267433">
        <w:rPr>
          <w:rFonts w:ascii="Times New Roman" w:hAnsi="Times New Roman" w:cs="Times New Roman"/>
          <w:sz w:val="24"/>
        </w:rPr>
        <w:t>This clearly reflects that there could be a gap in understanding the safety climate factors which may have a high influence o</w:t>
      </w:r>
      <w:r w:rsidR="001333AB" w:rsidRPr="00267433">
        <w:rPr>
          <w:rFonts w:ascii="Times New Roman" w:hAnsi="Times New Roman" w:cs="Times New Roman"/>
          <w:sz w:val="24"/>
        </w:rPr>
        <w:t xml:space="preserve">n </w:t>
      </w:r>
      <w:r w:rsidR="00144CBA" w:rsidRPr="00267433">
        <w:rPr>
          <w:rFonts w:ascii="Times New Roman" w:hAnsi="Times New Roman" w:cs="Times New Roman"/>
          <w:sz w:val="24"/>
        </w:rPr>
        <w:t xml:space="preserve">the safety climate in the GCC countries. </w:t>
      </w:r>
    </w:p>
    <w:p w14:paraId="73239B90" w14:textId="2E96279A" w:rsidR="00D34ABD" w:rsidRPr="00267433" w:rsidRDefault="00D34ABD" w:rsidP="006722CC">
      <w:pPr>
        <w:spacing w:line="360" w:lineRule="auto"/>
        <w:jc w:val="both"/>
        <w:rPr>
          <w:rFonts w:ascii="Times New Roman" w:hAnsi="Times New Roman" w:cs="Times New Roman"/>
          <w:sz w:val="24"/>
        </w:rPr>
      </w:pPr>
      <w:r w:rsidRPr="00267433">
        <w:rPr>
          <w:rFonts w:ascii="Times New Roman" w:hAnsi="Times New Roman" w:cs="Times New Roman"/>
          <w:sz w:val="24"/>
        </w:rPr>
        <w:t>The results and discussion of the semi-structure</w:t>
      </w:r>
      <w:r w:rsidR="00A2283D" w:rsidRPr="00267433">
        <w:rPr>
          <w:rFonts w:ascii="Times New Roman" w:hAnsi="Times New Roman" w:cs="Times New Roman"/>
          <w:sz w:val="24"/>
        </w:rPr>
        <w:t>d</w:t>
      </w:r>
      <w:r w:rsidRPr="00267433">
        <w:rPr>
          <w:rFonts w:ascii="Times New Roman" w:hAnsi="Times New Roman" w:cs="Times New Roman"/>
          <w:sz w:val="24"/>
        </w:rPr>
        <w:t xml:space="preserve"> interview are provided in the next section. </w:t>
      </w:r>
    </w:p>
    <w:p w14:paraId="6F42C2BE" w14:textId="09AB48E2" w:rsidR="00336D5A" w:rsidRPr="00267433" w:rsidRDefault="00C250DD" w:rsidP="00C250DD">
      <w:pPr>
        <w:pStyle w:val="Heading2"/>
      </w:pPr>
      <w:r w:rsidRPr="00267433">
        <w:t>3.5.</w:t>
      </w:r>
      <w:r w:rsidR="00336D5A" w:rsidRPr="00267433">
        <w:t xml:space="preserve"> Results </w:t>
      </w:r>
      <w:r w:rsidR="00A36C3C" w:rsidRPr="00267433">
        <w:t xml:space="preserve">and Discussion </w:t>
      </w:r>
      <w:r w:rsidR="00336D5A" w:rsidRPr="00267433">
        <w:t>of Semi-Structure Interview:</w:t>
      </w:r>
    </w:p>
    <w:p w14:paraId="47754206" w14:textId="6D981E6A" w:rsidR="004F5364" w:rsidRPr="00267433" w:rsidRDefault="007E202F"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The above </w:t>
      </w:r>
      <w:r w:rsidR="0039453D" w:rsidRPr="00267433">
        <w:rPr>
          <w:rFonts w:ascii="Times New Roman" w:hAnsi="Times New Roman" w:cs="Times New Roman"/>
          <w:sz w:val="24"/>
        </w:rPr>
        <w:t>discussion shows</w:t>
      </w:r>
      <w:r w:rsidRPr="00267433">
        <w:rPr>
          <w:rFonts w:ascii="Times New Roman" w:hAnsi="Times New Roman" w:cs="Times New Roman"/>
          <w:sz w:val="24"/>
        </w:rPr>
        <w:t xml:space="preserve"> that there is potential for research in the areas </w:t>
      </w:r>
      <w:r w:rsidR="0078033C" w:rsidRPr="00267433">
        <w:rPr>
          <w:rFonts w:ascii="Times New Roman" w:hAnsi="Times New Roman" w:cs="Times New Roman"/>
          <w:sz w:val="24"/>
        </w:rPr>
        <w:t xml:space="preserve">of occupational </w:t>
      </w:r>
      <w:r w:rsidR="00856495" w:rsidRPr="00267433">
        <w:rPr>
          <w:rFonts w:ascii="Times New Roman" w:hAnsi="Times New Roman" w:cs="Times New Roman"/>
          <w:sz w:val="24"/>
        </w:rPr>
        <w:t>safety</w:t>
      </w:r>
      <w:r w:rsidR="0078033C" w:rsidRPr="00267433">
        <w:rPr>
          <w:rFonts w:ascii="Times New Roman" w:hAnsi="Times New Roman" w:cs="Times New Roman"/>
          <w:sz w:val="24"/>
        </w:rPr>
        <w:t xml:space="preserve"> </w:t>
      </w:r>
      <w:r w:rsidR="001333AB" w:rsidRPr="00267433">
        <w:rPr>
          <w:rFonts w:ascii="Times New Roman" w:hAnsi="Times New Roman" w:cs="Times New Roman"/>
          <w:sz w:val="24"/>
        </w:rPr>
        <w:t xml:space="preserve">and </w:t>
      </w:r>
      <w:r w:rsidR="00856495" w:rsidRPr="00267433">
        <w:rPr>
          <w:rFonts w:ascii="Times New Roman" w:hAnsi="Times New Roman" w:cs="Times New Roman"/>
          <w:sz w:val="24"/>
        </w:rPr>
        <w:t>health</w:t>
      </w:r>
      <w:r w:rsidR="001333AB" w:rsidRPr="00267433">
        <w:rPr>
          <w:rFonts w:ascii="Times New Roman" w:hAnsi="Times New Roman" w:cs="Times New Roman"/>
          <w:sz w:val="24"/>
        </w:rPr>
        <w:t xml:space="preserve"> </w:t>
      </w:r>
      <w:r w:rsidR="0078033C" w:rsidRPr="00267433">
        <w:rPr>
          <w:rFonts w:ascii="Times New Roman" w:hAnsi="Times New Roman" w:cs="Times New Roman"/>
          <w:sz w:val="24"/>
        </w:rPr>
        <w:t xml:space="preserve">in construction not only in the </w:t>
      </w:r>
      <w:r w:rsidR="00416FC4" w:rsidRPr="00267433">
        <w:rPr>
          <w:rFonts w:ascii="Times New Roman" w:hAnsi="Times New Roman" w:cs="Times New Roman"/>
          <w:sz w:val="24"/>
        </w:rPr>
        <w:t>GCC countries</w:t>
      </w:r>
      <w:r w:rsidR="0078033C" w:rsidRPr="00267433">
        <w:rPr>
          <w:rFonts w:ascii="Times New Roman" w:hAnsi="Times New Roman" w:cs="Times New Roman"/>
          <w:sz w:val="24"/>
        </w:rPr>
        <w:t xml:space="preserve"> but worldwide.</w:t>
      </w:r>
      <w:r w:rsidR="00416FC4" w:rsidRPr="00267433">
        <w:rPr>
          <w:rFonts w:ascii="Times New Roman" w:hAnsi="Times New Roman" w:cs="Times New Roman"/>
          <w:sz w:val="24"/>
        </w:rPr>
        <w:t xml:space="preserve"> The themes of such research may include the causes of accidents</w:t>
      </w:r>
      <w:r w:rsidR="00856495" w:rsidRPr="00267433">
        <w:rPr>
          <w:rFonts w:ascii="Times New Roman" w:hAnsi="Times New Roman" w:cs="Times New Roman"/>
          <w:sz w:val="24"/>
        </w:rPr>
        <w:t>;</w:t>
      </w:r>
      <w:r w:rsidR="00416FC4" w:rsidRPr="00267433">
        <w:rPr>
          <w:rFonts w:ascii="Times New Roman" w:hAnsi="Times New Roman" w:cs="Times New Roman"/>
          <w:sz w:val="24"/>
        </w:rPr>
        <w:t xml:space="preserve"> </w:t>
      </w:r>
      <w:r w:rsidR="00856495" w:rsidRPr="00267433">
        <w:rPr>
          <w:rFonts w:ascii="Times New Roman" w:hAnsi="Times New Roman" w:cs="Times New Roman"/>
          <w:sz w:val="24"/>
        </w:rPr>
        <w:t xml:space="preserve">the </w:t>
      </w:r>
      <w:r w:rsidR="00A01789" w:rsidRPr="00267433">
        <w:rPr>
          <w:rFonts w:ascii="Times New Roman" w:hAnsi="Times New Roman" w:cs="Times New Roman"/>
          <w:sz w:val="24"/>
        </w:rPr>
        <w:t>cost</w:t>
      </w:r>
      <w:r w:rsidR="00856495" w:rsidRPr="00267433">
        <w:rPr>
          <w:rFonts w:ascii="Times New Roman" w:hAnsi="Times New Roman" w:cs="Times New Roman"/>
          <w:sz w:val="24"/>
        </w:rPr>
        <w:t>s</w:t>
      </w:r>
      <w:r w:rsidR="00A01789" w:rsidRPr="00267433">
        <w:rPr>
          <w:rFonts w:ascii="Times New Roman" w:hAnsi="Times New Roman" w:cs="Times New Roman"/>
          <w:sz w:val="24"/>
        </w:rPr>
        <w:t xml:space="preserve"> of accidents</w:t>
      </w:r>
      <w:r w:rsidR="00856495" w:rsidRPr="00267433">
        <w:rPr>
          <w:rFonts w:ascii="Times New Roman" w:hAnsi="Times New Roman" w:cs="Times New Roman"/>
          <w:sz w:val="24"/>
        </w:rPr>
        <w:t>; the</w:t>
      </w:r>
      <w:r w:rsidR="00A01789" w:rsidRPr="00267433">
        <w:rPr>
          <w:rFonts w:ascii="Times New Roman" w:hAnsi="Times New Roman" w:cs="Times New Roman"/>
          <w:sz w:val="24"/>
        </w:rPr>
        <w:t xml:space="preserve"> </w:t>
      </w:r>
      <w:r w:rsidR="007B769D" w:rsidRPr="00267433">
        <w:rPr>
          <w:rFonts w:ascii="Times New Roman" w:hAnsi="Times New Roman" w:cs="Times New Roman"/>
          <w:sz w:val="24"/>
        </w:rPr>
        <w:t>heat stre</w:t>
      </w:r>
      <w:r w:rsidR="00856495" w:rsidRPr="00267433">
        <w:rPr>
          <w:rFonts w:ascii="Times New Roman" w:hAnsi="Times New Roman" w:cs="Times New Roman"/>
          <w:sz w:val="24"/>
        </w:rPr>
        <w:t xml:space="preserve">ss; the </w:t>
      </w:r>
      <w:r w:rsidR="007B769D" w:rsidRPr="00267433">
        <w:rPr>
          <w:rFonts w:ascii="Times New Roman" w:hAnsi="Times New Roman" w:cs="Times New Roman"/>
          <w:sz w:val="24"/>
        </w:rPr>
        <w:t xml:space="preserve">occupational health </w:t>
      </w:r>
      <w:r w:rsidR="002E6342" w:rsidRPr="00267433">
        <w:rPr>
          <w:rFonts w:ascii="Times New Roman" w:hAnsi="Times New Roman" w:cs="Times New Roman"/>
          <w:sz w:val="24"/>
        </w:rPr>
        <w:t xml:space="preserve">and safety </w:t>
      </w:r>
      <w:r w:rsidR="007B769D" w:rsidRPr="00267433">
        <w:rPr>
          <w:rFonts w:ascii="Times New Roman" w:hAnsi="Times New Roman" w:cs="Times New Roman"/>
          <w:sz w:val="24"/>
        </w:rPr>
        <w:t>regulations</w:t>
      </w:r>
      <w:r w:rsidR="00856495" w:rsidRPr="00267433">
        <w:rPr>
          <w:rFonts w:ascii="Times New Roman" w:hAnsi="Times New Roman" w:cs="Times New Roman"/>
          <w:sz w:val="24"/>
        </w:rPr>
        <w:t>;</w:t>
      </w:r>
      <w:r w:rsidR="007B769D" w:rsidRPr="00267433">
        <w:rPr>
          <w:rFonts w:ascii="Times New Roman" w:hAnsi="Times New Roman" w:cs="Times New Roman"/>
          <w:sz w:val="24"/>
        </w:rPr>
        <w:t xml:space="preserve"> </w:t>
      </w:r>
      <w:r w:rsidR="006B775B" w:rsidRPr="00267433">
        <w:rPr>
          <w:rFonts w:ascii="Times New Roman" w:hAnsi="Times New Roman" w:cs="Times New Roman"/>
          <w:sz w:val="24"/>
        </w:rPr>
        <w:t>worker</w:t>
      </w:r>
      <w:r w:rsidR="002A3B4F" w:rsidRPr="00267433">
        <w:rPr>
          <w:rFonts w:ascii="Times New Roman" w:hAnsi="Times New Roman" w:cs="Times New Roman"/>
          <w:sz w:val="24"/>
        </w:rPr>
        <w:t>'</w:t>
      </w:r>
      <w:r w:rsidR="006B775B" w:rsidRPr="00267433">
        <w:rPr>
          <w:rFonts w:ascii="Times New Roman" w:hAnsi="Times New Roman" w:cs="Times New Roman"/>
          <w:sz w:val="24"/>
        </w:rPr>
        <w:t>s wellbeing and health</w:t>
      </w:r>
      <w:r w:rsidR="00856495" w:rsidRPr="00267433">
        <w:rPr>
          <w:rFonts w:ascii="Times New Roman" w:hAnsi="Times New Roman" w:cs="Times New Roman"/>
          <w:sz w:val="24"/>
        </w:rPr>
        <w:t xml:space="preserve">; </w:t>
      </w:r>
      <w:r w:rsidR="006B775B" w:rsidRPr="00267433">
        <w:rPr>
          <w:rFonts w:ascii="Times New Roman" w:hAnsi="Times New Roman" w:cs="Times New Roman"/>
          <w:sz w:val="24"/>
        </w:rPr>
        <w:t>and the safety climate.</w:t>
      </w:r>
      <w:r w:rsidR="00D42D84" w:rsidRPr="00267433">
        <w:rPr>
          <w:rFonts w:ascii="Times New Roman" w:hAnsi="Times New Roman" w:cs="Times New Roman"/>
          <w:sz w:val="24"/>
        </w:rPr>
        <w:t xml:space="preserve"> To confirm the above key areas for</w:t>
      </w:r>
      <w:r w:rsidR="004C12D6" w:rsidRPr="00267433">
        <w:rPr>
          <w:rFonts w:ascii="Times New Roman" w:hAnsi="Times New Roman" w:cs="Times New Roman"/>
          <w:sz w:val="24"/>
        </w:rPr>
        <w:t xml:space="preserve"> </w:t>
      </w:r>
      <w:r w:rsidR="00D42D84" w:rsidRPr="00267433">
        <w:rPr>
          <w:rFonts w:ascii="Times New Roman" w:hAnsi="Times New Roman" w:cs="Times New Roman"/>
          <w:sz w:val="24"/>
        </w:rPr>
        <w:t>research</w:t>
      </w:r>
      <w:r w:rsidR="004C12D6" w:rsidRPr="00267433">
        <w:rPr>
          <w:rFonts w:ascii="Times New Roman" w:hAnsi="Times New Roman" w:cs="Times New Roman"/>
          <w:sz w:val="24"/>
        </w:rPr>
        <w:t xml:space="preserve"> which could lead the construction organizations to improve their </w:t>
      </w:r>
      <w:r w:rsidR="007626F9" w:rsidRPr="00267433">
        <w:rPr>
          <w:rFonts w:ascii="Times New Roman" w:hAnsi="Times New Roman" w:cs="Times New Roman"/>
          <w:sz w:val="24"/>
        </w:rPr>
        <w:t>safety</w:t>
      </w:r>
      <w:r w:rsidR="004C12D6" w:rsidRPr="00267433">
        <w:rPr>
          <w:rFonts w:ascii="Times New Roman" w:hAnsi="Times New Roman" w:cs="Times New Roman"/>
          <w:sz w:val="24"/>
        </w:rPr>
        <w:t xml:space="preserve"> and </w:t>
      </w:r>
      <w:r w:rsidR="007626F9" w:rsidRPr="00267433">
        <w:rPr>
          <w:rFonts w:ascii="Times New Roman" w:hAnsi="Times New Roman" w:cs="Times New Roman"/>
          <w:sz w:val="24"/>
        </w:rPr>
        <w:t>health</w:t>
      </w:r>
      <w:r w:rsidR="004C12D6" w:rsidRPr="00267433">
        <w:rPr>
          <w:rFonts w:ascii="Times New Roman" w:hAnsi="Times New Roman" w:cs="Times New Roman"/>
          <w:sz w:val="24"/>
        </w:rPr>
        <w:t xml:space="preserve"> performance, </w:t>
      </w:r>
      <w:r w:rsidR="00B0659F" w:rsidRPr="00267433">
        <w:rPr>
          <w:rFonts w:ascii="Times New Roman" w:hAnsi="Times New Roman" w:cs="Times New Roman"/>
          <w:sz w:val="24"/>
        </w:rPr>
        <w:t>a total of 12 interviews with the main stakeholders across the GCC countries were conducted.</w:t>
      </w:r>
      <w:r w:rsidR="00BC391C" w:rsidRPr="00267433">
        <w:rPr>
          <w:rFonts w:ascii="Times New Roman" w:hAnsi="Times New Roman" w:cs="Times New Roman"/>
          <w:sz w:val="24"/>
        </w:rPr>
        <w:t xml:space="preserve"> An approach of semi-structured interview</w:t>
      </w:r>
      <w:r w:rsidR="002A3B4F" w:rsidRPr="00267433">
        <w:rPr>
          <w:rFonts w:ascii="Times New Roman" w:hAnsi="Times New Roman" w:cs="Times New Roman"/>
          <w:sz w:val="24"/>
        </w:rPr>
        <w:t>s</w:t>
      </w:r>
      <w:r w:rsidR="00CE179C" w:rsidRPr="00267433">
        <w:rPr>
          <w:rFonts w:ascii="Times New Roman" w:hAnsi="Times New Roman" w:cs="Times New Roman"/>
          <w:sz w:val="24"/>
        </w:rPr>
        <w:t xml:space="preserve"> explained by Umar and </w:t>
      </w:r>
      <w:proofErr w:type="spellStart"/>
      <w:r w:rsidR="00CE179C" w:rsidRPr="00267433">
        <w:rPr>
          <w:rFonts w:ascii="Times New Roman" w:hAnsi="Times New Roman" w:cs="Times New Roman"/>
          <w:sz w:val="24"/>
        </w:rPr>
        <w:t>Egbu</w:t>
      </w:r>
      <w:proofErr w:type="spellEnd"/>
      <w:r w:rsidR="00CE179C" w:rsidRPr="00267433">
        <w:rPr>
          <w:rFonts w:ascii="Times New Roman" w:hAnsi="Times New Roman" w:cs="Times New Roman"/>
          <w:sz w:val="24"/>
        </w:rPr>
        <w:t xml:space="preserve"> (2018</w:t>
      </w:r>
      <w:r w:rsidR="005D5148" w:rsidRPr="00267433">
        <w:rPr>
          <w:rFonts w:ascii="Times New Roman" w:hAnsi="Times New Roman" w:cs="Times New Roman"/>
          <w:sz w:val="24"/>
        </w:rPr>
        <w:t>-b</w:t>
      </w:r>
      <w:r w:rsidR="00CE179C" w:rsidRPr="00267433">
        <w:rPr>
          <w:rFonts w:ascii="Times New Roman" w:hAnsi="Times New Roman" w:cs="Times New Roman"/>
          <w:sz w:val="24"/>
        </w:rPr>
        <w:t>)</w:t>
      </w:r>
      <w:r w:rsidR="00BC391C" w:rsidRPr="00267433">
        <w:rPr>
          <w:rFonts w:ascii="Times New Roman" w:hAnsi="Times New Roman" w:cs="Times New Roman"/>
          <w:sz w:val="24"/>
        </w:rPr>
        <w:t xml:space="preserve"> was considered to be best suited in this situation.</w:t>
      </w:r>
      <w:r w:rsidR="00B0659F" w:rsidRPr="00267433">
        <w:rPr>
          <w:rFonts w:ascii="Times New Roman" w:hAnsi="Times New Roman" w:cs="Times New Roman"/>
          <w:sz w:val="24"/>
        </w:rPr>
        <w:t xml:space="preserve"> </w:t>
      </w:r>
      <w:r w:rsidR="00F75A22" w:rsidRPr="00267433">
        <w:rPr>
          <w:rFonts w:ascii="Times New Roman" w:hAnsi="Times New Roman" w:cs="Times New Roman"/>
          <w:sz w:val="24"/>
        </w:rPr>
        <w:t xml:space="preserve">All the interviewees agreed that much need to be done to improve the occupational safety and health in the region. The key </w:t>
      </w:r>
      <w:r w:rsidR="004F5364" w:rsidRPr="00267433">
        <w:rPr>
          <w:rFonts w:ascii="Times New Roman" w:hAnsi="Times New Roman" w:cs="Times New Roman"/>
          <w:sz w:val="24"/>
        </w:rPr>
        <w:t xml:space="preserve">areas for research </w:t>
      </w:r>
      <w:r w:rsidR="007626F9" w:rsidRPr="00267433">
        <w:rPr>
          <w:rFonts w:ascii="Times New Roman" w:hAnsi="Times New Roman" w:cs="Times New Roman"/>
          <w:sz w:val="24"/>
        </w:rPr>
        <w:t>that</w:t>
      </w:r>
      <w:r w:rsidR="004F5364" w:rsidRPr="00267433">
        <w:rPr>
          <w:rFonts w:ascii="Times New Roman" w:hAnsi="Times New Roman" w:cs="Times New Roman"/>
          <w:sz w:val="24"/>
        </w:rPr>
        <w:t xml:space="preserve"> </w:t>
      </w:r>
      <w:r w:rsidR="007626F9" w:rsidRPr="00267433">
        <w:rPr>
          <w:rFonts w:ascii="Times New Roman" w:hAnsi="Times New Roman" w:cs="Times New Roman"/>
          <w:sz w:val="24"/>
        </w:rPr>
        <w:t>could</w:t>
      </w:r>
      <w:r w:rsidR="004F5364" w:rsidRPr="00267433">
        <w:rPr>
          <w:rFonts w:ascii="Times New Roman" w:hAnsi="Times New Roman" w:cs="Times New Roman"/>
          <w:sz w:val="24"/>
        </w:rPr>
        <w:t xml:space="preserve"> improve the safety and health in the GCC construction reported by the interviewees include the following components:</w:t>
      </w:r>
    </w:p>
    <w:p w14:paraId="0951AC68" w14:textId="0485A6A1" w:rsidR="004F5364"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lastRenderedPageBreak/>
        <w:t xml:space="preserve">a) </w:t>
      </w:r>
      <w:r w:rsidR="00A05279" w:rsidRPr="00267433">
        <w:rPr>
          <w:rFonts w:ascii="Times New Roman" w:hAnsi="Times New Roman" w:cs="Times New Roman"/>
          <w:b/>
          <w:i/>
          <w:sz w:val="24"/>
        </w:rPr>
        <w:t>Causes of accidents:</w:t>
      </w:r>
      <w:r w:rsidR="00A05279" w:rsidRPr="00267433">
        <w:rPr>
          <w:rFonts w:ascii="Times New Roman" w:hAnsi="Times New Roman" w:cs="Times New Roman"/>
          <w:sz w:val="24"/>
        </w:rPr>
        <w:t xml:space="preserve"> </w:t>
      </w:r>
      <w:r w:rsidRPr="00267433">
        <w:rPr>
          <w:rFonts w:ascii="Times New Roman" w:hAnsi="Times New Roman" w:cs="Times New Roman"/>
          <w:sz w:val="24"/>
        </w:rPr>
        <w:t xml:space="preserve">Construction organizations should properly evaluate the causes of accidents to effectively make </w:t>
      </w:r>
      <w:r w:rsidR="00AA06A6" w:rsidRPr="00267433">
        <w:rPr>
          <w:rFonts w:ascii="Times New Roman" w:hAnsi="Times New Roman" w:cs="Times New Roman"/>
          <w:sz w:val="24"/>
        </w:rPr>
        <w:t xml:space="preserve">preventive </w:t>
      </w:r>
      <w:r w:rsidRPr="00267433">
        <w:rPr>
          <w:rFonts w:ascii="Times New Roman" w:hAnsi="Times New Roman" w:cs="Times New Roman"/>
          <w:sz w:val="24"/>
        </w:rPr>
        <w:t>strategies to avoid such accidents in their future projects</w:t>
      </w:r>
      <w:r w:rsidR="00AA06A6" w:rsidRPr="00267433">
        <w:rPr>
          <w:rFonts w:ascii="Times New Roman" w:hAnsi="Times New Roman" w:cs="Times New Roman"/>
          <w:sz w:val="24"/>
        </w:rPr>
        <w:t>.</w:t>
      </w:r>
    </w:p>
    <w:p w14:paraId="2D177DDF" w14:textId="340E13D5" w:rsidR="004F5364"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b) </w:t>
      </w:r>
      <w:r w:rsidR="00A05279" w:rsidRPr="00267433">
        <w:rPr>
          <w:rFonts w:ascii="Times New Roman" w:hAnsi="Times New Roman" w:cs="Times New Roman"/>
          <w:b/>
          <w:i/>
          <w:sz w:val="24"/>
        </w:rPr>
        <w:t>Cost</w:t>
      </w:r>
      <w:r w:rsidR="00AA06A6" w:rsidRPr="00267433">
        <w:rPr>
          <w:rFonts w:ascii="Times New Roman" w:hAnsi="Times New Roman" w:cs="Times New Roman"/>
          <w:b/>
          <w:i/>
          <w:sz w:val="24"/>
        </w:rPr>
        <w:t>s</w:t>
      </w:r>
      <w:r w:rsidR="00A05279" w:rsidRPr="00267433">
        <w:rPr>
          <w:rFonts w:ascii="Times New Roman" w:hAnsi="Times New Roman" w:cs="Times New Roman"/>
          <w:b/>
          <w:i/>
          <w:sz w:val="24"/>
        </w:rPr>
        <w:t xml:space="preserve"> of accidents: </w:t>
      </w:r>
      <w:r w:rsidRPr="00267433">
        <w:rPr>
          <w:rFonts w:ascii="Times New Roman" w:hAnsi="Times New Roman" w:cs="Times New Roman"/>
          <w:sz w:val="24"/>
        </w:rPr>
        <w:t>Construction organizations in the region should have a better understanding o</w:t>
      </w:r>
      <w:r w:rsidR="002A3B4F" w:rsidRPr="00267433">
        <w:rPr>
          <w:rFonts w:ascii="Times New Roman" w:hAnsi="Times New Roman" w:cs="Times New Roman"/>
          <w:sz w:val="24"/>
        </w:rPr>
        <w:t>f</w:t>
      </w:r>
      <w:r w:rsidRPr="00267433">
        <w:rPr>
          <w:rFonts w:ascii="Times New Roman" w:hAnsi="Times New Roman" w:cs="Times New Roman"/>
          <w:sz w:val="24"/>
        </w:rPr>
        <w:t xml:space="preserve"> the cost</w:t>
      </w:r>
      <w:r w:rsidR="00AA06A6" w:rsidRPr="00267433">
        <w:rPr>
          <w:rFonts w:ascii="Times New Roman" w:hAnsi="Times New Roman" w:cs="Times New Roman"/>
          <w:sz w:val="24"/>
        </w:rPr>
        <w:t xml:space="preserve">s </w:t>
      </w:r>
      <w:r w:rsidRPr="00267433">
        <w:rPr>
          <w:rFonts w:ascii="Times New Roman" w:hAnsi="Times New Roman" w:cs="Times New Roman"/>
          <w:sz w:val="24"/>
        </w:rPr>
        <w:t xml:space="preserve">of accidents and </w:t>
      </w:r>
      <w:r w:rsidR="00AA06A6" w:rsidRPr="00267433">
        <w:rPr>
          <w:rFonts w:ascii="Times New Roman" w:hAnsi="Times New Roman" w:cs="Times New Roman"/>
          <w:sz w:val="24"/>
        </w:rPr>
        <w:t>the costs of accidents</w:t>
      </w:r>
      <w:r w:rsidRPr="00267433">
        <w:rPr>
          <w:rFonts w:ascii="Times New Roman" w:hAnsi="Times New Roman" w:cs="Times New Roman"/>
          <w:sz w:val="24"/>
        </w:rPr>
        <w:t xml:space="preserve"> prevention.</w:t>
      </w:r>
    </w:p>
    <w:p w14:paraId="6845C51F" w14:textId="7E9D785D" w:rsidR="004F5364"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c) </w:t>
      </w:r>
      <w:r w:rsidR="00A05279" w:rsidRPr="00267433">
        <w:rPr>
          <w:rFonts w:ascii="Times New Roman" w:hAnsi="Times New Roman" w:cs="Times New Roman"/>
          <w:b/>
          <w:i/>
          <w:sz w:val="24"/>
        </w:rPr>
        <w:t xml:space="preserve">Heat stress: </w:t>
      </w:r>
      <w:r w:rsidRPr="00267433">
        <w:rPr>
          <w:rFonts w:ascii="Times New Roman" w:hAnsi="Times New Roman" w:cs="Times New Roman"/>
          <w:sz w:val="24"/>
        </w:rPr>
        <w:t>Construction Managers in construction organizations should effectively protect their worker</w:t>
      </w:r>
      <w:r w:rsidR="002A3B4F" w:rsidRPr="00267433">
        <w:rPr>
          <w:rFonts w:ascii="Times New Roman" w:hAnsi="Times New Roman" w:cs="Times New Roman"/>
          <w:sz w:val="24"/>
        </w:rPr>
        <w:t>s</w:t>
      </w:r>
      <w:r w:rsidRPr="00267433">
        <w:rPr>
          <w:rFonts w:ascii="Times New Roman" w:hAnsi="Times New Roman" w:cs="Times New Roman"/>
          <w:sz w:val="24"/>
        </w:rPr>
        <w:t xml:space="preserve"> from heat stress.</w:t>
      </w:r>
    </w:p>
    <w:p w14:paraId="2E9B137C" w14:textId="2100D8D5" w:rsidR="004F5364"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d) </w:t>
      </w:r>
      <w:r w:rsidR="00A05279" w:rsidRPr="00267433">
        <w:rPr>
          <w:rFonts w:ascii="Times New Roman" w:hAnsi="Times New Roman" w:cs="Times New Roman"/>
          <w:b/>
          <w:i/>
          <w:sz w:val="24"/>
        </w:rPr>
        <w:t>Occupational safety and health regulations:</w:t>
      </w:r>
      <w:r w:rsidR="00A05279" w:rsidRPr="00267433">
        <w:rPr>
          <w:rFonts w:ascii="Times New Roman" w:hAnsi="Times New Roman" w:cs="Times New Roman"/>
          <w:sz w:val="24"/>
        </w:rPr>
        <w:t xml:space="preserve"> </w:t>
      </w:r>
      <w:r w:rsidRPr="00267433">
        <w:rPr>
          <w:rFonts w:ascii="Times New Roman" w:hAnsi="Times New Roman" w:cs="Times New Roman"/>
          <w:sz w:val="24"/>
        </w:rPr>
        <w:t xml:space="preserve">Both the workers and construction organizations should be </w:t>
      </w:r>
      <w:r w:rsidR="00AA06A6" w:rsidRPr="00267433">
        <w:rPr>
          <w:rFonts w:ascii="Times New Roman" w:hAnsi="Times New Roman" w:cs="Times New Roman"/>
          <w:sz w:val="24"/>
        </w:rPr>
        <w:t>aware</w:t>
      </w:r>
      <w:r w:rsidRPr="00267433">
        <w:rPr>
          <w:rFonts w:ascii="Times New Roman" w:hAnsi="Times New Roman" w:cs="Times New Roman"/>
          <w:sz w:val="24"/>
        </w:rPr>
        <w:t xml:space="preserve"> of occupational safety and health regulations. </w:t>
      </w:r>
      <w:r w:rsidR="002A3B4F" w:rsidRPr="00267433">
        <w:rPr>
          <w:rFonts w:ascii="Times New Roman" w:hAnsi="Times New Roman" w:cs="Times New Roman"/>
          <w:sz w:val="24"/>
        </w:rPr>
        <w:t>O</w:t>
      </w:r>
      <w:r w:rsidRPr="00267433">
        <w:rPr>
          <w:rFonts w:ascii="Times New Roman" w:hAnsi="Times New Roman" w:cs="Times New Roman"/>
          <w:sz w:val="24"/>
        </w:rPr>
        <w:t>ccupational safety and health regulations should be carefully review</w:t>
      </w:r>
      <w:r w:rsidR="002A3B4F" w:rsidRPr="00267433">
        <w:rPr>
          <w:rFonts w:ascii="Times New Roman" w:hAnsi="Times New Roman" w:cs="Times New Roman"/>
          <w:sz w:val="24"/>
        </w:rPr>
        <w:t>ed</w:t>
      </w:r>
      <w:r w:rsidRPr="00267433">
        <w:rPr>
          <w:rFonts w:ascii="Times New Roman" w:hAnsi="Times New Roman" w:cs="Times New Roman"/>
          <w:sz w:val="24"/>
        </w:rPr>
        <w:t xml:space="preserve"> periodically.</w:t>
      </w:r>
    </w:p>
    <w:p w14:paraId="642BAE66" w14:textId="00308238" w:rsidR="004F5364"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e) </w:t>
      </w:r>
      <w:r w:rsidRPr="00267433">
        <w:rPr>
          <w:rFonts w:ascii="Times New Roman" w:hAnsi="Times New Roman" w:cs="Times New Roman"/>
          <w:b/>
          <w:i/>
          <w:sz w:val="24"/>
        </w:rPr>
        <w:t>Worker wellbeing</w:t>
      </w:r>
      <w:r w:rsidR="00A05279" w:rsidRPr="00267433">
        <w:rPr>
          <w:rFonts w:ascii="Times New Roman" w:hAnsi="Times New Roman" w:cs="Times New Roman"/>
          <w:b/>
          <w:i/>
          <w:sz w:val="24"/>
        </w:rPr>
        <w:t xml:space="preserve">: </w:t>
      </w:r>
      <w:r w:rsidR="00A05279" w:rsidRPr="00267433">
        <w:rPr>
          <w:rFonts w:ascii="Times New Roman" w:hAnsi="Times New Roman" w:cs="Times New Roman"/>
          <w:sz w:val="24"/>
        </w:rPr>
        <w:t>Worker wellbeing</w:t>
      </w:r>
      <w:r w:rsidRPr="00267433">
        <w:rPr>
          <w:rFonts w:ascii="Times New Roman" w:hAnsi="Times New Roman" w:cs="Times New Roman"/>
          <w:sz w:val="24"/>
        </w:rPr>
        <w:t xml:space="preserve"> should be one of the main priorities of construction organizations.</w:t>
      </w:r>
    </w:p>
    <w:p w14:paraId="53128261" w14:textId="6E2B6083" w:rsidR="00247F62" w:rsidRPr="00267433" w:rsidRDefault="004F5364"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 f) </w:t>
      </w:r>
      <w:r w:rsidR="00A05279" w:rsidRPr="00267433">
        <w:rPr>
          <w:rFonts w:ascii="Times New Roman" w:hAnsi="Times New Roman" w:cs="Times New Roman"/>
          <w:b/>
          <w:i/>
          <w:sz w:val="24"/>
        </w:rPr>
        <w:t>Safety culture and safety climate:</w:t>
      </w:r>
      <w:r w:rsidR="00A05279" w:rsidRPr="00267433">
        <w:rPr>
          <w:rFonts w:ascii="Times New Roman" w:hAnsi="Times New Roman" w:cs="Times New Roman"/>
          <w:sz w:val="24"/>
        </w:rPr>
        <w:t xml:space="preserve"> </w:t>
      </w:r>
      <w:r w:rsidRPr="00267433">
        <w:rPr>
          <w:rFonts w:ascii="Times New Roman" w:hAnsi="Times New Roman" w:cs="Times New Roman"/>
          <w:sz w:val="24"/>
        </w:rPr>
        <w:t xml:space="preserve">Construction organizations should adopt the safety culture and safety climate approach to improve their safety performance more effectively. </w:t>
      </w:r>
      <w:r w:rsidR="00F75A22" w:rsidRPr="00267433">
        <w:rPr>
          <w:rFonts w:ascii="Times New Roman" w:hAnsi="Times New Roman" w:cs="Times New Roman"/>
          <w:sz w:val="24"/>
        </w:rPr>
        <w:t xml:space="preserve">   </w:t>
      </w:r>
      <w:r w:rsidR="00BC391C" w:rsidRPr="00267433">
        <w:rPr>
          <w:rFonts w:ascii="Times New Roman" w:hAnsi="Times New Roman" w:cs="Times New Roman"/>
          <w:sz w:val="24"/>
        </w:rPr>
        <w:t xml:space="preserve"> </w:t>
      </w:r>
    </w:p>
    <w:p w14:paraId="7DE3F53D" w14:textId="5FD8CE3D" w:rsidR="001B6616" w:rsidRPr="00267433" w:rsidRDefault="00C250DD" w:rsidP="00D74173">
      <w:pPr>
        <w:pStyle w:val="Heading1"/>
        <w:rPr>
          <w:color w:val="auto"/>
        </w:rPr>
      </w:pPr>
      <w:r w:rsidRPr="00267433">
        <w:rPr>
          <w:color w:val="auto"/>
        </w:rPr>
        <w:t>4</w:t>
      </w:r>
      <w:r w:rsidR="001B6616" w:rsidRPr="00267433">
        <w:rPr>
          <w:color w:val="auto"/>
        </w:rPr>
        <w:t>. Conclusion:</w:t>
      </w:r>
    </w:p>
    <w:p w14:paraId="3D1CE27E" w14:textId="60F54B55" w:rsidR="009F1DD9" w:rsidRPr="00267433" w:rsidRDefault="00AA06A6" w:rsidP="006722CC">
      <w:pPr>
        <w:spacing w:line="360" w:lineRule="auto"/>
        <w:jc w:val="both"/>
        <w:rPr>
          <w:rFonts w:ascii="Times New Roman" w:hAnsi="Times New Roman" w:cs="Times New Roman"/>
          <w:sz w:val="24"/>
        </w:rPr>
      </w:pPr>
      <w:r w:rsidRPr="00267433">
        <w:rPr>
          <w:rFonts w:ascii="Times New Roman" w:hAnsi="Times New Roman" w:cs="Times New Roman"/>
          <w:sz w:val="24"/>
        </w:rPr>
        <w:t>The c</w:t>
      </w:r>
      <w:r w:rsidR="00AE46C5" w:rsidRPr="00267433">
        <w:rPr>
          <w:rFonts w:ascii="Times New Roman" w:hAnsi="Times New Roman" w:cs="Times New Roman"/>
          <w:sz w:val="24"/>
        </w:rPr>
        <w:t>onstruction</w:t>
      </w:r>
      <w:r w:rsidRPr="00267433">
        <w:rPr>
          <w:rFonts w:ascii="Times New Roman" w:hAnsi="Times New Roman" w:cs="Times New Roman"/>
          <w:sz w:val="24"/>
        </w:rPr>
        <w:t xml:space="preserve"> industry</w:t>
      </w:r>
      <w:r w:rsidR="00AE46C5" w:rsidRPr="00267433">
        <w:rPr>
          <w:rFonts w:ascii="Times New Roman" w:hAnsi="Times New Roman" w:cs="Times New Roman"/>
          <w:sz w:val="24"/>
        </w:rPr>
        <w:t xml:space="preserve"> is one of the important industries which play a key role in the development of countries and providing jobs to a huge number of </w:t>
      </w:r>
      <w:r w:rsidRPr="00267433">
        <w:rPr>
          <w:rFonts w:ascii="Times New Roman" w:hAnsi="Times New Roman" w:cs="Times New Roman"/>
          <w:sz w:val="24"/>
        </w:rPr>
        <w:t>workers</w:t>
      </w:r>
      <w:r w:rsidR="00AE46C5" w:rsidRPr="00267433">
        <w:rPr>
          <w:rFonts w:ascii="Times New Roman" w:hAnsi="Times New Roman" w:cs="Times New Roman"/>
          <w:sz w:val="24"/>
        </w:rPr>
        <w:t xml:space="preserve"> around the world. </w:t>
      </w:r>
      <w:r w:rsidR="008274AE" w:rsidRPr="00267433">
        <w:rPr>
          <w:rFonts w:ascii="Times New Roman" w:hAnsi="Times New Roman" w:cs="Times New Roman"/>
          <w:sz w:val="24"/>
        </w:rPr>
        <w:t>The c</w:t>
      </w:r>
      <w:r w:rsidR="00AE46C5" w:rsidRPr="00267433">
        <w:rPr>
          <w:rFonts w:ascii="Times New Roman" w:hAnsi="Times New Roman" w:cs="Times New Roman"/>
          <w:sz w:val="24"/>
        </w:rPr>
        <w:t xml:space="preserve">onstruction industry is further expected to be growing rapidly in </w:t>
      </w:r>
      <w:r w:rsidR="00746190" w:rsidRPr="00267433">
        <w:rPr>
          <w:rFonts w:ascii="Times New Roman" w:hAnsi="Times New Roman" w:cs="Times New Roman"/>
          <w:sz w:val="24"/>
        </w:rPr>
        <w:t xml:space="preserve">the </w:t>
      </w:r>
      <w:r w:rsidR="00AE46C5" w:rsidRPr="00267433">
        <w:rPr>
          <w:rFonts w:ascii="Times New Roman" w:hAnsi="Times New Roman" w:cs="Times New Roman"/>
          <w:sz w:val="24"/>
        </w:rPr>
        <w:t xml:space="preserve">future due to increasing population and urbanization. </w:t>
      </w:r>
      <w:r w:rsidR="00422443" w:rsidRPr="00267433">
        <w:rPr>
          <w:rFonts w:ascii="Times New Roman" w:hAnsi="Times New Roman" w:cs="Times New Roman"/>
          <w:sz w:val="24"/>
        </w:rPr>
        <w:t xml:space="preserve">As the construction industry </w:t>
      </w:r>
      <w:r w:rsidR="0011479B" w:rsidRPr="00267433">
        <w:rPr>
          <w:rFonts w:ascii="Times New Roman" w:hAnsi="Times New Roman" w:cs="Times New Roman"/>
          <w:sz w:val="24"/>
        </w:rPr>
        <w:t>grows</w:t>
      </w:r>
      <w:r w:rsidR="00422443" w:rsidRPr="00267433">
        <w:rPr>
          <w:rFonts w:ascii="Times New Roman" w:hAnsi="Times New Roman" w:cs="Times New Roman"/>
          <w:sz w:val="24"/>
        </w:rPr>
        <w:t>, the risk factors associated with</w:t>
      </w:r>
      <w:r w:rsidR="00364752" w:rsidRPr="00267433">
        <w:rPr>
          <w:rFonts w:ascii="Times New Roman" w:hAnsi="Times New Roman" w:cs="Times New Roman"/>
          <w:sz w:val="24"/>
        </w:rPr>
        <w:t xml:space="preserve"> the</w:t>
      </w:r>
      <w:r w:rsidR="00422443" w:rsidRPr="00267433">
        <w:rPr>
          <w:rFonts w:ascii="Times New Roman" w:hAnsi="Times New Roman" w:cs="Times New Roman"/>
          <w:sz w:val="24"/>
        </w:rPr>
        <w:t xml:space="preserve"> industry will also</w:t>
      </w:r>
      <w:r w:rsidR="0011479B" w:rsidRPr="00267433">
        <w:rPr>
          <w:rFonts w:ascii="Times New Roman" w:hAnsi="Times New Roman" w:cs="Times New Roman"/>
          <w:sz w:val="24"/>
        </w:rPr>
        <w:t xml:space="preserve"> grow</w:t>
      </w:r>
      <w:r w:rsidR="00422443" w:rsidRPr="00267433">
        <w:rPr>
          <w:rFonts w:ascii="Times New Roman" w:hAnsi="Times New Roman" w:cs="Times New Roman"/>
          <w:sz w:val="24"/>
        </w:rPr>
        <w:t xml:space="preserve">. One of the identified risks associated with construction is occupational fatalities and injuries. </w:t>
      </w:r>
      <w:r w:rsidR="00247F62" w:rsidRPr="00267433">
        <w:rPr>
          <w:rFonts w:ascii="Times New Roman" w:hAnsi="Times New Roman" w:cs="Times New Roman"/>
          <w:sz w:val="24"/>
        </w:rPr>
        <w:t>In this paper</w:t>
      </w:r>
      <w:r w:rsidR="007A72E3" w:rsidRPr="00267433">
        <w:rPr>
          <w:rFonts w:ascii="Times New Roman" w:hAnsi="Times New Roman" w:cs="Times New Roman"/>
          <w:sz w:val="24"/>
        </w:rPr>
        <w:t>,</w:t>
      </w:r>
      <w:r w:rsidR="00247F62" w:rsidRPr="00267433">
        <w:rPr>
          <w:rFonts w:ascii="Times New Roman" w:hAnsi="Times New Roman" w:cs="Times New Roman"/>
          <w:sz w:val="24"/>
        </w:rPr>
        <w:t xml:space="preserve"> </w:t>
      </w:r>
      <w:r w:rsidR="00422443" w:rsidRPr="00267433">
        <w:rPr>
          <w:rFonts w:ascii="Times New Roman" w:hAnsi="Times New Roman" w:cs="Times New Roman"/>
          <w:sz w:val="24"/>
        </w:rPr>
        <w:t xml:space="preserve">an attempt is made to highlight this risk by exploring </w:t>
      </w:r>
      <w:r w:rsidR="00247F62" w:rsidRPr="00267433">
        <w:rPr>
          <w:rFonts w:ascii="Times New Roman" w:hAnsi="Times New Roman" w:cs="Times New Roman"/>
          <w:sz w:val="24"/>
        </w:rPr>
        <w:t xml:space="preserve">occupational </w:t>
      </w:r>
      <w:r w:rsidRPr="00267433">
        <w:rPr>
          <w:rFonts w:ascii="Times New Roman" w:hAnsi="Times New Roman" w:cs="Times New Roman"/>
          <w:sz w:val="24"/>
        </w:rPr>
        <w:t>safety</w:t>
      </w:r>
      <w:r w:rsidR="00247F62" w:rsidRPr="00267433">
        <w:rPr>
          <w:rFonts w:ascii="Times New Roman" w:hAnsi="Times New Roman" w:cs="Times New Roman"/>
          <w:sz w:val="24"/>
        </w:rPr>
        <w:t xml:space="preserve"> </w:t>
      </w:r>
      <w:r w:rsidR="00364752" w:rsidRPr="00267433">
        <w:rPr>
          <w:rFonts w:ascii="Times New Roman" w:hAnsi="Times New Roman" w:cs="Times New Roman"/>
          <w:sz w:val="24"/>
        </w:rPr>
        <w:t xml:space="preserve">and </w:t>
      </w:r>
      <w:r w:rsidRPr="00267433">
        <w:rPr>
          <w:rFonts w:ascii="Times New Roman" w:hAnsi="Times New Roman" w:cs="Times New Roman"/>
          <w:sz w:val="24"/>
        </w:rPr>
        <w:t>health</w:t>
      </w:r>
      <w:r w:rsidR="00364752" w:rsidRPr="00267433">
        <w:rPr>
          <w:rFonts w:ascii="Times New Roman" w:hAnsi="Times New Roman" w:cs="Times New Roman"/>
          <w:sz w:val="24"/>
        </w:rPr>
        <w:t xml:space="preserve"> </w:t>
      </w:r>
      <w:r w:rsidR="00247F62" w:rsidRPr="00267433">
        <w:rPr>
          <w:rFonts w:ascii="Times New Roman" w:hAnsi="Times New Roman" w:cs="Times New Roman"/>
          <w:sz w:val="24"/>
        </w:rPr>
        <w:t>in construction industry</w:t>
      </w:r>
      <w:r w:rsidR="00422443" w:rsidRPr="00267433">
        <w:rPr>
          <w:rFonts w:ascii="Times New Roman" w:hAnsi="Times New Roman" w:cs="Times New Roman"/>
          <w:sz w:val="24"/>
        </w:rPr>
        <w:t>.</w:t>
      </w:r>
      <w:r w:rsidR="00247F62" w:rsidRPr="00267433">
        <w:rPr>
          <w:rFonts w:ascii="Times New Roman" w:hAnsi="Times New Roman" w:cs="Times New Roman"/>
          <w:sz w:val="24"/>
        </w:rPr>
        <w:t xml:space="preserve"> The data from </w:t>
      </w:r>
      <w:r w:rsidR="00B63799" w:rsidRPr="00267433">
        <w:rPr>
          <w:rFonts w:ascii="Times New Roman" w:hAnsi="Times New Roman" w:cs="Times New Roman"/>
          <w:sz w:val="24"/>
        </w:rPr>
        <w:t xml:space="preserve">different </w:t>
      </w:r>
      <w:r w:rsidR="00247F62" w:rsidRPr="00267433">
        <w:rPr>
          <w:rFonts w:ascii="Times New Roman" w:hAnsi="Times New Roman" w:cs="Times New Roman"/>
          <w:sz w:val="24"/>
        </w:rPr>
        <w:t xml:space="preserve">sources show that </w:t>
      </w:r>
      <w:r w:rsidR="00B63799" w:rsidRPr="00267433">
        <w:rPr>
          <w:rFonts w:ascii="Times New Roman" w:hAnsi="Times New Roman" w:cs="Times New Roman"/>
          <w:sz w:val="24"/>
        </w:rPr>
        <w:t xml:space="preserve">the </w:t>
      </w:r>
      <w:r w:rsidR="00247F62" w:rsidRPr="00267433">
        <w:rPr>
          <w:rFonts w:ascii="Times New Roman" w:hAnsi="Times New Roman" w:cs="Times New Roman"/>
          <w:sz w:val="24"/>
        </w:rPr>
        <w:t xml:space="preserve">construction industry is one of the main </w:t>
      </w:r>
      <w:r w:rsidR="00B63799" w:rsidRPr="00267433">
        <w:rPr>
          <w:rFonts w:ascii="Times New Roman" w:hAnsi="Times New Roman" w:cs="Times New Roman"/>
          <w:sz w:val="24"/>
        </w:rPr>
        <w:t>hazardous</w:t>
      </w:r>
      <w:r w:rsidR="00247F62" w:rsidRPr="00267433">
        <w:rPr>
          <w:rFonts w:ascii="Times New Roman" w:hAnsi="Times New Roman" w:cs="Times New Roman"/>
          <w:sz w:val="24"/>
        </w:rPr>
        <w:t xml:space="preserve"> industr</w:t>
      </w:r>
      <w:r w:rsidR="00B63799" w:rsidRPr="00267433">
        <w:rPr>
          <w:rFonts w:ascii="Times New Roman" w:hAnsi="Times New Roman" w:cs="Times New Roman"/>
          <w:sz w:val="24"/>
        </w:rPr>
        <w:t>ies</w:t>
      </w:r>
      <w:r w:rsidR="00247F62" w:rsidRPr="00267433">
        <w:rPr>
          <w:rFonts w:ascii="Times New Roman" w:hAnsi="Times New Roman" w:cs="Times New Roman"/>
          <w:sz w:val="24"/>
        </w:rPr>
        <w:t xml:space="preserve"> in which the number of fatalities and injuries</w:t>
      </w:r>
      <w:r w:rsidR="00B63799" w:rsidRPr="00267433">
        <w:rPr>
          <w:rFonts w:ascii="Times New Roman" w:hAnsi="Times New Roman" w:cs="Times New Roman"/>
          <w:sz w:val="24"/>
        </w:rPr>
        <w:t xml:space="preserve"> </w:t>
      </w:r>
      <w:r w:rsidRPr="00267433">
        <w:rPr>
          <w:rFonts w:ascii="Times New Roman" w:hAnsi="Times New Roman" w:cs="Times New Roman"/>
          <w:sz w:val="24"/>
        </w:rPr>
        <w:t>is</w:t>
      </w:r>
      <w:r w:rsidR="00247F62" w:rsidRPr="00267433">
        <w:rPr>
          <w:rFonts w:ascii="Times New Roman" w:hAnsi="Times New Roman" w:cs="Times New Roman"/>
          <w:sz w:val="24"/>
        </w:rPr>
        <w:t xml:space="preserve"> alarming.</w:t>
      </w:r>
      <w:r w:rsidR="002D418E" w:rsidRPr="00267433">
        <w:rPr>
          <w:rFonts w:ascii="Times New Roman" w:hAnsi="Times New Roman" w:cs="Times New Roman"/>
          <w:sz w:val="24"/>
        </w:rPr>
        <w:t xml:space="preserve"> </w:t>
      </w:r>
      <w:r w:rsidR="00AE46C5" w:rsidRPr="00267433">
        <w:rPr>
          <w:rFonts w:ascii="Times New Roman" w:hAnsi="Times New Roman" w:cs="Times New Roman"/>
          <w:sz w:val="24"/>
        </w:rPr>
        <w:t xml:space="preserve">A brief </w:t>
      </w:r>
      <w:r w:rsidR="00422443" w:rsidRPr="00267433">
        <w:rPr>
          <w:rFonts w:ascii="Times New Roman" w:hAnsi="Times New Roman" w:cs="Times New Roman"/>
          <w:sz w:val="24"/>
        </w:rPr>
        <w:t>comparison</w:t>
      </w:r>
      <w:r w:rsidR="00AE46C5" w:rsidRPr="00267433">
        <w:rPr>
          <w:rFonts w:ascii="Times New Roman" w:hAnsi="Times New Roman" w:cs="Times New Roman"/>
          <w:sz w:val="24"/>
        </w:rPr>
        <w:t xml:space="preserve"> of </w:t>
      </w:r>
      <w:r w:rsidR="00422443" w:rsidRPr="00267433">
        <w:rPr>
          <w:rFonts w:ascii="Times New Roman" w:hAnsi="Times New Roman" w:cs="Times New Roman"/>
          <w:sz w:val="24"/>
        </w:rPr>
        <w:t>GCC countries</w:t>
      </w:r>
      <w:r w:rsidR="008274AE" w:rsidRPr="00267433">
        <w:rPr>
          <w:rFonts w:ascii="Times New Roman" w:hAnsi="Times New Roman" w:cs="Times New Roman"/>
          <w:sz w:val="24"/>
        </w:rPr>
        <w:t>'</w:t>
      </w:r>
      <w:r w:rsidR="00422443" w:rsidRPr="00267433">
        <w:rPr>
          <w:rFonts w:ascii="Times New Roman" w:hAnsi="Times New Roman" w:cs="Times New Roman"/>
          <w:sz w:val="24"/>
        </w:rPr>
        <w:t xml:space="preserve"> safety performance is made with some of the advanced countries which display an improved safety performance. The statistics presented in this paper show </w:t>
      </w:r>
      <w:r w:rsidR="004819EA" w:rsidRPr="00267433">
        <w:rPr>
          <w:rFonts w:ascii="Times New Roman" w:hAnsi="Times New Roman" w:cs="Times New Roman"/>
          <w:sz w:val="24"/>
        </w:rPr>
        <w:t xml:space="preserve">although construction is a leading industry in all GCC countries, </w:t>
      </w:r>
      <w:r w:rsidR="00422443" w:rsidRPr="00267433">
        <w:rPr>
          <w:rFonts w:ascii="Times New Roman" w:hAnsi="Times New Roman" w:cs="Times New Roman"/>
          <w:sz w:val="24"/>
        </w:rPr>
        <w:t xml:space="preserve">occupational </w:t>
      </w:r>
      <w:r w:rsidRPr="00267433">
        <w:rPr>
          <w:rFonts w:ascii="Times New Roman" w:hAnsi="Times New Roman" w:cs="Times New Roman"/>
          <w:sz w:val="24"/>
        </w:rPr>
        <w:t xml:space="preserve">safety </w:t>
      </w:r>
      <w:r w:rsidR="00220308" w:rsidRPr="00267433">
        <w:rPr>
          <w:rFonts w:ascii="Times New Roman" w:hAnsi="Times New Roman" w:cs="Times New Roman"/>
          <w:sz w:val="24"/>
        </w:rPr>
        <w:t xml:space="preserve">and </w:t>
      </w:r>
      <w:r w:rsidRPr="00267433">
        <w:rPr>
          <w:rFonts w:ascii="Times New Roman" w:hAnsi="Times New Roman" w:cs="Times New Roman"/>
          <w:sz w:val="24"/>
        </w:rPr>
        <w:t xml:space="preserve">health </w:t>
      </w:r>
      <w:r w:rsidR="00422443" w:rsidRPr="00267433">
        <w:rPr>
          <w:rFonts w:ascii="Times New Roman" w:hAnsi="Times New Roman" w:cs="Times New Roman"/>
          <w:sz w:val="24"/>
        </w:rPr>
        <w:t xml:space="preserve">performance </w:t>
      </w:r>
      <w:r w:rsidR="004819EA" w:rsidRPr="00267433">
        <w:rPr>
          <w:rFonts w:ascii="Times New Roman" w:hAnsi="Times New Roman" w:cs="Times New Roman"/>
          <w:sz w:val="24"/>
        </w:rPr>
        <w:t>in all these</w:t>
      </w:r>
      <w:r w:rsidR="00422443" w:rsidRPr="00267433">
        <w:rPr>
          <w:rFonts w:ascii="Times New Roman" w:hAnsi="Times New Roman" w:cs="Times New Roman"/>
          <w:sz w:val="24"/>
        </w:rPr>
        <w:t xml:space="preserve"> countries is </w:t>
      </w:r>
      <w:r w:rsidR="00220F68" w:rsidRPr="00267433">
        <w:rPr>
          <w:rFonts w:ascii="Times New Roman" w:hAnsi="Times New Roman" w:cs="Times New Roman"/>
          <w:sz w:val="24"/>
        </w:rPr>
        <w:t xml:space="preserve">not only </w:t>
      </w:r>
      <w:r w:rsidR="00422443" w:rsidRPr="00267433">
        <w:rPr>
          <w:rFonts w:ascii="Times New Roman" w:hAnsi="Times New Roman" w:cs="Times New Roman"/>
          <w:sz w:val="24"/>
        </w:rPr>
        <w:t>low</w:t>
      </w:r>
      <w:r w:rsidR="00220F68" w:rsidRPr="00267433">
        <w:rPr>
          <w:rFonts w:ascii="Times New Roman" w:hAnsi="Times New Roman" w:cs="Times New Roman"/>
          <w:sz w:val="24"/>
        </w:rPr>
        <w:t xml:space="preserve"> but also alarming</w:t>
      </w:r>
      <w:r w:rsidR="00422443" w:rsidRPr="00267433">
        <w:rPr>
          <w:rFonts w:ascii="Times New Roman" w:hAnsi="Times New Roman" w:cs="Times New Roman"/>
          <w:sz w:val="24"/>
        </w:rPr>
        <w:t>.</w:t>
      </w:r>
      <w:r w:rsidR="00220F68" w:rsidRPr="00267433">
        <w:rPr>
          <w:rFonts w:ascii="Times New Roman" w:hAnsi="Times New Roman" w:cs="Times New Roman"/>
          <w:sz w:val="24"/>
        </w:rPr>
        <w:t xml:space="preserve"> The number of deaths in one of </w:t>
      </w:r>
      <w:r w:rsidR="008274AE" w:rsidRPr="00267433">
        <w:rPr>
          <w:rFonts w:ascii="Times New Roman" w:hAnsi="Times New Roman" w:cs="Times New Roman"/>
          <w:sz w:val="24"/>
        </w:rPr>
        <w:t xml:space="preserve">the </w:t>
      </w:r>
      <w:r w:rsidR="00220F68" w:rsidRPr="00267433">
        <w:rPr>
          <w:rFonts w:ascii="Times New Roman" w:hAnsi="Times New Roman" w:cs="Times New Roman"/>
          <w:sz w:val="24"/>
        </w:rPr>
        <w:t>major construction project</w:t>
      </w:r>
      <w:r w:rsidR="008274AE" w:rsidRPr="00267433">
        <w:rPr>
          <w:rFonts w:ascii="Times New Roman" w:hAnsi="Times New Roman" w:cs="Times New Roman"/>
          <w:sz w:val="24"/>
        </w:rPr>
        <w:t>s</w:t>
      </w:r>
      <w:r w:rsidR="00220F68" w:rsidRPr="00267433">
        <w:rPr>
          <w:rFonts w:ascii="Times New Roman" w:hAnsi="Times New Roman" w:cs="Times New Roman"/>
          <w:sz w:val="24"/>
        </w:rPr>
        <w:t xml:space="preserve"> </w:t>
      </w:r>
      <w:r w:rsidR="00220F68" w:rsidRPr="00267433">
        <w:rPr>
          <w:rFonts w:ascii="Times New Roman" w:hAnsi="Times New Roman" w:cs="Times New Roman"/>
          <w:sz w:val="24"/>
        </w:rPr>
        <w:lastRenderedPageBreak/>
        <w:t>in a GCC country stood at 1200 deaths and is expected to reach 4</w:t>
      </w:r>
      <w:r w:rsidR="008274AE" w:rsidRPr="00267433">
        <w:rPr>
          <w:rFonts w:ascii="Times New Roman" w:hAnsi="Times New Roman" w:cs="Times New Roman"/>
          <w:sz w:val="24"/>
        </w:rPr>
        <w:t>,</w:t>
      </w:r>
      <w:r w:rsidR="00220F68" w:rsidRPr="00267433">
        <w:rPr>
          <w:rFonts w:ascii="Times New Roman" w:hAnsi="Times New Roman" w:cs="Times New Roman"/>
          <w:sz w:val="24"/>
        </w:rPr>
        <w:t>00</w:t>
      </w:r>
      <w:r w:rsidR="00151E3C" w:rsidRPr="00267433">
        <w:rPr>
          <w:rFonts w:ascii="Times New Roman" w:hAnsi="Times New Roman" w:cs="Times New Roman"/>
          <w:sz w:val="24"/>
        </w:rPr>
        <w:t>0</w:t>
      </w:r>
      <w:r w:rsidR="00220F68" w:rsidRPr="00267433">
        <w:rPr>
          <w:rFonts w:ascii="Times New Roman" w:hAnsi="Times New Roman" w:cs="Times New Roman"/>
          <w:sz w:val="24"/>
        </w:rPr>
        <w:t xml:space="preserve"> by the end of 2020 when the project </w:t>
      </w:r>
      <w:r w:rsidR="002031DE" w:rsidRPr="00267433">
        <w:rPr>
          <w:rFonts w:ascii="Times New Roman" w:hAnsi="Times New Roman" w:cs="Times New Roman"/>
          <w:sz w:val="24"/>
        </w:rPr>
        <w:t>will be</w:t>
      </w:r>
      <w:r w:rsidR="00220F68" w:rsidRPr="00267433">
        <w:rPr>
          <w:rFonts w:ascii="Times New Roman" w:hAnsi="Times New Roman" w:cs="Times New Roman"/>
          <w:sz w:val="24"/>
        </w:rPr>
        <w:t xml:space="preserve"> completed. </w:t>
      </w:r>
      <w:r w:rsidR="00151E3C" w:rsidRPr="00267433">
        <w:rPr>
          <w:rFonts w:ascii="Times New Roman" w:hAnsi="Times New Roman" w:cs="Times New Roman"/>
          <w:sz w:val="24"/>
        </w:rPr>
        <w:t>This is one of the major projects in the region for hosting one of the world</w:t>
      </w:r>
      <w:r w:rsidR="008274AE" w:rsidRPr="00267433">
        <w:rPr>
          <w:rFonts w:ascii="Times New Roman" w:hAnsi="Times New Roman" w:cs="Times New Roman"/>
          <w:sz w:val="24"/>
        </w:rPr>
        <w:t>-</w:t>
      </w:r>
      <w:r w:rsidR="00151E3C" w:rsidRPr="00267433">
        <w:rPr>
          <w:rFonts w:ascii="Times New Roman" w:hAnsi="Times New Roman" w:cs="Times New Roman"/>
          <w:sz w:val="24"/>
        </w:rPr>
        <w:t>famous event</w:t>
      </w:r>
      <w:r w:rsidR="008D25C9" w:rsidRPr="00267433">
        <w:rPr>
          <w:rFonts w:ascii="Times New Roman" w:hAnsi="Times New Roman" w:cs="Times New Roman"/>
          <w:sz w:val="24"/>
        </w:rPr>
        <w:t>s</w:t>
      </w:r>
      <w:r w:rsidR="00151E3C" w:rsidRPr="00267433">
        <w:rPr>
          <w:rFonts w:ascii="Times New Roman" w:hAnsi="Times New Roman" w:cs="Times New Roman"/>
          <w:sz w:val="24"/>
        </w:rPr>
        <w:t xml:space="preserve">, </w:t>
      </w:r>
      <w:r w:rsidR="002031DE" w:rsidRPr="00267433">
        <w:rPr>
          <w:rFonts w:ascii="Times New Roman" w:hAnsi="Times New Roman" w:cs="Times New Roman"/>
          <w:sz w:val="24"/>
        </w:rPr>
        <w:t>attracting</w:t>
      </w:r>
      <w:r w:rsidR="00151E3C" w:rsidRPr="00267433">
        <w:rPr>
          <w:rFonts w:ascii="Times New Roman" w:hAnsi="Times New Roman" w:cs="Times New Roman"/>
          <w:sz w:val="24"/>
        </w:rPr>
        <w:t xml:space="preserve"> the focus of all national and international organizations, but still the </w:t>
      </w:r>
      <w:r w:rsidR="008E50A0" w:rsidRPr="00267433">
        <w:rPr>
          <w:rFonts w:ascii="Times New Roman" w:hAnsi="Times New Roman" w:cs="Times New Roman"/>
          <w:sz w:val="24"/>
        </w:rPr>
        <w:t>numbers of fatalities are</w:t>
      </w:r>
      <w:r w:rsidR="00151E3C" w:rsidRPr="00267433">
        <w:rPr>
          <w:rFonts w:ascii="Times New Roman" w:hAnsi="Times New Roman" w:cs="Times New Roman"/>
          <w:sz w:val="24"/>
        </w:rPr>
        <w:t xml:space="preserve"> overwhelming. The status of occupational safety and health in </w:t>
      </w:r>
      <w:r w:rsidR="00CE7202" w:rsidRPr="00267433">
        <w:rPr>
          <w:rFonts w:ascii="Times New Roman" w:hAnsi="Times New Roman" w:cs="Times New Roman"/>
          <w:sz w:val="24"/>
        </w:rPr>
        <w:t>small projects</w:t>
      </w:r>
      <w:r w:rsidR="00151E3C" w:rsidRPr="00267433">
        <w:rPr>
          <w:rFonts w:ascii="Times New Roman" w:hAnsi="Times New Roman" w:cs="Times New Roman"/>
          <w:sz w:val="24"/>
        </w:rPr>
        <w:t xml:space="preserve"> </w:t>
      </w:r>
      <w:r w:rsidR="00F657F8" w:rsidRPr="00267433">
        <w:rPr>
          <w:rFonts w:ascii="Times New Roman" w:hAnsi="Times New Roman" w:cs="Times New Roman"/>
          <w:sz w:val="24"/>
        </w:rPr>
        <w:t xml:space="preserve">could be </w:t>
      </w:r>
      <w:r w:rsidR="00CE7202" w:rsidRPr="00267433">
        <w:rPr>
          <w:rFonts w:ascii="Times New Roman" w:hAnsi="Times New Roman" w:cs="Times New Roman"/>
          <w:sz w:val="24"/>
        </w:rPr>
        <w:t>worse particularly if such project do</w:t>
      </w:r>
      <w:r w:rsidR="008274AE" w:rsidRPr="00267433">
        <w:rPr>
          <w:rFonts w:ascii="Times New Roman" w:hAnsi="Times New Roman" w:cs="Times New Roman"/>
          <w:sz w:val="24"/>
        </w:rPr>
        <w:t>es</w:t>
      </w:r>
      <w:r w:rsidR="00CE7202" w:rsidRPr="00267433">
        <w:rPr>
          <w:rFonts w:ascii="Times New Roman" w:hAnsi="Times New Roman" w:cs="Times New Roman"/>
          <w:sz w:val="24"/>
        </w:rPr>
        <w:t>n</w:t>
      </w:r>
      <w:r w:rsidR="007B2932" w:rsidRPr="00267433">
        <w:rPr>
          <w:rFonts w:ascii="Times New Roman" w:hAnsi="Times New Roman" w:cs="Times New Roman"/>
          <w:sz w:val="24"/>
        </w:rPr>
        <w:t>’t</w:t>
      </w:r>
      <w:r w:rsidR="00CE7202" w:rsidRPr="00267433">
        <w:rPr>
          <w:rFonts w:ascii="Times New Roman" w:hAnsi="Times New Roman" w:cs="Times New Roman"/>
          <w:sz w:val="24"/>
        </w:rPr>
        <w:t xml:space="preserve"> get the attention of national or international organizations</w:t>
      </w:r>
      <w:r w:rsidR="00F657F8" w:rsidRPr="00267433">
        <w:rPr>
          <w:rFonts w:ascii="Times New Roman" w:hAnsi="Times New Roman" w:cs="Times New Roman"/>
          <w:sz w:val="24"/>
        </w:rPr>
        <w:t>.</w:t>
      </w:r>
      <w:r w:rsidR="00D355D7" w:rsidRPr="00267433">
        <w:rPr>
          <w:rFonts w:ascii="Times New Roman" w:hAnsi="Times New Roman" w:cs="Times New Roman"/>
          <w:sz w:val="24"/>
        </w:rPr>
        <w:t xml:space="preserve"> The discussion made in this paper suggests that the construction industry is growing not only in GCC but worldwide. </w:t>
      </w:r>
      <w:r w:rsidR="00162777" w:rsidRPr="00267433">
        <w:rPr>
          <w:rFonts w:ascii="Times New Roman" w:hAnsi="Times New Roman" w:cs="Times New Roman"/>
          <w:sz w:val="24"/>
        </w:rPr>
        <w:t>It strengthens the argument that the</w:t>
      </w:r>
      <w:r w:rsidR="00D355D7" w:rsidRPr="00267433">
        <w:rPr>
          <w:rFonts w:ascii="Times New Roman" w:hAnsi="Times New Roman" w:cs="Times New Roman"/>
          <w:sz w:val="24"/>
        </w:rPr>
        <w:t xml:space="preserve"> growth </w:t>
      </w:r>
      <w:r w:rsidR="00162777" w:rsidRPr="00267433">
        <w:rPr>
          <w:rFonts w:ascii="Times New Roman" w:hAnsi="Times New Roman" w:cs="Times New Roman"/>
          <w:sz w:val="24"/>
        </w:rPr>
        <w:t>of the industry will also increase the concern associated with the safety of construction workers.</w:t>
      </w:r>
      <w:r w:rsidR="00D355D7" w:rsidRPr="00267433">
        <w:rPr>
          <w:rFonts w:ascii="Times New Roman" w:hAnsi="Times New Roman" w:cs="Times New Roman"/>
          <w:sz w:val="24"/>
        </w:rPr>
        <w:t xml:space="preserve"> </w:t>
      </w:r>
      <w:r w:rsidR="00162777" w:rsidRPr="00267433">
        <w:rPr>
          <w:rFonts w:ascii="Times New Roman" w:hAnsi="Times New Roman" w:cs="Times New Roman"/>
          <w:sz w:val="24"/>
        </w:rPr>
        <w:t xml:space="preserve">The GCC construction industry and its safety performance are particularly discussed. </w:t>
      </w:r>
      <w:r w:rsidR="00D355D7" w:rsidRPr="00267433">
        <w:rPr>
          <w:rFonts w:ascii="Times New Roman" w:hAnsi="Times New Roman" w:cs="Times New Roman"/>
          <w:sz w:val="24"/>
        </w:rPr>
        <w:t>The construction industry in GCC has its own context and parameters</w:t>
      </w:r>
      <w:r w:rsidR="00162777" w:rsidRPr="00267433">
        <w:rPr>
          <w:rFonts w:ascii="Times New Roman" w:hAnsi="Times New Roman" w:cs="Times New Roman"/>
          <w:sz w:val="24"/>
        </w:rPr>
        <w:t xml:space="preserve"> related to geographic conditions and workforce</w:t>
      </w:r>
      <w:r w:rsidR="00D355D7" w:rsidRPr="00267433">
        <w:rPr>
          <w:rFonts w:ascii="Times New Roman" w:hAnsi="Times New Roman" w:cs="Times New Roman"/>
          <w:sz w:val="24"/>
        </w:rPr>
        <w:t xml:space="preserve">. </w:t>
      </w:r>
      <w:r w:rsidR="00162777" w:rsidRPr="00267433">
        <w:rPr>
          <w:rFonts w:ascii="Times New Roman" w:hAnsi="Times New Roman" w:cs="Times New Roman"/>
          <w:sz w:val="24"/>
        </w:rPr>
        <w:t>A</w:t>
      </w:r>
      <w:r w:rsidR="002031DE" w:rsidRPr="00267433">
        <w:rPr>
          <w:rFonts w:ascii="Times New Roman" w:hAnsi="Times New Roman" w:cs="Times New Roman"/>
          <w:sz w:val="24"/>
        </w:rPr>
        <w:t xml:space="preserve">n attempt is made to highlight the key areas </w:t>
      </w:r>
      <w:r w:rsidR="00F97B19" w:rsidRPr="00267433">
        <w:rPr>
          <w:rFonts w:ascii="Times New Roman" w:hAnsi="Times New Roman" w:cs="Times New Roman"/>
          <w:sz w:val="24"/>
        </w:rPr>
        <w:t>which could lead the GCC construction towards an improved safety performance.</w:t>
      </w:r>
      <w:r w:rsidR="000B34AC" w:rsidRPr="00267433">
        <w:rPr>
          <w:rFonts w:ascii="Times New Roman" w:hAnsi="Times New Roman" w:cs="Times New Roman"/>
          <w:sz w:val="24"/>
        </w:rPr>
        <w:t xml:space="preserve"> T</w:t>
      </w:r>
      <w:r w:rsidR="00F97B19" w:rsidRPr="00267433">
        <w:rPr>
          <w:rFonts w:ascii="Times New Roman" w:hAnsi="Times New Roman" w:cs="Times New Roman"/>
          <w:sz w:val="24"/>
        </w:rPr>
        <w:t xml:space="preserve">hese key areas </w:t>
      </w:r>
      <w:r w:rsidR="006D14EF" w:rsidRPr="00267433">
        <w:rPr>
          <w:rFonts w:ascii="Times New Roman" w:hAnsi="Times New Roman" w:cs="Times New Roman"/>
          <w:sz w:val="24"/>
        </w:rPr>
        <w:t>were</w:t>
      </w:r>
      <w:r w:rsidR="00F97B19" w:rsidRPr="00267433">
        <w:rPr>
          <w:rFonts w:ascii="Times New Roman" w:hAnsi="Times New Roman" w:cs="Times New Roman"/>
          <w:sz w:val="24"/>
        </w:rPr>
        <w:t xml:space="preserve"> </w:t>
      </w:r>
      <w:r w:rsidR="000B34AC" w:rsidRPr="00267433">
        <w:rPr>
          <w:rFonts w:ascii="Times New Roman" w:hAnsi="Times New Roman" w:cs="Times New Roman"/>
          <w:sz w:val="24"/>
        </w:rPr>
        <w:t xml:space="preserve">initially identified from the existing literature and then confirmed through interviews held with the selected respondents from academic and industry. </w:t>
      </w:r>
      <w:r w:rsidR="009F1DD9" w:rsidRPr="00267433">
        <w:rPr>
          <w:rFonts w:ascii="Times New Roman" w:hAnsi="Times New Roman" w:cs="Times New Roman"/>
          <w:sz w:val="24"/>
        </w:rPr>
        <w:t xml:space="preserve">The key areas found in this research are; </w:t>
      </w:r>
    </w:p>
    <w:p w14:paraId="619759BA" w14:textId="344705F0"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a) Causes of accidents</w:t>
      </w:r>
    </w:p>
    <w:p w14:paraId="065A2C03" w14:textId="02F37CD6"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b) Costs of accidents</w:t>
      </w:r>
    </w:p>
    <w:p w14:paraId="4C5710BB" w14:textId="35FEBAB0"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c) Heat stress</w:t>
      </w:r>
    </w:p>
    <w:p w14:paraId="4329C521" w14:textId="6DEAF33E"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d) Occupational safety and health regulations</w:t>
      </w:r>
    </w:p>
    <w:p w14:paraId="347C4BBF" w14:textId="4DC4934B"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e) Worker wellbeing</w:t>
      </w:r>
    </w:p>
    <w:p w14:paraId="6FDAD1CF" w14:textId="77D2004C" w:rsidR="009F1DD9" w:rsidRPr="00267433" w:rsidRDefault="009F1DD9" w:rsidP="009F1DD9">
      <w:pPr>
        <w:spacing w:line="360" w:lineRule="auto"/>
        <w:jc w:val="both"/>
        <w:rPr>
          <w:rFonts w:ascii="Times New Roman" w:hAnsi="Times New Roman" w:cs="Times New Roman"/>
          <w:sz w:val="24"/>
        </w:rPr>
      </w:pPr>
      <w:r w:rsidRPr="00267433">
        <w:rPr>
          <w:rFonts w:ascii="Times New Roman" w:hAnsi="Times New Roman" w:cs="Times New Roman"/>
          <w:sz w:val="24"/>
        </w:rPr>
        <w:t>f) Safety culture and safety climate</w:t>
      </w:r>
    </w:p>
    <w:p w14:paraId="30E0AA47" w14:textId="77777777" w:rsidR="00FD12AF" w:rsidRDefault="009F1DD9"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All the respondents agreed that there is a need </w:t>
      </w:r>
      <w:r w:rsidR="008274AE" w:rsidRPr="00267433">
        <w:rPr>
          <w:rFonts w:ascii="Times New Roman" w:hAnsi="Times New Roman" w:cs="Times New Roman"/>
          <w:sz w:val="24"/>
        </w:rPr>
        <w:t>for</w:t>
      </w:r>
      <w:r w:rsidRPr="00267433">
        <w:rPr>
          <w:rFonts w:ascii="Times New Roman" w:hAnsi="Times New Roman" w:cs="Times New Roman"/>
          <w:sz w:val="24"/>
        </w:rPr>
        <w:t xml:space="preserve"> research in these areas in order to better understand its implications on safety output.</w:t>
      </w:r>
      <w:r w:rsidR="00162777" w:rsidRPr="00267433">
        <w:rPr>
          <w:rFonts w:ascii="Times New Roman" w:hAnsi="Times New Roman" w:cs="Times New Roman"/>
          <w:sz w:val="24"/>
        </w:rPr>
        <w:t xml:space="preserve"> Further research is </w:t>
      </w:r>
      <w:r w:rsidR="005F1249" w:rsidRPr="00267433">
        <w:rPr>
          <w:rFonts w:ascii="Times New Roman" w:hAnsi="Times New Roman" w:cs="Times New Roman"/>
          <w:sz w:val="24"/>
        </w:rPr>
        <w:t xml:space="preserve">therefore </w:t>
      </w:r>
      <w:r w:rsidR="00162777" w:rsidRPr="00267433">
        <w:rPr>
          <w:rFonts w:ascii="Times New Roman" w:hAnsi="Times New Roman" w:cs="Times New Roman"/>
          <w:sz w:val="24"/>
        </w:rPr>
        <w:t>recommended in the above</w:t>
      </w:r>
      <w:r w:rsidR="008274AE" w:rsidRPr="00267433">
        <w:rPr>
          <w:rFonts w:ascii="Times New Roman" w:hAnsi="Times New Roman" w:cs="Times New Roman"/>
          <w:sz w:val="24"/>
        </w:rPr>
        <w:t>-</w:t>
      </w:r>
      <w:r w:rsidR="005F1249" w:rsidRPr="00267433">
        <w:rPr>
          <w:rFonts w:ascii="Times New Roman" w:hAnsi="Times New Roman" w:cs="Times New Roman"/>
          <w:sz w:val="24"/>
        </w:rPr>
        <w:t xml:space="preserve">suggested </w:t>
      </w:r>
      <w:r w:rsidR="00162777" w:rsidRPr="00267433">
        <w:rPr>
          <w:rFonts w:ascii="Times New Roman" w:hAnsi="Times New Roman" w:cs="Times New Roman"/>
          <w:sz w:val="24"/>
        </w:rPr>
        <w:t>areas to ascertain</w:t>
      </w:r>
      <w:r w:rsidR="00CE458C" w:rsidRPr="00267433">
        <w:rPr>
          <w:rFonts w:ascii="Times New Roman" w:hAnsi="Times New Roman" w:cs="Times New Roman"/>
          <w:sz w:val="24"/>
        </w:rPr>
        <w:t xml:space="preserve"> its effects on safety performance in GCC construction.</w:t>
      </w:r>
      <w:r w:rsidR="00162777" w:rsidRPr="00267433">
        <w:rPr>
          <w:rFonts w:ascii="Times New Roman" w:hAnsi="Times New Roman" w:cs="Times New Roman"/>
          <w:sz w:val="24"/>
        </w:rPr>
        <w:t xml:space="preserve">  </w:t>
      </w:r>
      <w:r w:rsidRPr="00267433">
        <w:rPr>
          <w:rFonts w:ascii="Times New Roman" w:hAnsi="Times New Roman" w:cs="Times New Roman"/>
          <w:sz w:val="24"/>
        </w:rPr>
        <w:t xml:space="preserve">   </w:t>
      </w:r>
    </w:p>
    <w:p w14:paraId="03DDD31F" w14:textId="77777777" w:rsidR="00FD12AF" w:rsidRDefault="00FD12AF" w:rsidP="006722CC">
      <w:pPr>
        <w:spacing w:line="360" w:lineRule="auto"/>
        <w:jc w:val="both"/>
        <w:rPr>
          <w:rFonts w:ascii="Times New Roman" w:hAnsi="Times New Roman" w:cs="Times New Roman"/>
          <w:sz w:val="24"/>
        </w:rPr>
      </w:pPr>
    </w:p>
    <w:p w14:paraId="6FF8FFF6" w14:textId="77777777" w:rsidR="00FD12AF" w:rsidRDefault="00FD12AF" w:rsidP="006722CC">
      <w:pPr>
        <w:spacing w:line="360" w:lineRule="auto"/>
        <w:jc w:val="both"/>
        <w:rPr>
          <w:rFonts w:ascii="Times New Roman" w:hAnsi="Times New Roman" w:cs="Times New Roman"/>
          <w:sz w:val="24"/>
        </w:rPr>
      </w:pPr>
    </w:p>
    <w:p w14:paraId="17061040" w14:textId="35F14481" w:rsidR="002031DE" w:rsidRPr="00267433" w:rsidRDefault="009F1DD9" w:rsidP="006722CC">
      <w:pPr>
        <w:spacing w:line="360" w:lineRule="auto"/>
        <w:jc w:val="both"/>
        <w:rPr>
          <w:rFonts w:ascii="Times New Roman" w:hAnsi="Times New Roman" w:cs="Times New Roman"/>
          <w:sz w:val="24"/>
        </w:rPr>
      </w:pPr>
      <w:r w:rsidRPr="00267433">
        <w:rPr>
          <w:rFonts w:ascii="Times New Roman" w:hAnsi="Times New Roman" w:cs="Times New Roman"/>
          <w:sz w:val="24"/>
        </w:rPr>
        <w:t xml:space="preserve"> </w:t>
      </w:r>
      <w:r w:rsidR="000B34AC" w:rsidRPr="00267433">
        <w:rPr>
          <w:rFonts w:ascii="Times New Roman" w:hAnsi="Times New Roman" w:cs="Times New Roman"/>
          <w:sz w:val="24"/>
        </w:rPr>
        <w:t xml:space="preserve"> </w:t>
      </w:r>
      <w:r w:rsidR="00F97B19" w:rsidRPr="00267433">
        <w:rPr>
          <w:rFonts w:ascii="Times New Roman" w:hAnsi="Times New Roman" w:cs="Times New Roman"/>
          <w:sz w:val="24"/>
        </w:rPr>
        <w:t xml:space="preserve">  </w:t>
      </w:r>
    </w:p>
    <w:p w14:paraId="1D7F11E0" w14:textId="14E4E407" w:rsidR="005E4A8C" w:rsidRPr="00EE0E89" w:rsidRDefault="00404C95" w:rsidP="00BA4460">
      <w:pPr>
        <w:pStyle w:val="Heading1"/>
        <w:rPr>
          <w:rFonts w:ascii="Times New Roman" w:hAnsi="Times New Roman" w:cs="Times New Roman"/>
          <w:color w:val="auto"/>
          <w:sz w:val="24"/>
        </w:rPr>
      </w:pPr>
      <w:r w:rsidRPr="00EE0E89">
        <w:rPr>
          <w:color w:val="auto"/>
        </w:rPr>
        <w:lastRenderedPageBreak/>
        <w:t>References:</w:t>
      </w:r>
      <w:r w:rsidR="005E4A8C" w:rsidRPr="00EE0E89">
        <w:rPr>
          <w:rFonts w:ascii="Times New Roman" w:hAnsi="Times New Roman" w:cs="Times New Roman"/>
          <w:color w:val="auto"/>
          <w:sz w:val="24"/>
        </w:rPr>
        <w:t xml:space="preserve">  </w:t>
      </w:r>
    </w:p>
    <w:p w14:paraId="0BCD6956"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AB (Arabian Business) (2017) GCC construction market worth $2·4 </w:t>
      </w:r>
      <w:proofErr w:type="spellStart"/>
      <w:r w:rsidRPr="00DC16B3">
        <w:rPr>
          <w:rFonts w:ascii="Times New Roman" w:hAnsi="Times New Roman" w:cs="Times New Roman"/>
          <w:sz w:val="24"/>
        </w:rPr>
        <w:t>trn</w:t>
      </w:r>
      <w:proofErr w:type="spellEnd"/>
      <w:r w:rsidRPr="00DC16B3">
        <w:rPr>
          <w:rFonts w:ascii="Times New Roman" w:hAnsi="Times New Roman" w:cs="Times New Roman"/>
          <w:sz w:val="24"/>
        </w:rPr>
        <w:t xml:space="preserve">, has 22,000 active projects. Arabian Business, 16 September. See </w:t>
      </w:r>
      <w:hyperlink r:id="rId28" w:history="1">
        <w:r w:rsidRPr="00DC16B3">
          <w:rPr>
            <w:rStyle w:val="Hyperlink"/>
            <w:rFonts w:ascii="Times New Roman" w:hAnsi="Times New Roman" w:cs="Times New Roman"/>
            <w:sz w:val="24"/>
          </w:rPr>
          <w:t>http://www.arabianbusiness.com/industries/construction/378423-wkdgcc-construction-market-worth-24trn-has-22000-active-projects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29/01/2018).</w:t>
      </w:r>
    </w:p>
    <w:p w14:paraId="624EC9BA"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ABS (Australian Bureau of Statistics).</w:t>
      </w:r>
      <w:proofErr w:type="gramEnd"/>
      <w:r w:rsidRPr="00DC16B3">
        <w:rPr>
          <w:rFonts w:ascii="Times New Roman" w:hAnsi="Times New Roman" w:cs="Times New Roman"/>
          <w:sz w:val="24"/>
        </w:rPr>
        <w:t xml:space="preserve"> 2018.</w:t>
      </w:r>
      <w:r w:rsidRPr="00DC16B3">
        <w:t xml:space="preserve"> </w:t>
      </w:r>
      <w:r w:rsidRPr="00DC16B3">
        <w:rPr>
          <w:rFonts w:ascii="Times New Roman" w:hAnsi="Times New Roman" w:cs="Times New Roman"/>
          <w:sz w:val="24"/>
        </w:rPr>
        <w:t xml:space="preserve">Population Size and Growth. </w:t>
      </w:r>
      <w:proofErr w:type="gramStart"/>
      <w:r w:rsidRPr="00DC16B3">
        <w:rPr>
          <w:rFonts w:ascii="Times New Roman" w:hAnsi="Times New Roman" w:cs="Times New Roman"/>
          <w:sz w:val="24"/>
        </w:rPr>
        <w:t>Australian Bureau of Statistics, Canberra, Australia.</w:t>
      </w:r>
      <w:proofErr w:type="gramEnd"/>
      <w:r w:rsidRPr="00DC16B3">
        <w:rPr>
          <w:rFonts w:ascii="Times New Roman" w:hAnsi="Times New Roman" w:cs="Times New Roman"/>
          <w:sz w:val="24"/>
        </w:rPr>
        <w:t xml:space="preserve"> See: </w:t>
      </w:r>
      <w:hyperlink r:id="rId29" w:history="1">
        <w:r w:rsidRPr="00DC16B3">
          <w:rPr>
            <w:rStyle w:val="Hyperlink"/>
            <w:rFonts w:ascii="Times New Roman" w:hAnsi="Times New Roman" w:cs="Times New Roman"/>
            <w:sz w:val="24"/>
          </w:rPr>
          <w:t>http://www.abs.gov.au/Population</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19/11/2018).</w:t>
      </w:r>
    </w:p>
    <w:p w14:paraId="039DDB56"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Al-</w:t>
      </w:r>
      <w:proofErr w:type="spellStart"/>
      <w:r w:rsidRPr="00DC16B3">
        <w:rPr>
          <w:rFonts w:ascii="Times New Roman" w:hAnsi="Times New Roman" w:cs="Times New Roman"/>
          <w:sz w:val="24"/>
        </w:rPr>
        <w:t>Kandary</w:t>
      </w:r>
      <w:proofErr w:type="spellEnd"/>
      <w:r w:rsidRPr="00DC16B3">
        <w:rPr>
          <w:rFonts w:ascii="Times New Roman" w:hAnsi="Times New Roman" w:cs="Times New Roman"/>
          <w:sz w:val="24"/>
        </w:rPr>
        <w:t>, N. and Al-</w:t>
      </w:r>
      <w:proofErr w:type="spellStart"/>
      <w:r w:rsidRPr="00DC16B3">
        <w:rPr>
          <w:rFonts w:ascii="Times New Roman" w:hAnsi="Times New Roman" w:cs="Times New Roman"/>
          <w:sz w:val="24"/>
        </w:rPr>
        <w:t>Waheeb</w:t>
      </w:r>
      <w:proofErr w:type="spellEnd"/>
      <w:r w:rsidRPr="00DC16B3">
        <w:rPr>
          <w:rFonts w:ascii="Times New Roman" w:hAnsi="Times New Roman" w:cs="Times New Roman"/>
          <w:sz w:val="24"/>
        </w:rPr>
        <w:t>, S., 2015.</w:t>
      </w:r>
      <w:proofErr w:type="gramEnd"/>
      <w:r w:rsidRPr="00DC16B3">
        <w:rPr>
          <w:rFonts w:ascii="Times New Roman" w:hAnsi="Times New Roman" w:cs="Times New Roman"/>
          <w:sz w:val="24"/>
        </w:rPr>
        <w:t xml:space="preserve"> Patterns of accidental deaths in Kuwait: a retrospective descriptive study from 2003–2009. </w:t>
      </w:r>
      <w:proofErr w:type="gramStart"/>
      <w:r w:rsidRPr="00DC16B3">
        <w:rPr>
          <w:rFonts w:ascii="Times New Roman" w:hAnsi="Times New Roman" w:cs="Times New Roman"/>
          <w:sz w:val="24"/>
        </w:rPr>
        <w:t>BMC public health, 15(1), p.302.</w:t>
      </w:r>
      <w:proofErr w:type="gramEnd"/>
      <w:r w:rsidRPr="00DC16B3">
        <w:rPr>
          <w:rFonts w:ascii="Times New Roman" w:hAnsi="Times New Roman" w:cs="Times New Roman"/>
          <w:sz w:val="24"/>
        </w:rPr>
        <w:t xml:space="preserve"> </w:t>
      </w:r>
      <w:hyperlink r:id="rId30" w:history="1">
        <w:r w:rsidRPr="00DC16B3">
          <w:rPr>
            <w:rStyle w:val="Hyperlink"/>
            <w:rFonts w:ascii="Times New Roman" w:hAnsi="Times New Roman" w:cs="Times New Roman"/>
            <w:sz w:val="24"/>
          </w:rPr>
          <w:t>https://doi.org/10.1186/s12889-015-1630-8</w:t>
        </w:r>
      </w:hyperlink>
      <w:r w:rsidRPr="00DC16B3">
        <w:rPr>
          <w:rFonts w:ascii="Times New Roman" w:hAnsi="Times New Roman" w:cs="Times New Roman"/>
          <w:sz w:val="24"/>
        </w:rPr>
        <w:t xml:space="preserve">. </w:t>
      </w:r>
    </w:p>
    <w:p w14:paraId="59F421E5"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Al-</w:t>
      </w:r>
      <w:proofErr w:type="spellStart"/>
      <w:r w:rsidRPr="00DC16B3">
        <w:rPr>
          <w:rFonts w:ascii="Times New Roman" w:hAnsi="Times New Roman" w:cs="Times New Roman"/>
          <w:sz w:val="24"/>
        </w:rPr>
        <w:t>Tabtabai</w:t>
      </w:r>
      <w:proofErr w:type="spellEnd"/>
      <w:r w:rsidRPr="00DC16B3">
        <w:rPr>
          <w:rFonts w:ascii="Times New Roman" w:hAnsi="Times New Roman" w:cs="Times New Roman"/>
          <w:sz w:val="24"/>
        </w:rPr>
        <w:t>, H.M., 2002.</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Analyzing construction site accidents in Kuwait.</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 xml:space="preserve">Kuwait J. Sci. </w:t>
      </w:r>
      <w:proofErr w:type="spellStart"/>
      <w:r w:rsidRPr="00DC16B3">
        <w:rPr>
          <w:rFonts w:ascii="Times New Roman" w:hAnsi="Times New Roman" w:cs="Times New Roman"/>
          <w:sz w:val="24"/>
        </w:rPr>
        <w:t>Eng</w:t>
      </w:r>
      <w:proofErr w:type="spellEnd"/>
      <w:r w:rsidRPr="00DC16B3">
        <w:rPr>
          <w:rFonts w:ascii="Times New Roman" w:hAnsi="Times New Roman" w:cs="Times New Roman"/>
          <w:sz w:val="24"/>
        </w:rPr>
        <w:t>, 29(2), pp.213-238.</w:t>
      </w:r>
      <w:proofErr w:type="gramEnd"/>
      <w:r w:rsidRPr="00DC16B3">
        <w:rPr>
          <w:rFonts w:ascii="Times New Roman" w:hAnsi="Times New Roman" w:cs="Times New Roman"/>
          <w:sz w:val="24"/>
        </w:rPr>
        <w:t xml:space="preserve"> </w:t>
      </w:r>
    </w:p>
    <w:p w14:paraId="05C53C1D"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spellStart"/>
      <w:r w:rsidRPr="00DC16B3">
        <w:rPr>
          <w:rFonts w:ascii="Times New Roman" w:hAnsi="Times New Roman" w:cs="Times New Roman"/>
          <w:sz w:val="24"/>
        </w:rPr>
        <w:t>Beevers</w:t>
      </w:r>
      <w:proofErr w:type="spellEnd"/>
      <w:r w:rsidRPr="00DC16B3">
        <w:rPr>
          <w:rFonts w:ascii="Times New Roman" w:hAnsi="Times New Roman" w:cs="Times New Roman"/>
          <w:sz w:val="24"/>
        </w:rPr>
        <w:t>, D.G.; MacGregor, G.A. Hypertension in Practice, 3rd ed.; CRC Press: Boca Raton, FL, USA, 1999.</w:t>
      </w:r>
    </w:p>
    <w:p w14:paraId="7A9FE9EA"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spellStart"/>
      <w:r w:rsidRPr="00DC16B3">
        <w:rPr>
          <w:rFonts w:ascii="Times New Roman" w:hAnsi="Times New Roman" w:cs="Times New Roman"/>
          <w:sz w:val="24"/>
        </w:rPr>
        <w:t>Beven</w:t>
      </w:r>
      <w:proofErr w:type="spellEnd"/>
      <w:r w:rsidRPr="00DC16B3">
        <w:rPr>
          <w:rFonts w:ascii="Times New Roman" w:hAnsi="Times New Roman" w:cs="Times New Roman"/>
          <w:sz w:val="24"/>
        </w:rPr>
        <w:t xml:space="preserve">, R. (2010). </w:t>
      </w:r>
      <w:proofErr w:type="gramStart"/>
      <w:r w:rsidRPr="00DC16B3">
        <w:rPr>
          <w:rFonts w:ascii="Times New Roman" w:hAnsi="Times New Roman" w:cs="Times New Roman"/>
          <w:sz w:val="24"/>
        </w:rPr>
        <w:t>Global Construction 2020 and Global Opportunities.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Pinsent Masons, London UK.</w:t>
      </w:r>
      <w:proofErr w:type="gramEnd"/>
      <w:r w:rsidRPr="00DC16B3">
        <w:rPr>
          <w:rFonts w:ascii="Times New Roman" w:hAnsi="Times New Roman" w:cs="Times New Roman"/>
          <w:sz w:val="24"/>
        </w:rPr>
        <w:t xml:space="preserve"> See: </w:t>
      </w:r>
      <w:hyperlink r:id="rId31" w:history="1">
        <w:r w:rsidRPr="00DC16B3">
          <w:rPr>
            <w:rStyle w:val="Hyperlink"/>
            <w:rFonts w:ascii="Times New Roman" w:hAnsi="Times New Roman" w:cs="Times New Roman"/>
            <w:sz w:val="24"/>
          </w:rPr>
          <w:t>http://www.tecniberia.es/documentos/GlobalConstruction2020andGlobalOpportunities.pdf</w:t>
        </w:r>
      </w:hyperlink>
      <w:r w:rsidRPr="00DC16B3">
        <w:rPr>
          <w:rFonts w:ascii="Times New Roman" w:hAnsi="Times New Roman" w:cs="Times New Roman"/>
          <w:sz w:val="24"/>
        </w:rPr>
        <w:t xml:space="preserve"> (accessed 17/11/2018). </w:t>
      </w:r>
    </w:p>
    <w:p w14:paraId="63DDBDDA"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BLS (Bureau of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Statistics). 2018. Census of Fatal Occupational Injuries (CFOI) - Current and Revised Data, Bureau of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Statistics, United States Department of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Washington D.C. USA. See: </w:t>
      </w:r>
      <w:hyperlink r:id="rId32" w:anchor="2016" w:history="1">
        <w:r w:rsidRPr="00DC16B3">
          <w:rPr>
            <w:rStyle w:val="Hyperlink"/>
            <w:rFonts w:ascii="Times New Roman" w:hAnsi="Times New Roman" w:cs="Times New Roman"/>
            <w:sz w:val="24"/>
          </w:rPr>
          <w:t>https://www.bls.gov/iif/oshcfoi1.htm#2016</w:t>
        </w:r>
      </w:hyperlink>
      <w:r w:rsidRPr="00DC16B3">
        <w:rPr>
          <w:rFonts w:ascii="Times New Roman" w:hAnsi="Times New Roman" w:cs="Times New Roman"/>
          <w:sz w:val="24"/>
        </w:rPr>
        <w:t xml:space="preserve"> (accessed 22/11/2018). </w:t>
      </w:r>
    </w:p>
    <w:p w14:paraId="4CC93A2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CDM (Construction Design and Management).</w:t>
      </w:r>
      <w:proofErr w:type="gramEnd"/>
      <w:r w:rsidRPr="00DC16B3">
        <w:rPr>
          <w:rFonts w:ascii="Times New Roman" w:hAnsi="Times New Roman" w:cs="Times New Roman"/>
          <w:sz w:val="24"/>
        </w:rPr>
        <w:t xml:space="preserve"> 2015. Managing health and safety in construction. </w:t>
      </w:r>
      <w:proofErr w:type="gramStart"/>
      <w:r w:rsidRPr="00DC16B3">
        <w:rPr>
          <w:rFonts w:ascii="Times New Roman" w:hAnsi="Times New Roman" w:cs="Times New Roman"/>
          <w:sz w:val="24"/>
        </w:rPr>
        <w:t>Construction (Design and Management) Regulations 2015.</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Guidance on Regulations, Health and Safety Executive (HSE), London, UK.</w:t>
      </w:r>
      <w:proofErr w:type="gramEnd"/>
      <w:r w:rsidRPr="00DC16B3">
        <w:rPr>
          <w:rFonts w:ascii="Times New Roman" w:hAnsi="Times New Roman" w:cs="Times New Roman"/>
          <w:sz w:val="24"/>
        </w:rPr>
        <w:t xml:space="preserve"> See: </w:t>
      </w:r>
      <w:hyperlink r:id="rId33" w:history="1">
        <w:r w:rsidRPr="00DC16B3">
          <w:rPr>
            <w:rStyle w:val="Hyperlink"/>
            <w:rFonts w:ascii="Times New Roman" w:hAnsi="Times New Roman" w:cs="Times New Roman"/>
            <w:sz w:val="24"/>
          </w:rPr>
          <w:t>http://www.hse.gov.uk/pubns/books/l153.htm</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01/12/2018).</w:t>
      </w:r>
    </w:p>
    <w:p w14:paraId="5EC98BFD"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Census Bureau, 2018.</w:t>
      </w:r>
      <w:proofErr w:type="gramEnd"/>
      <w:r w:rsidRPr="00DC16B3">
        <w:rPr>
          <w:rFonts w:ascii="Times New Roman" w:hAnsi="Times New Roman" w:cs="Times New Roman"/>
          <w:sz w:val="24"/>
        </w:rPr>
        <w:t xml:space="preserve"> Value of Construction Put in Place at a Glance, September 2018. </w:t>
      </w:r>
      <w:proofErr w:type="gramStart"/>
      <w:r w:rsidRPr="00DC16B3">
        <w:rPr>
          <w:rFonts w:ascii="Times New Roman" w:hAnsi="Times New Roman" w:cs="Times New Roman"/>
          <w:sz w:val="24"/>
        </w:rPr>
        <w:t>United States Census Bureau, Washington, USA.</w:t>
      </w:r>
      <w:proofErr w:type="gramEnd"/>
      <w:r w:rsidRPr="00DC16B3">
        <w:rPr>
          <w:rFonts w:ascii="Times New Roman" w:hAnsi="Times New Roman" w:cs="Times New Roman"/>
          <w:sz w:val="24"/>
        </w:rPr>
        <w:t xml:space="preserve"> See: </w:t>
      </w:r>
      <w:hyperlink r:id="rId34" w:history="1">
        <w:r w:rsidRPr="00DC16B3">
          <w:rPr>
            <w:rStyle w:val="Hyperlink"/>
            <w:rFonts w:ascii="Times New Roman" w:hAnsi="Times New Roman" w:cs="Times New Roman"/>
            <w:sz w:val="24"/>
          </w:rPr>
          <w:t>https://www.census.gov/construction/c30/c30index.html</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19/11/2018).</w:t>
      </w:r>
    </w:p>
    <w:p w14:paraId="750C593A"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Deloitte (2015) Deloitte GCC Powers of Construction 2015 Construction – The Economic Barometer for the Region. </w:t>
      </w:r>
      <w:proofErr w:type="gramStart"/>
      <w:r w:rsidRPr="00DC16B3">
        <w:rPr>
          <w:rFonts w:ascii="Times New Roman" w:hAnsi="Times New Roman" w:cs="Times New Roman"/>
          <w:sz w:val="24"/>
        </w:rPr>
        <w:t>Deloitte, Dubai, United Arab Emirates.</w:t>
      </w:r>
      <w:proofErr w:type="gramEnd"/>
      <w:r w:rsidRPr="00DC16B3">
        <w:rPr>
          <w:rFonts w:ascii="Times New Roman" w:hAnsi="Times New Roman" w:cs="Times New Roman"/>
          <w:sz w:val="24"/>
        </w:rPr>
        <w:t xml:space="preserve"> See: http://business-humanrights.org/sites/default/files/documents/Deloitte-GCC-Powers-of-Construction-2015.pdf (accessed 29/03/2018).</w:t>
      </w:r>
    </w:p>
    <w:p w14:paraId="75C7EA9F"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Deloitte, 2017.</w:t>
      </w:r>
      <w:proofErr w:type="gramEnd"/>
      <w:r w:rsidRPr="00DC16B3">
        <w:rPr>
          <w:rFonts w:ascii="Times New Roman" w:hAnsi="Times New Roman" w:cs="Times New Roman"/>
          <w:sz w:val="24"/>
        </w:rPr>
        <w:t xml:space="preserve"> Deloitte GCC Powers of Construction 2017, If it’s fundable it’s feasible. </w:t>
      </w:r>
      <w:proofErr w:type="gramStart"/>
      <w:r w:rsidRPr="00DC16B3">
        <w:rPr>
          <w:rFonts w:ascii="Times New Roman" w:hAnsi="Times New Roman" w:cs="Times New Roman"/>
          <w:sz w:val="24"/>
        </w:rPr>
        <w:t>Deloitte, Dubai, United Arab Emirates.</w:t>
      </w:r>
      <w:proofErr w:type="gramEnd"/>
      <w:r w:rsidRPr="00DC16B3">
        <w:rPr>
          <w:rFonts w:ascii="Times New Roman" w:hAnsi="Times New Roman" w:cs="Times New Roman"/>
          <w:sz w:val="24"/>
        </w:rPr>
        <w:t xml:space="preserve"> See: </w:t>
      </w:r>
      <w:hyperlink r:id="rId35" w:history="1">
        <w:r w:rsidRPr="00DC16B3">
          <w:rPr>
            <w:rStyle w:val="Hyperlink"/>
            <w:rFonts w:ascii="Times New Roman" w:hAnsi="Times New Roman" w:cs="Times New Roman"/>
            <w:sz w:val="24"/>
          </w:rPr>
          <w:t>https://www2.deloitte.com/content/dam/Deloitte/xe/Documents/realestate/construction/gccpowersofconstruction/me_construction_gccpoc2017.pdf</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27/11/2018).</w:t>
      </w:r>
    </w:p>
    <w:p w14:paraId="1180CCD3"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lastRenderedPageBreak/>
        <w:t>DGM (Directorate General of Meteorology) (2018) Average Temperature.</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Directorate General of Meteorology, Muscat, Oman.</w:t>
      </w:r>
      <w:proofErr w:type="gramEnd"/>
      <w:r w:rsidRPr="00DC16B3">
        <w:rPr>
          <w:rFonts w:ascii="Times New Roman" w:hAnsi="Times New Roman" w:cs="Times New Roman"/>
          <w:sz w:val="24"/>
        </w:rPr>
        <w:t xml:space="preserve"> See: </w:t>
      </w:r>
      <w:hyperlink r:id="rId36" w:history="1">
        <w:r w:rsidRPr="00DC16B3">
          <w:rPr>
            <w:rStyle w:val="Hyperlink"/>
            <w:rFonts w:ascii="Times New Roman" w:hAnsi="Times New Roman" w:cs="Times New Roman"/>
            <w:sz w:val="24"/>
          </w:rPr>
          <w:t>http://www.met.gov.om/opencms/export/sites/default/dgman/en/weather-chart/historical-data/</w:t>
        </w:r>
      </w:hyperlink>
      <w:r w:rsidRPr="00DC16B3">
        <w:rPr>
          <w:rFonts w:ascii="Times New Roman" w:hAnsi="Times New Roman" w:cs="Times New Roman"/>
          <w:sz w:val="24"/>
        </w:rPr>
        <w:t xml:space="preserve"> (accessed 21/03/2018).</w:t>
      </w:r>
    </w:p>
    <w:p w14:paraId="153E8642"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spellStart"/>
      <w:proofErr w:type="gramStart"/>
      <w:r w:rsidRPr="00DC16B3">
        <w:rPr>
          <w:rFonts w:ascii="Times New Roman" w:hAnsi="Times New Roman" w:cs="Times New Roman"/>
          <w:sz w:val="24"/>
        </w:rPr>
        <w:t>Díaz-Soler</w:t>
      </w:r>
      <w:proofErr w:type="spellEnd"/>
      <w:r w:rsidRPr="00DC16B3">
        <w:rPr>
          <w:rFonts w:ascii="Times New Roman" w:hAnsi="Times New Roman" w:cs="Times New Roman"/>
          <w:sz w:val="24"/>
        </w:rPr>
        <w:t xml:space="preserve">, B.M., </w:t>
      </w:r>
      <w:proofErr w:type="spellStart"/>
      <w:r w:rsidRPr="00DC16B3">
        <w:rPr>
          <w:rFonts w:ascii="Times New Roman" w:hAnsi="Times New Roman" w:cs="Times New Roman"/>
          <w:sz w:val="24"/>
        </w:rPr>
        <w:t>Martínez</w:t>
      </w:r>
      <w:proofErr w:type="spellEnd"/>
      <w:r w:rsidRPr="00DC16B3">
        <w:rPr>
          <w:rFonts w:ascii="Times New Roman" w:hAnsi="Times New Roman" w:cs="Times New Roman"/>
          <w:sz w:val="24"/>
        </w:rPr>
        <w:t xml:space="preserve">-Aires, M.D. and </w:t>
      </w:r>
      <w:proofErr w:type="spellStart"/>
      <w:r w:rsidRPr="00DC16B3">
        <w:rPr>
          <w:rFonts w:ascii="Times New Roman" w:hAnsi="Times New Roman" w:cs="Times New Roman"/>
          <w:sz w:val="24"/>
        </w:rPr>
        <w:t>López</w:t>
      </w:r>
      <w:proofErr w:type="spellEnd"/>
      <w:r w:rsidRPr="00DC16B3">
        <w:rPr>
          <w:rFonts w:ascii="Times New Roman" w:hAnsi="Times New Roman" w:cs="Times New Roman"/>
          <w:sz w:val="24"/>
        </w:rPr>
        <w:t>-Alonso, M., 2019.</w:t>
      </w:r>
      <w:proofErr w:type="gramEnd"/>
      <w:r w:rsidRPr="00DC16B3">
        <w:rPr>
          <w:rFonts w:ascii="Times New Roman" w:hAnsi="Times New Roman" w:cs="Times New Roman"/>
          <w:sz w:val="24"/>
        </w:rPr>
        <w:t xml:space="preserve"> Potential risks posed by the use of </w:t>
      </w:r>
      <w:proofErr w:type="spellStart"/>
      <w:r w:rsidRPr="00DC16B3">
        <w:rPr>
          <w:rFonts w:ascii="Times New Roman" w:hAnsi="Times New Roman" w:cs="Times New Roman"/>
          <w:sz w:val="24"/>
        </w:rPr>
        <w:t>nano</w:t>
      </w:r>
      <w:proofErr w:type="spellEnd"/>
      <w:r w:rsidRPr="00DC16B3">
        <w:rPr>
          <w:rFonts w:ascii="Times New Roman" w:hAnsi="Times New Roman" w:cs="Times New Roman"/>
          <w:sz w:val="24"/>
        </w:rPr>
        <w:t xml:space="preserve">-enabled construction products: A perspective from coordinators for safety and health matters. </w:t>
      </w:r>
      <w:proofErr w:type="gramStart"/>
      <w:r w:rsidRPr="00DC16B3">
        <w:rPr>
          <w:rFonts w:ascii="Times New Roman" w:hAnsi="Times New Roman" w:cs="Times New Roman"/>
          <w:sz w:val="24"/>
        </w:rPr>
        <w:t>Journal of Cleaner Production, 220, pp.33-44.</w:t>
      </w:r>
      <w:proofErr w:type="gramEnd"/>
      <w:r w:rsidRPr="00DC16B3">
        <w:rPr>
          <w:rFonts w:ascii="Times New Roman" w:hAnsi="Times New Roman" w:cs="Times New Roman"/>
          <w:sz w:val="24"/>
        </w:rPr>
        <w:t xml:space="preserve"> </w:t>
      </w:r>
      <w:hyperlink r:id="rId37" w:history="1">
        <w:r w:rsidRPr="00DC16B3">
          <w:rPr>
            <w:rStyle w:val="Hyperlink"/>
            <w:rFonts w:ascii="Times New Roman" w:hAnsi="Times New Roman" w:cs="Times New Roman"/>
            <w:sz w:val="24"/>
          </w:rPr>
          <w:t>https://doi.org/10.1016/j.jclepro.2019.02.056</w:t>
        </w:r>
      </w:hyperlink>
      <w:r w:rsidRPr="00DC16B3">
        <w:rPr>
          <w:rFonts w:ascii="Times New Roman" w:hAnsi="Times New Roman" w:cs="Times New Roman"/>
          <w:sz w:val="24"/>
        </w:rPr>
        <w:t xml:space="preserve">. </w:t>
      </w:r>
    </w:p>
    <w:p w14:paraId="1AB15005"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EUCS (European Union Construction Sector).</w:t>
      </w:r>
      <w:proofErr w:type="gramEnd"/>
      <w:r w:rsidRPr="00DC16B3">
        <w:rPr>
          <w:rFonts w:ascii="Times New Roman" w:hAnsi="Times New Roman" w:cs="Times New Roman"/>
          <w:sz w:val="24"/>
        </w:rPr>
        <w:t xml:space="preserve"> 2016. Brochure - The European construction sector - A global partner - 2016 edition.</w:t>
      </w:r>
      <w:r w:rsidRPr="00DC16B3">
        <w:t xml:space="preserve"> </w:t>
      </w:r>
      <w:proofErr w:type="gramStart"/>
      <w:r w:rsidRPr="00DC16B3">
        <w:rPr>
          <w:rFonts w:ascii="Times New Roman" w:hAnsi="Times New Roman" w:cs="Times New Roman"/>
          <w:sz w:val="24"/>
        </w:rPr>
        <w:t>European Union, Brussels, Belgium.</w:t>
      </w:r>
      <w:proofErr w:type="gramEnd"/>
      <w:r w:rsidRPr="00DC16B3">
        <w:rPr>
          <w:rFonts w:ascii="Times New Roman" w:hAnsi="Times New Roman" w:cs="Times New Roman"/>
          <w:sz w:val="24"/>
        </w:rPr>
        <w:t xml:space="preserve"> See: </w:t>
      </w:r>
      <w:hyperlink r:id="rId38" w:history="1">
        <w:r w:rsidRPr="00DC16B3">
          <w:rPr>
            <w:rStyle w:val="Hyperlink"/>
            <w:rFonts w:ascii="Times New Roman" w:hAnsi="Times New Roman" w:cs="Times New Roman"/>
            <w:sz w:val="24"/>
          </w:rPr>
          <w:t>http://ec.europa.eu/DocsRoom/documents/15866/attachments/1/translations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17/11/2018). </w:t>
      </w:r>
    </w:p>
    <w:p w14:paraId="1F579294"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GCC Stat (2018) Data Base for Population: Statistical Centre for the Cooperation Council for the Arab Countries of the Gulf (GCC STAT). </w:t>
      </w:r>
      <w:proofErr w:type="gramStart"/>
      <w:r w:rsidRPr="00DC16B3">
        <w:rPr>
          <w:rFonts w:ascii="Times New Roman" w:hAnsi="Times New Roman" w:cs="Times New Roman"/>
          <w:sz w:val="24"/>
        </w:rPr>
        <w:t>GCC Stat, Muscat, Oman.</w:t>
      </w:r>
      <w:proofErr w:type="gramEnd"/>
      <w:r w:rsidRPr="00DC16B3">
        <w:rPr>
          <w:rFonts w:ascii="Times New Roman" w:hAnsi="Times New Roman" w:cs="Times New Roman"/>
          <w:sz w:val="24"/>
        </w:rPr>
        <w:t xml:space="preserve"> See: </w:t>
      </w:r>
      <w:hyperlink r:id="rId39" w:history="1">
        <w:r w:rsidRPr="00DC16B3">
          <w:rPr>
            <w:rStyle w:val="Hyperlink"/>
            <w:rFonts w:ascii="Times New Roman" w:hAnsi="Times New Roman" w:cs="Times New Roman"/>
            <w:sz w:val="24"/>
          </w:rPr>
          <w:t>http://dp.gccstat.org/en/DataAnalysis?BLusCmXUaW2gz3lqQNA</w:t>
        </w:r>
      </w:hyperlink>
      <w:r w:rsidRPr="00DC16B3">
        <w:rPr>
          <w:rFonts w:ascii="Times New Roman" w:hAnsi="Times New Roman" w:cs="Times New Roman"/>
          <w:sz w:val="24"/>
        </w:rPr>
        <w:t xml:space="preserve"> (accessed 29/01/2018).</w:t>
      </w:r>
    </w:p>
    <w:p w14:paraId="7D9F0B88"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GOSI (General Organization for Social Insurance).</w:t>
      </w:r>
      <w:proofErr w:type="gramEnd"/>
      <w:r w:rsidRPr="00DC16B3">
        <w:rPr>
          <w:rFonts w:ascii="Times New Roman" w:hAnsi="Times New Roman" w:cs="Times New Roman"/>
          <w:sz w:val="24"/>
        </w:rPr>
        <w:t xml:space="preserve"> 2018. Open Data Library. </w:t>
      </w:r>
      <w:proofErr w:type="gramStart"/>
      <w:r w:rsidRPr="00DC16B3">
        <w:rPr>
          <w:rFonts w:ascii="Times New Roman" w:hAnsi="Times New Roman" w:cs="Times New Roman"/>
          <w:sz w:val="24"/>
        </w:rPr>
        <w:t>General Organization for Social Insurance, Riyadh, Saudi Arabia.</w:t>
      </w:r>
      <w:proofErr w:type="gramEnd"/>
      <w:r w:rsidRPr="00DC16B3">
        <w:rPr>
          <w:rFonts w:ascii="Times New Roman" w:hAnsi="Times New Roman" w:cs="Times New Roman"/>
          <w:sz w:val="24"/>
        </w:rPr>
        <w:t xml:space="preserve"> See: </w:t>
      </w:r>
      <w:hyperlink r:id="rId40" w:history="1">
        <w:r w:rsidRPr="00DC16B3">
          <w:rPr>
            <w:rStyle w:val="Hyperlink"/>
            <w:rFonts w:ascii="Times New Roman" w:hAnsi="Times New Roman" w:cs="Times New Roman"/>
            <w:sz w:val="24"/>
          </w:rPr>
          <w:t>https://www.gosi.gov.sa/GOSIOnline/Open_Data_Library&amp;locale=en_US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24/11/2018).</w:t>
      </w:r>
    </w:p>
    <w:p w14:paraId="598A6374"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GRC (Gulf Research Center). 2018. Bahrain Population by Nationalities. </w:t>
      </w:r>
      <w:proofErr w:type="gramStart"/>
      <w:r w:rsidRPr="00DC16B3">
        <w:rPr>
          <w:rFonts w:ascii="Times New Roman" w:hAnsi="Times New Roman" w:cs="Times New Roman"/>
          <w:sz w:val="24"/>
        </w:rPr>
        <w:t>Gulf Research Center, Geneva, Switzerland.</w:t>
      </w:r>
      <w:proofErr w:type="gramEnd"/>
      <w:r w:rsidRPr="00DC16B3">
        <w:rPr>
          <w:rFonts w:ascii="Times New Roman" w:hAnsi="Times New Roman" w:cs="Times New Roman"/>
          <w:sz w:val="24"/>
        </w:rPr>
        <w:t xml:space="preserve"> See: </w:t>
      </w:r>
      <w:hyperlink r:id="rId41" w:history="1">
        <w:r w:rsidRPr="00DC16B3">
          <w:rPr>
            <w:rStyle w:val="Hyperlink"/>
            <w:rFonts w:ascii="Times New Roman" w:hAnsi="Times New Roman" w:cs="Times New Roman"/>
            <w:sz w:val="24"/>
          </w:rPr>
          <w:t>http://gulfmigration.org/bahrain-population-nationality-bahraini-non-bahraini-sex-age-groups-2017/</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18/11/2018).</w:t>
      </w:r>
    </w:p>
    <w:p w14:paraId="2D164D81"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HSE (Health and Safety Executive).</w:t>
      </w:r>
      <w:proofErr w:type="gramEnd"/>
      <w:r w:rsidRPr="00DC16B3">
        <w:rPr>
          <w:rFonts w:ascii="Times New Roman" w:hAnsi="Times New Roman" w:cs="Times New Roman"/>
          <w:sz w:val="24"/>
        </w:rPr>
        <w:t xml:space="preserve"> 2018. Workplace fatal injuries in Great Britain 2018. </w:t>
      </w:r>
      <w:proofErr w:type="gramStart"/>
      <w:r w:rsidRPr="00DC16B3">
        <w:rPr>
          <w:rFonts w:ascii="Times New Roman" w:hAnsi="Times New Roman" w:cs="Times New Roman"/>
          <w:sz w:val="24"/>
        </w:rPr>
        <w:t>Health and Safety Executive, London, UK.</w:t>
      </w:r>
      <w:proofErr w:type="gramEnd"/>
      <w:r w:rsidRPr="00DC16B3">
        <w:rPr>
          <w:rFonts w:ascii="Times New Roman" w:hAnsi="Times New Roman" w:cs="Times New Roman"/>
          <w:sz w:val="24"/>
        </w:rPr>
        <w:t xml:space="preserve"> See: </w:t>
      </w:r>
      <w:hyperlink r:id="rId42" w:history="1">
        <w:r w:rsidRPr="00DC16B3">
          <w:rPr>
            <w:rStyle w:val="Hyperlink"/>
            <w:rFonts w:ascii="Times New Roman" w:hAnsi="Times New Roman" w:cs="Times New Roman"/>
            <w:sz w:val="24"/>
          </w:rPr>
          <w:t>http://www.hse.gov.uk/statistics/pdf/fatalinjuries.pdf</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22/11/2018). </w:t>
      </w:r>
    </w:p>
    <w:p w14:paraId="4BA82B13"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Human Right Watch, 2018.</w:t>
      </w:r>
      <w:proofErr w:type="gramEnd"/>
      <w:r w:rsidRPr="00DC16B3">
        <w:rPr>
          <w:rFonts w:ascii="Times New Roman" w:hAnsi="Times New Roman" w:cs="Times New Roman"/>
          <w:sz w:val="24"/>
        </w:rPr>
        <w:t xml:space="preserve"> Qatar: Take Urgent Action to Protect Construction Workers. </w:t>
      </w:r>
      <w:proofErr w:type="gramStart"/>
      <w:r w:rsidRPr="00DC16B3">
        <w:rPr>
          <w:rFonts w:ascii="Times New Roman" w:hAnsi="Times New Roman" w:cs="Times New Roman"/>
          <w:sz w:val="24"/>
        </w:rPr>
        <w:t>Human Right Watch, New York, USA.</w:t>
      </w:r>
      <w:proofErr w:type="gramEnd"/>
      <w:r w:rsidRPr="00DC16B3">
        <w:rPr>
          <w:rFonts w:ascii="Times New Roman" w:hAnsi="Times New Roman" w:cs="Times New Roman"/>
          <w:sz w:val="24"/>
        </w:rPr>
        <w:t xml:space="preserve"> See: </w:t>
      </w:r>
      <w:hyperlink r:id="rId43" w:history="1">
        <w:r w:rsidRPr="00DC16B3">
          <w:rPr>
            <w:rStyle w:val="Hyperlink"/>
            <w:rFonts w:ascii="Times New Roman" w:hAnsi="Times New Roman" w:cs="Times New Roman"/>
            <w:sz w:val="24"/>
          </w:rPr>
          <w:t>https://www.hrw.org/news/2017/09/27/qatar-take-urgent-action-protect-construction-workers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24/11/2018).</w:t>
      </w:r>
    </w:p>
    <w:p w14:paraId="0D89503F"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 xml:space="preserve">ILO (International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Organization) (2015) Construction: A Hazardous Work.</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ILO, Geneva, Switzerland.</w:t>
      </w:r>
      <w:proofErr w:type="gramEnd"/>
      <w:r w:rsidRPr="00DC16B3">
        <w:rPr>
          <w:rFonts w:ascii="Times New Roman" w:hAnsi="Times New Roman" w:cs="Times New Roman"/>
          <w:sz w:val="24"/>
        </w:rPr>
        <w:t xml:space="preserve"> See </w:t>
      </w:r>
      <w:hyperlink r:id="rId44" w:history="1">
        <w:r w:rsidRPr="00DC16B3">
          <w:rPr>
            <w:rStyle w:val="Hyperlink"/>
            <w:rFonts w:ascii="Times New Roman" w:hAnsi="Times New Roman" w:cs="Times New Roman"/>
            <w:sz w:val="24"/>
          </w:rPr>
          <w:t>http://www.ilo.org/safework/areasofwork/hazardous-work/WCMS_356576/lang–en/index.htm</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11/03/2017).</w:t>
      </w:r>
    </w:p>
    <w:p w14:paraId="67D83A48"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 xml:space="preserve">ILO (International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Organization).</w:t>
      </w:r>
      <w:proofErr w:type="gramEnd"/>
      <w:r w:rsidRPr="00DC16B3">
        <w:rPr>
          <w:rFonts w:ascii="Times New Roman" w:hAnsi="Times New Roman" w:cs="Times New Roman"/>
          <w:sz w:val="24"/>
        </w:rPr>
        <w:t xml:space="preserve"> 2018.  Safety and health at work. </w:t>
      </w:r>
      <w:proofErr w:type="gramStart"/>
      <w:r w:rsidRPr="00DC16B3">
        <w:rPr>
          <w:rFonts w:ascii="Times New Roman" w:hAnsi="Times New Roman" w:cs="Times New Roman"/>
          <w:sz w:val="24"/>
        </w:rPr>
        <w:t xml:space="preserve">International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Organization, Geneva, Switzerland.</w:t>
      </w:r>
      <w:proofErr w:type="gramEnd"/>
      <w:r w:rsidRPr="00DC16B3">
        <w:rPr>
          <w:rFonts w:ascii="Times New Roman" w:hAnsi="Times New Roman" w:cs="Times New Roman"/>
          <w:sz w:val="24"/>
        </w:rPr>
        <w:t xml:space="preserve"> See: </w:t>
      </w:r>
      <w:hyperlink r:id="rId45" w:history="1">
        <w:r w:rsidRPr="00DC16B3">
          <w:rPr>
            <w:rStyle w:val="Hyperlink"/>
            <w:rFonts w:ascii="Times New Roman" w:hAnsi="Times New Roman" w:cs="Times New Roman"/>
            <w:sz w:val="24"/>
          </w:rPr>
          <w:t>https://www.ilo.org/global/topics/safety-and-health-at-work/lang--en/index.htm</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19/11/2018).</w:t>
      </w:r>
    </w:p>
    <w:p w14:paraId="6D40BB3D"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ITUC (International Trade Union Confederation).</w:t>
      </w:r>
      <w:proofErr w:type="gramEnd"/>
      <w:r w:rsidRPr="00DC16B3">
        <w:rPr>
          <w:rFonts w:ascii="Times New Roman" w:hAnsi="Times New Roman" w:cs="Times New Roman"/>
          <w:sz w:val="24"/>
        </w:rPr>
        <w:t xml:space="preserve"> 2014. The Case </w:t>
      </w:r>
      <w:proofErr w:type="gramStart"/>
      <w:r w:rsidRPr="00DC16B3">
        <w:rPr>
          <w:rFonts w:ascii="Times New Roman" w:hAnsi="Times New Roman" w:cs="Times New Roman"/>
          <w:sz w:val="24"/>
        </w:rPr>
        <w:t>Against</w:t>
      </w:r>
      <w:proofErr w:type="gramEnd"/>
      <w:r w:rsidRPr="00DC16B3">
        <w:rPr>
          <w:rFonts w:ascii="Times New Roman" w:hAnsi="Times New Roman" w:cs="Times New Roman"/>
          <w:sz w:val="24"/>
        </w:rPr>
        <w:t xml:space="preserve"> Qatar, Host of the FIFA 2022 World Cup, ITUC Special Report, March 2014. </w:t>
      </w:r>
      <w:proofErr w:type="gramStart"/>
      <w:r w:rsidRPr="00DC16B3">
        <w:rPr>
          <w:rFonts w:ascii="Times New Roman" w:hAnsi="Times New Roman" w:cs="Times New Roman"/>
          <w:sz w:val="24"/>
        </w:rPr>
        <w:t>International Trade Union Confederation, Brussels, Belgium.</w:t>
      </w:r>
      <w:proofErr w:type="gramEnd"/>
      <w:r w:rsidRPr="00DC16B3">
        <w:rPr>
          <w:rFonts w:ascii="Times New Roman" w:hAnsi="Times New Roman" w:cs="Times New Roman"/>
          <w:sz w:val="24"/>
        </w:rPr>
        <w:t xml:space="preserve"> See: </w:t>
      </w:r>
      <w:hyperlink r:id="rId46" w:history="1">
        <w:r w:rsidRPr="00DC16B3">
          <w:rPr>
            <w:rStyle w:val="Hyperlink"/>
            <w:rFonts w:ascii="Times New Roman" w:hAnsi="Times New Roman" w:cs="Times New Roman"/>
            <w:sz w:val="24"/>
          </w:rPr>
          <w:t>https://www.ituc-csi.org/IMG/pdf/the_case_against_qatar_en_web170314.pdf</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26/11/2018).</w:t>
      </w:r>
    </w:p>
    <w:p w14:paraId="675C0041"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 </w:t>
      </w:r>
      <w:proofErr w:type="spellStart"/>
      <w:r w:rsidRPr="00DC16B3">
        <w:rPr>
          <w:rFonts w:ascii="Times New Roman" w:hAnsi="Times New Roman" w:cs="Times New Roman"/>
          <w:sz w:val="24"/>
        </w:rPr>
        <w:t>Kartam</w:t>
      </w:r>
      <w:proofErr w:type="spellEnd"/>
      <w:r w:rsidRPr="00DC16B3">
        <w:rPr>
          <w:rFonts w:ascii="Times New Roman" w:hAnsi="Times New Roman" w:cs="Times New Roman"/>
          <w:sz w:val="24"/>
        </w:rPr>
        <w:t xml:space="preserve">, N.A. and </w:t>
      </w:r>
      <w:proofErr w:type="spellStart"/>
      <w:r w:rsidRPr="00DC16B3">
        <w:rPr>
          <w:rFonts w:ascii="Times New Roman" w:hAnsi="Times New Roman" w:cs="Times New Roman"/>
          <w:sz w:val="24"/>
        </w:rPr>
        <w:t>Bouz</w:t>
      </w:r>
      <w:proofErr w:type="spellEnd"/>
      <w:r w:rsidRPr="00DC16B3">
        <w:rPr>
          <w:rFonts w:ascii="Times New Roman" w:hAnsi="Times New Roman" w:cs="Times New Roman"/>
          <w:sz w:val="24"/>
        </w:rPr>
        <w:t xml:space="preserve">, R.G., 1998. </w:t>
      </w:r>
      <w:proofErr w:type="gramStart"/>
      <w:r w:rsidRPr="00DC16B3">
        <w:rPr>
          <w:rFonts w:ascii="Times New Roman" w:hAnsi="Times New Roman" w:cs="Times New Roman"/>
          <w:sz w:val="24"/>
        </w:rPr>
        <w:t>Fatalities and injuries in the Kuwaiti construction industry.</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Accident analysis &amp; prevention, 30(6), pp.805-814.</w:t>
      </w:r>
      <w:proofErr w:type="gramEnd"/>
      <w:r w:rsidRPr="00DC16B3">
        <w:rPr>
          <w:rFonts w:ascii="Times New Roman" w:hAnsi="Times New Roman" w:cs="Times New Roman"/>
          <w:sz w:val="24"/>
        </w:rPr>
        <w:t xml:space="preserve"> </w:t>
      </w:r>
      <w:hyperlink r:id="rId47" w:history="1">
        <w:proofErr w:type="gramStart"/>
        <w:r w:rsidRPr="00DC16B3">
          <w:rPr>
            <w:rStyle w:val="Hyperlink"/>
            <w:rFonts w:ascii="Times New Roman" w:hAnsi="Times New Roman" w:cs="Times New Roman"/>
            <w:sz w:val="24"/>
          </w:rPr>
          <w:t>https://doi.org/10.1016/S0001-4575(98)00033-5</w:t>
        </w:r>
      </w:hyperlink>
      <w:r w:rsidRPr="00DC16B3">
        <w:rPr>
          <w:rFonts w:ascii="Times New Roman" w:hAnsi="Times New Roman" w:cs="Times New Roman"/>
          <w:sz w:val="24"/>
        </w:rPr>
        <w:t>.</w:t>
      </w:r>
      <w:proofErr w:type="gramEnd"/>
      <w:r w:rsidRPr="00DC16B3">
        <w:rPr>
          <w:rFonts w:ascii="Times New Roman" w:hAnsi="Times New Roman" w:cs="Times New Roman"/>
          <w:sz w:val="24"/>
        </w:rPr>
        <w:t xml:space="preserve"> </w:t>
      </w:r>
    </w:p>
    <w:p w14:paraId="4F82A96F"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spellStart"/>
      <w:proofErr w:type="gramStart"/>
      <w:r w:rsidRPr="00DC16B3">
        <w:rPr>
          <w:rFonts w:ascii="Times New Roman" w:hAnsi="Times New Roman" w:cs="Times New Roman"/>
          <w:sz w:val="24"/>
        </w:rPr>
        <w:lastRenderedPageBreak/>
        <w:t>Kines</w:t>
      </w:r>
      <w:proofErr w:type="spellEnd"/>
      <w:r w:rsidRPr="00DC16B3">
        <w:rPr>
          <w:rFonts w:ascii="Times New Roman" w:hAnsi="Times New Roman" w:cs="Times New Roman"/>
          <w:sz w:val="24"/>
        </w:rPr>
        <w:t xml:space="preserve">, P., </w:t>
      </w:r>
      <w:proofErr w:type="spellStart"/>
      <w:r w:rsidRPr="00DC16B3">
        <w:rPr>
          <w:rFonts w:ascii="Times New Roman" w:hAnsi="Times New Roman" w:cs="Times New Roman"/>
          <w:sz w:val="24"/>
        </w:rPr>
        <w:t>Lappalainen</w:t>
      </w:r>
      <w:proofErr w:type="spellEnd"/>
      <w:r w:rsidRPr="00DC16B3">
        <w:rPr>
          <w:rFonts w:ascii="Times New Roman" w:hAnsi="Times New Roman" w:cs="Times New Roman"/>
          <w:sz w:val="24"/>
        </w:rPr>
        <w:t xml:space="preserve">, J., </w:t>
      </w:r>
      <w:proofErr w:type="spellStart"/>
      <w:r w:rsidRPr="00DC16B3">
        <w:rPr>
          <w:rFonts w:ascii="Times New Roman" w:hAnsi="Times New Roman" w:cs="Times New Roman"/>
          <w:sz w:val="24"/>
        </w:rPr>
        <w:t>Mikkelsen</w:t>
      </w:r>
      <w:proofErr w:type="spellEnd"/>
      <w:r w:rsidRPr="00DC16B3">
        <w:rPr>
          <w:rFonts w:ascii="Times New Roman" w:hAnsi="Times New Roman" w:cs="Times New Roman"/>
          <w:sz w:val="24"/>
        </w:rPr>
        <w:t xml:space="preserve">, K.L., Olsen, E., </w:t>
      </w:r>
      <w:proofErr w:type="spellStart"/>
      <w:r w:rsidRPr="00DC16B3">
        <w:rPr>
          <w:rFonts w:ascii="Times New Roman" w:hAnsi="Times New Roman" w:cs="Times New Roman"/>
          <w:sz w:val="24"/>
        </w:rPr>
        <w:t>Pousette</w:t>
      </w:r>
      <w:proofErr w:type="spellEnd"/>
      <w:r w:rsidRPr="00DC16B3">
        <w:rPr>
          <w:rFonts w:ascii="Times New Roman" w:hAnsi="Times New Roman" w:cs="Times New Roman"/>
          <w:sz w:val="24"/>
        </w:rPr>
        <w:t xml:space="preserve">, A., </w:t>
      </w:r>
      <w:proofErr w:type="spellStart"/>
      <w:r w:rsidRPr="00DC16B3">
        <w:rPr>
          <w:rFonts w:ascii="Times New Roman" w:hAnsi="Times New Roman" w:cs="Times New Roman"/>
          <w:sz w:val="24"/>
        </w:rPr>
        <w:t>Tharaldsen</w:t>
      </w:r>
      <w:proofErr w:type="spellEnd"/>
      <w:r w:rsidRPr="00DC16B3">
        <w:rPr>
          <w:rFonts w:ascii="Times New Roman" w:hAnsi="Times New Roman" w:cs="Times New Roman"/>
          <w:sz w:val="24"/>
        </w:rPr>
        <w:t xml:space="preserve">, J., </w:t>
      </w:r>
      <w:proofErr w:type="spellStart"/>
      <w:r w:rsidRPr="00DC16B3">
        <w:rPr>
          <w:rFonts w:ascii="Times New Roman" w:hAnsi="Times New Roman" w:cs="Times New Roman"/>
          <w:sz w:val="24"/>
        </w:rPr>
        <w:t>Tómasson</w:t>
      </w:r>
      <w:proofErr w:type="spellEnd"/>
      <w:r w:rsidRPr="00DC16B3">
        <w:rPr>
          <w:rFonts w:ascii="Times New Roman" w:hAnsi="Times New Roman" w:cs="Times New Roman"/>
          <w:sz w:val="24"/>
        </w:rPr>
        <w:t xml:space="preserve">, K. and </w:t>
      </w:r>
      <w:proofErr w:type="spellStart"/>
      <w:r w:rsidRPr="00DC16B3">
        <w:rPr>
          <w:rFonts w:ascii="Times New Roman" w:hAnsi="Times New Roman" w:cs="Times New Roman"/>
          <w:sz w:val="24"/>
        </w:rPr>
        <w:t>Törner</w:t>
      </w:r>
      <w:proofErr w:type="spellEnd"/>
      <w:r w:rsidRPr="00DC16B3">
        <w:rPr>
          <w:rFonts w:ascii="Times New Roman" w:hAnsi="Times New Roman" w:cs="Times New Roman"/>
          <w:sz w:val="24"/>
        </w:rPr>
        <w:t>, M., 2011.</w:t>
      </w:r>
      <w:proofErr w:type="gramEnd"/>
      <w:r w:rsidRPr="00DC16B3">
        <w:rPr>
          <w:rFonts w:ascii="Times New Roman" w:hAnsi="Times New Roman" w:cs="Times New Roman"/>
          <w:sz w:val="24"/>
        </w:rPr>
        <w:t xml:space="preserve"> Nordic Safety Climate Questionnaire (NOSACQ-50): A new tool for diagnosing occupational safety climate. </w:t>
      </w:r>
      <w:proofErr w:type="gramStart"/>
      <w:r w:rsidRPr="00DC16B3">
        <w:rPr>
          <w:rFonts w:ascii="Times New Roman" w:hAnsi="Times New Roman" w:cs="Times New Roman"/>
          <w:sz w:val="24"/>
        </w:rPr>
        <w:t>International Journal of Industrial Ergonomics, 41(6), pp.634-646.</w:t>
      </w:r>
      <w:proofErr w:type="gramEnd"/>
    </w:p>
    <w:p w14:paraId="62AAEFC6"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Lee, P.C., Wei, J., Ting, H.I., Lo, T.P., Long, D. and Chang, L.M., 2019.</w:t>
      </w:r>
      <w:proofErr w:type="gramEnd"/>
      <w:r w:rsidRPr="00DC16B3">
        <w:rPr>
          <w:rFonts w:ascii="Times New Roman" w:hAnsi="Times New Roman" w:cs="Times New Roman"/>
          <w:sz w:val="24"/>
        </w:rPr>
        <w:t xml:space="preserve"> Dynamic Analysis of Construction Safety Risk and Visual Tracking of Key Factors based on Behavior-based Safety and Building Information Modeling. </w:t>
      </w:r>
      <w:proofErr w:type="gramStart"/>
      <w:r w:rsidRPr="00DC16B3">
        <w:rPr>
          <w:rFonts w:ascii="Times New Roman" w:hAnsi="Times New Roman" w:cs="Times New Roman"/>
          <w:sz w:val="24"/>
        </w:rPr>
        <w:t>KSCE Journal of Civil Engineering, pp.1-13.</w:t>
      </w:r>
      <w:proofErr w:type="gramEnd"/>
      <w:r w:rsidRPr="00DC16B3">
        <w:rPr>
          <w:rFonts w:ascii="Times New Roman" w:hAnsi="Times New Roman" w:cs="Times New Roman"/>
          <w:sz w:val="24"/>
        </w:rPr>
        <w:t xml:space="preserve"> </w:t>
      </w:r>
      <w:hyperlink r:id="rId48" w:history="1">
        <w:r w:rsidRPr="00DC16B3">
          <w:rPr>
            <w:rStyle w:val="Hyperlink"/>
            <w:rFonts w:ascii="Times New Roman" w:hAnsi="Times New Roman" w:cs="Times New Roman"/>
            <w:sz w:val="24"/>
          </w:rPr>
          <w:t>https://doi.org/10.1007/s12205-019-0283-z</w:t>
        </w:r>
      </w:hyperlink>
      <w:r w:rsidRPr="00DC16B3">
        <w:rPr>
          <w:rFonts w:ascii="Times New Roman" w:hAnsi="Times New Roman" w:cs="Times New Roman"/>
          <w:sz w:val="24"/>
        </w:rPr>
        <w:t xml:space="preserve">. </w:t>
      </w:r>
    </w:p>
    <w:p w14:paraId="52BD60B6"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Li, R.Y.M. and Poon, S.W., 2013. </w:t>
      </w:r>
      <w:proofErr w:type="gramStart"/>
      <w:r w:rsidRPr="00DC16B3">
        <w:rPr>
          <w:rFonts w:ascii="Times New Roman" w:hAnsi="Times New Roman" w:cs="Times New Roman"/>
          <w:sz w:val="24"/>
        </w:rPr>
        <w:t>Using Web 2.0 to share the knowledge of construction safety as a public good in nature among researchers: The fable of economic animals.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In Construction Safety (pp. 81-95).</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Springer, Berlin, Heidelberg.</w:t>
      </w:r>
      <w:proofErr w:type="gramEnd"/>
      <w:r w:rsidRPr="00DC16B3">
        <w:rPr>
          <w:rFonts w:ascii="Times New Roman" w:hAnsi="Times New Roman" w:cs="Times New Roman"/>
          <w:sz w:val="24"/>
        </w:rPr>
        <w:t xml:space="preserve"> </w:t>
      </w:r>
      <w:hyperlink r:id="rId49" w:history="1">
        <w:r w:rsidRPr="00DC16B3">
          <w:rPr>
            <w:rStyle w:val="Hyperlink"/>
            <w:rFonts w:ascii="Times New Roman" w:hAnsi="Times New Roman" w:cs="Times New Roman"/>
            <w:sz w:val="24"/>
          </w:rPr>
          <w:t>https://doi.org/10.1007/978-3-642-35046-7</w:t>
        </w:r>
      </w:hyperlink>
      <w:r w:rsidRPr="00DC16B3">
        <w:rPr>
          <w:rFonts w:ascii="Times New Roman" w:hAnsi="Times New Roman" w:cs="Times New Roman"/>
          <w:sz w:val="24"/>
        </w:rPr>
        <w:t xml:space="preserve">. </w:t>
      </w:r>
    </w:p>
    <w:p w14:paraId="46340188"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Li, R.Y.M., Chau, K.W. and Zeng, F.F., 2019. </w:t>
      </w:r>
      <w:proofErr w:type="gramStart"/>
      <w:r w:rsidRPr="00DC16B3">
        <w:rPr>
          <w:rFonts w:ascii="Times New Roman" w:hAnsi="Times New Roman" w:cs="Times New Roman"/>
          <w:sz w:val="24"/>
        </w:rPr>
        <w:t>Ranking of Risks for Existing and New Building Works.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Sustainability, 11(10), p.2863.</w:t>
      </w:r>
      <w:proofErr w:type="gramEnd"/>
      <w:r w:rsidRPr="00DC16B3">
        <w:rPr>
          <w:rFonts w:ascii="Times New Roman" w:hAnsi="Times New Roman" w:cs="Times New Roman"/>
          <w:sz w:val="24"/>
        </w:rPr>
        <w:t xml:space="preserve"> </w:t>
      </w:r>
      <w:hyperlink r:id="rId50" w:history="1">
        <w:r w:rsidRPr="00DC16B3">
          <w:rPr>
            <w:rStyle w:val="Hyperlink"/>
            <w:rFonts w:ascii="Times New Roman" w:hAnsi="Times New Roman" w:cs="Times New Roman"/>
            <w:sz w:val="24"/>
          </w:rPr>
          <w:t>https://doi.org/10.3390/su11102863</w:t>
        </w:r>
      </w:hyperlink>
      <w:r w:rsidRPr="00DC16B3">
        <w:rPr>
          <w:rFonts w:ascii="Times New Roman" w:hAnsi="Times New Roman" w:cs="Times New Roman"/>
          <w:sz w:val="24"/>
        </w:rPr>
        <w:t xml:space="preserve">. </w:t>
      </w:r>
    </w:p>
    <w:p w14:paraId="542B88F6"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LMRA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Market Regulatory Authority), 2018.</w:t>
      </w:r>
      <w:proofErr w:type="gramEnd"/>
      <w:r w:rsidRPr="00DC16B3">
        <w:rPr>
          <w:rFonts w:ascii="Times New Roman" w:hAnsi="Times New Roman" w:cs="Times New Roman"/>
          <w:sz w:val="24"/>
        </w:rPr>
        <w:t xml:space="preserve"> Bahrain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Market Indicators, </w:t>
      </w:r>
      <w:proofErr w:type="spellStart"/>
      <w:r w:rsidRPr="00DC16B3">
        <w:rPr>
          <w:rFonts w:ascii="Times New Roman" w:hAnsi="Times New Roman" w:cs="Times New Roman"/>
          <w:sz w:val="24"/>
        </w:rPr>
        <w:t>Labour</w:t>
      </w:r>
      <w:proofErr w:type="spellEnd"/>
      <w:r w:rsidRPr="00DC16B3">
        <w:rPr>
          <w:rFonts w:ascii="Times New Roman" w:hAnsi="Times New Roman" w:cs="Times New Roman"/>
          <w:sz w:val="24"/>
        </w:rPr>
        <w:t xml:space="preserve"> Market Regulatory Authority, Bahrain. See: </w:t>
      </w:r>
      <w:hyperlink r:id="rId51" w:history="1">
        <w:r w:rsidRPr="00DC16B3">
          <w:rPr>
            <w:rStyle w:val="Hyperlink"/>
            <w:rFonts w:ascii="Times New Roman" w:hAnsi="Times New Roman" w:cs="Times New Roman"/>
            <w:sz w:val="24"/>
          </w:rPr>
          <w:t>http://blmi.lmra.bh/2010/12/mi_data.xml</w:t>
        </w:r>
      </w:hyperlink>
      <w:r w:rsidRPr="00DC16B3">
        <w:rPr>
          <w:rFonts w:ascii="Times New Roman" w:hAnsi="Times New Roman" w:cs="Times New Roman"/>
          <w:sz w:val="24"/>
        </w:rPr>
        <w:t xml:space="preserve"> (accessed 18/11/2018).</w:t>
      </w:r>
    </w:p>
    <w:p w14:paraId="253214F1"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MD (Muscat Daily) (2016) 2016 Was Hottest Year on Record. Muscat Daily, 22 January. See: </w:t>
      </w:r>
      <w:hyperlink r:id="rId52" w:history="1">
        <w:r w:rsidRPr="00DC16B3">
          <w:rPr>
            <w:rStyle w:val="Hyperlink"/>
            <w:rFonts w:ascii="Times New Roman" w:hAnsi="Times New Roman" w:cs="Times New Roman"/>
            <w:sz w:val="24"/>
          </w:rPr>
          <w:t>http://www.muscatdaily.com/Archive/Oman/2016-was-hottest-year-on-record-WMO-4xdr</w:t>
        </w:r>
      </w:hyperlink>
      <w:r w:rsidRPr="00DC16B3">
        <w:rPr>
          <w:rFonts w:ascii="Times New Roman" w:hAnsi="Times New Roman" w:cs="Times New Roman"/>
          <w:sz w:val="24"/>
        </w:rPr>
        <w:t xml:space="preserve"> (accessed 19/11/2017).</w:t>
      </w:r>
    </w:p>
    <w:p w14:paraId="0D5A37A6"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 </w:t>
      </w:r>
      <w:proofErr w:type="gramStart"/>
      <w:r w:rsidRPr="00DC16B3">
        <w:rPr>
          <w:rFonts w:ascii="Times New Roman" w:hAnsi="Times New Roman" w:cs="Times New Roman"/>
          <w:sz w:val="24"/>
        </w:rPr>
        <w:t>Meteorology Department,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Climate Information for Doha.</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Meteorology Department, Doha, Qatar.</w:t>
      </w:r>
      <w:proofErr w:type="gramEnd"/>
      <w:r w:rsidRPr="00DC16B3">
        <w:rPr>
          <w:rFonts w:ascii="Times New Roman" w:hAnsi="Times New Roman" w:cs="Times New Roman"/>
          <w:sz w:val="24"/>
        </w:rPr>
        <w:t xml:space="preserve"> See: </w:t>
      </w:r>
      <w:hyperlink r:id="rId53" w:history="1">
        <w:r w:rsidRPr="00DC16B3">
          <w:rPr>
            <w:rStyle w:val="Hyperlink"/>
            <w:rFonts w:ascii="Times New Roman" w:hAnsi="Times New Roman" w:cs="Times New Roman"/>
            <w:sz w:val="24"/>
          </w:rPr>
          <w:t>https://qweather.gov.qa/ClimateInfo.aspx</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29/11/2018). </w:t>
      </w:r>
    </w:p>
    <w:p w14:paraId="59158377"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MHRE (Ministry of Human Resources and Emiratizations). 2018. Open Data. </w:t>
      </w:r>
      <w:proofErr w:type="gramStart"/>
      <w:r w:rsidRPr="00DC16B3">
        <w:rPr>
          <w:rFonts w:ascii="Times New Roman" w:hAnsi="Times New Roman" w:cs="Times New Roman"/>
          <w:sz w:val="24"/>
        </w:rPr>
        <w:t>Ministry of Human Resources and Emiratizations.</w:t>
      </w:r>
      <w:proofErr w:type="gramEnd"/>
      <w:r w:rsidRPr="00DC16B3">
        <w:rPr>
          <w:rFonts w:ascii="Times New Roman" w:hAnsi="Times New Roman" w:cs="Times New Roman"/>
          <w:sz w:val="24"/>
        </w:rPr>
        <w:t xml:space="preserve"> Dubai, United Arab Emirates. See: </w:t>
      </w:r>
      <w:hyperlink r:id="rId54" w:history="1">
        <w:r w:rsidRPr="00DC16B3">
          <w:rPr>
            <w:rStyle w:val="Hyperlink"/>
            <w:rFonts w:ascii="Times New Roman" w:hAnsi="Times New Roman" w:cs="Times New Roman"/>
            <w:sz w:val="24"/>
          </w:rPr>
          <w:t>http://www.mohre.gov.ae/en/data-library/statistical-report.aspx</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18/11/2018).</w:t>
      </w:r>
    </w:p>
    <w:p w14:paraId="296153D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Middle East Annual Conference, 2014.</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Managing liability for worksite accidents.</w:t>
      </w:r>
      <w:proofErr w:type="gramEnd"/>
      <w:r w:rsidRPr="00DC16B3">
        <w:rPr>
          <w:rFonts w:ascii="Times New Roman" w:hAnsi="Times New Roman" w:cs="Times New Roman"/>
          <w:sz w:val="24"/>
        </w:rPr>
        <w:t xml:space="preserve"> </w:t>
      </w:r>
      <w:proofErr w:type="spellStart"/>
      <w:proofErr w:type="gramStart"/>
      <w:r w:rsidRPr="00DC16B3">
        <w:rPr>
          <w:rFonts w:ascii="Times New Roman" w:hAnsi="Times New Roman" w:cs="Times New Roman"/>
          <w:sz w:val="24"/>
        </w:rPr>
        <w:t>Jeremie</w:t>
      </w:r>
      <w:proofErr w:type="spellEnd"/>
      <w:r w:rsidRPr="00DC16B3">
        <w:rPr>
          <w:rFonts w:ascii="Times New Roman" w:hAnsi="Times New Roman" w:cs="Times New Roman"/>
          <w:sz w:val="24"/>
        </w:rPr>
        <w:t xml:space="preserve"> Witt &amp; Antonia </w:t>
      </w:r>
      <w:proofErr w:type="spellStart"/>
      <w:r w:rsidRPr="00DC16B3">
        <w:rPr>
          <w:rFonts w:ascii="Times New Roman" w:hAnsi="Times New Roman" w:cs="Times New Roman"/>
          <w:sz w:val="24"/>
        </w:rPr>
        <w:t>Birt</w:t>
      </w:r>
      <w:proofErr w:type="spellEnd"/>
      <w:r w:rsidRPr="00DC16B3">
        <w:rPr>
          <w:rFonts w:ascii="Times New Roman" w:hAnsi="Times New Roman" w:cs="Times New Roman"/>
          <w:sz w:val="24"/>
        </w:rPr>
        <w:t xml:space="preserve">, Associates </w:t>
      </w:r>
      <w:proofErr w:type="spellStart"/>
      <w:r w:rsidRPr="00DC16B3">
        <w:rPr>
          <w:rFonts w:ascii="Times New Roman" w:hAnsi="Times New Roman" w:cs="Times New Roman"/>
          <w:sz w:val="24"/>
        </w:rPr>
        <w:t>Freshfields</w:t>
      </w:r>
      <w:proofErr w:type="spellEnd"/>
      <w:r w:rsidRPr="00DC16B3">
        <w:rPr>
          <w:rFonts w:ascii="Times New Roman" w:hAnsi="Times New Roman" w:cs="Times New Roman"/>
          <w:sz w:val="24"/>
        </w:rPr>
        <w:t xml:space="preserve"> Bruckhaus </w:t>
      </w:r>
      <w:proofErr w:type="spellStart"/>
      <w:r w:rsidRPr="00DC16B3">
        <w:rPr>
          <w:rFonts w:ascii="Times New Roman" w:hAnsi="Times New Roman" w:cs="Times New Roman"/>
          <w:sz w:val="24"/>
        </w:rPr>
        <w:t>Deringer</w:t>
      </w:r>
      <w:proofErr w:type="spellEnd"/>
      <w:r w:rsidRPr="00DC16B3">
        <w:rPr>
          <w:rFonts w:ascii="Times New Roman" w:hAnsi="Times New Roman" w:cs="Times New Roman"/>
          <w:sz w:val="24"/>
        </w:rPr>
        <w:t xml:space="preserve"> LLP, London, UK.</w:t>
      </w:r>
      <w:proofErr w:type="gramEnd"/>
      <w:r w:rsidRPr="00DC16B3">
        <w:rPr>
          <w:rFonts w:ascii="Times New Roman" w:hAnsi="Times New Roman" w:cs="Times New Roman"/>
          <w:sz w:val="24"/>
        </w:rPr>
        <w:t xml:space="preserve"> See: </w:t>
      </w:r>
      <w:hyperlink r:id="rId55" w:history="1">
        <w:r w:rsidRPr="00DC16B3">
          <w:rPr>
            <w:rStyle w:val="Hyperlink"/>
            <w:rFonts w:ascii="Times New Roman" w:hAnsi="Times New Roman" w:cs="Times New Roman"/>
            <w:sz w:val="24"/>
          </w:rPr>
          <w:t>https://www.iosh.co.uk/Key-IOSH-events/Middle-East-Annual-Conference-and-AGM-2014/Middle-East-Conference-presentations.aspx</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24/11/2018).</w:t>
      </w:r>
    </w:p>
    <w:p w14:paraId="15DADA6B"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Moher, D., </w:t>
      </w:r>
      <w:proofErr w:type="spellStart"/>
      <w:r w:rsidRPr="00DC16B3">
        <w:rPr>
          <w:rFonts w:ascii="Times New Roman" w:hAnsi="Times New Roman" w:cs="Times New Roman"/>
          <w:sz w:val="24"/>
        </w:rPr>
        <w:t>Liberati</w:t>
      </w:r>
      <w:proofErr w:type="spellEnd"/>
      <w:r w:rsidRPr="00DC16B3">
        <w:rPr>
          <w:rFonts w:ascii="Times New Roman" w:hAnsi="Times New Roman" w:cs="Times New Roman"/>
          <w:sz w:val="24"/>
        </w:rPr>
        <w:t xml:space="preserve">, A., </w:t>
      </w:r>
      <w:proofErr w:type="spellStart"/>
      <w:r w:rsidRPr="00DC16B3">
        <w:rPr>
          <w:rFonts w:ascii="Times New Roman" w:hAnsi="Times New Roman" w:cs="Times New Roman"/>
          <w:sz w:val="24"/>
        </w:rPr>
        <w:t>Tetzlaff</w:t>
      </w:r>
      <w:proofErr w:type="spellEnd"/>
      <w:r w:rsidRPr="00DC16B3">
        <w:rPr>
          <w:rFonts w:ascii="Times New Roman" w:hAnsi="Times New Roman" w:cs="Times New Roman"/>
          <w:sz w:val="24"/>
        </w:rPr>
        <w:t xml:space="preserve">, J. and Altman, D.G., 2009. </w:t>
      </w:r>
      <w:proofErr w:type="gramStart"/>
      <w:r w:rsidRPr="00DC16B3">
        <w:rPr>
          <w:rFonts w:ascii="Times New Roman" w:hAnsi="Times New Roman" w:cs="Times New Roman"/>
          <w:sz w:val="24"/>
        </w:rPr>
        <w:t>Preferred reporting items for systematic reviews and meta-analyses: the PRISMA statement.</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Annals of internal medicine, 151(4), pp.264-269.</w:t>
      </w:r>
      <w:proofErr w:type="gramEnd"/>
      <w:r w:rsidRPr="00DC16B3">
        <w:rPr>
          <w:rFonts w:ascii="Times New Roman" w:hAnsi="Times New Roman" w:cs="Times New Roman"/>
          <w:sz w:val="24"/>
        </w:rPr>
        <w:t xml:space="preserve"> </w:t>
      </w:r>
      <w:hyperlink r:id="rId56" w:history="1">
        <w:r w:rsidRPr="00DC16B3">
          <w:rPr>
            <w:rStyle w:val="Hyperlink"/>
            <w:rFonts w:ascii="Times New Roman" w:hAnsi="Times New Roman" w:cs="Times New Roman"/>
            <w:sz w:val="24"/>
          </w:rPr>
          <w:t>https://doi.org/10.1371/journal.pmed.1000097</w:t>
        </w:r>
      </w:hyperlink>
      <w:r w:rsidRPr="00DC16B3">
        <w:rPr>
          <w:rFonts w:ascii="Times New Roman" w:hAnsi="Times New Roman" w:cs="Times New Roman"/>
          <w:sz w:val="24"/>
        </w:rPr>
        <w:t xml:space="preserve">. </w:t>
      </w:r>
    </w:p>
    <w:p w14:paraId="07F9F6E4"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NCSI (National Centre for Statistics and Information).</w:t>
      </w:r>
      <w:proofErr w:type="gramEnd"/>
      <w:r w:rsidRPr="00DC16B3">
        <w:rPr>
          <w:rFonts w:ascii="Times New Roman" w:hAnsi="Times New Roman" w:cs="Times New Roman"/>
          <w:sz w:val="24"/>
        </w:rPr>
        <w:t xml:space="preserve"> 2017. Monthly Statistical Bulletin, January, 2017. </w:t>
      </w:r>
      <w:proofErr w:type="gramStart"/>
      <w:r w:rsidRPr="00DC16B3">
        <w:rPr>
          <w:rFonts w:ascii="Times New Roman" w:hAnsi="Times New Roman" w:cs="Times New Roman"/>
          <w:sz w:val="24"/>
        </w:rPr>
        <w:t>National Centre for Statistics and Information, Muscat, Oman.</w:t>
      </w:r>
      <w:proofErr w:type="gramEnd"/>
    </w:p>
    <w:p w14:paraId="1B814F43"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NCSI (National Centre for Statistics and Information).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2017-b. Monthly Statistical Bulletin.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NCSI, Muscat, Oman.</w:t>
      </w:r>
      <w:proofErr w:type="gramEnd"/>
    </w:p>
    <w:p w14:paraId="4ACA8D4A"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ONS (Office for National Statistics) (2017) Construction Statistics: Number 18, 2017 Edition.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Office for National Statistics, London, UK.</w:t>
      </w:r>
      <w:proofErr w:type="gramEnd"/>
      <w:r w:rsidRPr="00DC16B3">
        <w:rPr>
          <w:rFonts w:ascii="Times New Roman" w:hAnsi="Times New Roman" w:cs="Times New Roman"/>
          <w:sz w:val="24"/>
        </w:rPr>
        <w:t xml:space="preserve"> See: </w:t>
      </w:r>
      <w:hyperlink r:id="rId57" w:history="1">
        <w:r w:rsidRPr="00DC16B3">
          <w:rPr>
            <w:rStyle w:val="Hyperlink"/>
            <w:rFonts w:ascii="Times New Roman" w:hAnsi="Times New Roman" w:cs="Times New Roman"/>
            <w:sz w:val="24"/>
          </w:rPr>
          <w:t>https://www.ons.gov.uk/businessindustryandtrade/constructionindustry/articles/constructionstatistics/number182017edition</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01/02/2018).</w:t>
      </w:r>
    </w:p>
    <w:p w14:paraId="579B2274"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lastRenderedPageBreak/>
        <w:t>OSC (Oman Society of Contractors).</w:t>
      </w:r>
      <w:proofErr w:type="gramEnd"/>
      <w:r w:rsidRPr="00DC16B3">
        <w:rPr>
          <w:rFonts w:ascii="Times New Roman" w:hAnsi="Times New Roman" w:cs="Times New Roman"/>
          <w:sz w:val="24"/>
        </w:rPr>
        <w:t xml:space="preserve"> 2016. Annual General Meeting: Distribution of Expatriate in Construction Organizations of Oman. </w:t>
      </w:r>
      <w:proofErr w:type="gramStart"/>
      <w:r w:rsidRPr="00DC16B3">
        <w:rPr>
          <w:rFonts w:ascii="Times New Roman" w:hAnsi="Times New Roman" w:cs="Times New Roman"/>
          <w:sz w:val="24"/>
        </w:rPr>
        <w:t>OSC, Muscat, Oman.</w:t>
      </w:r>
      <w:proofErr w:type="gramEnd"/>
    </w:p>
    <w:p w14:paraId="75859C6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OSHA (Occupational Safety and health Administration).</w:t>
      </w:r>
      <w:proofErr w:type="gramEnd"/>
      <w:r w:rsidRPr="00DC16B3">
        <w:rPr>
          <w:rFonts w:ascii="Times New Roman" w:hAnsi="Times New Roman" w:cs="Times New Roman"/>
          <w:sz w:val="24"/>
        </w:rPr>
        <w:t xml:space="preserve"> 2018. OSHA is </w:t>
      </w:r>
      <w:proofErr w:type="gramStart"/>
      <w:r w:rsidRPr="00DC16B3">
        <w:rPr>
          <w:rFonts w:ascii="Times New Roman" w:hAnsi="Times New Roman" w:cs="Times New Roman"/>
          <w:sz w:val="24"/>
        </w:rPr>
        <w:t>Making</w:t>
      </w:r>
      <w:proofErr w:type="gramEnd"/>
      <w:r w:rsidRPr="00DC16B3">
        <w:rPr>
          <w:rFonts w:ascii="Times New Roman" w:hAnsi="Times New Roman" w:cs="Times New Roman"/>
          <w:sz w:val="24"/>
        </w:rPr>
        <w:t xml:space="preserve"> a Difference. </w:t>
      </w:r>
      <w:proofErr w:type="gramStart"/>
      <w:r w:rsidRPr="00DC16B3">
        <w:rPr>
          <w:rFonts w:ascii="Times New Roman" w:hAnsi="Times New Roman" w:cs="Times New Roman"/>
          <w:sz w:val="24"/>
        </w:rPr>
        <w:t>Occupational Safety and health Administration, Washington, United States.</w:t>
      </w:r>
      <w:proofErr w:type="gramEnd"/>
      <w:r w:rsidRPr="00DC16B3">
        <w:rPr>
          <w:rFonts w:ascii="Times New Roman" w:hAnsi="Times New Roman" w:cs="Times New Roman"/>
          <w:sz w:val="24"/>
        </w:rPr>
        <w:t xml:space="preserve"> See: </w:t>
      </w:r>
      <w:hyperlink r:id="rId58" w:history="1">
        <w:r w:rsidRPr="00DC16B3">
          <w:rPr>
            <w:rStyle w:val="Hyperlink"/>
            <w:rFonts w:ascii="Times New Roman" w:hAnsi="Times New Roman" w:cs="Times New Roman"/>
            <w:sz w:val="24"/>
          </w:rPr>
          <w:t>https://www.osha.gov/oshstats/commonstats.html</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29/11/2018). </w:t>
      </w:r>
    </w:p>
    <w:p w14:paraId="21CEC4B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Parliament of Australia, 2018.</w:t>
      </w:r>
      <w:proofErr w:type="gramEnd"/>
      <w:r w:rsidRPr="00DC16B3">
        <w:rPr>
          <w:rFonts w:ascii="Times New Roman" w:hAnsi="Times New Roman" w:cs="Times New Roman"/>
          <w:sz w:val="24"/>
        </w:rPr>
        <w:t xml:space="preserve"> Employment by industry statistics: a quick guide. See: </w:t>
      </w:r>
      <w:hyperlink r:id="rId59" w:history="1">
        <w:r w:rsidRPr="00DC16B3">
          <w:rPr>
            <w:rStyle w:val="Hyperlink"/>
            <w:rFonts w:ascii="Times New Roman" w:hAnsi="Times New Roman" w:cs="Times New Roman"/>
            <w:sz w:val="24"/>
          </w:rPr>
          <w:t>https://www.aph.gov.au/About_Parliament/Parliamentary_Departments/Parliamentary_Library/pubs/rp/rp1718/Quick_Guides/EmployIndustry</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19/11/2018).</w:t>
      </w:r>
    </w:p>
    <w:p w14:paraId="145E308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PC (Population Clock).</w:t>
      </w:r>
      <w:proofErr w:type="gramEnd"/>
      <w:r w:rsidRPr="00DC16B3">
        <w:rPr>
          <w:rFonts w:ascii="Times New Roman" w:hAnsi="Times New Roman" w:cs="Times New Roman"/>
          <w:sz w:val="24"/>
        </w:rPr>
        <w:t xml:space="preserve"> 2018. Population Clock of Oman, National Center of Statistic and Information, Muscat, Oman. See: </w:t>
      </w:r>
      <w:hyperlink r:id="rId60" w:history="1">
        <w:r w:rsidRPr="00DC16B3">
          <w:rPr>
            <w:rStyle w:val="Hyperlink"/>
            <w:rFonts w:ascii="Times New Roman" w:hAnsi="Times New Roman" w:cs="Times New Roman"/>
            <w:sz w:val="24"/>
          </w:rPr>
          <w:t>https://www.ncsi.gov.om/Pages/NCSI.aspx</w:t>
        </w:r>
      </w:hyperlink>
      <w:r w:rsidRPr="00DC16B3">
        <w:rPr>
          <w:rFonts w:ascii="Times New Roman" w:hAnsi="Times New Roman" w:cs="Times New Roman"/>
          <w:sz w:val="24"/>
        </w:rPr>
        <w:t>. See: (accessed 18/11/2018).</w:t>
      </w:r>
    </w:p>
    <w:p w14:paraId="7C7932F0"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Probst, T.M., </w:t>
      </w:r>
      <w:proofErr w:type="spellStart"/>
      <w:r w:rsidRPr="00DC16B3">
        <w:rPr>
          <w:rFonts w:ascii="Times New Roman" w:hAnsi="Times New Roman" w:cs="Times New Roman"/>
          <w:sz w:val="24"/>
        </w:rPr>
        <w:t>Goldenhar</w:t>
      </w:r>
      <w:proofErr w:type="spellEnd"/>
      <w:r w:rsidRPr="00DC16B3">
        <w:rPr>
          <w:rFonts w:ascii="Times New Roman" w:hAnsi="Times New Roman" w:cs="Times New Roman"/>
          <w:sz w:val="24"/>
        </w:rPr>
        <w:t xml:space="preserve">, L.M., Byrd, J.L. and </w:t>
      </w:r>
      <w:proofErr w:type="spellStart"/>
      <w:r w:rsidRPr="00DC16B3">
        <w:rPr>
          <w:rFonts w:ascii="Times New Roman" w:hAnsi="Times New Roman" w:cs="Times New Roman"/>
          <w:sz w:val="24"/>
        </w:rPr>
        <w:t>Betit</w:t>
      </w:r>
      <w:proofErr w:type="spellEnd"/>
      <w:r w:rsidRPr="00DC16B3">
        <w:rPr>
          <w:rFonts w:ascii="Times New Roman" w:hAnsi="Times New Roman" w:cs="Times New Roman"/>
          <w:sz w:val="24"/>
        </w:rPr>
        <w:t xml:space="preserve">, E., 2019. The safety climate assessment tool (s-cat): A rubric-based approach to measuring construction safety climate. </w:t>
      </w:r>
      <w:proofErr w:type="gramStart"/>
      <w:r w:rsidRPr="00DC16B3">
        <w:rPr>
          <w:rFonts w:ascii="Times New Roman" w:hAnsi="Times New Roman" w:cs="Times New Roman"/>
          <w:sz w:val="24"/>
        </w:rPr>
        <w:t>Journal of Safety Research, 69, pp.43-51.</w:t>
      </w:r>
      <w:proofErr w:type="gramEnd"/>
      <w:r w:rsidRPr="00DC16B3">
        <w:rPr>
          <w:rFonts w:ascii="Times New Roman" w:hAnsi="Times New Roman" w:cs="Times New Roman"/>
          <w:sz w:val="24"/>
        </w:rPr>
        <w:t xml:space="preserve"> </w:t>
      </w:r>
      <w:hyperlink r:id="rId61" w:history="1">
        <w:r w:rsidRPr="00DC16B3">
          <w:rPr>
            <w:rStyle w:val="Hyperlink"/>
            <w:rFonts w:ascii="Times New Roman" w:hAnsi="Times New Roman" w:cs="Times New Roman"/>
            <w:sz w:val="24"/>
          </w:rPr>
          <w:t>https://doi.org/10.1016/j.jsr.2019.02.004</w:t>
        </w:r>
      </w:hyperlink>
      <w:r w:rsidRPr="00DC16B3">
        <w:rPr>
          <w:rFonts w:ascii="Times New Roman" w:hAnsi="Times New Roman" w:cs="Times New Roman"/>
          <w:sz w:val="24"/>
        </w:rPr>
        <w:t xml:space="preserve">. </w:t>
      </w:r>
    </w:p>
    <w:p w14:paraId="50A41759"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Sachs, J.D., 2015. The end of poverty: economic possibilities for our time. Penguin Group, New York, USA.</w:t>
      </w:r>
    </w:p>
    <w:p w14:paraId="42209C68"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Safe Work Australia,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Work-related traumatic injury fatalities.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Safe Work Australia, Canberra, Australia.</w:t>
      </w:r>
      <w:proofErr w:type="gramEnd"/>
      <w:r w:rsidRPr="00DC16B3">
        <w:rPr>
          <w:rFonts w:ascii="Times New Roman" w:hAnsi="Times New Roman" w:cs="Times New Roman"/>
          <w:sz w:val="24"/>
        </w:rPr>
        <w:t xml:space="preserve"> See: </w:t>
      </w:r>
      <w:hyperlink r:id="rId62" w:history="1">
        <w:r w:rsidRPr="00DC16B3">
          <w:rPr>
            <w:rStyle w:val="Hyperlink"/>
            <w:rFonts w:ascii="Times New Roman" w:hAnsi="Times New Roman" w:cs="Times New Roman"/>
            <w:sz w:val="24"/>
          </w:rPr>
          <w:t>https://www.safeworkaustralia.gov.au/statistics-and-research/statistics/fatalities/fatality-statistics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22/11/2018).</w:t>
      </w:r>
    </w:p>
    <w:p w14:paraId="781D0AE8"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Safety Media,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Key Middle East Safety Statistics.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Safety Media, Denbighshire, UK.</w:t>
      </w:r>
      <w:proofErr w:type="gramEnd"/>
      <w:r w:rsidRPr="00DC16B3">
        <w:rPr>
          <w:rFonts w:ascii="Times New Roman" w:hAnsi="Times New Roman" w:cs="Times New Roman"/>
          <w:sz w:val="24"/>
        </w:rPr>
        <w:t xml:space="preserve"> See: </w:t>
      </w:r>
      <w:hyperlink r:id="rId63" w:history="1">
        <w:r w:rsidRPr="00DC16B3">
          <w:rPr>
            <w:rStyle w:val="Hyperlink"/>
            <w:rFonts w:ascii="Times New Roman" w:hAnsi="Times New Roman" w:cs="Times New Roman"/>
            <w:sz w:val="24"/>
          </w:rPr>
          <w:t>https://safetymedia.co.uk/me/middle-east-safety-statistics/</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24/11/2018).</w:t>
      </w:r>
    </w:p>
    <w:p w14:paraId="0D387147"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SHJ (Statistical Handbook of Japan) (2017) Manufacturing and Construction.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Statistical Handbook of Japan, 2017.</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Statistics Bureau, Ministry of Internal Affairs and Communication, Tokyo, Japan.</w:t>
      </w:r>
      <w:proofErr w:type="gramEnd"/>
      <w:r w:rsidRPr="00DC16B3">
        <w:rPr>
          <w:rFonts w:ascii="Times New Roman" w:hAnsi="Times New Roman" w:cs="Times New Roman"/>
          <w:sz w:val="24"/>
        </w:rPr>
        <w:t xml:space="preserve"> See: </w:t>
      </w:r>
      <w:hyperlink r:id="rId64" w:history="1">
        <w:r w:rsidRPr="00DC16B3">
          <w:rPr>
            <w:rStyle w:val="Hyperlink"/>
            <w:rFonts w:ascii="Times New Roman" w:hAnsi="Times New Roman" w:cs="Times New Roman"/>
            <w:sz w:val="24"/>
          </w:rPr>
          <w:t>http://www.stat.go.jp/english/data/handbook/pdf/2017all.pdf</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01/02/2018).</w:t>
      </w:r>
    </w:p>
    <w:p w14:paraId="495E622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Statista, 2017.</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Construction industry spending worldwide from 2014 to 2025 (in trillion U.S. dollars).</w:t>
      </w:r>
      <w:proofErr w:type="gramEnd"/>
      <w:r w:rsidRPr="00DC16B3">
        <w:rPr>
          <w:rFonts w:ascii="Times New Roman" w:hAnsi="Times New Roman" w:cs="Times New Roman"/>
          <w:sz w:val="24"/>
        </w:rPr>
        <w:t xml:space="preserve"> Statista, Inc. New York, USA. See: https://www.statista.com/statistics/788128/construction-spending-worldwide/ (accessed 24/04/2018).</w:t>
      </w:r>
    </w:p>
    <w:p w14:paraId="44E9005C"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Statista,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Construction Industry in the UK - Statistics &amp; Facts.</w:t>
      </w:r>
      <w:proofErr w:type="gramEnd"/>
      <w:r w:rsidRPr="00DC16B3">
        <w:rPr>
          <w:rFonts w:ascii="Times New Roman" w:hAnsi="Times New Roman" w:cs="Times New Roman"/>
          <w:sz w:val="24"/>
        </w:rPr>
        <w:t xml:space="preserve"> Statista, Inc. New York, United States. See: </w:t>
      </w:r>
      <w:hyperlink r:id="rId65" w:history="1">
        <w:r w:rsidRPr="00DC16B3">
          <w:rPr>
            <w:rStyle w:val="Hyperlink"/>
            <w:rFonts w:ascii="Times New Roman" w:hAnsi="Times New Roman" w:cs="Times New Roman"/>
            <w:sz w:val="24"/>
          </w:rPr>
          <w:t>https://www.statista.com/topics/3797/construction-industry-in-the-uk/</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18/11/2018).</w:t>
      </w:r>
    </w:p>
    <w:p w14:paraId="39BFA31D"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Statista, 2018-a. Global GDP (gross domestic product) at current prices.</w:t>
      </w:r>
      <w:proofErr w:type="gramEnd"/>
      <w:r w:rsidRPr="00DC16B3">
        <w:rPr>
          <w:rFonts w:ascii="Times New Roman" w:hAnsi="Times New Roman" w:cs="Times New Roman"/>
          <w:sz w:val="24"/>
        </w:rPr>
        <w:t xml:space="preserve"> Statista, Inc. New York, USA. See: </w:t>
      </w:r>
      <w:hyperlink r:id="rId66" w:history="1">
        <w:r w:rsidRPr="00DC16B3">
          <w:rPr>
            <w:rStyle w:val="Hyperlink"/>
            <w:rFonts w:ascii="Times New Roman" w:hAnsi="Times New Roman" w:cs="Times New Roman"/>
            <w:sz w:val="24"/>
          </w:rPr>
          <w:t>https://www.statista.com/statistics/268750/global-gross-domestic-product-gdp/</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19/11/2018).</w:t>
      </w:r>
    </w:p>
    <w:p w14:paraId="07E15346"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TOM (2017) Oman budget: Despite austerity, Oman committed to investment. Time of Oman, 2 January. See: http://timesofoman.com/article/99741/Oman/Government/Oman-budget:-Despiteausterity-Oman-committed-to-investment (accessed 19/01/2017).</w:t>
      </w:r>
    </w:p>
    <w:p w14:paraId="6A445FB2"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lastRenderedPageBreak/>
        <w:t xml:space="preserve">TOM (Times of Oman) (2015) Oman weather: Sultanate likely to record hottest day in the region. Time of Oman, 10 August. See: </w:t>
      </w:r>
      <w:hyperlink r:id="rId67" w:history="1">
        <w:r w:rsidRPr="00DC16B3">
          <w:rPr>
            <w:rStyle w:val="Hyperlink"/>
            <w:rFonts w:ascii="Times New Roman" w:hAnsi="Times New Roman" w:cs="Times New Roman"/>
            <w:sz w:val="24"/>
          </w:rPr>
          <w:t>http://timesofoman.com/article/65283/Oman/Environment/Oman-weather:-Sultanatelikely-to-record-hottest-day-in-the-region</w:t>
        </w:r>
      </w:hyperlink>
      <w:r w:rsidRPr="00DC16B3">
        <w:rPr>
          <w:rFonts w:ascii="Times New Roman" w:hAnsi="Times New Roman" w:cs="Times New Roman"/>
          <w:sz w:val="24"/>
        </w:rPr>
        <w:t xml:space="preserve"> (accessed 19/11/2017).</w:t>
      </w:r>
    </w:p>
    <w:p w14:paraId="5C182380"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(2016). Cost of accidents in the construction industry of Oman. Proceedings of the Institution of Civil Engineers – Municipal Engineer 170(2): 68–73, </w:t>
      </w:r>
      <w:hyperlink r:id="rId68" w:history="1">
        <w:r w:rsidRPr="00DC16B3">
          <w:rPr>
            <w:rStyle w:val="Hyperlink"/>
            <w:rFonts w:ascii="Times New Roman" w:hAnsi="Times New Roman" w:cs="Times New Roman"/>
            <w:sz w:val="24"/>
          </w:rPr>
          <w:t>https://doi.org/10.1680/jmuen.16.00032</w:t>
        </w:r>
      </w:hyperlink>
      <w:r w:rsidRPr="00DC16B3">
        <w:rPr>
          <w:rFonts w:ascii="Times New Roman" w:hAnsi="Times New Roman" w:cs="Times New Roman"/>
          <w:sz w:val="24"/>
        </w:rPr>
        <w:t>.</w:t>
      </w:r>
    </w:p>
    <w:p w14:paraId="2516DEA9"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and Wamuziri SC (2016-b) </w:t>
      </w:r>
      <w:proofErr w:type="gramStart"/>
      <w:r w:rsidRPr="00DC16B3">
        <w:rPr>
          <w:rFonts w:ascii="Times New Roman" w:hAnsi="Times New Roman" w:cs="Times New Roman"/>
          <w:sz w:val="24"/>
        </w:rPr>
        <w:t>A</w:t>
      </w:r>
      <w:proofErr w:type="gramEnd"/>
      <w:r w:rsidRPr="00DC16B3">
        <w:rPr>
          <w:rFonts w:ascii="Times New Roman" w:hAnsi="Times New Roman" w:cs="Times New Roman"/>
          <w:sz w:val="24"/>
        </w:rPr>
        <w:t xml:space="preserve"> review of construction safety, challenges and opportunities – Oman perspective. In Proceedings of 5th World Construction Symposium 2016 (</w:t>
      </w:r>
      <w:proofErr w:type="spellStart"/>
      <w:r w:rsidRPr="00DC16B3">
        <w:rPr>
          <w:rFonts w:ascii="Times New Roman" w:hAnsi="Times New Roman" w:cs="Times New Roman"/>
          <w:sz w:val="24"/>
        </w:rPr>
        <w:t>Sandanayake</w:t>
      </w:r>
      <w:proofErr w:type="spellEnd"/>
      <w:r w:rsidRPr="00DC16B3">
        <w:rPr>
          <w:rFonts w:ascii="Times New Roman" w:hAnsi="Times New Roman" w:cs="Times New Roman"/>
          <w:sz w:val="24"/>
        </w:rPr>
        <w:t xml:space="preserve"> YG, </w:t>
      </w:r>
      <w:proofErr w:type="spellStart"/>
      <w:r w:rsidRPr="00DC16B3">
        <w:rPr>
          <w:rFonts w:ascii="Times New Roman" w:hAnsi="Times New Roman" w:cs="Times New Roman"/>
          <w:sz w:val="24"/>
        </w:rPr>
        <w:t>Karunasena</w:t>
      </w:r>
      <w:proofErr w:type="spellEnd"/>
      <w:r w:rsidRPr="00DC16B3">
        <w:rPr>
          <w:rFonts w:ascii="Times New Roman" w:hAnsi="Times New Roman" w:cs="Times New Roman"/>
          <w:sz w:val="24"/>
        </w:rPr>
        <w:t xml:space="preserve"> GI and Ramachandra T (</w:t>
      </w:r>
      <w:proofErr w:type="spellStart"/>
      <w:proofErr w:type="gramStart"/>
      <w:r w:rsidRPr="00DC16B3">
        <w:rPr>
          <w:rFonts w:ascii="Times New Roman" w:hAnsi="Times New Roman" w:cs="Times New Roman"/>
          <w:sz w:val="24"/>
        </w:rPr>
        <w:t>eds</w:t>
      </w:r>
      <w:proofErr w:type="spellEnd"/>
      <w:proofErr w:type="gramEnd"/>
      <w:r w:rsidRPr="00DC16B3">
        <w:rPr>
          <w:rFonts w:ascii="Times New Roman" w:hAnsi="Times New Roman" w:cs="Times New Roman"/>
          <w:sz w:val="24"/>
        </w:rPr>
        <w:t xml:space="preserve">)). University of </w:t>
      </w:r>
      <w:proofErr w:type="spellStart"/>
      <w:r w:rsidRPr="00DC16B3">
        <w:rPr>
          <w:rFonts w:ascii="Times New Roman" w:hAnsi="Times New Roman" w:cs="Times New Roman"/>
          <w:sz w:val="24"/>
        </w:rPr>
        <w:t>Moratuwa</w:t>
      </w:r>
      <w:proofErr w:type="spellEnd"/>
      <w:r w:rsidRPr="00DC16B3">
        <w:rPr>
          <w:rFonts w:ascii="Times New Roman" w:hAnsi="Times New Roman" w:cs="Times New Roman"/>
          <w:sz w:val="24"/>
        </w:rPr>
        <w:t>, Colombo, Sri Lanka, pp. 14–22.</w:t>
      </w:r>
    </w:p>
    <w:p w14:paraId="7968C837"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 xml:space="preserve">Umar, T. and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C.,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Heat stress, a hidden cause of accidents in construction.</w:t>
      </w:r>
      <w:proofErr w:type="gramEnd"/>
      <w:r w:rsidRPr="00DC16B3">
        <w:rPr>
          <w:rFonts w:ascii="Times New Roman" w:hAnsi="Times New Roman" w:cs="Times New Roman"/>
          <w:sz w:val="24"/>
        </w:rPr>
        <w:t xml:space="preserve"> Proceedings of the Institution of Civil Engineers-Municipal Engineer (pp. 1-12). </w:t>
      </w:r>
      <w:proofErr w:type="gramStart"/>
      <w:r w:rsidRPr="00DC16B3">
        <w:rPr>
          <w:rFonts w:ascii="Times New Roman" w:hAnsi="Times New Roman" w:cs="Times New Roman"/>
          <w:sz w:val="24"/>
        </w:rPr>
        <w:t xml:space="preserve">Thomas Telford Ltd. </w:t>
      </w:r>
      <w:hyperlink r:id="rId69" w:history="1">
        <w:r w:rsidRPr="00DC16B3">
          <w:rPr>
            <w:rStyle w:val="Hyperlink"/>
            <w:rFonts w:ascii="Times New Roman" w:hAnsi="Times New Roman" w:cs="Times New Roman"/>
            <w:sz w:val="24"/>
          </w:rPr>
          <w:t>https://doi.org/10.1680/jmuen.18.00004</w:t>
        </w:r>
      </w:hyperlink>
      <w:r w:rsidRPr="00DC16B3">
        <w:rPr>
          <w:rFonts w:ascii="Times New Roman" w:hAnsi="Times New Roman" w:cs="Times New Roman"/>
          <w:sz w:val="24"/>
        </w:rPr>
        <w:t>.</w:t>
      </w:r>
      <w:proofErr w:type="gramEnd"/>
      <w:r w:rsidRPr="00DC16B3">
        <w:rPr>
          <w:rFonts w:ascii="Times New Roman" w:hAnsi="Times New Roman" w:cs="Times New Roman"/>
          <w:sz w:val="24"/>
        </w:rPr>
        <w:t xml:space="preserve"> </w:t>
      </w:r>
    </w:p>
    <w:p w14:paraId="43D5E97B"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and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xml:space="preserve">, C., 2018-a. Causes of construction accidents in Oman. </w:t>
      </w:r>
      <w:proofErr w:type="gramStart"/>
      <w:r w:rsidRPr="00DC16B3">
        <w:rPr>
          <w:rFonts w:ascii="Times New Roman" w:hAnsi="Times New Roman" w:cs="Times New Roman"/>
          <w:sz w:val="24"/>
        </w:rPr>
        <w:t>Middle East Journal of Management, 5(1), pp.21-33.</w:t>
      </w:r>
      <w:proofErr w:type="gramEnd"/>
    </w:p>
    <w:p w14:paraId="006AE523"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and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xml:space="preserve">, C., 2018-b. Perceptions on safety climate: a case study in the Omani construction industry. </w:t>
      </w:r>
      <w:proofErr w:type="gramStart"/>
      <w:r w:rsidRPr="00DC16B3">
        <w:rPr>
          <w:rFonts w:ascii="Times New Roman" w:hAnsi="Times New Roman" w:cs="Times New Roman"/>
          <w:sz w:val="24"/>
        </w:rPr>
        <w:t>Proceedings of the Institution of Civil Engineers-Management, Procurement and Law, 171(6), pp.251-263.</w:t>
      </w:r>
      <w:proofErr w:type="gramEnd"/>
      <w:r w:rsidRPr="00DC16B3">
        <w:rPr>
          <w:rFonts w:ascii="Times New Roman" w:hAnsi="Times New Roman" w:cs="Times New Roman"/>
          <w:sz w:val="24"/>
        </w:rPr>
        <w:t xml:space="preserve"> https://doi.org/10.1680/jmapl.18.00001.</w:t>
      </w:r>
    </w:p>
    <w:p w14:paraId="1FE50DD7"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and Wamuziri, S., 2016-a. Briefing: Conventional, wind and solar energy resources in Oman. </w:t>
      </w:r>
      <w:proofErr w:type="gramStart"/>
      <w:r w:rsidRPr="00DC16B3">
        <w:rPr>
          <w:rFonts w:ascii="Times New Roman" w:hAnsi="Times New Roman" w:cs="Times New Roman"/>
          <w:sz w:val="24"/>
        </w:rPr>
        <w:t>Proceedings of the Institution of Civil Engineers-Energy, 169(4), pp.143-147.</w:t>
      </w:r>
      <w:proofErr w:type="gramEnd"/>
      <w:r w:rsidRPr="00DC16B3">
        <w:rPr>
          <w:rFonts w:ascii="Times New Roman" w:hAnsi="Times New Roman" w:cs="Times New Roman"/>
          <w:sz w:val="24"/>
        </w:rPr>
        <w:t xml:space="preserve"> </w:t>
      </w:r>
      <w:hyperlink r:id="rId70" w:history="1">
        <w:r w:rsidRPr="00DC16B3">
          <w:rPr>
            <w:rStyle w:val="Hyperlink"/>
            <w:rFonts w:ascii="Times New Roman" w:hAnsi="Times New Roman" w:cs="Times New Roman"/>
            <w:sz w:val="24"/>
          </w:rPr>
          <w:t>https://doi.org/10.1680/jener.16.00011</w:t>
        </w:r>
      </w:hyperlink>
      <w:r w:rsidRPr="00DC16B3">
        <w:rPr>
          <w:rFonts w:ascii="Times New Roman" w:hAnsi="Times New Roman" w:cs="Times New Roman"/>
          <w:sz w:val="24"/>
        </w:rPr>
        <w:t xml:space="preserve">. </w:t>
      </w:r>
    </w:p>
    <w:p w14:paraId="3150A555"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Umar, T. and Wamuziri, S., 2017.</w:t>
      </w:r>
      <w:proofErr w:type="gramEnd"/>
      <w:r w:rsidRPr="00DC16B3">
        <w:rPr>
          <w:rFonts w:ascii="Times New Roman" w:hAnsi="Times New Roman" w:cs="Times New Roman"/>
          <w:sz w:val="24"/>
        </w:rPr>
        <w:t xml:space="preserve"> Briefing: Using ‘safety climate factors’ to improve construction safety. </w:t>
      </w:r>
      <w:proofErr w:type="gramStart"/>
      <w:r w:rsidRPr="00DC16B3">
        <w:rPr>
          <w:rFonts w:ascii="Times New Roman" w:hAnsi="Times New Roman" w:cs="Times New Roman"/>
          <w:sz w:val="24"/>
        </w:rPr>
        <w:t>Proceedings of the Institution of Civil Engineers-Municipal Engineer (Vol. 170, No. 2, pp. 65-67).</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 xml:space="preserve">Thomas Telford Ltd. </w:t>
      </w:r>
      <w:hyperlink r:id="rId71" w:history="1">
        <w:r w:rsidRPr="00DC16B3">
          <w:rPr>
            <w:rStyle w:val="Hyperlink"/>
            <w:rFonts w:ascii="Times New Roman" w:hAnsi="Times New Roman" w:cs="Times New Roman"/>
            <w:sz w:val="24"/>
          </w:rPr>
          <w:t>https://doi.org/10.1680/jmuen.16.00020</w:t>
        </w:r>
      </w:hyperlink>
      <w:r w:rsidRPr="00DC16B3">
        <w:rPr>
          <w:rFonts w:ascii="Times New Roman" w:hAnsi="Times New Roman" w:cs="Times New Roman"/>
          <w:sz w:val="24"/>
        </w:rPr>
        <w:t>.</w:t>
      </w:r>
      <w:proofErr w:type="gramEnd"/>
      <w:r w:rsidRPr="00DC16B3">
        <w:rPr>
          <w:rFonts w:ascii="Times New Roman" w:hAnsi="Times New Roman" w:cs="Times New Roman"/>
          <w:sz w:val="24"/>
        </w:rPr>
        <w:t xml:space="preserve"> </w:t>
      </w:r>
    </w:p>
    <w:p w14:paraId="7DE38401" w14:textId="77777777" w:rsidR="00093E37" w:rsidRDefault="00093E37" w:rsidP="00093E37">
      <w:pPr>
        <w:keepLines/>
        <w:spacing w:after="120" w:line="240" w:lineRule="auto"/>
        <w:ind w:left="720" w:hanging="720"/>
        <w:rPr>
          <w:rFonts w:ascii="Times New Roman" w:hAnsi="Times New Roman" w:cs="Times New Roman"/>
          <w:sz w:val="24"/>
        </w:rPr>
      </w:pPr>
      <w:r w:rsidRPr="00186CBC">
        <w:rPr>
          <w:rFonts w:ascii="Times New Roman" w:hAnsi="Times New Roman" w:cs="Times New Roman"/>
          <w:sz w:val="24"/>
        </w:rPr>
        <w:t>Umar, T. and Wamuziri, S.C., 2016-</w:t>
      </w:r>
      <w:r>
        <w:rPr>
          <w:rFonts w:ascii="Times New Roman" w:hAnsi="Times New Roman" w:cs="Times New Roman"/>
          <w:sz w:val="24"/>
        </w:rPr>
        <w:t>c</w:t>
      </w:r>
      <w:r w:rsidRPr="00186CBC">
        <w:rPr>
          <w:rFonts w:ascii="Times New Roman" w:hAnsi="Times New Roman" w:cs="Times New Roman"/>
          <w:sz w:val="24"/>
        </w:rPr>
        <w:t>. Using Safety Cli</w:t>
      </w:r>
      <w:r>
        <w:rPr>
          <w:rFonts w:ascii="Times New Roman" w:hAnsi="Times New Roman" w:cs="Times New Roman"/>
          <w:sz w:val="24"/>
        </w:rPr>
        <w:t>mate as A Tool for Improvement o</w:t>
      </w:r>
      <w:r w:rsidRPr="00186CBC">
        <w:rPr>
          <w:rFonts w:ascii="Times New Roman" w:hAnsi="Times New Roman" w:cs="Times New Roman"/>
          <w:sz w:val="24"/>
        </w:rPr>
        <w:t>f</w:t>
      </w:r>
      <w:r>
        <w:rPr>
          <w:rFonts w:ascii="Times New Roman" w:hAnsi="Times New Roman" w:cs="Times New Roman"/>
          <w:sz w:val="24"/>
        </w:rPr>
        <w:t xml:space="preserve"> </w:t>
      </w:r>
      <w:r w:rsidRPr="00186CBC">
        <w:rPr>
          <w:rFonts w:ascii="Times New Roman" w:hAnsi="Times New Roman" w:cs="Times New Roman"/>
          <w:sz w:val="24"/>
        </w:rPr>
        <w:t>Safety Performance in Construction Organizations. In Proceedings of 5th World</w:t>
      </w:r>
      <w:r>
        <w:rPr>
          <w:rFonts w:ascii="Times New Roman" w:hAnsi="Times New Roman" w:cs="Times New Roman"/>
          <w:sz w:val="24"/>
        </w:rPr>
        <w:t xml:space="preserve"> </w:t>
      </w:r>
      <w:r w:rsidRPr="00186CBC">
        <w:rPr>
          <w:rFonts w:ascii="Times New Roman" w:hAnsi="Times New Roman" w:cs="Times New Roman"/>
          <w:sz w:val="24"/>
        </w:rPr>
        <w:t>Construction Symposium 2016 (</w:t>
      </w:r>
      <w:proofErr w:type="spellStart"/>
      <w:r w:rsidRPr="00186CBC">
        <w:rPr>
          <w:rFonts w:ascii="Times New Roman" w:hAnsi="Times New Roman" w:cs="Times New Roman"/>
          <w:sz w:val="24"/>
        </w:rPr>
        <w:t>Sandanayake</w:t>
      </w:r>
      <w:proofErr w:type="spellEnd"/>
      <w:r w:rsidRPr="00186CBC">
        <w:rPr>
          <w:rFonts w:ascii="Times New Roman" w:hAnsi="Times New Roman" w:cs="Times New Roman"/>
          <w:sz w:val="24"/>
        </w:rPr>
        <w:t xml:space="preserve"> YG, </w:t>
      </w:r>
      <w:proofErr w:type="spellStart"/>
      <w:r w:rsidRPr="00186CBC">
        <w:rPr>
          <w:rFonts w:ascii="Times New Roman" w:hAnsi="Times New Roman" w:cs="Times New Roman"/>
          <w:sz w:val="24"/>
        </w:rPr>
        <w:t>Karunasena</w:t>
      </w:r>
      <w:proofErr w:type="spellEnd"/>
      <w:r w:rsidRPr="00186CBC">
        <w:rPr>
          <w:rFonts w:ascii="Times New Roman" w:hAnsi="Times New Roman" w:cs="Times New Roman"/>
          <w:sz w:val="24"/>
        </w:rPr>
        <w:t xml:space="preserve"> GI and Ramachandra T</w:t>
      </w:r>
      <w:r>
        <w:rPr>
          <w:rFonts w:ascii="Times New Roman" w:hAnsi="Times New Roman" w:cs="Times New Roman"/>
          <w:sz w:val="24"/>
        </w:rPr>
        <w:t xml:space="preserve"> </w:t>
      </w:r>
      <w:r w:rsidRPr="00186CBC">
        <w:rPr>
          <w:rFonts w:ascii="Times New Roman" w:hAnsi="Times New Roman" w:cs="Times New Roman"/>
          <w:sz w:val="24"/>
        </w:rPr>
        <w:t>(</w:t>
      </w:r>
      <w:proofErr w:type="spellStart"/>
      <w:proofErr w:type="gramStart"/>
      <w:r w:rsidRPr="00186CBC">
        <w:rPr>
          <w:rFonts w:ascii="Times New Roman" w:hAnsi="Times New Roman" w:cs="Times New Roman"/>
          <w:sz w:val="24"/>
        </w:rPr>
        <w:t>eds</w:t>
      </w:r>
      <w:proofErr w:type="spellEnd"/>
      <w:proofErr w:type="gramEnd"/>
      <w:r w:rsidRPr="00186CBC">
        <w:rPr>
          <w:rFonts w:ascii="Times New Roman" w:hAnsi="Times New Roman" w:cs="Times New Roman"/>
          <w:sz w:val="24"/>
        </w:rPr>
        <w:t xml:space="preserve">)). University of </w:t>
      </w:r>
      <w:proofErr w:type="spellStart"/>
      <w:r w:rsidRPr="00186CBC">
        <w:rPr>
          <w:rFonts w:ascii="Times New Roman" w:hAnsi="Times New Roman" w:cs="Times New Roman"/>
          <w:sz w:val="24"/>
        </w:rPr>
        <w:t>Moratuwa</w:t>
      </w:r>
      <w:proofErr w:type="spellEnd"/>
      <w:r w:rsidRPr="00186CBC">
        <w:rPr>
          <w:rFonts w:ascii="Times New Roman" w:hAnsi="Times New Roman" w:cs="Times New Roman"/>
          <w:sz w:val="24"/>
        </w:rPr>
        <w:t>, Colombo, Sri Lanka, pp. 545-554. ISSN: 2362-0919. See</w:t>
      </w:r>
      <w:r>
        <w:rPr>
          <w:rFonts w:ascii="Times New Roman" w:hAnsi="Times New Roman" w:cs="Times New Roman"/>
          <w:sz w:val="24"/>
        </w:rPr>
        <w:t xml:space="preserve">: </w:t>
      </w:r>
      <w:r w:rsidRPr="00186CBC">
        <w:rPr>
          <w:rFonts w:ascii="Times New Roman" w:hAnsi="Times New Roman" w:cs="Times New Roman"/>
          <w:sz w:val="24"/>
        </w:rPr>
        <w:t>http://dl.lib.mrt.ac.lk/handle/123/11910 (accessed 15/01/2019).</w:t>
      </w:r>
    </w:p>
    <w:p w14:paraId="1C4C25EB"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Umar, T., (2019).</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Improving Safety Performance in the Construction Industry in Oman.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PhD thesis.</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London South Bank University, London, UK.</w:t>
      </w:r>
      <w:proofErr w:type="gramEnd"/>
    </w:p>
    <w:p w14:paraId="30577AB8"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Umar, T., 2017</w:t>
      </w:r>
      <w:r>
        <w:rPr>
          <w:rFonts w:ascii="Times New Roman" w:hAnsi="Times New Roman" w:cs="Times New Roman"/>
          <w:sz w:val="24"/>
        </w:rPr>
        <w:t>-a</w:t>
      </w:r>
      <w:r w:rsidRPr="00DC16B3">
        <w:rPr>
          <w:rFonts w:ascii="Times New Roman" w:hAnsi="Times New Roman" w:cs="Times New Roman"/>
          <w:sz w:val="24"/>
        </w:rPr>
        <w:t>. Geothermal energy resources in Oman.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Proceedings of the Institution of Civil Engineers-Energy, 171(1), pp.37-43.</w:t>
      </w:r>
      <w:proofErr w:type="gramEnd"/>
      <w:r w:rsidRPr="00DC16B3">
        <w:rPr>
          <w:rFonts w:ascii="Times New Roman" w:hAnsi="Times New Roman" w:cs="Times New Roman"/>
          <w:sz w:val="24"/>
        </w:rPr>
        <w:t xml:space="preserve"> </w:t>
      </w:r>
      <w:hyperlink r:id="rId72" w:history="1">
        <w:r w:rsidRPr="00DC16B3">
          <w:rPr>
            <w:rStyle w:val="Hyperlink"/>
            <w:rFonts w:ascii="Times New Roman" w:hAnsi="Times New Roman" w:cs="Times New Roman"/>
            <w:sz w:val="24"/>
          </w:rPr>
          <w:t>https://doi.org/10.1680/jener.17.00001</w:t>
        </w:r>
      </w:hyperlink>
      <w:r w:rsidRPr="00DC16B3">
        <w:rPr>
          <w:rFonts w:ascii="Times New Roman" w:hAnsi="Times New Roman" w:cs="Times New Roman"/>
          <w:sz w:val="24"/>
        </w:rPr>
        <w:t xml:space="preserve">. </w:t>
      </w:r>
    </w:p>
    <w:p w14:paraId="270BB039" w14:textId="77777777" w:rsidR="00093E37" w:rsidRDefault="00093E37" w:rsidP="00093E37">
      <w:pPr>
        <w:keepLines/>
        <w:spacing w:after="120" w:line="240" w:lineRule="auto"/>
        <w:ind w:left="720" w:hanging="720"/>
        <w:rPr>
          <w:rFonts w:ascii="Times New Roman" w:hAnsi="Times New Roman" w:cs="Times New Roman"/>
          <w:sz w:val="24"/>
        </w:rPr>
      </w:pPr>
      <w:proofErr w:type="gramStart"/>
      <w:r>
        <w:rPr>
          <w:rFonts w:ascii="Times New Roman" w:hAnsi="Times New Roman" w:cs="Times New Roman"/>
          <w:sz w:val="24"/>
        </w:rPr>
        <w:t>Umar, T., 2017-b</w:t>
      </w:r>
      <w:r w:rsidRPr="00C10852">
        <w:rPr>
          <w:rFonts w:ascii="Times New Roman" w:hAnsi="Times New Roman" w:cs="Times New Roman"/>
          <w:sz w:val="24"/>
        </w:rPr>
        <w:t>. Briefing: Defining safe</w:t>
      </w:r>
      <w:r>
        <w:rPr>
          <w:rFonts w:ascii="Times New Roman" w:hAnsi="Times New Roman" w:cs="Times New Roman"/>
          <w:sz w:val="24"/>
        </w:rPr>
        <w:t>ty leadership in construction.</w:t>
      </w:r>
      <w:proofErr w:type="gramEnd"/>
      <w:r>
        <w:rPr>
          <w:rFonts w:ascii="Times New Roman" w:hAnsi="Times New Roman" w:cs="Times New Roman"/>
          <w:sz w:val="24"/>
        </w:rPr>
        <w:t xml:space="preserve"> </w:t>
      </w:r>
      <w:proofErr w:type="gramStart"/>
      <w:r w:rsidRPr="00C10852">
        <w:rPr>
          <w:rFonts w:ascii="Times New Roman" w:hAnsi="Times New Roman" w:cs="Times New Roman"/>
          <w:sz w:val="24"/>
        </w:rPr>
        <w:t>Proceedings of the Institution of Civil Engineers-Municipal Engineer (Vol. 170, No. 1, pp. 3-5).</w:t>
      </w:r>
      <w:proofErr w:type="gramEnd"/>
      <w:r w:rsidRPr="00C10852">
        <w:rPr>
          <w:rFonts w:ascii="Times New Roman" w:hAnsi="Times New Roman" w:cs="Times New Roman"/>
          <w:sz w:val="24"/>
        </w:rPr>
        <w:t xml:space="preserve"> </w:t>
      </w:r>
      <w:proofErr w:type="gramStart"/>
      <w:r w:rsidRPr="00C10852">
        <w:rPr>
          <w:rFonts w:ascii="Times New Roman" w:hAnsi="Times New Roman" w:cs="Times New Roman"/>
          <w:sz w:val="24"/>
        </w:rPr>
        <w:t>Thomas Telford Ltd.</w:t>
      </w:r>
      <w:r>
        <w:rPr>
          <w:rFonts w:ascii="Times New Roman" w:hAnsi="Times New Roman" w:cs="Times New Roman"/>
          <w:sz w:val="24"/>
        </w:rPr>
        <w:t xml:space="preserve"> </w:t>
      </w:r>
      <w:hyperlink r:id="rId73" w:history="1">
        <w:r w:rsidRPr="00903FE5">
          <w:rPr>
            <w:rStyle w:val="Hyperlink"/>
            <w:rFonts w:ascii="Times New Roman" w:hAnsi="Times New Roman" w:cs="Times New Roman"/>
            <w:sz w:val="24"/>
          </w:rPr>
          <w:t>https://doi.org/10.1680/jmuen.16.00004</w:t>
        </w:r>
      </w:hyperlink>
      <w:r>
        <w:rPr>
          <w:rFonts w:ascii="Times New Roman" w:hAnsi="Times New Roman" w:cs="Times New Roman"/>
          <w:sz w:val="24"/>
        </w:rPr>
        <w:t>.</w:t>
      </w:r>
      <w:proofErr w:type="gramEnd"/>
      <w:r>
        <w:rPr>
          <w:rFonts w:ascii="Times New Roman" w:hAnsi="Times New Roman" w:cs="Times New Roman"/>
          <w:sz w:val="24"/>
        </w:rPr>
        <w:t xml:space="preserve"> </w:t>
      </w:r>
    </w:p>
    <w:p w14:paraId="06744A36"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Umar, T.,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Causes of delay in construction projects in Oman.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Middle East Journal of Management, 5(2), pp.121-136.</w:t>
      </w:r>
      <w:proofErr w:type="gramEnd"/>
      <w:r w:rsidRPr="00DC16B3">
        <w:rPr>
          <w:rFonts w:ascii="Times New Roman" w:hAnsi="Times New Roman" w:cs="Times New Roman"/>
          <w:sz w:val="24"/>
        </w:rPr>
        <w:t xml:space="preserve"> </w:t>
      </w:r>
      <w:hyperlink r:id="rId74" w:history="1">
        <w:r w:rsidRPr="00DC16B3">
          <w:rPr>
            <w:rStyle w:val="Hyperlink"/>
            <w:rFonts w:ascii="Times New Roman" w:hAnsi="Times New Roman" w:cs="Times New Roman"/>
            <w:sz w:val="24"/>
          </w:rPr>
          <w:t>https://dx.doi.org/10.1504/MEJM.2018.091132</w:t>
        </w:r>
      </w:hyperlink>
      <w:r w:rsidRPr="00DC16B3">
        <w:rPr>
          <w:rFonts w:ascii="Times New Roman" w:hAnsi="Times New Roman" w:cs="Times New Roman"/>
          <w:sz w:val="24"/>
        </w:rPr>
        <w:t xml:space="preserve">. </w:t>
      </w:r>
    </w:p>
    <w:p w14:paraId="364FA261"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lastRenderedPageBreak/>
        <w:t xml:space="preserve">Umar, T.,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xml:space="preserve">, C., &amp; </w:t>
      </w:r>
      <w:proofErr w:type="spellStart"/>
      <w:r w:rsidRPr="00DC16B3">
        <w:rPr>
          <w:rFonts w:ascii="Times New Roman" w:hAnsi="Times New Roman" w:cs="Times New Roman"/>
          <w:sz w:val="24"/>
        </w:rPr>
        <w:t>Saidani</w:t>
      </w:r>
      <w:proofErr w:type="spellEnd"/>
      <w:r w:rsidRPr="00DC16B3">
        <w:rPr>
          <w:rFonts w:ascii="Times New Roman" w:hAnsi="Times New Roman" w:cs="Times New Roman"/>
          <w:sz w:val="24"/>
        </w:rPr>
        <w:t>, M. (2019-c).</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A Modified Method for Los Angeles Abrasion Test. Iranian Journal of Science and Technology, Transactions of Civil Engineering.</w:t>
      </w:r>
      <w:proofErr w:type="gramEnd"/>
      <w:r w:rsidRPr="00DC16B3">
        <w:rPr>
          <w:rFonts w:ascii="Times New Roman" w:hAnsi="Times New Roman" w:cs="Times New Roman"/>
          <w:sz w:val="24"/>
        </w:rPr>
        <w:t xml:space="preserve"> </w:t>
      </w:r>
      <w:hyperlink r:id="rId75" w:history="1">
        <w:r w:rsidRPr="00DC16B3">
          <w:rPr>
            <w:rStyle w:val="Hyperlink"/>
            <w:rFonts w:ascii="Times New Roman" w:hAnsi="Times New Roman" w:cs="Times New Roman"/>
            <w:sz w:val="24"/>
          </w:rPr>
          <w:t>https://doi.org/10.1007/s40996-019-00268-w</w:t>
        </w:r>
      </w:hyperlink>
      <w:r w:rsidRPr="00DC16B3">
        <w:rPr>
          <w:rFonts w:ascii="Times New Roman" w:hAnsi="Times New Roman" w:cs="Times New Roman"/>
          <w:sz w:val="24"/>
        </w:rPr>
        <w:t xml:space="preserve">. </w:t>
      </w:r>
    </w:p>
    <w:p w14:paraId="281535E3"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xml:space="preserve">, C., Honnurvali, M.S., </w:t>
      </w:r>
      <w:proofErr w:type="spellStart"/>
      <w:r w:rsidRPr="00DC16B3">
        <w:rPr>
          <w:rFonts w:ascii="Times New Roman" w:hAnsi="Times New Roman" w:cs="Times New Roman"/>
          <w:sz w:val="24"/>
        </w:rPr>
        <w:t>Saidani</w:t>
      </w:r>
      <w:proofErr w:type="spellEnd"/>
      <w:r w:rsidRPr="00DC16B3">
        <w:rPr>
          <w:rFonts w:ascii="Times New Roman" w:hAnsi="Times New Roman" w:cs="Times New Roman"/>
          <w:sz w:val="24"/>
        </w:rPr>
        <w:t>, M. and Al-</w:t>
      </w:r>
      <w:proofErr w:type="spellStart"/>
      <w:r w:rsidRPr="00DC16B3">
        <w:rPr>
          <w:rFonts w:ascii="Times New Roman" w:hAnsi="Times New Roman" w:cs="Times New Roman"/>
          <w:sz w:val="24"/>
        </w:rPr>
        <w:t>Bayati</w:t>
      </w:r>
      <w:proofErr w:type="spellEnd"/>
      <w:r w:rsidRPr="00DC16B3">
        <w:rPr>
          <w:rFonts w:ascii="Times New Roman" w:hAnsi="Times New Roman" w:cs="Times New Roman"/>
          <w:sz w:val="24"/>
        </w:rPr>
        <w:t xml:space="preserve">, A.J., 2019-a. Briefing: Status of occupational safety and health in GCC construction. </w:t>
      </w:r>
      <w:proofErr w:type="gramStart"/>
      <w:r w:rsidRPr="00DC16B3">
        <w:rPr>
          <w:rFonts w:ascii="Times New Roman" w:hAnsi="Times New Roman" w:cs="Times New Roman"/>
          <w:sz w:val="24"/>
        </w:rPr>
        <w:t>Proceedings of the Institution of Civil Engineers-Management, Procurement and Law.</w:t>
      </w:r>
      <w:proofErr w:type="gramEnd"/>
      <w:r w:rsidRPr="00DC16B3">
        <w:t xml:space="preserve"> </w:t>
      </w:r>
      <w:r w:rsidRPr="00DC16B3">
        <w:rPr>
          <w:rFonts w:ascii="Times New Roman" w:hAnsi="Times New Roman" w:cs="Times New Roman"/>
          <w:sz w:val="24"/>
        </w:rPr>
        <w:t xml:space="preserve">172(4), pp. 137-141. </w:t>
      </w:r>
      <w:hyperlink r:id="rId76" w:history="1">
        <w:r w:rsidRPr="00DC16B3">
          <w:rPr>
            <w:rStyle w:val="Hyperlink"/>
            <w:rFonts w:ascii="Times New Roman" w:hAnsi="Times New Roman" w:cs="Times New Roman"/>
            <w:sz w:val="24"/>
          </w:rPr>
          <w:t>https://doi.org/10.1680/jmapl.18.00053</w:t>
        </w:r>
      </w:hyperlink>
      <w:r w:rsidRPr="00DC16B3">
        <w:rPr>
          <w:rFonts w:ascii="Times New Roman" w:hAnsi="Times New Roman" w:cs="Times New Roman"/>
          <w:sz w:val="24"/>
        </w:rPr>
        <w:t xml:space="preserve">. </w:t>
      </w:r>
    </w:p>
    <w:p w14:paraId="50C1065A" w14:textId="77777777" w:rsidR="00093E37" w:rsidRDefault="00093E37" w:rsidP="00093E37">
      <w:pPr>
        <w:keepLines/>
        <w:spacing w:after="120" w:line="240" w:lineRule="auto"/>
        <w:ind w:left="720" w:hanging="720"/>
        <w:rPr>
          <w:rFonts w:ascii="Times New Roman" w:hAnsi="Times New Roman" w:cs="Times New Roman"/>
          <w:sz w:val="24"/>
        </w:rPr>
      </w:pPr>
      <w:proofErr w:type="gramStart"/>
      <w:r w:rsidRPr="007629ED">
        <w:rPr>
          <w:rFonts w:ascii="Times New Roman" w:hAnsi="Times New Roman" w:cs="Times New Roman"/>
          <w:sz w:val="24"/>
        </w:rPr>
        <w:t xml:space="preserve">Umar, T., </w:t>
      </w:r>
      <w:proofErr w:type="spellStart"/>
      <w:r w:rsidRPr="007629ED">
        <w:rPr>
          <w:rFonts w:ascii="Times New Roman" w:hAnsi="Times New Roman" w:cs="Times New Roman"/>
          <w:sz w:val="24"/>
        </w:rPr>
        <w:t>Egbu</w:t>
      </w:r>
      <w:proofErr w:type="spellEnd"/>
      <w:r w:rsidRPr="007629ED">
        <w:rPr>
          <w:rFonts w:ascii="Times New Roman" w:hAnsi="Times New Roman" w:cs="Times New Roman"/>
          <w:sz w:val="24"/>
        </w:rPr>
        <w:t xml:space="preserve">, C., Honnurvali, M.S., </w:t>
      </w:r>
      <w:proofErr w:type="spellStart"/>
      <w:r w:rsidRPr="007629ED">
        <w:rPr>
          <w:rFonts w:ascii="Times New Roman" w:hAnsi="Times New Roman" w:cs="Times New Roman"/>
          <w:sz w:val="24"/>
        </w:rPr>
        <w:t>Saida</w:t>
      </w:r>
      <w:r>
        <w:rPr>
          <w:rFonts w:ascii="Times New Roman" w:hAnsi="Times New Roman" w:cs="Times New Roman"/>
          <w:sz w:val="24"/>
        </w:rPr>
        <w:t>ni</w:t>
      </w:r>
      <w:proofErr w:type="spellEnd"/>
      <w:r>
        <w:rPr>
          <w:rFonts w:ascii="Times New Roman" w:hAnsi="Times New Roman" w:cs="Times New Roman"/>
          <w:sz w:val="24"/>
        </w:rPr>
        <w:t>, M. and Al-</w:t>
      </w:r>
      <w:proofErr w:type="spellStart"/>
      <w:r>
        <w:rPr>
          <w:rFonts w:ascii="Times New Roman" w:hAnsi="Times New Roman" w:cs="Times New Roman"/>
          <w:sz w:val="24"/>
        </w:rPr>
        <w:t>Mutairi</w:t>
      </w:r>
      <w:proofErr w:type="spellEnd"/>
      <w:r>
        <w:rPr>
          <w:rFonts w:ascii="Times New Roman" w:hAnsi="Times New Roman" w:cs="Times New Roman"/>
          <w:sz w:val="24"/>
        </w:rPr>
        <w:t>, M., 2018-a</w:t>
      </w:r>
      <w:r w:rsidRPr="007629ED">
        <w:rPr>
          <w:rFonts w:ascii="Times New Roman" w:hAnsi="Times New Roman" w:cs="Times New Roman"/>
          <w:sz w:val="24"/>
        </w:rPr>
        <w:t>.</w:t>
      </w:r>
      <w:proofErr w:type="gramEnd"/>
      <w:r w:rsidRPr="007629ED">
        <w:rPr>
          <w:rFonts w:ascii="Times New Roman" w:hAnsi="Times New Roman" w:cs="Times New Roman"/>
          <w:sz w:val="24"/>
        </w:rPr>
        <w:t xml:space="preserve"> </w:t>
      </w:r>
      <w:proofErr w:type="gramStart"/>
      <w:r w:rsidRPr="007629ED">
        <w:rPr>
          <w:rFonts w:ascii="Times New Roman" w:hAnsi="Times New Roman" w:cs="Times New Roman"/>
          <w:sz w:val="24"/>
        </w:rPr>
        <w:t>An assessment of health profile and body pain among construction workers.</w:t>
      </w:r>
      <w:proofErr w:type="gramEnd"/>
      <w:r w:rsidRPr="007629ED">
        <w:rPr>
          <w:rFonts w:ascii="Times New Roman" w:hAnsi="Times New Roman" w:cs="Times New Roman"/>
          <w:sz w:val="24"/>
        </w:rPr>
        <w:t xml:space="preserve"> </w:t>
      </w:r>
      <w:proofErr w:type="gramStart"/>
      <w:r w:rsidRPr="007629ED">
        <w:rPr>
          <w:rFonts w:ascii="Times New Roman" w:hAnsi="Times New Roman" w:cs="Times New Roman"/>
          <w:sz w:val="24"/>
        </w:rPr>
        <w:t>Proceedings of the Institution of Civil Engineers–Municipal Engineer.</w:t>
      </w:r>
      <w:proofErr w:type="gramEnd"/>
      <w:r>
        <w:rPr>
          <w:rFonts w:ascii="Times New Roman" w:hAnsi="Times New Roman" w:cs="Times New Roman"/>
          <w:sz w:val="24"/>
        </w:rPr>
        <w:t xml:space="preserve"> Pp. 1-12. </w:t>
      </w:r>
      <w:hyperlink r:id="rId77" w:history="1">
        <w:r w:rsidRPr="00903FE5">
          <w:rPr>
            <w:rStyle w:val="Hyperlink"/>
            <w:rFonts w:ascii="Times New Roman" w:hAnsi="Times New Roman" w:cs="Times New Roman"/>
            <w:sz w:val="24"/>
          </w:rPr>
          <w:t>https://doi.org/10.1680/jmuen.18.00019</w:t>
        </w:r>
      </w:hyperlink>
      <w:r>
        <w:rPr>
          <w:rFonts w:ascii="Times New Roman" w:hAnsi="Times New Roman" w:cs="Times New Roman"/>
          <w:sz w:val="24"/>
        </w:rPr>
        <w:t xml:space="preserve">. </w:t>
      </w:r>
    </w:p>
    <w:p w14:paraId="181D9013"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Umar, T.,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xml:space="preserve">, C., </w:t>
      </w:r>
      <w:proofErr w:type="spellStart"/>
      <w:r w:rsidRPr="00DC16B3">
        <w:rPr>
          <w:rFonts w:ascii="Times New Roman" w:hAnsi="Times New Roman" w:cs="Times New Roman"/>
          <w:sz w:val="24"/>
        </w:rPr>
        <w:t>Ofori</w:t>
      </w:r>
      <w:proofErr w:type="spellEnd"/>
      <w:r w:rsidRPr="00DC16B3">
        <w:rPr>
          <w:rFonts w:ascii="Times New Roman" w:hAnsi="Times New Roman" w:cs="Times New Roman"/>
          <w:sz w:val="24"/>
        </w:rPr>
        <w:t xml:space="preserve">, G., Honnurvali, M.S., </w:t>
      </w:r>
      <w:proofErr w:type="spellStart"/>
      <w:r w:rsidRPr="00DC16B3">
        <w:rPr>
          <w:rFonts w:ascii="Times New Roman" w:hAnsi="Times New Roman" w:cs="Times New Roman"/>
          <w:sz w:val="24"/>
        </w:rPr>
        <w:t>Saidani</w:t>
      </w:r>
      <w:proofErr w:type="spellEnd"/>
      <w:r w:rsidRPr="00DC16B3">
        <w:rPr>
          <w:rFonts w:ascii="Times New Roman" w:hAnsi="Times New Roman" w:cs="Times New Roman"/>
          <w:sz w:val="24"/>
        </w:rPr>
        <w:t xml:space="preserve">, M., and </w:t>
      </w:r>
      <w:proofErr w:type="spellStart"/>
      <w:proofErr w:type="gramStart"/>
      <w:r w:rsidRPr="00DC16B3">
        <w:rPr>
          <w:rFonts w:ascii="Times New Roman" w:hAnsi="Times New Roman" w:cs="Times New Roman"/>
          <w:sz w:val="24"/>
        </w:rPr>
        <w:t>Opoku</w:t>
      </w:r>
      <w:proofErr w:type="spellEnd"/>
      <w:r w:rsidRPr="00DC16B3">
        <w:rPr>
          <w:rFonts w:ascii="Times New Roman" w:hAnsi="Times New Roman" w:cs="Times New Roman"/>
          <w:sz w:val="24"/>
        </w:rPr>
        <w:t>.,</w:t>
      </w:r>
      <w:proofErr w:type="gramEnd"/>
      <w:r w:rsidRPr="00DC16B3">
        <w:rPr>
          <w:rFonts w:ascii="Times New Roman" w:hAnsi="Times New Roman" w:cs="Times New Roman"/>
          <w:sz w:val="24"/>
        </w:rPr>
        <w:t xml:space="preserve"> A., 2019-b. Exploring Safety Climate in Construction. </w:t>
      </w:r>
      <w:proofErr w:type="gramStart"/>
      <w:r w:rsidRPr="00DC16B3">
        <w:rPr>
          <w:rFonts w:ascii="Times New Roman" w:hAnsi="Times New Roman" w:cs="Times New Roman"/>
          <w:sz w:val="24"/>
        </w:rPr>
        <w:t xml:space="preserve">International Journal of Applied Management Science, </w:t>
      </w:r>
      <w:proofErr w:type="spellStart"/>
      <w:r w:rsidRPr="00DC16B3">
        <w:rPr>
          <w:rFonts w:ascii="Times New Roman" w:hAnsi="Times New Roman" w:cs="Times New Roman"/>
          <w:sz w:val="24"/>
        </w:rPr>
        <w:t>Inderscience</w:t>
      </w:r>
      <w:proofErr w:type="spellEnd"/>
      <w:r w:rsidRPr="00DC16B3">
        <w:rPr>
          <w:rFonts w:ascii="Times New Roman" w:hAnsi="Times New Roman" w:cs="Times New Roman"/>
          <w:sz w:val="24"/>
        </w:rPr>
        <w:t xml:space="preserve"> Publisher.</w:t>
      </w:r>
      <w:proofErr w:type="gramEnd"/>
      <w:r w:rsidRPr="00DC16B3">
        <w:rPr>
          <w:rFonts w:ascii="Times New Roman" w:hAnsi="Times New Roman" w:cs="Times New Roman"/>
          <w:sz w:val="24"/>
        </w:rPr>
        <w:t xml:space="preserve"> https://doi.org/10.1504/IJAMS.2019. 253274.</w:t>
      </w:r>
    </w:p>
    <w:p w14:paraId="412CF987"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 xml:space="preserve">Umar, T., </w:t>
      </w:r>
      <w:proofErr w:type="spellStart"/>
      <w:r w:rsidRPr="00DC16B3">
        <w:rPr>
          <w:rFonts w:ascii="Times New Roman" w:hAnsi="Times New Roman" w:cs="Times New Roman"/>
          <w:sz w:val="24"/>
        </w:rPr>
        <w:t>Egbu</w:t>
      </w:r>
      <w:proofErr w:type="spellEnd"/>
      <w:r w:rsidRPr="00DC16B3">
        <w:rPr>
          <w:rFonts w:ascii="Times New Roman" w:hAnsi="Times New Roman" w:cs="Times New Roman"/>
          <w:sz w:val="24"/>
        </w:rPr>
        <w:t>, C., Wamuziri, S. and Honnurvali, M.S.,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Occupational Safety and Health Regulations in Oman.</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Proceedings of the Institution of Civil Engineers-Management, Procurement and Law.</w:t>
      </w:r>
      <w:proofErr w:type="gramEnd"/>
      <w:r w:rsidRPr="00DC16B3">
        <w:rPr>
          <w:rFonts w:ascii="Times New Roman" w:hAnsi="Times New Roman" w:cs="Times New Roman"/>
          <w:sz w:val="24"/>
        </w:rPr>
        <w:t xml:space="preserve"> 171(3): 93-99. </w:t>
      </w:r>
      <w:hyperlink r:id="rId78" w:history="1">
        <w:r w:rsidRPr="00DC16B3">
          <w:rPr>
            <w:rStyle w:val="Hyperlink"/>
            <w:rFonts w:ascii="Times New Roman" w:hAnsi="Times New Roman" w:cs="Times New Roman"/>
            <w:sz w:val="24"/>
          </w:rPr>
          <w:t>https://doi.org/10.1680/jmapl.18.00007</w:t>
        </w:r>
      </w:hyperlink>
      <w:r w:rsidRPr="00DC16B3">
        <w:rPr>
          <w:rFonts w:ascii="Times New Roman" w:hAnsi="Times New Roman" w:cs="Times New Roman"/>
          <w:sz w:val="24"/>
        </w:rPr>
        <w:t>.</w:t>
      </w:r>
    </w:p>
    <w:p w14:paraId="756D7499"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Ventures, 2018.</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 xml:space="preserve">US$ 29.4 </w:t>
      </w:r>
      <w:proofErr w:type="spellStart"/>
      <w:r w:rsidRPr="00DC16B3">
        <w:rPr>
          <w:rFonts w:ascii="Times New Roman" w:hAnsi="Times New Roman" w:cs="Times New Roman"/>
          <w:sz w:val="24"/>
        </w:rPr>
        <w:t>Bn</w:t>
      </w:r>
      <w:proofErr w:type="spellEnd"/>
      <w:r w:rsidRPr="00DC16B3">
        <w:rPr>
          <w:rFonts w:ascii="Times New Roman" w:hAnsi="Times New Roman" w:cs="Times New Roman"/>
          <w:sz w:val="24"/>
        </w:rPr>
        <w:t xml:space="preserve"> worth of contracts awarded in GCC in Q1, 2018.</w:t>
      </w:r>
      <w:proofErr w:type="gramEnd"/>
      <w:r w:rsidRPr="00DC16B3">
        <w:rPr>
          <w:rFonts w:ascii="Times New Roman" w:hAnsi="Times New Roman" w:cs="Times New Roman"/>
          <w:sz w:val="24"/>
        </w:rPr>
        <w:t xml:space="preserve"> Ventures Onsite, Ventures Middle East DMCC; Dubai, United Arab Emirates. See: http://venturesmiddleeast71550.activehosted.com/index.php?action=social&amp;chash=1c383cd30b7c298ab50293adfecb7b18.70 (accessed 25/04/2018).</w:t>
      </w:r>
    </w:p>
    <w:p w14:paraId="031F1982"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WHO (World Health Organization).</w:t>
      </w:r>
      <w:proofErr w:type="gramEnd"/>
      <w:r w:rsidRPr="00DC16B3">
        <w:rPr>
          <w:rFonts w:ascii="Times New Roman" w:hAnsi="Times New Roman" w:cs="Times New Roman"/>
          <w:sz w:val="24"/>
        </w:rPr>
        <w:t xml:space="preserve"> 2017. 2.1 billion people lack safe drinking water at home, more than twice as many lack safe sanitation. World Health Organization, See: </w:t>
      </w:r>
      <w:hyperlink r:id="rId79" w:history="1">
        <w:r w:rsidRPr="00DC16B3">
          <w:rPr>
            <w:rStyle w:val="Hyperlink"/>
            <w:rFonts w:ascii="Times New Roman" w:hAnsi="Times New Roman" w:cs="Times New Roman"/>
            <w:sz w:val="24"/>
          </w:rPr>
          <w:t>http://www.who.int/news-room/detail/12-07-2017-2-1-billion-people-lack-safe-drinking-water-at-home-more-than-twice-as-many-lack-safe-sanitation</w:t>
        </w:r>
      </w:hyperlink>
      <w:r w:rsidRPr="00DC16B3">
        <w:rPr>
          <w:rFonts w:ascii="Times New Roman" w:hAnsi="Times New Roman" w:cs="Times New Roman"/>
          <w:sz w:val="24"/>
        </w:rPr>
        <w:t>. (</w:t>
      </w:r>
      <w:proofErr w:type="gramStart"/>
      <w:r w:rsidRPr="00DC16B3">
        <w:rPr>
          <w:rFonts w:ascii="Times New Roman" w:hAnsi="Times New Roman" w:cs="Times New Roman"/>
          <w:sz w:val="24"/>
        </w:rPr>
        <w:t>accessed</w:t>
      </w:r>
      <w:proofErr w:type="gramEnd"/>
      <w:r w:rsidRPr="00DC16B3">
        <w:rPr>
          <w:rFonts w:ascii="Times New Roman" w:hAnsi="Times New Roman" w:cs="Times New Roman"/>
          <w:sz w:val="24"/>
        </w:rPr>
        <w:t xml:space="preserve"> 17/11/2018).</w:t>
      </w:r>
    </w:p>
    <w:p w14:paraId="5B22305F" w14:textId="77777777" w:rsidR="00093E37" w:rsidRPr="00DC16B3"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t xml:space="preserve">WRI (World Resources Institute). 2017. 1.2 Billion People Living in Cities Lack Access to Affordable and Secure Housing. World Resources Institute, Washington, D.C., USA.  See: </w:t>
      </w:r>
      <w:hyperlink r:id="rId80" w:history="1">
        <w:r w:rsidRPr="00DC16B3">
          <w:rPr>
            <w:rStyle w:val="Hyperlink"/>
            <w:rFonts w:ascii="Times New Roman" w:hAnsi="Times New Roman" w:cs="Times New Roman"/>
            <w:sz w:val="24"/>
          </w:rPr>
          <w:t>https://www.wri.org/news/2017/07/release-12-billion-people-living-cities-lack-access-affordable-and-secure-housing</w:t>
        </w:r>
      </w:hyperlink>
      <w:r w:rsidRPr="00DC16B3">
        <w:rPr>
          <w:rFonts w:ascii="Times New Roman" w:hAnsi="Times New Roman" w:cs="Times New Roman"/>
          <w:sz w:val="24"/>
        </w:rPr>
        <w:t xml:space="preserve"> (accessed 17/11/2018).</w:t>
      </w:r>
    </w:p>
    <w:p w14:paraId="49A6836E"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Wu, X., Yuan, H., Wang, G., Li, S. and Wu, G., 2019.</w:t>
      </w:r>
      <w:proofErr w:type="gramEnd"/>
      <w:r w:rsidRPr="00DC16B3">
        <w:rPr>
          <w:rFonts w:ascii="Times New Roman" w:hAnsi="Times New Roman" w:cs="Times New Roman"/>
          <w:sz w:val="24"/>
        </w:rPr>
        <w:t xml:space="preserve"> Impacts of lean construction on safety systems: A system dynamics approach. </w:t>
      </w:r>
      <w:proofErr w:type="gramStart"/>
      <w:r w:rsidRPr="00DC16B3">
        <w:rPr>
          <w:rFonts w:ascii="Times New Roman" w:hAnsi="Times New Roman" w:cs="Times New Roman"/>
          <w:sz w:val="24"/>
        </w:rPr>
        <w:t>International journal of environmental research and public health, 16(2), p.221.</w:t>
      </w:r>
      <w:proofErr w:type="gramEnd"/>
      <w:r w:rsidRPr="00DC16B3">
        <w:rPr>
          <w:rFonts w:ascii="Times New Roman" w:hAnsi="Times New Roman" w:cs="Times New Roman"/>
          <w:sz w:val="24"/>
        </w:rPr>
        <w:t xml:space="preserve"> </w:t>
      </w:r>
      <w:hyperlink r:id="rId81" w:history="1">
        <w:r w:rsidRPr="00DC16B3">
          <w:rPr>
            <w:rStyle w:val="Hyperlink"/>
            <w:rFonts w:ascii="Times New Roman" w:hAnsi="Times New Roman" w:cs="Times New Roman"/>
            <w:sz w:val="24"/>
          </w:rPr>
          <w:t>https://doi.org/10.3390/ijerph16020221</w:t>
        </w:r>
      </w:hyperlink>
      <w:r w:rsidRPr="00DC16B3">
        <w:rPr>
          <w:rFonts w:ascii="Times New Roman" w:hAnsi="Times New Roman" w:cs="Times New Roman"/>
          <w:sz w:val="24"/>
        </w:rPr>
        <w:t xml:space="preserve">. </w:t>
      </w:r>
    </w:p>
    <w:p w14:paraId="140CF86B"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 xml:space="preserve">Xiang, J., Bi, P., </w:t>
      </w:r>
      <w:proofErr w:type="spellStart"/>
      <w:r w:rsidRPr="00DC16B3">
        <w:rPr>
          <w:rFonts w:ascii="Times New Roman" w:hAnsi="Times New Roman" w:cs="Times New Roman"/>
          <w:sz w:val="24"/>
        </w:rPr>
        <w:t>Pisaniello</w:t>
      </w:r>
      <w:proofErr w:type="spellEnd"/>
      <w:r w:rsidRPr="00DC16B3">
        <w:rPr>
          <w:rFonts w:ascii="Times New Roman" w:hAnsi="Times New Roman" w:cs="Times New Roman"/>
          <w:sz w:val="24"/>
        </w:rPr>
        <w:t>, D., Hansen, A. and Sullivan, T., 2014.</w:t>
      </w:r>
      <w:proofErr w:type="gramEnd"/>
      <w:r w:rsidRPr="00DC16B3">
        <w:rPr>
          <w:rFonts w:ascii="Times New Roman" w:hAnsi="Times New Roman" w:cs="Times New Roman"/>
          <w:sz w:val="24"/>
        </w:rPr>
        <w:t xml:space="preserve"> </w:t>
      </w:r>
      <w:proofErr w:type="gramStart"/>
      <w:r w:rsidRPr="00DC16B3">
        <w:rPr>
          <w:rFonts w:ascii="Times New Roman" w:hAnsi="Times New Roman" w:cs="Times New Roman"/>
          <w:sz w:val="24"/>
        </w:rPr>
        <w:t>Association between high temperature and work-related injuries in Adelaide, South Australia, 2001–2010.</w:t>
      </w:r>
      <w:proofErr w:type="gramEnd"/>
      <w:r w:rsidRPr="00DC16B3">
        <w:rPr>
          <w:rFonts w:ascii="Times New Roman" w:hAnsi="Times New Roman" w:cs="Times New Roman"/>
          <w:sz w:val="24"/>
        </w:rPr>
        <w:t xml:space="preserve"> </w:t>
      </w:r>
      <w:proofErr w:type="spellStart"/>
      <w:proofErr w:type="gramStart"/>
      <w:r w:rsidRPr="00DC16B3">
        <w:rPr>
          <w:rFonts w:ascii="Times New Roman" w:hAnsi="Times New Roman" w:cs="Times New Roman"/>
          <w:sz w:val="24"/>
        </w:rPr>
        <w:t>Occup</w:t>
      </w:r>
      <w:proofErr w:type="spellEnd"/>
      <w:r w:rsidRPr="00DC16B3">
        <w:rPr>
          <w:rFonts w:ascii="Times New Roman" w:hAnsi="Times New Roman" w:cs="Times New Roman"/>
          <w:sz w:val="24"/>
        </w:rPr>
        <w:t xml:space="preserve"> Environ Med, 71(4), pp.246-252.</w:t>
      </w:r>
      <w:proofErr w:type="gramEnd"/>
    </w:p>
    <w:p w14:paraId="50A2D219" w14:textId="77777777" w:rsidR="00093E37" w:rsidRPr="00DC16B3" w:rsidRDefault="00093E37" w:rsidP="00093E37">
      <w:pPr>
        <w:keepLines/>
        <w:spacing w:after="120" w:line="240" w:lineRule="auto"/>
        <w:ind w:left="720" w:hanging="720"/>
        <w:rPr>
          <w:rFonts w:ascii="Times New Roman" w:hAnsi="Times New Roman" w:cs="Times New Roman"/>
          <w:sz w:val="24"/>
          <w:lang w:val="en-GB"/>
        </w:rPr>
      </w:pPr>
      <w:proofErr w:type="gramStart"/>
      <w:r w:rsidRPr="00DC16B3">
        <w:rPr>
          <w:rFonts w:ascii="Times New Roman" w:hAnsi="Times New Roman" w:cs="Times New Roman"/>
          <w:sz w:val="24"/>
          <w:lang w:val="en-GB"/>
        </w:rPr>
        <w:t>Yi, W. and Chan, A., 2016.</w:t>
      </w:r>
      <w:proofErr w:type="gramEnd"/>
      <w:r w:rsidRPr="00DC16B3">
        <w:rPr>
          <w:rFonts w:ascii="Times New Roman" w:hAnsi="Times New Roman" w:cs="Times New Roman"/>
          <w:sz w:val="24"/>
          <w:lang w:val="en-GB"/>
        </w:rPr>
        <w:t xml:space="preserve"> </w:t>
      </w:r>
      <w:proofErr w:type="gramStart"/>
      <w:r w:rsidRPr="00DC16B3">
        <w:rPr>
          <w:rFonts w:ascii="Times New Roman" w:hAnsi="Times New Roman" w:cs="Times New Roman"/>
          <w:sz w:val="24"/>
          <w:lang w:val="en-GB"/>
        </w:rPr>
        <w:t>Health Profile of Construction Workers in Hong Kong.</w:t>
      </w:r>
      <w:proofErr w:type="gramEnd"/>
      <w:r w:rsidRPr="00DC16B3">
        <w:rPr>
          <w:rFonts w:ascii="Times New Roman" w:hAnsi="Times New Roman" w:cs="Times New Roman"/>
          <w:sz w:val="24"/>
          <w:lang w:val="en-GB"/>
        </w:rPr>
        <w:t xml:space="preserve"> </w:t>
      </w:r>
      <w:proofErr w:type="gramStart"/>
      <w:r w:rsidRPr="00DC16B3">
        <w:rPr>
          <w:rFonts w:ascii="Times New Roman" w:hAnsi="Times New Roman" w:cs="Times New Roman"/>
          <w:sz w:val="24"/>
          <w:lang w:val="en-GB"/>
        </w:rPr>
        <w:t>International journal of environmental research and public health, 13(12), p.1232.</w:t>
      </w:r>
      <w:proofErr w:type="gramEnd"/>
      <w:r w:rsidRPr="00DC16B3">
        <w:rPr>
          <w:rFonts w:ascii="Times New Roman" w:hAnsi="Times New Roman" w:cs="Times New Roman"/>
          <w:sz w:val="24"/>
          <w:lang w:val="en-GB"/>
        </w:rPr>
        <w:t xml:space="preserve"> </w:t>
      </w:r>
    </w:p>
    <w:p w14:paraId="1162EFE3" w14:textId="77777777" w:rsidR="00093E37" w:rsidRPr="00DC16B3" w:rsidRDefault="00093E37" w:rsidP="00093E37">
      <w:pPr>
        <w:keepLines/>
        <w:spacing w:after="120" w:line="240" w:lineRule="auto"/>
        <w:ind w:left="720" w:hanging="720"/>
        <w:rPr>
          <w:rFonts w:ascii="Times New Roman" w:hAnsi="Times New Roman" w:cs="Times New Roman"/>
          <w:sz w:val="24"/>
        </w:rPr>
      </w:pPr>
      <w:proofErr w:type="gramStart"/>
      <w:r w:rsidRPr="00DC16B3">
        <w:rPr>
          <w:rFonts w:ascii="Times New Roman" w:hAnsi="Times New Roman" w:cs="Times New Roman"/>
          <w:sz w:val="24"/>
        </w:rPr>
        <w:t>Yi, W., and Chan, Albert, P.C. (2017).</w:t>
      </w:r>
      <w:proofErr w:type="gramEnd"/>
      <w:r w:rsidRPr="00DC16B3">
        <w:rPr>
          <w:rFonts w:ascii="Times New Roman" w:hAnsi="Times New Roman" w:cs="Times New Roman"/>
          <w:sz w:val="24"/>
        </w:rPr>
        <w:t xml:space="preserve"> Effects of Heat Stress on Construction Labor Productivity in Hong Kong: A Case Study of Rebar Workers. </w:t>
      </w:r>
      <w:proofErr w:type="gramStart"/>
      <w:r w:rsidRPr="00DC16B3">
        <w:rPr>
          <w:rFonts w:ascii="Times New Roman" w:hAnsi="Times New Roman" w:cs="Times New Roman"/>
          <w:sz w:val="24"/>
        </w:rPr>
        <w:t>International Journal of Environmental Research and Public Health.</w:t>
      </w:r>
      <w:proofErr w:type="gramEnd"/>
      <w:r w:rsidRPr="00DC16B3">
        <w:rPr>
          <w:rFonts w:ascii="Times New Roman" w:hAnsi="Times New Roman" w:cs="Times New Roman"/>
          <w:sz w:val="24"/>
        </w:rPr>
        <w:t xml:space="preserve"> DOI: 10.3390/ijerph14091055.</w:t>
      </w:r>
    </w:p>
    <w:p w14:paraId="58F91432" w14:textId="4B9BDC40" w:rsidR="005B1BCC" w:rsidRDefault="00093E37" w:rsidP="00093E37">
      <w:pPr>
        <w:keepLines/>
        <w:spacing w:after="120" w:line="240" w:lineRule="auto"/>
        <w:ind w:left="720" w:hanging="720"/>
        <w:rPr>
          <w:rFonts w:ascii="Times New Roman" w:hAnsi="Times New Roman" w:cs="Times New Roman"/>
          <w:sz w:val="24"/>
        </w:rPr>
      </w:pPr>
      <w:r w:rsidRPr="00DC16B3">
        <w:rPr>
          <w:rFonts w:ascii="Times New Roman" w:hAnsi="Times New Roman" w:cs="Times New Roman"/>
          <w:sz w:val="24"/>
        </w:rPr>
        <w:lastRenderedPageBreak/>
        <w:t xml:space="preserve">Zohar, D., 2002. </w:t>
      </w:r>
      <w:proofErr w:type="gramStart"/>
      <w:r w:rsidRPr="00DC16B3">
        <w:rPr>
          <w:rFonts w:ascii="Times New Roman" w:hAnsi="Times New Roman" w:cs="Times New Roman"/>
          <w:sz w:val="24"/>
        </w:rPr>
        <w:t>Modifying supervisory practices to improve subunit safety: a leadership-based intervention model.</w:t>
      </w:r>
      <w:proofErr w:type="gramEnd"/>
      <w:r w:rsidRPr="00DC16B3">
        <w:rPr>
          <w:rFonts w:ascii="Times New Roman" w:hAnsi="Times New Roman" w:cs="Times New Roman"/>
          <w:sz w:val="24"/>
        </w:rPr>
        <w:t xml:space="preserve"> Journal of Applied Psychology 87 (1), 156-163.</w:t>
      </w:r>
    </w:p>
    <w:p w14:paraId="14A69594" w14:textId="581FA02B" w:rsidR="00355499" w:rsidRDefault="00355499" w:rsidP="00E3096A">
      <w:pPr>
        <w:spacing w:line="360" w:lineRule="auto"/>
        <w:jc w:val="center"/>
      </w:pPr>
    </w:p>
    <w:p w14:paraId="4C24F9AB" w14:textId="77777777" w:rsidR="005B1BCC" w:rsidRPr="00E3096A" w:rsidRDefault="005B1BCC" w:rsidP="00E3096A">
      <w:pPr>
        <w:spacing w:line="360" w:lineRule="auto"/>
        <w:jc w:val="center"/>
        <w:rPr>
          <w:rFonts w:ascii="Times New Roman" w:hAnsi="Times New Roman" w:cs="Times New Roman"/>
          <w:b/>
          <w:sz w:val="24"/>
        </w:rPr>
      </w:pPr>
    </w:p>
    <w:sectPr w:rsidR="005B1BCC" w:rsidRPr="00E3096A" w:rsidSect="00093E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02B8D" w14:textId="77777777" w:rsidR="00C35898" w:rsidRDefault="00C35898" w:rsidP="00805AE6">
      <w:pPr>
        <w:spacing w:after="0" w:line="240" w:lineRule="auto"/>
      </w:pPr>
      <w:r>
        <w:separator/>
      </w:r>
    </w:p>
  </w:endnote>
  <w:endnote w:type="continuationSeparator" w:id="0">
    <w:p w14:paraId="3E822875" w14:textId="77777777" w:rsidR="00C35898" w:rsidRDefault="00C35898" w:rsidP="0080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4D0FC" w14:textId="77777777" w:rsidR="00C35898" w:rsidRDefault="00C35898" w:rsidP="00805AE6">
      <w:pPr>
        <w:spacing w:after="0" w:line="240" w:lineRule="auto"/>
      </w:pPr>
      <w:r>
        <w:separator/>
      </w:r>
    </w:p>
  </w:footnote>
  <w:footnote w:type="continuationSeparator" w:id="0">
    <w:p w14:paraId="68683489" w14:textId="77777777" w:rsidR="00C35898" w:rsidRDefault="00C35898" w:rsidP="0080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02C"/>
    <w:multiLevelType w:val="hybridMultilevel"/>
    <w:tmpl w:val="EB0025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119655F"/>
    <w:multiLevelType w:val="multilevel"/>
    <w:tmpl w:val="9440F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326858"/>
    <w:multiLevelType w:val="hybridMultilevel"/>
    <w:tmpl w:val="863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F7583"/>
    <w:multiLevelType w:val="hybridMultilevel"/>
    <w:tmpl w:val="FAECB922"/>
    <w:lvl w:ilvl="0" w:tplc="9236CEFE">
      <w:start w:val="1"/>
      <w:numFmt w:val="bullet"/>
      <w:lvlText w:val="•"/>
      <w:lvlJc w:val="left"/>
      <w:pPr>
        <w:ind w:left="720" w:hanging="360"/>
      </w:pPr>
      <w:rPr>
        <w:rFonts w:ascii="Arial" w:eastAsia="Arial" w:hAnsi="Arial" w:cs="Arial" w:hint="default"/>
        <w:b w:val="0"/>
        <w:i w:val="0"/>
        <w:color w:val="00000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64BB0"/>
    <w:multiLevelType w:val="hybridMultilevel"/>
    <w:tmpl w:val="679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105A1"/>
    <w:multiLevelType w:val="hybridMultilevel"/>
    <w:tmpl w:val="35F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NDUzNTQ1MjIyNjdV0lEKTi0uzszPAykwqwUAlfD9ACwAAAA="/>
  </w:docVars>
  <w:rsids>
    <w:rsidRoot w:val="001079C7"/>
    <w:rsid w:val="000003DA"/>
    <w:rsid w:val="00002231"/>
    <w:rsid w:val="0000345D"/>
    <w:rsid w:val="00006E55"/>
    <w:rsid w:val="00011727"/>
    <w:rsid w:val="0001192B"/>
    <w:rsid w:val="00014157"/>
    <w:rsid w:val="000142F0"/>
    <w:rsid w:val="00016DDA"/>
    <w:rsid w:val="0001721A"/>
    <w:rsid w:val="000243A8"/>
    <w:rsid w:val="000252E2"/>
    <w:rsid w:val="00025DC9"/>
    <w:rsid w:val="00026098"/>
    <w:rsid w:val="000268F8"/>
    <w:rsid w:val="000279D0"/>
    <w:rsid w:val="00027B08"/>
    <w:rsid w:val="00027C84"/>
    <w:rsid w:val="000302EF"/>
    <w:rsid w:val="000329A0"/>
    <w:rsid w:val="00034B21"/>
    <w:rsid w:val="0004072F"/>
    <w:rsid w:val="00041374"/>
    <w:rsid w:val="00042F61"/>
    <w:rsid w:val="000439E2"/>
    <w:rsid w:val="000439EB"/>
    <w:rsid w:val="0004523E"/>
    <w:rsid w:val="00047A5A"/>
    <w:rsid w:val="00047F75"/>
    <w:rsid w:val="00051FE7"/>
    <w:rsid w:val="00053D9A"/>
    <w:rsid w:val="00055303"/>
    <w:rsid w:val="000554D4"/>
    <w:rsid w:val="00057183"/>
    <w:rsid w:val="00061022"/>
    <w:rsid w:val="00063404"/>
    <w:rsid w:val="00063D1F"/>
    <w:rsid w:val="0006555F"/>
    <w:rsid w:val="00070032"/>
    <w:rsid w:val="00074410"/>
    <w:rsid w:val="00074F5E"/>
    <w:rsid w:val="00077946"/>
    <w:rsid w:val="00080AAA"/>
    <w:rsid w:val="0008122F"/>
    <w:rsid w:val="000818AA"/>
    <w:rsid w:val="0008672A"/>
    <w:rsid w:val="00087018"/>
    <w:rsid w:val="00087F73"/>
    <w:rsid w:val="00090AD5"/>
    <w:rsid w:val="00090C13"/>
    <w:rsid w:val="00092B4F"/>
    <w:rsid w:val="00093E37"/>
    <w:rsid w:val="00096382"/>
    <w:rsid w:val="000972BE"/>
    <w:rsid w:val="000A38E2"/>
    <w:rsid w:val="000A39C2"/>
    <w:rsid w:val="000A4E43"/>
    <w:rsid w:val="000A73D9"/>
    <w:rsid w:val="000B2D6E"/>
    <w:rsid w:val="000B34AC"/>
    <w:rsid w:val="000B3AFB"/>
    <w:rsid w:val="000B3EA4"/>
    <w:rsid w:val="000B5231"/>
    <w:rsid w:val="000B5457"/>
    <w:rsid w:val="000B5AC5"/>
    <w:rsid w:val="000C223D"/>
    <w:rsid w:val="000C3061"/>
    <w:rsid w:val="000C55F8"/>
    <w:rsid w:val="000C5C3F"/>
    <w:rsid w:val="000C5CEF"/>
    <w:rsid w:val="000C5D22"/>
    <w:rsid w:val="000D0242"/>
    <w:rsid w:val="000D1B51"/>
    <w:rsid w:val="000D3B76"/>
    <w:rsid w:val="000D4668"/>
    <w:rsid w:val="000D5B6F"/>
    <w:rsid w:val="000E081B"/>
    <w:rsid w:val="000E2029"/>
    <w:rsid w:val="000E3515"/>
    <w:rsid w:val="000E3730"/>
    <w:rsid w:val="000E4484"/>
    <w:rsid w:val="000E759E"/>
    <w:rsid w:val="000F3346"/>
    <w:rsid w:val="000F742A"/>
    <w:rsid w:val="0010180C"/>
    <w:rsid w:val="00103FE7"/>
    <w:rsid w:val="00104E5F"/>
    <w:rsid w:val="00104F67"/>
    <w:rsid w:val="00105BE0"/>
    <w:rsid w:val="00106C47"/>
    <w:rsid w:val="001079C7"/>
    <w:rsid w:val="00110884"/>
    <w:rsid w:val="00111B3C"/>
    <w:rsid w:val="0011479B"/>
    <w:rsid w:val="00114F8B"/>
    <w:rsid w:val="00116D62"/>
    <w:rsid w:val="0011715D"/>
    <w:rsid w:val="00120176"/>
    <w:rsid w:val="001204D0"/>
    <w:rsid w:val="001222B3"/>
    <w:rsid w:val="00123464"/>
    <w:rsid w:val="001236DA"/>
    <w:rsid w:val="00124456"/>
    <w:rsid w:val="00131CBD"/>
    <w:rsid w:val="00131DFB"/>
    <w:rsid w:val="00132282"/>
    <w:rsid w:val="001333AB"/>
    <w:rsid w:val="0013497A"/>
    <w:rsid w:val="00144CBA"/>
    <w:rsid w:val="00144D76"/>
    <w:rsid w:val="001479DE"/>
    <w:rsid w:val="001501D2"/>
    <w:rsid w:val="001511B7"/>
    <w:rsid w:val="00151E3C"/>
    <w:rsid w:val="0015231A"/>
    <w:rsid w:val="00152F0E"/>
    <w:rsid w:val="00152FA4"/>
    <w:rsid w:val="00155D54"/>
    <w:rsid w:val="00162777"/>
    <w:rsid w:val="00162C0B"/>
    <w:rsid w:val="0016449C"/>
    <w:rsid w:val="001654BB"/>
    <w:rsid w:val="0016713D"/>
    <w:rsid w:val="001671E8"/>
    <w:rsid w:val="00171A23"/>
    <w:rsid w:val="0017552B"/>
    <w:rsid w:val="00175D3B"/>
    <w:rsid w:val="0017701C"/>
    <w:rsid w:val="00180DF8"/>
    <w:rsid w:val="00180FAF"/>
    <w:rsid w:val="001849B5"/>
    <w:rsid w:val="00185482"/>
    <w:rsid w:val="00190978"/>
    <w:rsid w:val="00193636"/>
    <w:rsid w:val="0019550B"/>
    <w:rsid w:val="00195826"/>
    <w:rsid w:val="001958CA"/>
    <w:rsid w:val="00195942"/>
    <w:rsid w:val="00196944"/>
    <w:rsid w:val="00196A54"/>
    <w:rsid w:val="001A1944"/>
    <w:rsid w:val="001A197D"/>
    <w:rsid w:val="001A3D9B"/>
    <w:rsid w:val="001A44FD"/>
    <w:rsid w:val="001A5444"/>
    <w:rsid w:val="001A61E2"/>
    <w:rsid w:val="001A7C46"/>
    <w:rsid w:val="001B1009"/>
    <w:rsid w:val="001B1AAF"/>
    <w:rsid w:val="001B33DE"/>
    <w:rsid w:val="001B6616"/>
    <w:rsid w:val="001B6674"/>
    <w:rsid w:val="001C1213"/>
    <w:rsid w:val="001C1270"/>
    <w:rsid w:val="001C1E95"/>
    <w:rsid w:val="001C3425"/>
    <w:rsid w:val="001C3CBE"/>
    <w:rsid w:val="001C7338"/>
    <w:rsid w:val="001D0077"/>
    <w:rsid w:val="001D2D5F"/>
    <w:rsid w:val="001D4245"/>
    <w:rsid w:val="001D4361"/>
    <w:rsid w:val="001D4967"/>
    <w:rsid w:val="001D72DE"/>
    <w:rsid w:val="001D7864"/>
    <w:rsid w:val="001E1177"/>
    <w:rsid w:val="001E2B58"/>
    <w:rsid w:val="001E40A9"/>
    <w:rsid w:val="001E52DA"/>
    <w:rsid w:val="001E5F7F"/>
    <w:rsid w:val="001E7E73"/>
    <w:rsid w:val="001F05EF"/>
    <w:rsid w:val="001F5800"/>
    <w:rsid w:val="001F6F2C"/>
    <w:rsid w:val="002001BE"/>
    <w:rsid w:val="002031C5"/>
    <w:rsid w:val="002031DE"/>
    <w:rsid w:val="00203435"/>
    <w:rsid w:val="00205211"/>
    <w:rsid w:val="00220308"/>
    <w:rsid w:val="00220F68"/>
    <w:rsid w:val="00221041"/>
    <w:rsid w:val="00221D09"/>
    <w:rsid w:val="00221F02"/>
    <w:rsid w:val="00223268"/>
    <w:rsid w:val="002235A0"/>
    <w:rsid w:val="00223F97"/>
    <w:rsid w:val="00225BD8"/>
    <w:rsid w:val="00227A58"/>
    <w:rsid w:val="0023368D"/>
    <w:rsid w:val="00233869"/>
    <w:rsid w:val="00235A7B"/>
    <w:rsid w:val="00235CA8"/>
    <w:rsid w:val="00237CEC"/>
    <w:rsid w:val="00240438"/>
    <w:rsid w:val="002404E4"/>
    <w:rsid w:val="002425C0"/>
    <w:rsid w:val="002435C1"/>
    <w:rsid w:val="00243801"/>
    <w:rsid w:val="0024445D"/>
    <w:rsid w:val="002455AC"/>
    <w:rsid w:val="00247F62"/>
    <w:rsid w:val="0025010C"/>
    <w:rsid w:val="002528CC"/>
    <w:rsid w:val="0025349C"/>
    <w:rsid w:val="00255CD8"/>
    <w:rsid w:val="002631FA"/>
    <w:rsid w:val="002652E6"/>
    <w:rsid w:val="00267433"/>
    <w:rsid w:val="00267BC7"/>
    <w:rsid w:val="00270052"/>
    <w:rsid w:val="002724DD"/>
    <w:rsid w:val="0027363D"/>
    <w:rsid w:val="0027415B"/>
    <w:rsid w:val="002814EC"/>
    <w:rsid w:val="00281F61"/>
    <w:rsid w:val="00282DFD"/>
    <w:rsid w:val="00284725"/>
    <w:rsid w:val="00285CAD"/>
    <w:rsid w:val="002861E2"/>
    <w:rsid w:val="00287909"/>
    <w:rsid w:val="00293264"/>
    <w:rsid w:val="002932EB"/>
    <w:rsid w:val="00294518"/>
    <w:rsid w:val="00295D12"/>
    <w:rsid w:val="002979EE"/>
    <w:rsid w:val="002A002A"/>
    <w:rsid w:val="002A0928"/>
    <w:rsid w:val="002A2AD0"/>
    <w:rsid w:val="002A3B4F"/>
    <w:rsid w:val="002A3BC4"/>
    <w:rsid w:val="002A472E"/>
    <w:rsid w:val="002A5D8B"/>
    <w:rsid w:val="002A5DDE"/>
    <w:rsid w:val="002A676C"/>
    <w:rsid w:val="002A71FB"/>
    <w:rsid w:val="002A738F"/>
    <w:rsid w:val="002B059D"/>
    <w:rsid w:val="002B088B"/>
    <w:rsid w:val="002B08CC"/>
    <w:rsid w:val="002B1EB9"/>
    <w:rsid w:val="002B3B41"/>
    <w:rsid w:val="002B4F34"/>
    <w:rsid w:val="002C39A7"/>
    <w:rsid w:val="002C71B0"/>
    <w:rsid w:val="002D1184"/>
    <w:rsid w:val="002D418E"/>
    <w:rsid w:val="002D47C3"/>
    <w:rsid w:val="002D4ED6"/>
    <w:rsid w:val="002D526D"/>
    <w:rsid w:val="002E3332"/>
    <w:rsid w:val="002E4CC8"/>
    <w:rsid w:val="002E4EAD"/>
    <w:rsid w:val="002E5B8C"/>
    <w:rsid w:val="002E5F90"/>
    <w:rsid w:val="002E6342"/>
    <w:rsid w:val="002E6F06"/>
    <w:rsid w:val="002E7535"/>
    <w:rsid w:val="002F0F34"/>
    <w:rsid w:val="003010BC"/>
    <w:rsid w:val="003021C1"/>
    <w:rsid w:val="00310FB6"/>
    <w:rsid w:val="003110CD"/>
    <w:rsid w:val="00311B4B"/>
    <w:rsid w:val="00311C26"/>
    <w:rsid w:val="00317613"/>
    <w:rsid w:val="003216D1"/>
    <w:rsid w:val="0032230E"/>
    <w:rsid w:val="00322CC9"/>
    <w:rsid w:val="00322DC1"/>
    <w:rsid w:val="003239BB"/>
    <w:rsid w:val="00324964"/>
    <w:rsid w:val="00330E25"/>
    <w:rsid w:val="003313EB"/>
    <w:rsid w:val="00331534"/>
    <w:rsid w:val="003332E3"/>
    <w:rsid w:val="0033653A"/>
    <w:rsid w:val="00336D5A"/>
    <w:rsid w:val="00337027"/>
    <w:rsid w:val="00340191"/>
    <w:rsid w:val="00341057"/>
    <w:rsid w:val="003419F8"/>
    <w:rsid w:val="003422E2"/>
    <w:rsid w:val="003446A9"/>
    <w:rsid w:val="00344ABD"/>
    <w:rsid w:val="00344EF9"/>
    <w:rsid w:val="0034783C"/>
    <w:rsid w:val="003516DC"/>
    <w:rsid w:val="003528DB"/>
    <w:rsid w:val="0035433F"/>
    <w:rsid w:val="00355499"/>
    <w:rsid w:val="003557E1"/>
    <w:rsid w:val="003561B7"/>
    <w:rsid w:val="00357A1B"/>
    <w:rsid w:val="0036262A"/>
    <w:rsid w:val="00362E5C"/>
    <w:rsid w:val="00364752"/>
    <w:rsid w:val="0036636B"/>
    <w:rsid w:val="00366462"/>
    <w:rsid w:val="0036675C"/>
    <w:rsid w:val="003714A1"/>
    <w:rsid w:val="0037445B"/>
    <w:rsid w:val="003745D2"/>
    <w:rsid w:val="00376A7A"/>
    <w:rsid w:val="00376DC9"/>
    <w:rsid w:val="003776A4"/>
    <w:rsid w:val="00380449"/>
    <w:rsid w:val="00380F8F"/>
    <w:rsid w:val="0038128B"/>
    <w:rsid w:val="0038161A"/>
    <w:rsid w:val="00382089"/>
    <w:rsid w:val="003835DB"/>
    <w:rsid w:val="00383E97"/>
    <w:rsid w:val="00385AE2"/>
    <w:rsid w:val="00385C1C"/>
    <w:rsid w:val="00387667"/>
    <w:rsid w:val="00390872"/>
    <w:rsid w:val="0039102D"/>
    <w:rsid w:val="003912F1"/>
    <w:rsid w:val="003926C4"/>
    <w:rsid w:val="003927C0"/>
    <w:rsid w:val="0039453D"/>
    <w:rsid w:val="003A0EE2"/>
    <w:rsid w:val="003A2D7C"/>
    <w:rsid w:val="003B01FA"/>
    <w:rsid w:val="003B07CE"/>
    <w:rsid w:val="003B0AC4"/>
    <w:rsid w:val="003B1C07"/>
    <w:rsid w:val="003B4498"/>
    <w:rsid w:val="003B78D3"/>
    <w:rsid w:val="003C0EEB"/>
    <w:rsid w:val="003C21AB"/>
    <w:rsid w:val="003C31AE"/>
    <w:rsid w:val="003C3435"/>
    <w:rsid w:val="003C4301"/>
    <w:rsid w:val="003C51C5"/>
    <w:rsid w:val="003C5ED1"/>
    <w:rsid w:val="003C715C"/>
    <w:rsid w:val="003C737A"/>
    <w:rsid w:val="003D0600"/>
    <w:rsid w:val="003D0AF3"/>
    <w:rsid w:val="003D0EC9"/>
    <w:rsid w:val="003D341D"/>
    <w:rsid w:val="003D719A"/>
    <w:rsid w:val="003E0DCC"/>
    <w:rsid w:val="003E32E6"/>
    <w:rsid w:val="003E3FBA"/>
    <w:rsid w:val="003E4AAF"/>
    <w:rsid w:val="003E505E"/>
    <w:rsid w:val="003E6D3C"/>
    <w:rsid w:val="003F076A"/>
    <w:rsid w:val="003F2034"/>
    <w:rsid w:val="003F5DD9"/>
    <w:rsid w:val="003F63CA"/>
    <w:rsid w:val="00400371"/>
    <w:rsid w:val="00403E5C"/>
    <w:rsid w:val="00403F4B"/>
    <w:rsid w:val="0040488A"/>
    <w:rsid w:val="00404C95"/>
    <w:rsid w:val="004058D4"/>
    <w:rsid w:val="004135FB"/>
    <w:rsid w:val="0041465A"/>
    <w:rsid w:val="00416FC4"/>
    <w:rsid w:val="00417A03"/>
    <w:rsid w:val="00420916"/>
    <w:rsid w:val="004211F6"/>
    <w:rsid w:val="00422443"/>
    <w:rsid w:val="004250B4"/>
    <w:rsid w:val="00425213"/>
    <w:rsid w:val="00425794"/>
    <w:rsid w:val="004277E6"/>
    <w:rsid w:val="00431AE0"/>
    <w:rsid w:val="00432C11"/>
    <w:rsid w:val="00436A27"/>
    <w:rsid w:val="00437377"/>
    <w:rsid w:val="004403F7"/>
    <w:rsid w:val="004421D7"/>
    <w:rsid w:val="00442C21"/>
    <w:rsid w:val="00446E20"/>
    <w:rsid w:val="00450681"/>
    <w:rsid w:val="00450689"/>
    <w:rsid w:val="00450BD4"/>
    <w:rsid w:val="004536C4"/>
    <w:rsid w:val="0045378F"/>
    <w:rsid w:val="004541E0"/>
    <w:rsid w:val="00455380"/>
    <w:rsid w:val="00456592"/>
    <w:rsid w:val="00457434"/>
    <w:rsid w:val="0046027D"/>
    <w:rsid w:val="00460DBA"/>
    <w:rsid w:val="0046360A"/>
    <w:rsid w:val="00463CAA"/>
    <w:rsid w:val="004667DD"/>
    <w:rsid w:val="00467760"/>
    <w:rsid w:val="00471240"/>
    <w:rsid w:val="00480FF7"/>
    <w:rsid w:val="004819EA"/>
    <w:rsid w:val="0048233F"/>
    <w:rsid w:val="00483BA4"/>
    <w:rsid w:val="004840FF"/>
    <w:rsid w:val="00484BAD"/>
    <w:rsid w:val="004911EA"/>
    <w:rsid w:val="00492B95"/>
    <w:rsid w:val="00494F18"/>
    <w:rsid w:val="00495145"/>
    <w:rsid w:val="00497B1D"/>
    <w:rsid w:val="00497FD1"/>
    <w:rsid w:val="004A07BC"/>
    <w:rsid w:val="004A4BE6"/>
    <w:rsid w:val="004B4E36"/>
    <w:rsid w:val="004B505D"/>
    <w:rsid w:val="004B5D00"/>
    <w:rsid w:val="004B63AF"/>
    <w:rsid w:val="004B7B21"/>
    <w:rsid w:val="004C12D6"/>
    <w:rsid w:val="004C1338"/>
    <w:rsid w:val="004C3515"/>
    <w:rsid w:val="004C4BEC"/>
    <w:rsid w:val="004C4E94"/>
    <w:rsid w:val="004C4FE1"/>
    <w:rsid w:val="004C768F"/>
    <w:rsid w:val="004D0848"/>
    <w:rsid w:val="004D3AEB"/>
    <w:rsid w:val="004D5BF8"/>
    <w:rsid w:val="004D5E41"/>
    <w:rsid w:val="004D6FFD"/>
    <w:rsid w:val="004E0A9D"/>
    <w:rsid w:val="004E0DDD"/>
    <w:rsid w:val="004E1F3F"/>
    <w:rsid w:val="004E579E"/>
    <w:rsid w:val="004E598F"/>
    <w:rsid w:val="004E5D1D"/>
    <w:rsid w:val="004E6CFD"/>
    <w:rsid w:val="004F000C"/>
    <w:rsid w:val="004F0FF7"/>
    <w:rsid w:val="004F327A"/>
    <w:rsid w:val="004F5364"/>
    <w:rsid w:val="004F53E4"/>
    <w:rsid w:val="004F5558"/>
    <w:rsid w:val="004F60E1"/>
    <w:rsid w:val="004F7C33"/>
    <w:rsid w:val="00500402"/>
    <w:rsid w:val="0050173D"/>
    <w:rsid w:val="00501875"/>
    <w:rsid w:val="005037D0"/>
    <w:rsid w:val="00503AC0"/>
    <w:rsid w:val="0050649F"/>
    <w:rsid w:val="005076A1"/>
    <w:rsid w:val="005114F9"/>
    <w:rsid w:val="00511DC9"/>
    <w:rsid w:val="00513387"/>
    <w:rsid w:val="00517112"/>
    <w:rsid w:val="00526264"/>
    <w:rsid w:val="0053037B"/>
    <w:rsid w:val="00531867"/>
    <w:rsid w:val="00533901"/>
    <w:rsid w:val="00533DD0"/>
    <w:rsid w:val="0053402A"/>
    <w:rsid w:val="005363BA"/>
    <w:rsid w:val="00543781"/>
    <w:rsid w:val="00544ED5"/>
    <w:rsid w:val="00545234"/>
    <w:rsid w:val="0055144C"/>
    <w:rsid w:val="00551D4A"/>
    <w:rsid w:val="00552A55"/>
    <w:rsid w:val="005552F0"/>
    <w:rsid w:val="00556245"/>
    <w:rsid w:val="00556D08"/>
    <w:rsid w:val="00557982"/>
    <w:rsid w:val="00560821"/>
    <w:rsid w:val="00562642"/>
    <w:rsid w:val="00563482"/>
    <w:rsid w:val="00563BBE"/>
    <w:rsid w:val="005646CC"/>
    <w:rsid w:val="005717A5"/>
    <w:rsid w:val="00573CE6"/>
    <w:rsid w:val="00573FE9"/>
    <w:rsid w:val="00574D55"/>
    <w:rsid w:val="005762E6"/>
    <w:rsid w:val="00583B6C"/>
    <w:rsid w:val="00583F3E"/>
    <w:rsid w:val="00584037"/>
    <w:rsid w:val="00584604"/>
    <w:rsid w:val="005909AB"/>
    <w:rsid w:val="00593D1E"/>
    <w:rsid w:val="00594202"/>
    <w:rsid w:val="00596501"/>
    <w:rsid w:val="005A42AF"/>
    <w:rsid w:val="005A5D49"/>
    <w:rsid w:val="005A6C55"/>
    <w:rsid w:val="005A748C"/>
    <w:rsid w:val="005B1720"/>
    <w:rsid w:val="005B1BCC"/>
    <w:rsid w:val="005B36BA"/>
    <w:rsid w:val="005B7818"/>
    <w:rsid w:val="005B7EB0"/>
    <w:rsid w:val="005C2004"/>
    <w:rsid w:val="005D0CC1"/>
    <w:rsid w:val="005D1D43"/>
    <w:rsid w:val="005D3C8D"/>
    <w:rsid w:val="005D4251"/>
    <w:rsid w:val="005D4C47"/>
    <w:rsid w:val="005D5148"/>
    <w:rsid w:val="005E312A"/>
    <w:rsid w:val="005E4A8C"/>
    <w:rsid w:val="005E5245"/>
    <w:rsid w:val="005F1249"/>
    <w:rsid w:val="005F3CE3"/>
    <w:rsid w:val="005F4755"/>
    <w:rsid w:val="00601E68"/>
    <w:rsid w:val="00602FDD"/>
    <w:rsid w:val="006031B7"/>
    <w:rsid w:val="0060737E"/>
    <w:rsid w:val="00612188"/>
    <w:rsid w:val="006145BB"/>
    <w:rsid w:val="006167AD"/>
    <w:rsid w:val="0062057D"/>
    <w:rsid w:val="0062182A"/>
    <w:rsid w:val="0062306E"/>
    <w:rsid w:val="006234DB"/>
    <w:rsid w:val="00623C83"/>
    <w:rsid w:val="00623EDB"/>
    <w:rsid w:val="006255DC"/>
    <w:rsid w:val="006278DA"/>
    <w:rsid w:val="00627B12"/>
    <w:rsid w:val="00632F60"/>
    <w:rsid w:val="006343D0"/>
    <w:rsid w:val="00635C75"/>
    <w:rsid w:val="006436A1"/>
    <w:rsid w:val="0064379D"/>
    <w:rsid w:val="00643C62"/>
    <w:rsid w:val="00651234"/>
    <w:rsid w:val="00653AFC"/>
    <w:rsid w:val="006540A8"/>
    <w:rsid w:val="006557BF"/>
    <w:rsid w:val="006568A4"/>
    <w:rsid w:val="00656A9F"/>
    <w:rsid w:val="00662F74"/>
    <w:rsid w:val="006639DC"/>
    <w:rsid w:val="00665228"/>
    <w:rsid w:val="006658AD"/>
    <w:rsid w:val="00665A19"/>
    <w:rsid w:val="00665B93"/>
    <w:rsid w:val="006663F4"/>
    <w:rsid w:val="006665C5"/>
    <w:rsid w:val="00666C7C"/>
    <w:rsid w:val="006676AF"/>
    <w:rsid w:val="00667D83"/>
    <w:rsid w:val="00670C40"/>
    <w:rsid w:val="00671C8D"/>
    <w:rsid w:val="00671DEF"/>
    <w:rsid w:val="006722CC"/>
    <w:rsid w:val="00674469"/>
    <w:rsid w:val="006759C7"/>
    <w:rsid w:val="00675BAD"/>
    <w:rsid w:val="00676A75"/>
    <w:rsid w:val="00677084"/>
    <w:rsid w:val="006775FB"/>
    <w:rsid w:val="00680D73"/>
    <w:rsid w:val="00680D96"/>
    <w:rsid w:val="00682620"/>
    <w:rsid w:val="0068372F"/>
    <w:rsid w:val="00684190"/>
    <w:rsid w:val="006841EB"/>
    <w:rsid w:val="00684638"/>
    <w:rsid w:val="00687985"/>
    <w:rsid w:val="00687E7E"/>
    <w:rsid w:val="0069149F"/>
    <w:rsid w:val="0069179F"/>
    <w:rsid w:val="00691EF1"/>
    <w:rsid w:val="0069382D"/>
    <w:rsid w:val="006942A6"/>
    <w:rsid w:val="0069564A"/>
    <w:rsid w:val="006960E8"/>
    <w:rsid w:val="006963D2"/>
    <w:rsid w:val="006B0D77"/>
    <w:rsid w:val="006B5460"/>
    <w:rsid w:val="006B6492"/>
    <w:rsid w:val="006B6A09"/>
    <w:rsid w:val="006B775B"/>
    <w:rsid w:val="006C19B5"/>
    <w:rsid w:val="006C37AB"/>
    <w:rsid w:val="006C3B68"/>
    <w:rsid w:val="006C41C7"/>
    <w:rsid w:val="006C6FCA"/>
    <w:rsid w:val="006D0666"/>
    <w:rsid w:val="006D0F95"/>
    <w:rsid w:val="006D14EF"/>
    <w:rsid w:val="006D21D1"/>
    <w:rsid w:val="006D2430"/>
    <w:rsid w:val="006D2968"/>
    <w:rsid w:val="006D417B"/>
    <w:rsid w:val="006D567C"/>
    <w:rsid w:val="006D6842"/>
    <w:rsid w:val="006D7AE4"/>
    <w:rsid w:val="006E288E"/>
    <w:rsid w:val="006E2B5A"/>
    <w:rsid w:val="006E34F9"/>
    <w:rsid w:val="006E4017"/>
    <w:rsid w:val="006E4D54"/>
    <w:rsid w:val="006E68D0"/>
    <w:rsid w:val="006E70A0"/>
    <w:rsid w:val="006E7445"/>
    <w:rsid w:val="006F207B"/>
    <w:rsid w:val="006F2A9F"/>
    <w:rsid w:val="006F30E0"/>
    <w:rsid w:val="006F35F6"/>
    <w:rsid w:val="006F49C3"/>
    <w:rsid w:val="006F5CE3"/>
    <w:rsid w:val="00710BB3"/>
    <w:rsid w:val="00710CD5"/>
    <w:rsid w:val="00710E58"/>
    <w:rsid w:val="0071454A"/>
    <w:rsid w:val="00714BF4"/>
    <w:rsid w:val="007159CE"/>
    <w:rsid w:val="0071770D"/>
    <w:rsid w:val="0072059D"/>
    <w:rsid w:val="00722285"/>
    <w:rsid w:val="00725423"/>
    <w:rsid w:val="007258B4"/>
    <w:rsid w:val="00726047"/>
    <w:rsid w:val="00732130"/>
    <w:rsid w:val="0073305B"/>
    <w:rsid w:val="0073618C"/>
    <w:rsid w:val="00736387"/>
    <w:rsid w:val="00737FA1"/>
    <w:rsid w:val="00743E91"/>
    <w:rsid w:val="00744417"/>
    <w:rsid w:val="0074485A"/>
    <w:rsid w:val="00744981"/>
    <w:rsid w:val="00744E3E"/>
    <w:rsid w:val="00746190"/>
    <w:rsid w:val="00746D53"/>
    <w:rsid w:val="0075401D"/>
    <w:rsid w:val="00755C78"/>
    <w:rsid w:val="007602BA"/>
    <w:rsid w:val="00762256"/>
    <w:rsid w:val="007626F9"/>
    <w:rsid w:val="00764B06"/>
    <w:rsid w:val="00770B51"/>
    <w:rsid w:val="00772F39"/>
    <w:rsid w:val="0078033C"/>
    <w:rsid w:val="00783CDF"/>
    <w:rsid w:val="00784129"/>
    <w:rsid w:val="00786043"/>
    <w:rsid w:val="0079282E"/>
    <w:rsid w:val="00797D92"/>
    <w:rsid w:val="007A075F"/>
    <w:rsid w:val="007A347C"/>
    <w:rsid w:val="007A3E5E"/>
    <w:rsid w:val="007A4481"/>
    <w:rsid w:val="007A537E"/>
    <w:rsid w:val="007A5FAC"/>
    <w:rsid w:val="007A72E3"/>
    <w:rsid w:val="007A7E5C"/>
    <w:rsid w:val="007B200A"/>
    <w:rsid w:val="007B2932"/>
    <w:rsid w:val="007B3AA5"/>
    <w:rsid w:val="007B5070"/>
    <w:rsid w:val="007B745E"/>
    <w:rsid w:val="007B769D"/>
    <w:rsid w:val="007C318B"/>
    <w:rsid w:val="007C7FE2"/>
    <w:rsid w:val="007D1DE3"/>
    <w:rsid w:val="007D32E4"/>
    <w:rsid w:val="007D531B"/>
    <w:rsid w:val="007E032C"/>
    <w:rsid w:val="007E0685"/>
    <w:rsid w:val="007E179D"/>
    <w:rsid w:val="007E202F"/>
    <w:rsid w:val="007E3554"/>
    <w:rsid w:val="007E4F7A"/>
    <w:rsid w:val="007E71F1"/>
    <w:rsid w:val="007F0478"/>
    <w:rsid w:val="007F3C3E"/>
    <w:rsid w:val="007F4AA8"/>
    <w:rsid w:val="007F7067"/>
    <w:rsid w:val="007F7CA2"/>
    <w:rsid w:val="00802064"/>
    <w:rsid w:val="00802FC6"/>
    <w:rsid w:val="0080318D"/>
    <w:rsid w:val="008041A3"/>
    <w:rsid w:val="00805AE6"/>
    <w:rsid w:val="008069C8"/>
    <w:rsid w:val="00806D58"/>
    <w:rsid w:val="00812BA2"/>
    <w:rsid w:val="008130B9"/>
    <w:rsid w:val="00813F8F"/>
    <w:rsid w:val="0081506D"/>
    <w:rsid w:val="008161A8"/>
    <w:rsid w:val="00817010"/>
    <w:rsid w:val="008202C2"/>
    <w:rsid w:val="00822AC6"/>
    <w:rsid w:val="00825961"/>
    <w:rsid w:val="00826491"/>
    <w:rsid w:val="0082652C"/>
    <w:rsid w:val="008274AE"/>
    <w:rsid w:val="00832386"/>
    <w:rsid w:val="008323E2"/>
    <w:rsid w:val="00833F04"/>
    <w:rsid w:val="00835035"/>
    <w:rsid w:val="008351AE"/>
    <w:rsid w:val="00835BB3"/>
    <w:rsid w:val="00835C61"/>
    <w:rsid w:val="00836346"/>
    <w:rsid w:val="00840861"/>
    <w:rsid w:val="0084212A"/>
    <w:rsid w:val="008438E1"/>
    <w:rsid w:val="00844596"/>
    <w:rsid w:val="008447CC"/>
    <w:rsid w:val="00844BFE"/>
    <w:rsid w:val="008472CE"/>
    <w:rsid w:val="008515CB"/>
    <w:rsid w:val="008539D1"/>
    <w:rsid w:val="00854C8A"/>
    <w:rsid w:val="00856495"/>
    <w:rsid w:val="00860215"/>
    <w:rsid w:val="0086145B"/>
    <w:rsid w:val="00861BA3"/>
    <w:rsid w:val="00864747"/>
    <w:rsid w:val="00866B0C"/>
    <w:rsid w:val="00867455"/>
    <w:rsid w:val="00875E4A"/>
    <w:rsid w:val="00877410"/>
    <w:rsid w:val="00882E9C"/>
    <w:rsid w:val="00886848"/>
    <w:rsid w:val="00890BD8"/>
    <w:rsid w:val="00891E0C"/>
    <w:rsid w:val="00893551"/>
    <w:rsid w:val="00896078"/>
    <w:rsid w:val="008A320A"/>
    <w:rsid w:val="008A3BA4"/>
    <w:rsid w:val="008A46E8"/>
    <w:rsid w:val="008A4EBC"/>
    <w:rsid w:val="008A6101"/>
    <w:rsid w:val="008A630F"/>
    <w:rsid w:val="008A6408"/>
    <w:rsid w:val="008A7744"/>
    <w:rsid w:val="008B2504"/>
    <w:rsid w:val="008B39FE"/>
    <w:rsid w:val="008B443E"/>
    <w:rsid w:val="008B56AE"/>
    <w:rsid w:val="008B66F3"/>
    <w:rsid w:val="008B782C"/>
    <w:rsid w:val="008C286C"/>
    <w:rsid w:val="008C30B6"/>
    <w:rsid w:val="008C736E"/>
    <w:rsid w:val="008D095D"/>
    <w:rsid w:val="008D25C9"/>
    <w:rsid w:val="008D4191"/>
    <w:rsid w:val="008D4851"/>
    <w:rsid w:val="008D6910"/>
    <w:rsid w:val="008D72F8"/>
    <w:rsid w:val="008E09EE"/>
    <w:rsid w:val="008E1429"/>
    <w:rsid w:val="008E1FA9"/>
    <w:rsid w:val="008E431C"/>
    <w:rsid w:val="008E50A0"/>
    <w:rsid w:val="008E603B"/>
    <w:rsid w:val="008E7251"/>
    <w:rsid w:val="008E7CFF"/>
    <w:rsid w:val="008F2B35"/>
    <w:rsid w:val="008F3DA8"/>
    <w:rsid w:val="008F4481"/>
    <w:rsid w:val="008F6503"/>
    <w:rsid w:val="00906AD7"/>
    <w:rsid w:val="00910F6C"/>
    <w:rsid w:val="009125D3"/>
    <w:rsid w:val="00913B3E"/>
    <w:rsid w:val="0091416F"/>
    <w:rsid w:val="00917127"/>
    <w:rsid w:val="00917140"/>
    <w:rsid w:val="00920961"/>
    <w:rsid w:val="00920EFB"/>
    <w:rsid w:val="00921265"/>
    <w:rsid w:val="00921668"/>
    <w:rsid w:val="0092348F"/>
    <w:rsid w:val="009300BA"/>
    <w:rsid w:val="00931A10"/>
    <w:rsid w:val="0093284A"/>
    <w:rsid w:val="00933827"/>
    <w:rsid w:val="0093497B"/>
    <w:rsid w:val="00937F12"/>
    <w:rsid w:val="009401FE"/>
    <w:rsid w:val="00940D42"/>
    <w:rsid w:val="009420DD"/>
    <w:rsid w:val="00945CFD"/>
    <w:rsid w:val="00946A27"/>
    <w:rsid w:val="00946AA2"/>
    <w:rsid w:val="0094757C"/>
    <w:rsid w:val="00950587"/>
    <w:rsid w:val="00951E52"/>
    <w:rsid w:val="00952CA8"/>
    <w:rsid w:val="00952EA0"/>
    <w:rsid w:val="00953064"/>
    <w:rsid w:val="00954137"/>
    <w:rsid w:val="0095441D"/>
    <w:rsid w:val="0095634D"/>
    <w:rsid w:val="00956D9E"/>
    <w:rsid w:val="00963042"/>
    <w:rsid w:val="009655C1"/>
    <w:rsid w:val="00965A13"/>
    <w:rsid w:val="00965E18"/>
    <w:rsid w:val="00967328"/>
    <w:rsid w:val="00970713"/>
    <w:rsid w:val="00970C71"/>
    <w:rsid w:val="0097166F"/>
    <w:rsid w:val="0097193E"/>
    <w:rsid w:val="009738EF"/>
    <w:rsid w:val="00975C05"/>
    <w:rsid w:val="00976EC9"/>
    <w:rsid w:val="0098009E"/>
    <w:rsid w:val="00981A01"/>
    <w:rsid w:val="0098271C"/>
    <w:rsid w:val="00984F22"/>
    <w:rsid w:val="009853C4"/>
    <w:rsid w:val="009909F4"/>
    <w:rsid w:val="00995720"/>
    <w:rsid w:val="009961B0"/>
    <w:rsid w:val="00997A84"/>
    <w:rsid w:val="009A0DA0"/>
    <w:rsid w:val="009A2372"/>
    <w:rsid w:val="009A24D5"/>
    <w:rsid w:val="009A371F"/>
    <w:rsid w:val="009A474F"/>
    <w:rsid w:val="009B1092"/>
    <w:rsid w:val="009B2A0C"/>
    <w:rsid w:val="009B31A6"/>
    <w:rsid w:val="009B3E00"/>
    <w:rsid w:val="009B4A63"/>
    <w:rsid w:val="009B4E44"/>
    <w:rsid w:val="009B633A"/>
    <w:rsid w:val="009B63AF"/>
    <w:rsid w:val="009B7427"/>
    <w:rsid w:val="009C3614"/>
    <w:rsid w:val="009C3AAF"/>
    <w:rsid w:val="009C615E"/>
    <w:rsid w:val="009C6F59"/>
    <w:rsid w:val="009D1560"/>
    <w:rsid w:val="009D28B8"/>
    <w:rsid w:val="009D3502"/>
    <w:rsid w:val="009D37F1"/>
    <w:rsid w:val="009D403E"/>
    <w:rsid w:val="009D4A05"/>
    <w:rsid w:val="009D5522"/>
    <w:rsid w:val="009D793B"/>
    <w:rsid w:val="009E0761"/>
    <w:rsid w:val="009E0DE2"/>
    <w:rsid w:val="009E448D"/>
    <w:rsid w:val="009E5360"/>
    <w:rsid w:val="009E54EE"/>
    <w:rsid w:val="009E5573"/>
    <w:rsid w:val="009F1544"/>
    <w:rsid w:val="009F1BF0"/>
    <w:rsid w:val="009F1DD9"/>
    <w:rsid w:val="009F3926"/>
    <w:rsid w:val="009F3FAD"/>
    <w:rsid w:val="00A0026A"/>
    <w:rsid w:val="00A01789"/>
    <w:rsid w:val="00A017FB"/>
    <w:rsid w:val="00A05279"/>
    <w:rsid w:val="00A06628"/>
    <w:rsid w:val="00A067B9"/>
    <w:rsid w:val="00A100D1"/>
    <w:rsid w:val="00A10753"/>
    <w:rsid w:val="00A10EAF"/>
    <w:rsid w:val="00A1137E"/>
    <w:rsid w:val="00A11FAD"/>
    <w:rsid w:val="00A14CE9"/>
    <w:rsid w:val="00A1644F"/>
    <w:rsid w:val="00A175D5"/>
    <w:rsid w:val="00A17E36"/>
    <w:rsid w:val="00A219C4"/>
    <w:rsid w:val="00A2283D"/>
    <w:rsid w:val="00A23AF9"/>
    <w:rsid w:val="00A256E4"/>
    <w:rsid w:val="00A25B6F"/>
    <w:rsid w:val="00A3093E"/>
    <w:rsid w:val="00A313CA"/>
    <w:rsid w:val="00A3164F"/>
    <w:rsid w:val="00A321FB"/>
    <w:rsid w:val="00A36410"/>
    <w:rsid w:val="00A36C3C"/>
    <w:rsid w:val="00A37BAE"/>
    <w:rsid w:val="00A37D74"/>
    <w:rsid w:val="00A403C8"/>
    <w:rsid w:val="00A4074C"/>
    <w:rsid w:val="00A42BFD"/>
    <w:rsid w:val="00A45228"/>
    <w:rsid w:val="00A5055E"/>
    <w:rsid w:val="00A51038"/>
    <w:rsid w:val="00A515E1"/>
    <w:rsid w:val="00A523F4"/>
    <w:rsid w:val="00A52C7C"/>
    <w:rsid w:val="00A52EC2"/>
    <w:rsid w:val="00A53862"/>
    <w:rsid w:val="00A55E08"/>
    <w:rsid w:val="00A564C5"/>
    <w:rsid w:val="00A57E52"/>
    <w:rsid w:val="00A614B6"/>
    <w:rsid w:val="00A642C0"/>
    <w:rsid w:val="00A655CF"/>
    <w:rsid w:val="00A67829"/>
    <w:rsid w:val="00A70198"/>
    <w:rsid w:val="00A70216"/>
    <w:rsid w:val="00A706B0"/>
    <w:rsid w:val="00A7146C"/>
    <w:rsid w:val="00A74414"/>
    <w:rsid w:val="00A74912"/>
    <w:rsid w:val="00A7592F"/>
    <w:rsid w:val="00A76455"/>
    <w:rsid w:val="00A770CA"/>
    <w:rsid w:val="00A80040"/>
    <w:rsid w:val="00A80CCE"/>
    <w:rsid w:val="00A8396C"/>
    <w:rsid w:val="00A83FF1"/>
    <w:rsid w:val="00A84D3D"/>
    <w:rsid w:val="00A85B92"/>
    <w:rsid w:val="00A86C7C"/>
    <w:rsid w:val="00A92806"/>
    <w:rsid w:val="00A92DB9"/>
    <w:rsid w:val="00A93CD0"/>
    <w:rsid w:val="00A9453C"/>
    <w:rsid w:val="00A96CFA"/>
    <w:rsid w:val="00A9729D"/>
    <w:rsid w:val="00A97EA0"/>
    <w:rsid w:val="00AA06A6"/>
    <w:rsid w:val="00AA36A1"/>
    <w:rsid w:val="00AA3E02"/>
    <w:rsid w:val="00AA41C5"/>
    <w:rsid w:val="00AA6003"/>
    <w:rsid w:val="00AA6A08"/>
    <w:rsid w:val="00AA788F"/>
    <w:rsid w:val="00AB0486"/>
    <w:rsid w:val="00AB1AA3"/>
    <w:rsid w:val="00AB4091"/>
    <w:rsid w:val="00AB477B"/>
    <w:rsid w:val="00AB5255"/>
    <w:rsid w:val="00AB6BB0"/>
    <w:rsid w:val="00AC0C0C"/>
    <w:rsid w:val="00AC1361"/>
    <w:rsid w:val="00AC1438"/>
    <w:rsid w:val="00AC2659"/>
    <w:rsid w:val="00AC4217"/>
    <w:rsid w:val="00AC769B"/>
    <w:rsid w:val="00AE0086"/>
    <w:rsid w:val="00AE1835"/>
    <w:rsid w:val="00AE24D9"/>
    <w:rsid w:val="00AE3D99"/>
    <w:rsid w:val="00AE46C5"/>
    <w:rsid w:val="00AE7AF4"/>
    <w:rsid w:val="00AF227C"/>
    <w:rsid w:val="00AF3ECA"/>
    <w:rsid w:val="00AF65F2"/>
    <w:rsid w:val="00B04B21"/>
    <w:rsid w:val="00B04D68"/>
    <w:rsid w:val="00B04E99"/>
    <w:rsid w:val="00B0659F"/>
    <w:rsid w:val="00B06660"/>
    <w:rsid w:val="00B073A6"/>
    <w:rsid w:val="00B10D82"/>
    <w:rsid w:val="00B1177F"/>
    <w:rsid w:val="00B11BF8"/>
    <w:rsid w:val="00B1341A"/>
    <w:rsid w:val="00B17D49"/>
    <w:rsid w:val="00B2123A"/>
    <w:rsid w:val="00B229DB"/>
    <w:rsid w:val="00B23488"/>
    <w:rsid w:val="00B237CC"/>
    <w:rsid w:val="00B24E65"/>
    <w:rsid w:val="00B25238"/>
    <w:rsid w:val="00B2754A"/>
    <w:rsid w:val="00B27B79"/>
    <w:rsid w:val="00B305A5"/>
    <w:rsid w:val="00B3069E"/>
    <w:rsid w:val="00B30BA8"/>
    <w:rsid w:val="00B31D04"/>
    <w:rsid w:val="00B31F8A"/>
    <w:rsid w:val="00B335C8"/>
    <w:rsid w:val="00B33865"/>
    <w:rsid w:val="00B350CD"/>
    <w:rsid w:val="00B363D8"/>
    <w:rsid w:val="00B3656E"/>
    <w:rsid w:val="00B40CCA"/>
    <w:rsid w:val="00B40DCA"/>
    <w:rsid w:val="00B419CC"/>
    <w:rsid w:val="00B425CC"/>
    <w:rsid w:val="00B46290"/>
    <w:rsid w:val="00B46A1A"/>
    <w:rsid w:val="00B46EF8"/>
    <w:rsid w:val="00B507D3"/>
    <w:rsid w:val="00B54AB5"/>
    <w:rsid w:val="00B5563A"/>
    <w:rsid w:val="00B55ADB"/>
    <w:rsid w:val="00B611CC"/>
    <w:rsid w:val="00B61872"/>
    <w:rsid w:val="00B63799"/>
    <w:rsid w:val="00B6545F"/>
    <w:rsid w:val="00B65822"/>
    <w:rsid w:val="00B664FE"/>
    <w:rsid w:val="00B677BA"/>
    <w:rsid w:val="00B70AA9"/>
    <w:rsid w:val="00B73D50"/>
    <w:rsid w:val="00B749B9"/>
    <w:rsid w:val="00B75BF8"/>
    <w:rsid w:val="00B77E45"/>
    <w:rsid w:val="00B8384C"/>
    <w:rsid w:val="00B939FE"/>
    <w:rsid w:val="00B95967"/>
    <w:rsid w:val="00B96628"/>
    <w:rsid w:val="00B97CAF"/>
    <w:rsid w:val="00BA0812"/>
    <w:rsid w:val="00BA0DE4"/>
    <w:rsid w:val="00BA0ED8"/>
    <w:rsid w:val="00BA410E"/>
    <w:rsid w:val="00BA4460"/>
    <w:rsid w:val="00BA77B8"/>
    <w:rsid w:val="00BB12B7"/>
    <w:rsid w:val="00BB31E9"/>
    <w:rsid w:val="00BB6F71"/>
    <w:rsid w:val="00BB748C"/>
    <w:rsid w:val="00BB789A"/>
    <w:rsid w:val="00BC391C"/>
    <w:rsid w:val="00BC4E40"/>
    <w:rsid w:val="00BC5D42"/>
    <w:rsid w:val="00BC6B2B"/>
    <w:rsid w:val="00BC6C5C"/>
    <w:rsid w:val="00BC749B"/>
    <w:rsid w:val="00BC7A0A"/>
    <w:rsid w:val="00BD06D1"/>
    <w:rsid w:val="00BD0E1F"/>
    <w:rsid w:val="00BD575E"/>
    <w:rsid w:val="00BD5C66"/>
    <w:rsid w:val="00BD6BC6"/>
    <w:rsid w:val="00BE2C18"/>
    <w:rsid w:val="00BE3F78"/>
    <w:rsid w:val="00BE4BE6"/>
    <w:rsid w:val="00BE5E6D"/>
    <w:rsid w:val="00BE692A"/>
    <w:rsid w:val="00BE6F24"/>
    <w:rsid w:val="00BF0A50"/>
    <w:rsid w:val="00BF26EB"/>
    <w:rsid w:val="00BF793B"/>
    <w:rsid w:val="00C024AD"/>
    <w:rsid w:val="00C038B0"/>
    <w:rsid w:val="00C03E8F"/>
    <w:rsid w:val="00C03F84"/>
    <w:rsid w:val="00C0423D"/>
    <w:rsid w:val="00C0545E"/>
    <w:rsid w:val="00C0786B"/>
    <w:rsid w:val="00C10C91"/>
    <w:rsid w:val="00C11C2A"/>
    <w:rsid w:val="00C12129"/>
    <w:rsid w:val="00C1287C"/>
    <w:rsid w:val="00C134AA"/>
    <w:rsid w:val="00C15010"/>
    <w:rsid w:val="00C1678F"/>
    <w:rsid w:val="00C21E24"/>
    <w:rsid w:val="00C23292"/>
    <w:rsid w:val="00C23A29"/>
    <w:rsid w:val="00C250DD"/>
    <w:rsid w:val="00C27EB9"/>
    <w:rsid w:val="00C30A17"/>
    <w:rsid w:val="00C324FE"/>
    <w:rsid w:val="00C32B4A"/>
    <w:rsid w:val="00C33E37"/>
    <w:rsid w:val="00C3405C"/>
    <w:rsid w:val="00C35898"/>
    <w:rsid w:val="00C35CCA"/>
    <w:rsid w:val="00C362AD"/>
    <w:rsid w:val="00C3692E"/>
    <w:rsid w:val="00C422DE"/>
    <w:rsid w:val="00C424B2"/>
    <w:rsid w:val="00C45725"/>
    <w:rsid w:val="00C45A26"/>
    <w:rsid w:val="00C469A5"/>
    <w:rsid w:val="00C55F54"/>
    <w:rsid w:val="00C62B3F"/>
    <w:rsid w:val="00C6393C"/>
    <w:rsid w:val="00C70163"/>
    <w:rsid w:val="00C70715"/>
    <w:rsid w:val="00C70EFC"/>
    <w:rsid w:val="00C726E0"/>
    <w:rsid w:val="00C72E11"/>
    <w:rsid w:val="00C7570B"/>
    <w:rsid w:val="00C757B4"/>
    <w:rsid w:val="00C75C27"/>
    <w:rsid w:val="00C82CF0"/>
    <w:rsid w:val="00C836EC"/>
    <w:rsid w:val="00C85C7A"/>
    <w:rsid w:val="00C85CCE"/>
    <w:rsid w:val="00C85FEF"/>
    <w:rsid w:val="00C91151"/>
    <w:rsid w:val="00C9360A"/>
    <w:rsid w:val="00C93E27"/>
    <w:rsid w:val="00C94A42"/>
    <w:rsid w:val="00C95C33"/>
    <w:rsid w:val="00CA20ED"/>
    <w:rsid w:val="00CA43E5"/>
    <w:rsid w:val="00CA4985"/>
    <w:rsid w:val="00CA4B80"/>
    <w:rsid w:val="00CA5AB7"/>
    <w:rsid w:val="00CA63A3"/>
    <w:rsid w:val="00CA7767"/>
    <w:rsid w:val="00CB5B25"/>
    <w:rsid w:val="00CB7642"/>
    <w:rsid w:val="00CC0BD2"/>
    <w:rsid w:val="00CC1AE3"/>
    <w:rsid w:val="00CC2A5C"/>
    <w:rsid w:val="00CC3B68"/>
    <w:rsid w:val="00CC51D2"/>
    <w:rsid w:val="00CC599E"/>
    <w:rsid w:val="00CC5D1C"/>
    <w:rsid w:val="00CC63DF"/>
    <w:rsid w:val="00CC7055"/>
    <w:rsid w:val="00CD0231"/>
    <w:rsid w:val="00CD2737"/>
    <w:rsid w:val="00CD2825"/>
    <w:rsid w:val="00CD3D89"/>
    <w:rsid w:val="00CD5EF7"/>
    <w:rsid w:val="00CD67C8"/>
    <w:rsid w:val="00CD6DD7"/>
    <w:rsid w:val="00CD778B"/>
    <w:rsid w:val="00CE179C"/>
    <w:rsid w:val="00CE2549"/>
    <w:rsid w:val="00CE458C"/>
    <w:rsid w:val="00CE6AAB"/>
    <w:rsid w:val="00CE7202"/>
    <w:rsid w:val="00CF0CE1"/>
    <w:rsid w:val="00CF0F73"/>
    <w:rsid w:val="00CF1198"/>
    <w:rsid w:val="00CF20EA"/>
    <w:rsid w:val="00CF28EA"/>
    <w:rsid w:val="00CF591E"/>
    <w:rsid w:val="00D01457"/>
    <w:rsid w:val="00D019A6"/>
    <w:rsid w:val="00D032EA"/>
    <w:rsid w:val="00D043BA"/>
    <w:rsid w:val="00D04F21"/>
    <w:rsid w:val="00D0786E"/>
    <w:rsid w:val="00D102EB"/>
    <w:rsid w:val="00D10301"/>
    <w:rsid w:val="00D1101B"/>
    <w:rsid w:val="00D153C3"/>
    <w:rsid w:val="00D23EF2"/>
    <w:rsid w:val="00D25182"/>
    <w:rsid w:val="00D25CF2"/>
    <w:rsid w:val="00D2680E"/>
    <w:rsid w:val="00D31978"/>
    <w:rsid w:val="00D3275C"/>
    <w:rsid w:val="00D33BC5"/>
    <w:rsid w:val="00D34ABD"/>
    <w:rsid w:val="00D355D7"/>
    <w:rsid w:val="00D36374"/>
    <w:rsid w:val="00D370EC"/>
    <w:rsid w:val="00D37972"/>
    <w:rsid w:val="00D40967"/>
    <w:rsid w:val="00D42D84"/>
    <w:rsid w:val="00D434EF"/>
    <w:rsid w:val="00D44A8D"/>
    <w:rsid w:val="00D44DF1"/>
    <w:rsid w:val="00D477A7"/>
    <w:rsid w:val="00D47EAB"/>
    <w:rsid w:val="00D504EE"/>
    <w:rsid w:val="00D5074D"/>
    <w:rsid w:val="00D507D3"/>
    <w:rsid w:val="00D52A05"/>
    <w:rsid w:val="00D52E8F"/>
    <w:rsid w:val="00D53EB7"/>
    <w:rsid w:val="00D67F11"/>
    <w:rsid w:val="00D70290"/>
    <w:rsid w:val="00D70E0C"/>
    <w:rsid w:val="00D7285F"/>
    <w:rsid w:val="00D73D73"/>
    <w:rsid w:val="00D74173"/>
    <w:rsid w:val="00D74986"/>
    <w:rsid w:val="00D768F0"/>
    <w:rsid w:val="00D82B76"/>
    <w:rsid w:val="00D838C4"/>
    <w:rsid w:val="00D83B06"/>
    <w:rsid w:val="00D84016"/>
    <w:rsid w:val="00D8429F"/>
    <w:rsid w:val="00D939BC"/>
    <w:rsid w:val="00D94414"/>
    <w:rsid w:val="00D948AB"/>
    <w:rsid w:val="00D9510C"/>
    <w:rsid w:val="00D96C6C"/>
    <w:rsid w:val="00DA19E4"/>
    <w:rsid w:val="00DA5E6D"/>
    <w:rsid w:val="00DA608B"/>
    <w:rsid w:val="00DA7B63"/>
    <w:rsid w:val="00DB159B"/>
    <w:rsid w:val="00DB2868"/>
    <w:rsid w:val="00DB37FA"/>
    <w:rsid w:val="00DB387D"/>
    <w:rsid w:val="00DB4BDC"/>
    <w:rsid w:val="00DB724D"/>
    <w:rsid w:val="00DC0649"/>
    <w:rsid w:val="00DC1191"/>
    <w:rsid w:val="00DC30DE"/>
    <w:rsid w:val="00DC384B"/>
    <w:rsid w:val="00DC3E9D"/>
    <w:rsid w:val="00DC4CE0"/>
    <w:rsid w:val="00DD195E"/>
    <w:rsid w:val="00DD1B46"/>
    <w:rsid w:val="00DD4BE8"/>
    <w:rsid w:val="00DE1035"/>
    <w:rsid w:val="00DE1B2E"/>
    <w:rsid w:val="00DE3A2D"/>
    <w:rsid w:val="00DE4E0C"/>
    <w:rsid w:val="00DF30B6"/>
    <w:rsid w:val="00DF39CD"/>
    <w:rsid w:val="00DF58A9"/>
    <w:rsid w:val="00DF78BB"/>
    <w:rsid w:val="00E002AF"/>
    <w:rsid w:val="00E042F4"/>
    <w:rsid w:val="00E044EF"/>
    <w:rsid w:val="00E05270"/>
    <w:rsid w:val="00E06297"/>
    <w:rsid w:val="00E07A11"/>
    <w:rsid w:val="00E12819"/>
    <w:rsid w:val="00E12BC8"/>
    <w:rsid w:val="00E13103"/>
    <w:rsid w:val="00E15BAA"/>
    <w:rsid w:val="00E16B7B"/>
    <w:rsid w:val="00E16FB4"/>
    <w:rsid w:val="00E20A62"/>
    <w:rsid w:val="00E20F72"/>
    <w:rsid w:val="00E22FAF"/>
    <w:rsid w:val="00E2539C"/>
    <w:rsid w:val="00E25861"/>
    <w:rsid w:val="00E26FB6"/>
    <w:rsid w:val="00E3096A"/>
    <w:rsid w:val="00E30FE5"/>
    <w:rsid w:val="00E34FF5"/>
    <w:rsid w:val="00E35D0E"/>
    <w:rsid w:val="00E407DA"/>
    <w:rsid w:val="00E4141B"/>
    <w:rsid w:val="00E41720"/>
    <w:rsid w:val="00E42FCE"/>
    <w:rsid w:val="00E4452D"/>
    <w:rsid w:val="00E450C0"/>
    <w:rsid w:val="00E4608F"/>
    <w:rsid w:val="00E4646D"/>
    <w:rsid w:val="00E47223"/>
    <w:rsid w:val="00E55961"/>
    <w:rsid w:val="00E63B84"/>
    <w:rsid w:val="00E6406A"/>
    <w:rsid w:val="00E64845"/>
    <w:rsid w:val="00E64C47"/>
    <w:rsid w:val="00E66123"/>
    <w:rsid w:val="00E67BEF"/>
    <w:rsid w:val="00E70A60"/>
    <w:rsid w:val="00E7123B"/>
    <w:rsid w:val="00E71C37"/>
    <w:rsid w:val="00E72148"/>
    <w:rsid w:val="00E74BFE"/>
    <w:rsid w:val="00E7558F"/>
    <w:rsid w:val="00E7624C"/>
    <w:rsid w:val="00E77F63"/>
    <w:rsid w:val="00E80BBF"/>
    <w:rsid w:val="00E8434E"/>
    <w:rsid w:val="00E870D1"/>
    <w:rsid w:val="00E95126"/>
    <w:rsid w:val="00E95F4D"/>
    <w:rsid w:val="00E96C8D"/>
    <w:rsid w:val="00EA1846"/>
    <w:rsid w:val="00EA2FF8"/>
    <w:rsid w:val="00EA3542"/>
    <w:rsid w:val="00EA38A8"/>
    <w:rsid w:val="00EA7125"/>
    <w:rsid w:val="00EA7927"/>
    <w:rsid w:val="00EB0CBF"/>
    <w:rsid w:val="00EB1300"/>
    <w:rsid w:val="00EB1DE1"/>
    <w:rsid w:val="00EB328F"/>
    <w:rsid w:val="00EB3E09"/>
    <w:rsid w:val="00EB4F79"/>
    <w:rsid w:val="00EB5CF9"/>
    <w:rsid w:val="00EB5E33"/>
    <w:rsid w:val="00EB773E"/>
    <w:rsid w:val="00EB78E3"/>
    <w:rsid w:val="00EC175A"/>
    <w:rsid w:val="00EC19FD"/>
    <w:rsid w:val="00EC1A15"/>
    <w:rsid w:val="00EC293F"/>
    <w:rsid w:val="00EC2C4A"/>
    <w:rsid w:val="00EC5E60"/>
    <w:rsid w:val="00EC6242"/>
    <w:rsid w:val="00EC6E3C"/>
    <w:rsid w:val="00ED0BBD"/>
    <w:rsid w:val="00ED458A"/>
    <w:rsid w:val="00EE0E89"/>
    <w:rsid w:val="00EE0F4A"/>
    <w:rsid w:val="00EE1E85"/>
    <w:rsid w:val="00EE4473"/>
    <w:rsid w:val="00EF26CB"/>
    <w:rsid w:val="00EF373F"/>
    <w:rsid w:val="00EF4E0E"/>
    <w:rsid w:val="00EF5C62"/>
    <w:rsid w:val="00EF6D35"/>
    <w:rsid w:val="00F00B13"/>
    <w:rsid w:val="00F01A90"/>
    <w:rsid w:val="00F03D41"/>
    <w:rsid w:val="00F04AAF"/>
    <w:rsid w:val="00F056A4"/>
    <w:rsid w:val="00F1299A"/>
    <w:rsid w:val="00F14726"/>
    <w:rsid w:val="00F14A3F"/>
    <w:rsid w:val="00F16E0C"/>
    <w:rsid w:val="00F24217"/>
    <w:rsid w:val="00F2445C"/>
    <w:rsid w:val="00F247AA"/>
    <w:rsid w:val="00F25890"/>
    <w:rsid w:val="00F31795"/>
    <w:rsid w:val="00F33FF4"/>
    <w:rsid w:val="00F35678"/>
    <w:rsid w:val="00F37B4A"/>
    <w:rsid w:val="00F458DF"/>
    <w:rsid w:val="00F45BC3"/>
    <w:rsid w:val="00F45ED9"/>
    <w:rsid w:val="00F533C7"/>
    <w:rsid w:val="00F53ACA"/>
    <w:rsid w:val="00F53F00"/>
    <w:rsid w:val="00F54297"/>
    <w:rsid w:val="00F542F4"/>
    <w:rsid w:val="00F5655F"/>
    <w:rsid w:val="00F600E0"/>
    <w:rsid w:val="00F62B3A"/>
    <w:rsid w:val="00F657F8"/>
    <w:rsid w:val="00F666DD"/>
    <w:rsid w:val="00F676CB"/>
    <w:rsid w:val="00F729CA"/>
    <w:rsid w:val="00F72E0A"/>
    <w:rsid w:val="00F73B22"/>
    <w:rsid w:val="00F75A22"/>
    <w:rsid w:val="00F763F8"/>
    <w:rsid w:val="00F76A09"/>
    <w:rsid w:val="00F775D5"/>
    <w:rsid w:val="00F77655"/>
    <w:rsid w:val="00F86B3B"/>
    <w:rsid w:val="00F87379"/>
    <w:rsid w:val="00F9106D"/>
    <w:rsid w:val="00F92116"/>
    <w:rsid w:val="00F96321"/>
    <w:rsid w:val="00F97B19"/>
    <w:rsid w:val="00FA2B48"/>
    <w:rsid w:val="00FA345D"/>
    <w:rsid w:val="00FA402B"/>
    <w:rsid w:val="00FA57C4"/>
    <w:rsid w:val="00FA7015"/>
    <w:rsid w:val="00FB1995"/>
    <w:rsid w:val="00FB206C"/>
    <w:rsid w:val="00FB3890"/>
    <w:rsid w:val="00FB5722"/>
    <w:rsid w:val="00FC0819"/>
    <w:rsid w:val="00FC0B55"/>
    <w:rsid w:val="00FC0B8F"/>
    <w:rsid w:val="00FC1A21"/>
    <w:rsid w:val="00FC2C73"/>
    <w:rsid w:val="00FC438E"/>
    <w:rsid w:val="00FC6DE1"/>
    <w:rsid w:val="00FD0B2D"/>
    <w:rsid w:val="00FD12AF"/>
    <w:rsid w:val="00FD656A"/>
    <w:rsid w:val="00FE2430"/>
    <w:rsid w:val="00FE6390"/>
    <w:rsid w:val="00FF0EA8"/>
    <w:rsid w:val="00FF4127"/>
    <w:rsid w:val="00FF69F8"/>
    <w:rsid w:val="00FF76D1"/>
    <w:rsid w:val="00FF7A03"/>
    <w:rsid w:val="4D16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style>
  <w:style w:type="paragraph" w:styleId="Heading1">
    <w:name w:val="heading 1"/>
    <w:aliases w:val="Chap Heading"/>
    <w:basedOn w:val="Normal"/>
    <w:next w:val="Normal"/>
    <w:link w:val="Heading1Char"/>
    <w:uiPriority w:val="9"/>
    <w:qFormat/>
    <w:rsid w:val="00805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 Heading"/>
    <w:basedOn w:val="Normal"/>
    <w:next w:val="Normal"/>
    <w:link w:val="Heading2Char"/>
    <w:uiPriority w:val="9"/>
    <w:unhideWhenUsed/>
    <w:qFormat/>
    <w:rsid w:val="00F600E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 Heading"/>
    <w:basedOn w:val="Normal"/>
    <w:next w:val="Normal"/>
    <w:link w:val="Heading3Char"/>
    <w:uiPriority w:val="9"/>
    <w:unhideWhenUsed/>
    <w:qFormat/>
    <w:rsid w:val="00F600E0"/>
    <w:pPr>
      <w:keepNext/>
      <w:keepLines/>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F600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E6"/>
  </w:style>
  <w:style w:type="paragraph" w:styleId="Footer">
    <w:name w:val="footer"/>
    <w:basedOn w:val="Normal"/>
    <w:link w:val="FooterChar"/>
    <w:uiPriority w:val="99"/>
    <w:unhideWhenUsed/>
    <w:rsid w:val="0080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E6"/>
  </w:style>
  <w:style w:type="paragraph" w:styleId="BalloonText">
    <w:name w:val="Balloon Text"/>
    <w:basedOn w:val="Normal"/>
    <w:link w:val="BalloonTextChar"/>
    <w:uiPriority w:val="99"/>
    <w:semiHidden/>
    <w:unhideWhenUsed/>
    <w:rsid w:val="00805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E6"/>
    <w:rPr>
      <w:rFonts w:ascii="Tahoma" w:hAnsi="Tahoma" w:cs="Tahoma"/>
      <w:sz w:val="16"/>
      <w:szCs w:val="16"/>
    </w:rPr>
  </w:style>
  <w:style w:type="character" w:customStyle="1" w:styleId="Heading1Char">
    <w:name w:val="Heading 1 Char"/>
    <w:aliases w:val="Chap Heading Char"/>
    <w:basedOn w:val="DefaultParagraphFont"/>
    <w:link w:val="Heading1"/>
    <w:uiPriority w:val="9"/>
    <w:rsid w:val="00805A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05AE6"/>
    <w:pPr>
      <w:spacing w:after="0" w:line="240" w:lineRule="auto"/>
    </w:pPr>
  </w:style>
  <w:style w:type="paragraph" w:styleId="ListParagraph">
    <w:name w:val="List Paragraph"/>
    <w:basedOn w:val="Normal"/>
    <w:uiPriority w:val="34"/>
    <w:qFormat/>
    <w:rsid w:val="008447CC"/>
    <w:pPr>
      <w:ind w:left="720"/>
      <w:contextualSpacing/>
    </w:pPr>
  </w:style>
  <w:style w:type="table" w:styleId="TableGrid">
    <w:name w:val="Table Grid"/>
    <w:basedOn w:val="TableNormal"/>
    <w:uiPriority w:val="59"/>
    <w:rsid w:val="00C7570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EE2"/>
    <w:pPr>
      <w:autoSpaceDE w:val="0"/>
      <w:autoSpaceDN w:val="0"/>
      <w:adjustRightInd w:val="0"/>
      <w:spacing w:after="0" w:line="240" w:lineRule="auto"/>
    </w:pPr>
    <w:rPr>
      <w:rFonts w:ascii="Arial" w:eastAsia="Calibri" w:hAnsi="Arial" w:cs="Arial"/>
      <w:color w:val="000000"/>
      <w:sz w:val="24"/>
      <w:szCs w:val="24"/>
    </w:rPr>
  </w:style>
  <w:style w:type="table" w:customStyle="1" w:styleId="TableGrid2">
    <w:name w:val="Table Grid2"/>
    <w:basedOn w:val="TableNormal"/>
    <w:next w:val="TableGrid"/>
    <w:uiPriority w:val="59"/>
    <w:rsid w:val="001A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ection Heading Char"/>
    <w:basedOn w:val="DefaultParagraphFont"/>
    <w:link w:val="Heading2"/>
    <w:uiPriority w:val="9"/>
    <w:rsid w:val="00F600E0"/>
    <w:rPr>
      <w:rFonts w:ascii="Times New Roman" w:eastAsiaTheme="majorEastAsia" w:hAnsi="Times New Roman" w:cstheme="majorBidi"/>
      <w:b/>
      <w:bCs/>
      <w:sz w:val="24"/>
      <w:szCs w:val="26"/>
    </w:rPr>
  </w:style>
  <w:style w:type="character" w:customStyle="1" w:styleId="Heading3Char">
    <w:name w:val="Heading 3 Char"/>
    <w:aliases w:val="Sub Heading Char"/>
    <w:basedOn w:val="DefaultParagraphFont"/>
    <w:link w:val="Heading3"/>
    <w:uiPriority w:val="9"/>
    <w:rsid w:val="00F600E0"/>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F600E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069C8"/>
    <w:rPr>
      <w:color w:val="0000FF" w:themeColor="hyperlink"/>
      <w:u w:val="single"/>
    </w:rPr>
  </w:style>
  <w:style w:type="character" w:styleId="LineNumber">
    <w:name w:val="line number"/>
    <w:basedOn w:val="DefaultParagraphFont"/>
    <w:uiPriority w:val="99"/>
    <w:semiHidden/>
    <w:unhideWhenUsed/>
    <w:rsid w:val="00CF1198"/>
  </w:style>
  <w:style w:type="character" w:customStyle="1" w:styleId="Heading5Char">
    <w:name w:val="Heading 5 Char"/>
    <w:basedOn w:val="DefaultParagraphFont"/>
    <w:link w:val="Heading5"/>
    <w:uiPriority w:val="9"/>
    <w:rsid w:val="00D7417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style>
  <w:style w:type="paragraph" w:styleId="Heading1">
    <w:name w:val="heading 1"/>
    <w:aliases w:val="Chap Heading"/>
    <w:basedOn w:val="Normal"/>
    <w:next w:val="Normal"/>
    <w:link w:val="Heading1Char"/>
    <w:uiPriority w:val="9"/>
    <w:qFormat/>
    <w:rsid w:val="00805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 Heading"/>
    <w:basedOn w:val="Normal"/>
    <w:next w:val="Normal"/>
    <w:link w:val="Heading2Char"/>
    <w:uiPriority w:val="9"/>
    <w:unhideWhenUsed/>
    <w:qFormat/>
    <w:rsid w:val="00F600E0"/>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 Heading"/>
    <w:basedOn w:val="Normal"/>
    <w:next w:val="Normal"/>
    <w:link w:val="Heading3Char"/>
    <w:uiPriority w:val="9"/>
    <w:unhideWhenUsed/>
    <w:qFormat/>
    <w:rsid w:val="00F600E0"/>
    <w:pPr>
      <w:keepNext/>
      <w:keepLines/>
      <w:spacing w:before="200" w:after="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F600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4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E6"/>
  </w:style>
  <w:style w:type="paragraph" w:styleId="Footer">
    <w:name w:val="footer"/>
    <w:basedOn w:val="Normal"/>
    <w:link w:val="FooterChar"/>
    <w:uiPriority w:val="99"/>
    <w:unhideWhenUsed/>
    <w:rsid w:val="0080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E6"/>
  </w:style>
  <w:style w:type="paragraph" w:styleId="BalloonText">
    <w:name w:val="Balloon Text"/>
    <w:basedOn w:val="Normal"/>
    <w:link w:val="BalloonTextChar"/>
    <w:uiPriority w:val="99"/>
    <w:semiHidden/>
    <w:unhideWhenUsed/>
    <w:rsid w:val="00805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E6"/>
    <w:rPr>
      <w:rFonts w:ascii="Tahoma" w:hAnsi="Tahoma" w:cs="Tahoma"/>
      <w:sz w:val="16"/>
      <w:szCs w:val="16"/>
    </w:rPr>
  </w:style>
  <w:style w:type="character" w:customStyle="1" w:styleId="Heading1Char">
    <w:name w:val="Heading 1 Char"/>
    <w:aliases w:val="Chap Heading Char"/>
    <w:basedOn w:val="DefaultParagraphFont"/>
    <w:link w:val="Heading1"/>
    <w:uiPriority w:val="9"/>
    <w:rsid w:val="00805A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05AE6"/>
    <w:pPr>
      <w:spacing w:after="0" w:line="240" w:lineRule="auto"/>
    </w:pPr>
  </w:style>
  <w:style w:type="paragraph" w:styleId="ListParagraph">
    <w:name w:val="List Paragraph"/>
    <w:basedOn w:val="Normal"/>
    <w:uiPriority w:val="34"/>
    <w:qFormat/>
    <w:rsid w:val="008447CC"/>
    <w:pPr>
      <w:ind w:left="720"/>
      <w:contextualSpacing/>
    </w:pPr>
  </w:style>
  <w:style w:type="table" w:styleId="TableGrid">
    <w:name w:val="Table Grid"/>
    <w:basedOn w:val="TableNormal"/>
    <w:uiPriority w:val="59"/>
    <w:rsid w:val="00C7570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EE2"/>
    <w:pPr>
      <w:autoSpaceDE w:val="0"/>
      <w:autoSpaceDN w:val="0"/>
      <w:adjustRightInd w:val="0"/>
      <w:spacing w:after="0" w:line="240" w:lineRule="auto"/>
    </w:pPr>
    <w:rPr>
      <w:rFonts w:ascii="Arial" w:eastAsia="Calibri" w:hAnsi="Arial" w:cs="Arial"/>
      <w:color w:val="000000"/>
      <w:sz w:val="24"/>
      <w:szCs w:val="24"/>
    </w:rPr>
  </w:style>
  <w:style w:type="table" w:customStyle="1" w:styleId="TableGrid2">
    <w:name w:val="Table Grid2"/>
    <w:basedOn w:val="TableNormal"/>
    <w:next w:val="TableGrid"/>
    <w:uiPriority w:val="59"/>
    <w:rsid w:val="001A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ection Heading Char"/>
    <w:basedOn w:val="DefaultParagraphFont"/>
    <w:link w:val="Heading2"/>
    <w:uiPriority w:val="9"/>
    <w:rsid w:val="00F600E0"/>
    <w:rPr>
      <w:rFonts w:ascii="Times New Roman" w:eastAsiaTheme="majorEastAsia" w:hAnsi="Times New Roman" w:cstheme="majorBidi"/>
      <w:b/>
      <w:bCs/>
      <w:sz w:val="24"/>
      <w:szCs w:val="26"/>
    </w:rPr>
  </w:style>
  <w:style w:type="character" w:customStyle="1" w:styleId="Heading3Char">
    <w:name w:val="Heading 3 Char"/>
    <w:aliases w:val="Sub Heading Char"/>
    <w:basedOn w:val="DefaultParagraphFont"/>
    <w:link w:val="Heading3"/>
    <w:uiPriority w:val="9"/>
    <w:rsid w:val="00F600E0"/>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F600E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069C8"/>
    <w:rPr>
      <w:color w:val="0000FF" w:themeColor="hyperlink"/>
      <w:u w:val="single"/>
    </w:rPr>
  </w:style>
  <w:style w:type="character" w:styleId="LineNumber">
    <w:name w:val="line number"/>
    <w:basedOn w:val="DefaultParagraphFont"/>
    <w:uiPriority w:val="99"/>
    <w:semiHidden/>
    <w:unhideWhenUsed/>
    <w:rsid w:val="00CF1198"/>
  </w:style>
  <w:style w:type="character" w:customStyle="1" w:styleId="Heading5Char">
    <w:name w:val="Heading 5 Char"/>
    <w:basedOn w:val="DefaultParagraphFont"/>
    <w:link w:val="Heading5"/>
    <w:uiPriority w:val="9"/>
    <w:rsid w:val="00D741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7052">
      <w:bodyDiv w:val="1"/>
      <w:marLeft w:val="0"/>
      <w:marRight w:val="0"/>
      <w:marTop w:val="0"/>
      <w:marBottom w:val="0"/>
      <w:divBdr>
        <w:top w:val="none" w:sz="0" w:space="0" w:color="auto"/>
        <w:left w:val="none" w:sz="0" w:space="0" w:color="auto"/>
        <w:bottom w:val="none" w:sz="0" w:space="0" w:color="auto"/>
        <w:right w:val="none" w:sz="0" w:space="0" w:color="auto"/>
      </w:divBdr>
    </w:div>
    <w:div w:id="517308210">
      <w:bodyDiv w:val="1"/>
      <w:marLeft w:val="0"/>
      <w:marRight w:val="0"/>
      <w:marTop w:val="0"/>
      <w:marBottom w:val="0"/>
      <w:divBdr>
        <w:top w:val="none" w:sz="0" w:space="0" w:color="auto"/>
        <w:left w:val="none" w:sz="0" w:space="0" w:color="auto"/>
        <w:bottom w:val="none" w:sz="0" w:space="0" w:color="auto"/>
        <w:right w:val="none" w:sz="0" w:space="0" w:color="auto"/>
      </w:divBdr>
    </w:div>
    <w:div w:id="845049127">
      <w:bodyDiv w:val="1"/>
      <w:marLeft w:val="0"/>
      <w:marRight w:val="0"/>
      <w:marTop w:val="0"/>
      <w:marBottom w:val="0"/>
      <w:divBdr>
        <w:top w:val="none" w:sz="0" w:space="0" w:color="auto"/>
        <w:left w:val="none" w:sz="0" w:space="0" w:color="auto"/>
        <w:bottom w:val="none" w:sz="0" w:space="0" w:color="auto"/>
        <w:right w:val="none" w:sz="0" w:space="0" w:color="auto"/>
      </w:divBdr>
    </w:div>
    <w:div w:id="1156188150">
      <w:bodyDiv w:val="1"/>
      <w:marLeft w:val="0"/>
      <w:marRight w:val="0"/>
      <w:marTop w:val="0"/>
      <w:marBottom w:val="0"/>
      <w:divBdr>
        <w:top w:val="none" w:sz="0" w:space="0" w:color="auto"/>
        <w:left w:val="none" w:sz="0" w:space="0" w:color="auto"/>
        <w:bottom w:val="none" w:sz="0" w:space="0" w:color="auto"/>
        <w:right w:val="none" w:sz="0" w:space="0" w:color="auto"/>
      </w:divBdr>
    </w:div>
    <w:div w:id="1158961547">
      <w:bodyDiv w:val="1"/>
      <w:marLeft w:val="0"/>
      <w:marRight w:val="0"/>
      <w:marTop w:val="0"/>
      <w:marBottom w:val="0"/>
      <w:divBdr>
        <w:top w:val="none" w:sz="0" w:space="0" w:color="auto"/>
        <w:left w:val="none" w:sz="0" w:space="0" w:color="auto"/>
        <w:bottom w:val="none" w:sz="0" w:space="0" w:color="auto"/>
        <w:right w:val="none" w:sz="0" w:space="0" w:color="auto"/>
      </w:divBdr>
    </w:div>
    <w:div w:id="1410422182">
      <w:bodyDiv w:val="1"/>
      <w:marLeft w:val="0"/>
      <w:marRight w:val="0"/>
      <w:marTop w:val="0"/>
      <w:marBottom w:val="0"/>
      <w:divBdr>
        <w:top w:val="none" w:sz="0" w:space="0" w:color="auto"/>
        <w:left w:val="none" w:sz="0" w:space="0" w:color="auto"/>
        <w:bottom w:val="none" w:sz="0" w:space="0" w:color="auto"/>
        <w:right w:val="none" w:sz="0" w:space="0" w:color="auto"/>
      </w:divBdr>
    </w:div>
    <w:div w:id="1556971436">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dp.gccstat.org/en/DataAnalysis?BLusCmXUaW2gz3lqQNA" TargetMode="External"/><Relationship Id="rId21" Type="http://schemas.openxmlformats.org/officeDocument/2006/relationships/chart" Target="charts/chart9.xml"/><Relationship Id="rId34" Type="http://schemas.openxmlformats.org/officeDocument/2006/relationships/hyperlink" Target="https://www.census.gov/construction/c30/c30index.html" TargetMode="External"/><Relationship Id="rId42" Type="http://schemas.openxmlformats.org/officeDocument/2006/relationships/hyperlink" Target="http://www.hse.gov.uk/statistics/pdf/fatalinjuries.pdf" TargetMode="External"/><Relationship Id="rId47" Type="http://schemas.openxmlformats.org/officeDocument/2006/relationships/hyperlink" Target="https://doi.org/10.1016/S0001-4575(98)00033-5" TargetMode="External"/><Relationship Id="rId50" Type="http://schemas.openxmlformats.org/officeDocument/2006/relationships/hyperlink" Target="https://doi.org/10.3390/su11102863" TargetMode="External"/><Relationship Id="rId55" Type="http://schemas.openxmlformats.org/officeDocument/2006/relationships/hyperlink" Target="https://www.iosh.co.uk/Key-IOSH-events/Middle-East-Annual-Conference-and-AGM-2014/Middle-East-Conference-presentations.aspx" TargetMode="External"/><Relationship Id="rId63" Type="http://schemas.openxmlformats.org/officeDocument/2006/relationships/hyperlink" Target="https://safetymedia.co.uk/me/middle-east-safety-statistics/" TargetMode="External"/><Relationship Id="rId68" Type="http://schemas.openxmlformats.org/officeDocument/2006/relationships/hyperlink" Target="https://doi.org/10.1680/jmuen.16.00032" TargetMode="External"/><Relationship Id="rId76" Type="http://schemas.openxmlformats.org/officeDocument/2006/relationships/hyperlink" Target="https://doi.org/10.1680/jmapl.18.00053" TargetMode="External"/><Relationship Id="rId7" Type="http://schemas.openxmlformats.org/officeDocument/2006/relationships/footnotes" Target="footnotes.xml"/><Relationship Id="rId71" Type="http://schemas.openxmlformats.org/officeDocument/2006/relationships/hyperlink" Target="https://doi.org/10.1680/jmuen.16.00020" TargetMode="Externa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www.abs.gov.au/Population" TargetMode="External"/><Relationship Id="rId11" Type="http://schemas.openxmlformats.org/officeDocument/2006/relationships/hyperlink" Target="mailto:C.Egbu@uel.ac.uk" TargetMode="External"/><Relationship Id="rId24" Type="http://schemas.openxmlformats.org/officeDocument/2006/relationships/chart" Target="charts/chart12.xml"/><Relationship Id="rId32" Type="http://schemas.openxmlformats.org/officeDocument/2006/relationships/hyperlink" Target="https://www.bls.gov/iif/oshcfoi1.htm" TargetMode="External"/><Relationship Id="rId37" Type="http://schemas.openxmlformats.org/officeDocument/2006/relationships/hyperlink" Target="https://doi.org/10.1016/j.jclepro.2019.02.056" TargetMode="External"/><Relationship Id="rId40" Type="http://schemas.openxmlformats.org/officeDocument/2006/relationships/hyperlink" Target="https://www.gosi.gov.sa/GOSIOnline/Open_Data_Library&amp;locale=en_US" TargetMode="External"/><Relationship Id="rId45" Type="http://schemas.openxmlformats.org/officeDocument/2006/relationships/hyperlink" Target="https://www.ilo.org/global/topics/safety-and-health-at-work/lang--en/index.htm" TargetMode="External"/><Relationship Id="rId53" Type="http://schemas.openxmlformats.org/officeDocument/2006/relationships/hyperlink" Target="https://qweather.gov.qa/ClimateInfo.aspx" TargetMode="External"/><Relationship Id="rId58" Type="http://schemas.openxmlformats.org/officeDocument/2006/relationships/hyperlink" Target="https://www.osha.gov/oshstats/commonstats.html" TargetMode="External"/><Relationship Id="rId66" Type="http://schemas.openxmlformats.org/officeDocument/2006/relationships/hyperlink" Target="https://www.statista.com/statistics/268750/global-gross-domestic-product-gdp/" TargetMode="External"/><Relationship Id="rId74" Type="http://schemas.openxmlformats.org/officeDocument/2006/relationships/hyperlink" Target="https://dx.doi.org/10.1504/MEJM.2018.091132" TargetMode="External"/><Relationship Id="rId79" Type="http://schemas.openxmlformats.org/officeDocument/2006/relationships/hyperlink" Target="http://www.who.int/news-room/detail/12-07-2017-2-1-billion-people-lack-safe-drinking-water-at-home-more-than-twice-as-many-lack-safe-sanitation" TargetMode="External"/><Relationship Id="rId5" Type="http://schemas.openxmlformats.org/officeDocument/2006/relationships/settings" Target="settings.xml"/><Relationship Id="rId61" Type="http://schemas.openxmlformats.org/officeDocument/2006/relationships/hyperlink" Target="https://doi.org/10.1016/j.jsr.2019.02.004" TargetMode="External"/><Relationship Id="rId82" Type="http://schemas.openxmlformats.org/officeDocument/2006/relationships/fontTable" Target="fontTable.xml"/><Relationship Id="rId10" Type="http://schemas.openxmlformats.org/officeDocument/2006/relationships/hyperlink" Target="https://orcid.org/0000-0002-1197-8181" TargetMode="External"/><Relationship Id="rId19" Type="http://schemas.openxmlformats.org/officeDocument/2006/relationships/chart" Target="charts/chart7.xml"/><Relationship Id="rId31" Type="http://schemas.openxmlformats.org/officeDocument/2006/relationships/hyperlink" Target="http://www.tecniberia.es/documentos/GlobalConstruction2020andGlobalOpportunities.pdf" TargetMode="External"/><Relationship Id="rId44" Type="http://schemas.openxmlformats.org/officeDocument/2006/relationships/hyperlink" Target="http://www.ilo.org/safework/areasofwork/hazardous-work/WCMS_356576/lang&#8211;en/index.htm" TargetMode="External"/><Relationship Id="rId52" Type="http://schemas.openxmlformats.org/officeDocument/2006/relationships/hyperlink" Target="http://www.muscatdaily.com/Archive/Oman/2016-was-hottest-year-on-record-WMO-4xdr" TargetMode="External"/><Relationship Id="rId60" Type="http://schemas.openxmlformats.org/officeDocument/2006/relationships/hyperlink" Target="https://www.ncsi.gov.om/Pages/NCSI.aspx" TargetMode="External"/><Relationship Id="rId65" Type="http://schemas.openxmlformats.org/officeDocument/2006/relationships/hyperlink" Target="https://www.statista.com/topics/3797/construction-industry-in-the-uk/" TargetMode="External"/><Relationship Id="rId73" Type="http://schemas.openxmlformats.org/officeDocument/2006/relationships/hyperlink" Target="https://doi.org/10.1680/jmuen.16.00004" TargetMode="External"/><Relationship Id="rId78" Type="http://schemas.openxmlformats.org/officeDocument/2006/relationships/hyperlink" Target="https://doi.org/10.1680/jmapl.18.00007" TargetMode="External"/><Relationship Id="rId81" Type="http://schemas.openxmlformats.org/officeDocument/2006/relationships/hyperlink" Target="https://doi.org/10.3390/ijerph16020221" TargetMode="External"/><Relationship Id="rId4" Type="http://schemas.microsoft.com/office/2007/relationships/stylesWithEffects" Target="stylesWithEffects.xml"/><Relationship Id="rId9" Type="http://schemas.openxmlformats.org/officeDocument/2006/relationships/hyperlink" Target="mailto:tariqumar1984@gmail.com"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doi.org/10.1186/s12889-015-1630-8" TargetMode="External"/><Relationship Id="rId35" Type="http://schemas.openxmlformats.org/officeDocument/2006/relationships/hyperlink" Target="https://www2.deloitte.com/content/dam/Deloitte/xe/Documents/realestate/construction/gccpowersofconstruction/me_construction_gccpoc2017.pdf" TargetMode="External"/><Relationship Id="rId43" Type="http://schemas.openxmlformats.org/officeDocument/2006/relationships/hyperlink" Target="https://www.hrw.org/news/2017/09/27/qatar-take-urgent-action-protect-construction-workers" TargetMode="External"/><Relationship Id="rId48" Type="http://schemas.openxmlformats.org/officeDocument/2006/relationships/hyperlink" Target="https://doi.org/10.1007/s12205-019-0283-z" TargetMode="External"/><Relationship Id="rId56" Type="http://schemas.openxmlformats.org/officeDocument/2006/relationships/hyperlink" Target="https://doi.org/10.1371/journal.pmed.1000097" TargetMode="External"/><Relationship Id="rId64" Type="http://schemas.openxmlformats.org/officeDocument/2006/relationships/hyperlink" Target="http://www.stat.go.jp/english/data/handbook/pdf/2017all.pdf" TargetMode="External"/><Relationship Id="rId69" Type="http://schemas.openxmlformats.org/officeDocument/2006/relationships/hyperlink" Target="https://doi.org/10.1680/jmuen.18.00004" TargetMode="External"/><Relationship Id="rId77" Type="http://schemas.openxmlformats.org/officeDocument/2006/relationships/hyperlink" Target="https://doi.org/10.1680/jmuen.18.00019" TargetMode="External"/><Relationship Id="rId8" Type="http://schemas.openxmlformats.org/officeDocument/2006/relationships/endnotes" Target="endnotes.xml"/><Relationship Id="rId51" Type="http://schemas.openxmlformats.org/officeDocument/2006/relationships/hyperlink" Target="http://blmi.lmra.bh/2010/12/mi_data.xml" TargetMode="External"/><Relationship Id="rId72" Type="http://schemas.openxmlformats.org/officeDocument/2006/relationships/hyperlink" Target="https://doi.org/10.1680/jener.17.00001" TargetMode="External"/><Relationship Id="rId80" Type="http://schemas.openxmlformats.org/officeDocument/2006/relationships/hyperlink" Target="https://www.wri.org/news/2017/07/release-12-billion-people-living-cities-lack-access-affordable-and-secure-housing" TargetMode="External"/><Relationship Id="rId3" Type="http://schemas.openxmlformats.org/officeDocument/2006/relationships/styles" Target="styles.xml"/><Relationship Id="rId12" Type="http://schemas.openxmlformats.org/officeDocument/2006/relationships/hyperlink" Target="mailto:m.shaik@asu.edu.om"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www.hse.gov.uk/pubns/books/l153.htm" TargetMode="External"/><Relationship Id="rId38" Type="http://schemas.openxmlformats.org/officeDocument/2006/relationships/hyperlink" Target="http://ec.europa.eu/DocsRoom/documents/15866/attachments/1/translations" TargetMode="External"/><Relationship Id="rId46" Type="http://schemas.openxmlformats.org/officeDocument/2006/relationships/hyperlink" Target="https://www.ituc-csi.org/IMG/pdf/the_case_against_qatar_en_web170314.pdf" TargetMode="External"/><Relationship Id="rId59" Type="http://schemas.openxmlformats.org/officeDocument/2006/relationships/hyperlink" Target="https://www.aph.gov.au/About_Parliament/Parliamentary_Departments/Parliamentary_Library/pubs/rp/rp1718/Quick_Guides/EmployIndustry" TargetMode="External"/><Relationship Id="rId67" Type="http://schemas.openxmlformats.org/officeDocument/2006/relationships/hyperlink" Target="http://timesofoman.com/article/65283/Oman/Environment/Oman-weather:-Sultanatelikely-to-record-hottest-day-in-the-region" TargetMode="External"/><Relationship Id="rId20" Type="http://schemas.openxmlformats.org/officeDocument/2006/relationships/chart" Target="charts/chart8.xml"/><Relationship Id="rId41" Type="http://schemas.openxmlformats.org/officeDocument/2006/relationships/hyperlink" Target="http://gulfmigration.org/bahrain-population-nationality-bahraini-non-bahraini-sex-age-groups-2017/" TargetMode="External"/><Relationship Id="rId54" Type="http://schemas.openxmlformats.org/officeDocument/2006/relationships/hyperlink" Target="http://www.mohre.gov.ae/en/data-library/statistical-report.aspx" TargetMode="External"/><Relationship Id="rId62" Type="http://schemas.openxmlformats.org/officeDocument/2006/relationships/hyperlink" Target="https://www.safeworkaustralia.gov.au/statistics-and-research/statistics/fatalities/fatality-statistics" TargetMode="External"/><Relationship Id="rId70" Type="http://schemas.openxmlformats.org/officeDocument/2006/relationships/hyperlink" Target="https://doi.org/10.1680/jener.16.00011" TargetMode="External"/><Relationship Id="rId75" Type="http://schemas.openxmlformats.org/officeDocument/2006/relationships/hyperlink" Target="https://doi.org/10.1007/s40996-019-00268-w"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www.arabianbusiness.com/industries/construction/378423-wkdgcc-construction-market-worth-24trn-has-22000-active-projects" TargetMode="External"/><Relationship Id="rId36" Type="http://schemas.openxmlformats.org/officeDocument/2006/relationships/hyperlink" Target="http://www.met.gov.om/opencms/export/sites/default/dgman/en/weather-chart/historical-data/" TargetMode="External"/><Relationship Id="rId49" Type="http://schemas.openxmlformats.org/officeDocument/2006/relationships/hyperlink" Target="https://doi.org/10.1007/978-3-642-35046-7" TargetMode="External"/><Relationship Id="rId57" Type="http://schemas.openxmlformats.org/officeDocument/2006/relationships/hyperlink" Target="https://www.ons.gov.uk/businessindustryandtrade/constructionindustry/articles/constructionstatistics/number182017edit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Sheet1!$F$9</c:f>
              <c:strCache>
                <c:ptCount val="1"/>
                <c:pt idx="0">
                  <c:v>Spending (US $ (Trillion)</c:v>
                </c:pt>
              </c:strCache>
            </c:strRef>
          </c:tx>
          <c:invertIfNegative val="0"/>
          <c:trendline>
            <c:spPr>
              <a:ln w="12700">
                <a:solidFill>
                  <a:srgbClr val="FF0000"/>
                </a:solidFill>
              </a:ln>
            </c:spPr>
            <c:trendlineType val="linear"/>
            <c:dispRSqr val="0"/>
            <c:dispEq val="0"/>
          </c:trendline>
          <c:cat>
            <c:numRef>
              <c:f>Sheet1!$E$10:$E$21</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Sheet1!$F$10:$F$21</c:f>
              <c:numCache>
                <c:formatCode>General</c:formatCode>
                <c:ptCount val="12"/>
                <c:pt idx="0">
                  <c:v>9.5</c:v>
                </c:pt>
                <c:pt idx="1">
                  <c:v>10</c:v>
                </c:pt>
                <c:pt idx="2">
                  <c:v>10.5</c:v>
                </c:pt>
                <c:pt idx="3">
                  <c:v>10.9</c:v>
                </c:pt>
                <c:pt idx="4">
                  <c:v>11.4</c:v>
                </c:pt>
                <c:pt idx="5">
                  <c:v>11.4</c:v>
                </c:pt>
                <c:pt idx="6">
                  <c:v>11.9</c:v>
                </c:pt>
                <c:pt idx="7">
                  <c:v>12.4</c:v>
                </c:pt>
                <c:pt idx="8">
                  <c:v>12.9</c:v>
                </c:pt>
                <c:pt idx="9">
                  <c:v>13.4</c:v>
                </c:pt>
                <c:pt idx="10">
                  <c:v>13.9</c:v>
                </c:pt>
                <c:pt idx="11">
                  <c:v>14</c:v>
                </c:pt>
              </c:numCache>
            </c:numRef>
          </c:val>
          <c:extLst xmlns:c16r2="http://schemas.microsoft.com/office/drawing/2015/06/chart">
            <c:ext xmlns:c16="http://schemas.microsoft.com/office/drawing/2014/chart" uri="{C3380CC4-5D6E-409C-BE32-E72D297353CC}">
              <c16:uniqueId val="{00000001-D4AB-4FB0-89E2-3E6F5B1939D5}"/>
            </c:ext>
          </c:extLst>
        </c:ser>
        <c:dLbls>
          <c:showLegendKey val="0"/>
          <c:showVal val="0"/>
          <c:showCatName val="0"/>
          <c:showSerName val="0"/>
          <c:showPercent val="0"/>
          <c:showBubbleSize val="0"/>
        </c:dLbls>
        <c:gapWidth val="150"/>
        <c:axId val="24935040"/>
        <c:axId val="24953216"/>
      </c:barChart>
      <c:catAx>
        <c:axId val="24935040"/>
        <c:scaling>
          <c:orientation val="minMax"/>
        </c:scaling>
        <c:delete val="0"/>
        <c:axPos val="b"/>
        <c:numFmt formatCode="General" sourceLinked="1"/>
        <c:majorTickMark val="none"/>
        <c:minorTickMark val="none"/>
        <c:tickLblPos val="nextTo"/>
        <c:crossAx val="24953216"/>
        <c:crosses val="autoZero"/>
        <c:auto val="1"/>
        <c:lblAlgn val="ctr"/>
        <c:lblOffset val="100"/>
        <c:noMultiLvlLbl val="0"/>
      </c:catAx>
      <c:valAx>
        <c:axId val="24953216"/>
        <c:scaling>
          <c:orientation val="minMax"/>
        </c:scaling>
        <c:delete val="0"/>
        <c:axPos val="l"/>
        <c:majorGridlines/>
        <c:title>
          <c:tx>
            <c:rich>
              <a:bodyPr/>
              <a:lstStyle/>
              <a:p>
                <a:pPr>
                  <a:defRPr/>
                </a:pPr>
                <a:r>
                  <a:rPr lang="en-US"/>
                  <a:t>US $ (Trillion)</a:t>
                </a:r>
              </a:p>
            </c:rich>
          </c:tx>
          <c:layout>
            <c:manualLayout>
              <c:xMode val="edge"/>
              <c:yMode val="edge"/>
              <c:x val="0.17170114153635385"/>
              <c:y val="0.39315407165402383"/>
            </c:manualLayout>
          </c:layout>
          <c:overlay val="0"/>
        </c:title>
        <c:numFmt formatCode="General" sourceLinked="1"/>
        <c:majorTickMark val="none"/>
        <c:minorTickMark val="none"/>
        <c:tickLblPos val="nextTo"/>
        <c:crossAx val="2493504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'Fatalities in UK'!$F$7</c:f>
              <c:strCache>
                <c:ptCount val="1"/>
                <c:pt idx="0">
                  <c:v>Fatal accidents</c:v>
                </c:pt>
              </c:strCache>
            </c:strRef>
          </c:tx>
          <c:explosion val="25"/>
          <c:dLbls>
            <c:dLbl>
              <c:idx val="0"/>
              <c:layout>
                <c:manualLayout>
                  <c:x val="-1.4159448818897637E-2"/>
                  <c:y val="-1.420312044327790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ED-4F64-88BF-7AF85A86161E}"/>
                </c:ext>
              </c:extLst>
            </c:dLbl>
            <c:dLbl>
              <c:idx val="1"/>
              <c:layout>
                <c:manualLayout>
                  <c:x val="-6.3462379702537179E-3"/>
                  <c:y val="3.094670457859434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ED-4F64-88BF-7AF85A86161E}"/>
                </c:ext>
              </c:extLst>
            </c:dLbl>
            <c:dLbl>
              <c:idx val="2"/>
              <c:layout>
                <c:manualLayout>
                  <c:x val="-6.0508311461067367E-2"/>
                  <c:y val="-2.007509477981919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4ED-4F64-88BF-7AF85A86161E}"/>
                </c:ext>
              </c:extLst>
            </c:dLbl>
            <c:dLbl>
              <c:idx val="3"/>
              <c:layout>
                <c:manualLayout>
                  <c:x val="-8.850393700787414E-3"/>
                  <c:y val="-1.304790026246719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4ED-4F64-88BF-7AF85A86161E}"/>
                </c:ext>
              </c:extLst>
            </c:dLbl>
            <c:dLbl>
              <c:idx val="4"/>
              <c:layout>
                <c:manualLayout>
                  <c:x val="2.26268591426073E-3"/>
                  <c:y val="-2.164224263633712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4ED-4F64-88BF-7AF85A86161E}"/>
                </c:ext>
              </c:extLst>
            </c:dLbl>
            <c:dLbl>
              <c:idx val="5"/>
              <c:layout>
                <c:manualLayout>
                  <c:x val="-5.1706036745408101E-4"/>
                  <c:y val="8.4182706328375413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4ED-4F64-88BF-7AF85A86161E}"/>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'Fatalities in UK'!$E$8:$E$13</c:f>
              <c:strCache>
                <c:ptCount val="6"/>
                <c:pt idx="0">
                  <c:v>Cosntruction</c:v>
                </c:pt>
                <c:pt idx="1">
                  <c:v>Agriculture</c:v>
                </c:pt>
                <c:pt idx="2">
                  <c:v>Manufacturing</c:v>
                </c:pt>
                <c:pt idx="3">
                  <c:v>Transport and Storage</c:v>
                </c:pt>
                <c:pt idx="4">
                  <c:v>Waste</c:v>
                </c:pt>
                <c:pt idx="5">
                  <c:v>Other</c:v>
                </c:pt>
              </c:strCache>
            </c:strRef>
          </c:cat>
          <c:val>
            <c:numRef>
              <c:f>'Fatalities in UK'!$F$8:$F$13</c:f>
              <c:numCache>
                <c:formatCode>General</c:formatCode>
                <c:ptCount val="6"/>
                <c:pt idx="0">
                  <c:v>38</c:v>
                </c:pt>
                <c:pt idx="1">
                  <c:v>29</c:v>
                </c:pt>
                <c:pt idx="2">
                  <c:v>15</c:v>
                </c:pt>
                <c:pt idx="3">
                  <c:v>15</c:v>
                </c:pt>
                <c:pt idx="4">
                  <c:v>12</c:v>
                </c:pt>
                <c:pt idx="5">
                  <c:v>35</c:v>
                </c:pt>
              </c:numCache>
            </c:numRef>
          </c:val>
          <c:extLst xmlns:c16r2="http://schemas.microsoft.com/office/drawing/2015/06/chart">
            <c:ext xmlns:c16="http://schemas.microsoft.com/office/drawing/2014/chart" uri="{C3380CC4-5D6E-409C-BE32-E72D297353CC}">
              <c16:uniqueId val="{00000006-24ED-4F64-88BF-7AF85A86161E}"/>
            </c:ext>
          </c:extLst>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658053192267381E-2"/>
          <c:y val="4.2970558271059923E-2"/>
          <c:w val="0.77169173564842852"/>
          <c:h val="0.84299644872581669"/>
        </c:manualLayout>
      </c:layout>
      <c:lineChart>
        <c:grouping val="stacked"/>
        <c:varyColors val="0"/>
        <c:ser>
          <c:idx val="0"/>
          <c:order val="0"/>
          <c:tx>
            <c:strRef>
              <c:f>'Fatalities in AUS'!$E$7</c:f>
              <c:strCache>
                <c:ptCount val="1"/>
                <c:pt idx="0">
                  <c:v>Number of Fatalities </c:v>
                </c:pt>
              </c:strCache>
            </c:strRef>
          </c:tx>
          <c:cat>
            <c:numRef>
              <c:f>'Fatalities in AUS'!$D$8:$D$21</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'Fatalities in AUS'!$E$8:$E$21</c:f>
              <c:numCache>
                <c:formatCode>General</c:formatCode>
                <c:ptCount val="14"/>
                <c:pt idx="0">
                  <c:v>259</c:v>
                </c:pt>
                <c:pt idx="1">
                  <c:v>284</c:v>
                </c:pt>
                <c:pt idx="2">
                  <c:v>258</c:v>
                </c:pt>
                <c:pt idx="3">
                  <c:v>284</c:v>
                </c:pt>
                <c:pt idx="4">
                  <c:v>310</c:v>
                </c:pt>
                <c:pt idx="5">
                  <c:v>283</c:v>
                </c:pt>
                <c:pt idx="6">
                  <c:v>258</c:v>
                </c:pt>
                <c:pt idx="7">
                  <c:v>230</c:v>
                </c:pt>
                <c:pt idx="8">
                  <c:v>225</c:v>
                </c:pt>
                <c:pt idx="9">
                  <c:v>231</c:v>
                </c:pt>
                <c:pt idx="10">
                  <c:v>202</c:v>
                </c:pt>
                <c:pt idx="11">
                  <c:v>197</c:v>
                </c:pt>
                <c:pt idx="12">
                  <c:v>211</c:v>
                </c:pt>
                <c:pt idx="13">
                  <c:v>182</c:v>
                </c:pt>
              </c:numCache>
            </c:numRef>
          </c:val>
          <c:smooth val="0"/>
          <c:extLst xmlns:c16r2="http://schemas.microsoft.com/office/drawing/2015/06/chart">
            <c:ext xmlns:c16="http://schemas.microsoft.com/office/drawing/2014/chart" uri="{C3380CC4-5D6E-409C-BE32-E72D297353CC}">
              <c16:uniqueId val="{00000000-0C35-4B80-993E-460D3BAA5124}"/>
            </c:ext>
          </c:extLst>
        </c:ser>
        <c:dLbls>
          <c:showLegendKey val="0"/>
          <c:showVal val="0"/>
          <c:showCatName val="0"/>
          <c:showSerName val="0"/>
          <c:showPercent val="0"/>
          <c:showBubbleSize val="0"/>
        </c:dLbls>
        <c:marker val="1"/>
        <c:smooth val="0"/>
        <c:axId val="220275840"/>
        <c:axId val="220277376"/>
      </c:lineChart>
      <c:lineChart>
        <c:grouping val="stacked"/>
        <c:varyColors val="0"/>
        <c:ser>
          <c:idx val="1"/>
          <c:order val="1"/>
          <c:tx>
            <c:strRef>
              <c:f>'Fatalities in AUS'!$F$7</c:f>
              <c:strCache>
                <c:ptCount val="1"/>
                <c:pt idx="0">
                  <c:v>Number of Deaths (Per 100,000)</c:v>
                </c:pt>
              </c:strCache>
            </c:strRef>
          </c:tx>
          <c:cat>
            <c:numRef>
              <c:f>'Fatalities in AUS'!$D$8:$D$21</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'Fatalities in AUS'!$F$8:$F$21</c:f>
              <c:numCache>
                <c:formatCode>General</c:formatCode>
                <c:ptCount val="14"/>
                <c:pt idx="0">
                  <c:v>2.7</c:v>
                </c:pt>
                <c:pt idx="1">
                  <c:v>3</c:v>
                </c:pt>
                <c:pt idx="2">
                  <c:v>2.6</c:v>
                </c:pt>
                <c:pt idx="3">
                  <c:v>2.8</c:v>
                </c:pt>
                <c:pt idx="4">
                  <c:v>3</c:v>
                </c:pt>
                <c:pt idx="5">
                  <c:v>2.6</c:v>
                </c:pt>
                <c:pt idx="6">
                  <c:v>2.4</c:v>
                </c:pt>
                <c:pt idx="7">
                  <c:v>2.1</c:v>
                </c:pt>
                <c:pt idx="8">
                  <c:v>2</c:v>
                </c:pt>
                <c:pt idx="9">
                  <c:v>2</c:v>
                </c:pt>
                <c:pt idx="10">
                  <c:v>1.8</c:v>
                </c:pt>
                <c:pt idx="11">
                  <c:v>1.7</c:v>
                </c:pt>
                <c:pt idx="12">
                  <c:v>1.8</c:v>
                </c:pt>
                <c:pt idx="13">
                  <c:v>1.5</c:v>
                </c:pt>
              </c:numCache>
            </c:numRef>
          </c:val>
          <c:smooth val="0"/>
          <c:extLst xmlns:c16r2="http://schemas.microsoft.com/office/drawing/2015/06/chart">
            <c:ext xmlns:c16="http://schemas.microsoft.com/office/drawing/2014/chart" uri="{C3380CC4-5D6E-409C-BE32-E72D297353CC}">
              <c16:uniqueId val="{00000001-0C35-4B80-993E-460D3BAA5124}"/>
            </c:ext>
          </c:extLst>
        </c:ser>
        <c:dLbls>
          <c:showLegendKey val="0"/>
          <c:showVal val="0"/>
          <c:showCatName val="0"/>
          <c:showSerName val="0"/>
          <c:showPercent val="0"/>
          <c:showBubbleSize val="0"/>
        </c:dLbls>
        <c:marker val="1"/>
        <c:smooth val="0"/>
        <c:axId val="220281472"/>
        <c:axId val="220279552"/>
      </c:lineChart>
      <c:catAx>
        <c:axId val="220275840"/>
        <c:scaling>
          <c:orientation val="minMax"/>
        </c:scaling>
        <c:delete val="0"/>
        <c:axPos val="b"/>
        <c:numFmt formatCode="General" sourceLinked="1"/>
        <c:majorTickMark val="out"/>
        <c:minorTickMark val="none"/>
        <c:tickLblPos val="nextTo"/>
        <c:crossAx val="220277376"/>
        <c:crosses val="autoZero"/>
        <c:auto val="1"/>
        <c:lblAlgn val="ctr"/>
        <c:lblOffset val="100"/>
        <c:noMultiLvlLbl val="0"/>
      </c:catAx>
      <c:valAx>
        <c:axId val="220277376"/>
        <c:scaling>
          <c:orientation val="minMax"/>
        </c:scaling>
        <c:delete val="0"/>
        <c:axPos val="l"/>
        <c:title>
          <c:tx>
            <c:strRef>
              <c:f>'Fatalities in AUS'!$E$7</c:f>
              <c:strCache>
                <c:ptCount val="1"/>
                <c:pt idx="0">
                  <c:v>Number of Fatalities </c:v>
                </c:pt>
              </c:strCache>
            </c:strRef>
          </c:tx>
          <c:overlay val="0"/>
          <c:txPr>
            <a:bodyPr rot="-5400000" vert="horz"/>
            <a:lstStyle/>
            <a:p>
              <a:pPr>
                <a:defRPr/>
              </a:pPr>
              <a:endParaRPr lang="en-US"/>
            </a:p>
          </c:txPr>
        </c:title>
        <c:numFmt formatCode="General" sourceLinked="1"/>
        <c:majorTickMark val="out"/>
        <c:minorTickMark val="none"/>
        <c:tickLblPos val="nextTo"/>
        <c:crossAx val="220275840"/>
        <c:crosses val="autoZero"/>
        <c:crossBetween val="between"/>
      </c:valAx>
      <c:valAx>
        <c:axId val="220279552"/>
        <c:scaling>
          <c:orientation val="minMax"/>
        </c:scaling>
        <c:delete val="0"/>
        <c:axPos val="r"/>
        <c:title>
          <c:tx>
            <c:strRef>
              <c:f>'Fatalities in AUS'!$F$7</c:f>
              <c:strCache>
                <c:ptCount val="1"/>
                <c:pt idx="0">
                  <c:v>Number of Deaths (Per 100,000)</c:v>
                </c:pt>
              </c:strCache>
            </c:strRef>
          </c:tx>
          <c:overlay val="0"/>
          <c:txPr>
            <a:bodyPr rot="-5400000" vert="horz"/>
            <a:lstStyle/>
            <a:p>
              <a:pPr>
                <a:defRPr/>
              </a:pPr>
              <a:endParaRPr lang="en-US"/>
            </a:p>
          </c:txPr>
        </c:title>
        <c:numFmt formatCode="General" sourceLinked="1"/>
        <c:majorTickMark val="out"/>
        <c:minorTickMark val="none"/>
        <c:tickLblPos val="nextTo"/>
        <c:crossAx val="220281472"/>
        <c:crosses val="max"/>
        <c:crossBetween val="between"/>
      </c:valAx>
      <c:catAx>
        <c:axId val="220281472"/>
        <c:scaling>
          <c:orientation val="minMax"/>
        </c:scaling>
        <c:delete val="1"/>
        <c:axPos val="b"/>
        <c:numFmt formatCode="General" sourceLinked="1"/>
        <c:majorTickMark val="out"/>
        <c:minorTickMark val="none"/>
        <c:tickLblPos val="nextTo"/>
        <c:crossAx val="220279552"/>
        <c:crosses val="autoZero"/>
        <c:auto val="1"/>
        <c:lblAlgn val="ctr"/>
        <c:lblOffset val="100"/>
        <c:noMultiLvlLbl val="0"/>
      </c:catAx>
    </c:plotArea>
    <c:legend>
      <c:legendPos val="r"/>
      <c:layout>
        <c:manualLayout>
          <c:xMode val="edge"/>
          <c:yMode val="edge"/>
          <c:x val="0.17066981952333363"/>
          <c:y val="0.48055029404436134"/>
          <c:w val="0.40783077596069722"/>
          <c:h val="0.24373320796331033"/>
        </c:manualLayout>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dLbl>
              <c:idx val="0"/>
              <c:layout>
                <c:manualLayout>
                  <c:x val="-2.683551740148005E-2"/>
                  <c:y val="-2.36653437188276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7C5-4BD2-BCAA-CE706EECE1D2}"/>
                </c:ext>
              </c:extLst>
            </c:dLbl>
            <c:dLbl>
              <c:idx val="1"/>
              <c:layout>
                <c:manualLayout>
                  <c:x val="-2.7491590626983902E-2"/>
                  <c:y val="1.9467849537675715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7C5-4BD2-BCAA-CE706EECE1D2}"/>
                </c:ext>
              </c:extLst>
            </c:dLbl>
            <c:dLbl>
              <c:idx val="2"/>
              <c:layout>
                <c:manualLayout>
                  <c:x val="-1.1175038138283256E-2"/>
                  <c:y val="-2.0173327390679938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7C5-4BD2-BCAA-CE706EECE1D2}"/>
                </c:ext>
              </c:extLst>
            </c:dLbl>
            <c:dLbl>
              <c:idx val="3"/>
              <c:layout>
                <c:manualLayout>
                  <c:x val="1.4413238958848556E-2"/>
                  <c:y val="4.760320054332831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7C5-4BD2-BCAA-CE706EECE1D2}"/>
                </c:ext>
              </c:extLst>
            </c:dLbl>
            <c:dLbl>
              <c:idx val="4"/>
              <c:layout>
                <c:manualLayout>
                  <c:x val="3.9707401195789157E-3"/>
                  <c:y val="6.1670593062659622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7C5-4BD2-BCAA-CE706EECE1D2}"/>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'Fatalities in AUS'!$E$24:$E$39</c:f>
              <c:strCache>
                <c:ptCount val="16"/>
                <c:pt idx="0">
                  <c:v>Transport, postal and warehousing</c:v>
                </c:pt>
                <c:pt idx="1">
                  <c:v>Agriculture, forestry and fishing</c:v>
                </c:pt>
                <c:pt idx="2">
                  <c:v>Construction</c:v>
                </c:pt>
                <c:pt idx="3">
                  <c:v>Administrative and support services</c:v>
                </c:pt>
                <c:pt idx="4">
                  <c:v>Electricity, gas, water and waste services</c:v>
                </c:pt>
                <c:pt idx="5">
                  <c:v>Manufacturing</c:v>
                </c:pt>
                <c:pt idx="6">
                  <c:v>Mining</c:v>
                </c:pt>
                <c:pt idx="7">
                  <c:v>Arts and recreation services</c:v>
                </c:pt>
                <c:pt idx="8">
                  <c:v>Public administration and safety</c:v>
                </c:pt>
                <c:pt idx="9">
                  <c:v>Health care and social assistance</c:v>
                </c:pt>
                <c:pt idx="10">
                  <c:v>Other services</c:v>
                </c:pt>
                <c:pt idx="11">
                  <c:v>Retail trade</c:v>
                </c:pt>
                <c:pt idx="12">
                  <c:v>Education and training</c:v>
                </c:pt>
                <c:pt idx="13">
                  <c:v>Rental, hiring and real estate services</c:v>
                </c:pt>
                <c:pt idx="14">
                  <c:v>Information media and telecommunications</c:v>
                </c:pt>
                <c:pt idx="15">
                  <c:v>Professional, scientific and technical services</c:v>
                </c:pt>
              </c:strCache>
            </c:strRef>
          </c:cat>
          <c:val>
            <c:numRef>
              <c:f>'Fatalities in AUS'!$F$24:$F$39</c:f>
              <c:numCache>
                <c:formatCode>0%</c:formatCode>
                <c:ptCount val="16"/>
                <c:pt idx="0">
                  <c:v>0.26</c:v>
                </c:pt>
                <c:pt idx="1">
                  <c:v>0.24</c:v>
                </c:pt>
                <c:pt idx="2">
                  <c:v>0.19</c:v>
                </c:pt>
                <c:pt idx="3">
                  <c:v>0.04</c:v>
                </c:pt>
                <c:pt idx="4">
                  <c:v>0.04</c:v>
                </c:pt>
                <c:pt idx="5">
                  <c:v>0.03</c:v>
                </c:pt>
                <c:pt idx="6">
                  <c:v>0.03</c:v>
                </c:pt>
                <c:pt idx="7">
                  <c:v>0.03</c:v>
                </c:pt>
                <c:pt idx="8">
                  <c:v>0.03</c:v>
                </c:pt>
                <c:pt idx="9">
                  <c:v>0.02</c:v>
                </c:pt>
                <c:pt idx="10">
                  <c:v>0.02</c:v>
                </c:pt>
                <c:pt idx="11">
                  <c:v>0.02</c:v>
                </c:pt>
                <c:pt idx="12">
                  <c:v>0.01</c:v>
                </c:pt>
                <c:pt idx="13">
                  <c:v>0.01</c:v>
                </c:pt>
                <c:pt idx="14">
                  <c:v>0.01</c:v>
                </c:pt>
                <c:pt idx="15">
                  <c:v>0.01</c:v>
                </c:pt>
              </c:numCache>
            </c:numRef>
          </c:val>
          <c:extLst xmlns:c16r2="http://schemas.microsoft.com/office/drawing/2015/06/chart">
            <c:ext xmlns:c16="http://schemas.microsoft.com/office/drawing/2014/chart" uri="{C3380CC4-5D6E-409C-BE32-E72D297353CC}">
              <c16:uniqueId val="{00000005-A7C5-4BD2-BCAA-CE706EECE1D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70381586917019"/>
          <c:y val="3.5436418390207475E-2"/>
          <c:w val="0.67570327747493097"/>
          <c:h val="0.47629373325756963"/>
        </c:manualLayout>
      </c:layout>
      <c:barChart>
        <c:barDir val="col"/>
        <c:grouping val="clustered"/>
        <c:varyColors val="0"/>
        <c:ser>
          <c:idx val="0"/>
          <c:order val="0"/>
          <c:tx>
            <c:strRef>
              <c:f>'Injuries in KSA'!$D$4</c:f>
              <c:strCache>
                <c:ptCount val="1"/>
                <c:pt idx="0">
                  <c:v>Number of Injuries</c:v>
                </c:pt>
              </c:strCache>
            </c:strRef>
          </c:tx>
          <c:invertIfNegative val="0"/>
          <c:cat>
            <c:strRef>
              <c:f>'Injuries in KSA'!$C$5:$C$13</c:f>
              <c:strCache>
                <c:ptCount val="9"/>
                <c:pt idx="0">
                  <c:v>Post and Telecommunications</c:v>
                </c:pt>
                <c:pt idx="1">
                  <c:v>Commerce</c:v>
                </c:pt>
                <c:pt idx="2">
                  <c:v>Construction</c:v>
                </c:pt>
                <c:pt idx="3">
                  <c:v>Mining and Quarrying</c:v>
                </c:pt>
                <c:pt idx="4">
                  <c:v>Community services and Other Social services</c:v>
                </c:pt>
                <c:pt idx="5">
                  <c:v>Agriculture and Fishing</c:v>
                </c:pt>
                <c:pt idx="6">
                  <c:v>Manufacturing Industries</c:v>
                </c:pt>
                <c:pt idx="7">
                  <c:v>Electricity, Gas and Water</c:v>
                </c:pt>
                <c:pt idx="8">
                  <c:v>Finance, Insurance, Real and Business Services </c:v>
                </c:pt>
              </c:strCache>
            </c:strRef>
          </c:cat>
          <c:val>
            <c:numRef>
              <c:f>'Injuries in KSA'!$D$5:$D$13</c:f>
              <c:numCache>
                <c:formatCode>General</c:formatCode>
                <c:ptCount val="9"/>
                <c:pt idx="0">
                  <c:v>247</c:v>
                </c:pt>
                <c:pt idx="1">
                  <c:v>1270</c:v>
                </c:pt>
                <c:pt idx="2">
                  <c:v>3625</c:v>
                </c:pt>
                <c:pt idx="3">
                  <c:v>174</c:v>
                </c:pt>
                <c:pt idx="4">
                  <c:v>295</c:v>
                </c:pt>
                <c:pt idx="5">
                  <c:v>55</c:v>
                </c:pt>
                <c:pt idx="6">
                  <c:v>1459</c:v>
                </c:pt>
                <c:pt idx="7">
                  <c:v>72</c:v>
                </c:pt>
                <c:pt idx="8">
                  <c:v>579</c:v>
                </c:pt>
              </c:numCache>
            </c:numRef>
          </c:val>
          <c:extLst xmlns:c16r2="http://schemas.microsoft.com/office/drawing/2015/06/chart">
            <c:ext xmlns:c16="http://schemas.microsoft.com/office/drawing/2014/chart" uri="{C3380CC4-5D6E-409C-BE32-E72D297353CC}">
              <c16:uniqueId val="{00000000-D389-4FB1-99BE-F661AF023BE3}"/>
            </c:ext>
          </c:extLst>
        </c:ser>
        <c:dLbls>
          <c:showLegendKey val="0"/>
          <c:showVal val="0"/>
          <c:showCatName val="0"/>
          <c:showSerName val="0"/>
          <c:showPercent val="0"/>
          <c:showBubbleSize val="0"/>
        </c:dLbls>
        <c:gapWidth val="150"/>
        <c:axId val="234243584"/>
        <c:axId val="234245120"/>
      </c:barChart>
      <c:lineChart>
        <c:grouping val="stacked"/>
        <c:varyColors val="0"/>
        <c:ser>
          <c:idx val="1"/>
          <c:order val="1"/>
          <c:tx>
            <c:strRef>
              <c:f>'Injuries in KSA'!$E$4</c:f>
              <c:strCache>
                <c:ptCount val="1"/>
                <c:pt idx="0">
                  <c:v>% of Injuries (Out of Total)</c:v>
                </c:pt>
              </c:strCache>
            </c:strRef>
          </c:tx>
          <c:cat>
            <c:strRef>
              <c:f>'Injuries in KSA'!$C$5:$C$13</c:f>
              <c:strCache>
                <c:ptCount val="9"/>
                <c:pt idx="0">
                  <c:v>Post and Telecommunications</c:v>
                </c:pt>
                <c:pt idx="1">
                  <c:v>Commerce</c:v>
                </c:pt>
                <c:pt idx="2">
                  <c:v>Construction</c:v>
                </c:pt>
                <c:pt idx="3">
                  <c:v>Mining and Quarrying</c:v>
                </c:pt>
                <c:pt idx="4">
                  <c:v>Community services and Other Social services</c:v>
                </c:pt>
                <c:pt idx="5">
                  <c:v>Agriculture and Fishing</c:v>
                </c:pt>
                <c:pt idx="6">
                  <c:v>Manufacturing Industries</c:v>
                </c:pt>
                <c:pt idx="7">
                  <c:v>Electricity, Gas and Water</c:v>
                </c:pt>
                <c:pt idx="8">
                  <c:v>Finance, Insurance, Real and Business Services </c:v>
                </c:pt>
              </c:strCache>
            </c:strRef>
          </c:cat>
          <c:val>
            <c:numRef>
              <c:f>'Injuries in KSA'!$E$5:$E$13</c:f>
              <c:numCache>
                <c:formatCode>0.00</c:formatCode>
                <c:ptCount val="9"/>
                <c:pt idx="0">
                  <c:v>3.1764403292181069</c:v>
                </c:pt>
                <c:pt idx="1">
                  <c:v>16.332304526748974</c:v>
                </c:pt>
                <c:pt idx="2">
                  <c:v>46.617798353909464</c:v>
                </c:pt>
                <c:pt idx="3">
                  <c:v>2.2376543209876543</c:v>
                </c:pt>
                <c:pt idx="4">
                  <c:v>3.7937242798353905</c:v>
                </c:pt>
                <c:pt idx="5">
                  <c:v>0.70730452674897115</c:v>
                </c:pt>
                <c:pt idx="6">
                  <c:v>18.762860082304528</c:v>
                </c:pt>
                <c:pt idx="7">
                  <c:v>0.92592592592592582</c:v>
                </c:pt>
                <c:pt idx="8">
                  <c:v>7.4459876543209873</c:v>
                </c:pt>
              </c:numCache>
            </c:numRef>
          </c:val>
          <c:smooth val="0"/>
          <c:extLst xmlns:c16r2="http://schemas.microsoft.com/office/drawing/2015/06/chart">
            <c:ext xmlns:c16="http://schemas.microsoft.com/office/drawing/2014/chart" uri="{C3380CC4-5D6E-409C-BE32-E72D297353CC}">
              <c16:uniqueId val="{00000001-D389-4FB1-99BE-F661AF023BE3}"/>
            </c:ext>
          </c:extLst>
        </c:ser>
        <c:dLbls>
          <c:showLegendKey val="0"/>
          <c:showVal val="0"/>
          <c:showCatName val="0"/>
          <c:showSerName val="0"/>
          <c:showPercent val="0"/>
          <c:showBubbleSize val="0"/>
        </c:dLbls>
        <c:marker val="1"/>
        <c:smooth val="0"/>
        <c:axId val="234253312"/>
        <c:axId val="234251392"/>
      </c:lineChart>
      <c:catAx>
        <c:axId val="234243584"/>
        <c:scaling>
          <c:orientation val="minMax"/>
        </c:scaling>
        <c:delete val="0"/>
        <c:axPos val="b"/>
        <c:numFmt formatCode="General" sourceLinked="0"/>
        <c:majorTickMark val="out"/>
        <c:minorTickMark val="none"/>
        <c:tickLblPos val="nextTo"/>
        <c:crossAx val="234245120"/>
        <c:crosses val="autoZero"/>
        <c:auto val="1"/>
        <c:lblAlgn val="ctr"/>
        <c:lblOffset val="100"/>
        <c:noMultiLvlLbl val="0"/>
      </c:catAx>
      <c:valAx>
        <c:axId val="234245120"/>
        <c:scaling>
          <c:orientation val="minMax"/>
        </c:scaling>
        <c:delete val="0"/>
        <c:axPos val="l"/>
        <c:title>
          <c:tx>
            <c:strRef>
              <c:f>'Injuries in KSA'!$D$4</c:f>
              <c:strCache>
                <c:ptCount val="1"/>
                <c:pt idx="0">
                  <c:v>Number of Injuries</c:v>
                </c:pt>
              </c:strCache>
            </c:strRef>
          </c:tx>
          <c:overlay val="0"/>
          <c:txPr>
            <a:bodyPr rot="-5400000" vert="horz"/>
            <a:lstStyle/>
            <a:p>
              <a:pPr>
                <a:defRPr/>
              </a:pPr>
              <a:endParaRPr lang="en-US"/>
            </a:p>
          </c:txPr>
        </c:title>
        <c:numFmt formatCode="General" sourceLinked="1"/>
        <c:majorTickMark val="out"/>
        <c:minorTickMark val="none"/>
        <c:tickLblPos val="nextTo"/>
        <c:crossAx val="234243584"/>
        <c:crosses val="autoZero"/>
        <c:crossBetween val="between"/>
      </c:valAx>
      <c:valAx>
        <c:axId val="234251392"/>
        <c:scaling>
          <c:orientation val="minMax"/>
        </c:scaling>
        <c:delete val="0"/>
        <c:axPos val="r"/>
        <c:title>
          <c:tx>
            <c:strRef>
              <c:f>'Injuries in KSA'!$E$4</c:f>
              <c:strCache>
                <c:ptCount val="1"/>
                <c:pt idx="0">
                  <c:v>% of Injuries (Out of Total)</c:v>
                </c:pt>
              </c:strCache>
            </c:strRef>
          </c:tx>
          <c:overlay val="0"/>
          <c:txPr>
            <a:bodyPr rot="-5400000" vert="horz"/>
            <a:lstStyle/>
            <a:p>
              <a:pPr>
                <a:defRPr/>
              </a:pPr>
              <a:endParaRPr lang="en-US"/>
            </a:p>
          </c:txPr>
        </c:title>
        <c:numFmt formatCode="0.00" sourceLinked="1"/>
        <c:majorTickMark val="out"/>
        <c:minorTickMark val="none"/>
        <c:tickLblPos val="nextTo"/>
        <c:crossAx val="234253312"/>
        <c:crosses val="max"/>
        <c:crossBetween val="between"/>
      </c:valAx>
      <c:catAx>
        <c:axId val="234253312"/>
        <c:scaling>
          <c:orientation val="minMax"/>
        </c:scaling>
        <c:delete val="1"/>
        <c:axPos val="b"/>
        <c:numFmt formatCode="General" sourceLinked="1"/>
        <c:majorTickMark val="out"/>
        <c:minorTickMark val="none"/>
        <c:tickLblPos val="nextTo"/>
        <c:crossAx val="234251392"/>
        <c:crosses val="autoZero"/>
        <c:auto val="1"/>
        <c:lblAlgn val="ctr"/>
        <c:lblOffset val="100"/>
        <c:noMultiLvlLbl val="0"/>
      </c:catAx>
      <c:spPr>
        <a:noFill/>
        <a:ln w="25400">
          <a:noFill/>
        </a:ln>
      </c:spPr>
    </c:plotArea>
    <c:legend>
      <c:legendPos val="r"/>
      <c:layout>
        <c:manualLayout>
          <c:xMode val="edge"/>
          <c:yMode val="edge"/>
          <c:x val="0.46408119658119656"/>
          <c:y val="6.1977179560029232E-2"/>
          <c:w val="0.3008760683760684"/>
          <c:h val="0.1093052398733663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2044119866534"/>
          <c:y val="0.10818857981961261"/>
          <c:w val="0.3406302481021517"/>
          <c:h val="0.64795688857517986"/>
        </c:manualLayout>
      </c:layout>
      <c:pieChart>
        <c:varyColors val="1"/>
        <c:ser>
          <c:idx val="0"/>
          <c:order val="0"/>
          <c:tx>
            <c:strRef>
              <c:f>'Injuries in KSA'!$D$25</c:f>
              <c:strCache>
                <c:ptCount val="1"/>
                <c:pt idx="0">
                  <c:v>Number of Inhuries</c:v>
                </c:pt>
              </c:strCache>
            </c:strRef>
          </c:tx>
          <c:explosion val="25"/>
          <c:dLbls>
            <c:dLbl>
              <c:idx val="1"/>
              <c:layout>
                <c:manualLayout>
                  <c:x val="-1.9216426071741032E-2"/>
                  <c:y val="-4.734069699620880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A5-4834-A6E3-5BFB93A9512A}"/>
                </c:ext>
              </c:extLst>
            </c:dLbl>
            <c:dLbl>
              <c:idx val="2"/>
              <c:layout>
                <c:manualLayout>
                  <c:x val="-3.5813538932633421E-2"/>
                  <c:y val="3.104913969087197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A5-4834-A6E3-5BFB93A9512A}"/>
                </c:ext>
              </c:extLst>
            </c:dLbl>
            <c:dLbl>
              <c:idx val="3"/>
              <c:layout>
                <c:manualLayout>
                  <c:x val="-1.239763779527559E-2"/>
                  <c:y val="-3.400918635170603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A5-4834-A6E3-5BFB93A9512A}"/>
                </c:ext>
              </c:extLst>
            </c:dLbl>
            <c:dLbl>
              <c:idx val="9"/>
              <c:layout>
                <c:manualLayout>
                  <c:x val="2.0290682414698162E-2"/>
                  <c:y val="1.3575386410032079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A5-4834-A6E3-5BFB93A9512A}"/>
                </c:ext>
              </c:extLst>
            </c:dLbl>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'Injuries in KSA'!$C$26:$C$35</c:f>
              <c:strCache>
                <c:ptCount val="10"/>
                <c:pt idx="0">
                  <c:v>Caught In</c:v>
                </c:pt>
                <c:pt idx="1">
                  <c:v>Struck and Collision</c:v>
                </c:pt>
                <c:pt idx="2">
                  <c:v>Rubbed and Abrasion</c:v>
                </c:pt>
                <c:pt idx="3">
                  <c:v>Fall from Height</c:v>
                </c:pt>
                <c:pt idx="4">
                  <c:v>Transport and car Accidents</c:v>
                </c:pt>
                <c:pt idx="5">
                  <c:v>Excessive stress</c:v>
                </c:pt>
                <c:pt idx="6">
                  <c:v>Bodily Reaction</c:v>
                </c:pt>
                <c:pt idx="7">
                  <c:v> Contact with Extreme Temperature</c:v>
                </c:pt>
                <c:pt idx="8">
                  <c:v>Contact with Radiation and Caustics</c:v>
                </c:pt>
                <c:pt idx="9">
                  <c:v>Other Causes</c:v>
                </c:pt>
              </c:strCache>
            </c:strRef>
          </c:cat>
          <c:val>
            <c:numRef>
              <c:f>'Injuries in KSA'!$D$26:$D$35</c:f>
              <c:numCache>
                <c:formatCode>General</c:formatCode>
                <c:ptCount val="10"/>
                <c:pt idx="0">
                  <c:v>157</c:v>
                </c:pt>
                <c:pt idx="1">
                  <c:v>1996</c:v>
                </c:pt>
                <c:pt idx="2">
                  <c:v>1481</c:v>
                </c:pt>
                <c:pt idx="3">
                  <c:v>2221</c:v>
                </c:pt>
                <c:pt idx="4">
                  <c:v>311</c:v>
                </c:pt>
                <c:pt idx="5">
                  <c:v>107</c:v>
                </c:pt>
                <c:pt idx="6">
                  <c:v>362</c:v>
                </c:pt>
                <c:pt idx="7">
                  <c:v>174</c:v>
                </c:pt>
                <c:pt idx="8">
                  <c:v>51</c:v>
                </c:pt>
                <c:pt idx="9">
                  <c:v>916</c:v>
                </c:pt>
              </c:numCache>
            </c:numRef>
          </c:val>
          <c:extLst xmlns:c16r2="http://schemas.microsoft.com/office/drawing/2015/06/chart">
            <c:ext xmlns:c16="http://schemas.microsoft.com/office/drawing/2014/chart" uri="{C3380CC4-5D6E-409C-BE32-E72D297353CC}">
              <c16:uniqueId val="{00000004-67A5-4834-A6E3-5BFB93A9512A}"/>
            </c:ext>
          </c:extLst>
        </c:ser>
        <c:dLbls>
          <c:dLblPos val="bestFit"/>
          <c:showLegendKey val="0"/>
          <c:showVal val="1"/>
          <c:showCatName val="0"/>
          <c:showSerName val="0"/>
          <c:showPercent val="0"/>
          <c:showBubbleSize val="0"/>
          <c:showLeaderLines val="1"/>
        </c:dLbls>
        <c:firstSliceAng val="0"/>
      </c:pieChart>
    </c:plotArea>
    <c:legend>
      <c:legendPos val="b"/>
      <c:layout>
        <c:manualLayout>
          <c:xMode val="edge"/>
          <c:yMode val="edge"/>
          <c:x val="0.53687648856755132"/>
          <c:y val="0.34469270810856834"/>
          <c:w val="0.45936970469539784"/>
          <c:h val="0.24660255128508088"/>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28916246758664"/>
          <c:y val="3.926620578263261E-2"/>
          <c:w val="0.78971083753241333"/>
          <c:h val="0.7352935524969193"/>
        </c:manualLayout>
      </c:layout>
      <c:barChart>
        <c:barDir val="col"/>
        <c:grouping val="clustered"/>
        <c:varyColors val="0"/>
        <c:ser>
          <c:idx val="0"/>
          <c:order val="0"/>
          <c:tx>
            <c:strRef>
              <c:f>'Oman Temperature'!$C$6</c:f>
              <c:strCache>
                <c:ptCount val="1"/>
                <c:pt idx="0">
                  <c:v>Minimum Temperature (°C)</c:v>
                </c:pt>
              </c:strCache>
            </c:strRef>
          </c:tx>
          <c:invertIfNegative val="0"/>
          <c:cat>
            <c:strRef>
              <c:f>'Oman Temperature'!$B$7:$B$18</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'Oman Temperature'!$C$7:$C$18</c:f>
              <c:numCache>
                <c:formatCode>General</c:formatCode>
                <c:ptCount val="12"/>
                <c:pt idx="0">
                  <c:v>16.7</c:v>
                </c:pt>
                <c:pt idx="1">
                  <c:v>17.8</c:v>
                </c:pt>
                <c:pt idx="2">
                  <c:v>20.3</c:v>
                </c:pt>
                <c:pt idx="3">
                  <c:v>24.2</c:v>
                </c:pt>
                <c:pt idx="4">
                  <c:v>28.7</c:v>
                </c:pt>
                <c:pt idx="5">
                  <c:v>30.3</c:v>
                </c:pt>
                <c:pt idx="6">
                  <c:v>30.1</c:v>
                </c:pt>
                <c:pt idx="7">
                  <c:v>28.2</c:v>
                </c:pt>
                <c:pt idx="8">
                  <c:v>26.8</c:v>
                </c:pt>
                <c:pt idx="9">
                  <c:v>24.2</c:v>
                </c:pt>
                <c:pt idx="10">
                  <c:v>20.8</c:v>
                </c:pt>
                <c:pt idx="11">
                  <c:v>18.3</c:v>
                </c:pt>
              </c:numCache>
            </c:numRef>
          </c:val>
          <c:extLst xmlns:c16r2="http://schemas.microsoft.com/office/drawing/2015/06/chart">
            <c:ext xmlns:c16="http://schemas.microsoft.com/office/drawing/2014/chart" uri="{C3380CC4-5D6E-409C-BE32-E72D297353CC}">
              <c16:uniqueId val="{00000000-B900-4601-A12E-90A06F3A40C6}"/>
            </c:ext>
          </c:extLst>
        </c:ser>
        <c:ser>
          <c:idx val="1"/>
          <c:order val="1"/>
          <c:tx>
            <c:strRef>
              <c:f>'Oman Temperature'!$D$6</c:f>
              <c:strCache>
                <c:ptCount val="1"/>
                <c:pt idx="0">
                  <c:v>Maximum Temperature (°C)</c:v>
                </c:pt>
              </c:strCache>
            </c:strRef>
          </c:tx>
          <c:invertIfNegative val="0"/>
          <c:cat>
            <c:strRef>
              <c:f>'Oman Temperature'!$B$7:$B$18</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'Oman Temperature'!$D$7:$D$18</c:f>
              <c:numCache>
                <c:formatCode>General</c:formatCode>
                <c:ptCount val="12"/>
                <c:pt idx="0">
                  <c:v>25.1</c:v>
                </c:pt>
                <c:pt idx="1">
                  <c:v>26.4</c:v>
                </c:pt>
                <c:pt idx="2">
                  <c:v>29.5</c:v>
                </c:pt>
                <c:pt idx="3">
                  <c:v>34.700000000000003</c:v>
                </c:pt>
                <c:pt idx="4">
                  <c:v>39.6</c:v>
                </c:pt>
                <c:pt idx="5">
                  <c:v>40</c:v>
                </c:pt>
                <c:pt idx="6">
                  <c:v>38</c:v>
                </c:pt>
                <c:pt idx="7">
                  <c:v>35.6</c:v>
                </c:pt>
                <c:pt idx="8">
                  <c:v>35.6</c:v>
                </c:pt>
                <c:pt idx="9">
                  <c:v>34.6</c:v>
                </c:pt>
                <c:pt idx="10">
                  <c:v>30.3</c:v>
                </c:pt>
                <c:pt idx="11">
                  <c:v>26.8</c:v>
                </c:pt>
              </c:numCache>
            </c:numRef>
          </c:val>
          <c:extLst xmlns:c16r2="http://schemas.microsoft.com/office/drawing/2015/06/chart">
            <c:ext xmlns:c16="http://schemas.microsoft.com/office/drawing/2014/chart" uri="{C3380CC4-5D6E-409C-BE32-E72D297353CC}">
              <c16:uniqueId val="{00000001-B900-4601-A12E-90A06F3A40C6}"/>
            </c:ext>
          </c:extLst>
        </c:ser>
        <c:dLbls>
          <c:showLegendKey val="0"/>
          <c:showVal val="0"/>
          <c:showCatName val="0"/>
          <c:showSerName val="0"/>
          <c:showPercent val="0"/>
          <c:showBubbleSize val="0"/>
        </c:dLbls>
        <c:gapWidth val="150"/>
        <c:axId val="234550016"/>
        <c:axId val="234551552"/>
      </c:barChart>
      <c:catAx>
        <c:axId val="234550016"/>
        <c:scaling>
          <c:orientation val="minMax"/>
        </c:scaling>
        <c:delete val="0"/>
        <c:axPos val="b"/>
        <c:numFmt formatCode="General" sourceLinked="0"/>
        <c:majorTickMark val="none"/>
        <c:minorTickMark val="none"/>
        <c:tickLblPos val="nextTo"/>
        <c:crossAx val="234551552"/>
        <c:crosses val="autoZero"/>
        <c:auto val="1"/>
        <c:lblAlgn val="ctr"/>
        <c:lblOffset val="100"/>
        <c:noMultiLvlLbl val="0"/>
      </c:catAx>
      <c:valAx>
        <c:axId val="234551552"/>
        <c:scaling>
          <c:orientation val="minMax"/>
        </c:scaling>
        <c:delete val="0"/>
        <c:axPos val="l"/>
        <c:title>
          <c:tx>
            <c:rich>
              <a:bodyPr/>
              <a:lstStyle/>
              <a:p>
                <a:pPr>
                  <a:defRPr/>
                </a:pPr>
                <a:r>
                  <a:rPr lang="en-US"/>
                  <a:t>Temperature (C) </a:t>
                </a:r>
              </a:p>
            </c:rich>
          </c:tx>
          <c:layout>
            <c:manualLayout>
              <c:xMode val="edge"/>
              <c:yMode val="edge"/>
              <c:x val="0.15058560654947592"/>
              <c:y val="0.28142637342745952"/>
            </c:manualLayout>
          </c:layout>
          <c:overlay val="0"/>
        </c:title>
        <c:numFmt formatCode="General" sourceLinked="1"/>
        <c:majorTickMark val="none"/>
        <c:minorTickMark val="none"/>
        <c:tickLblPos val="nextTo"/>
        <c:crossAx val="234550016"/>
        <c:crosses val="autoZero"/>
        <c:crossBetween val="between"/>
      </c:valAx>
      <c:dTable>
        <c:showHorzBorder val="1"/>
        <c:showVertBorder val="1"/>
        <c:showOutline val="1"/>
        <c:showKeys val="1"/>
      </c:dTable>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2934906977511"/>
          <c:y val="3.7382221161748719E-2"/>
          <c:w val="0.71373548207752902"/>
          <c:h val="0.87826877700893446"/>
        </c:manualLayout>
      </c:layout>
      <c:barChart>
        <c:barDir val="col"/>
        <c:grouping val="clustered"/>
        <c:varyColors val="0"/>
        <c:ser>
          <c:idx val="1"/>
          <c:order val="1"/>
          <c:tx>
            <c:strRef>
              <c:f>Sheet8!$D$7</c:f>
              <c:strCache>
                <c:ptCount val="1"/>
                <c:pt idx="0">
                  <c:v>People Employed in Construction (000)</c:v>
                </c:pt>
              </c:strCache>
            </c:strRef>
          </c:tx>
          <c:invertIfNegative val="0"/>
          <c:cat>
            <c:strRef>
              <c:f>Sheet8!$E$5:$I$5</c:f>
              <c:strCache>
                <c:ptCount val="5"/>
                <c:pt idx="0">
                  <c:v>Nov 2016</c:v>
                </c:pt>
                <c:pt idx="1">
                  <c:v>Feb 2017</c:v>
                </c:pt>
                <c:pt idx="2">
                  <c:v>May 2017</c:v>
                </c:pt>
                <c:pt idx="3">
                  <c:v>Aug 2017</c:v>
                </c:pt>
                <c:pt idx="4">
                  <c:v>Nov 2017</c:v>
                </c:pt>
              </c:strCache>
            </c:strRef>
          </c:cat>
          <c:val>
            <c:numRef>
              <c:f>Sheet8!$E$7:$I$7</c:f>
              <c:numCache>
                <c:formatCode>General</c:formatCode>
                <c:ptCount val="5"/>
                <c:pt idx="0">
                  <c:v>1075.5999999999999</c:v>
                </c:pt>
                <c:pt idx="1">
                  <c:v>1095.0999999999999</c:v>
                </c:pt>
                <c:pt idx="2">
                  <c:v>1121.5</c:v>
                </c:pt>
                <c:pt idx="3">
                  <c:v>1145.9000000000001</c:v>
                </c:pt>
                <c:pt idx="4">
                  <c:v>1167.2</c:v>
                </c:pt>
              </c:numCache>
            </c:numRef>
          </c:val>
          <c:extLst xmlns:c16r2="http://schemas.microsoft.com/office/drawing/2015/06/chart">
            <c:ext xmlns:c16="http://schemas.microsoft.com/office/drawing/2014/chart" uri="{C3380CC4-5D6E-409C-BE32-E72D297353CC}">
              <c16:uniqueId val="{00000000-2EA5-49A4-A719-C7BBF37E5A6D}"/>
            </c:ext>
          </c:extLst>
        </c:ser>
        <c:dLbls>
          <c:showLegendKey val="0"/>
          <c:showVal val="0"/>
          <c:showCatName val="0"/>
          <c:showSerName val="0"/>
          <c:showPercent val="0"/>
          <c:showBubbleSize val="0"/>
        </c:dLbls>
        <c:gapWidth val="150"/>
        <c:axId val="69357952"/>
        <c:axId val="69359488"/>
      </c:barChart>
      <c:lineChart>
        <c:grouping val="stacked"/>
        <c:varyColors val="0"/>
        <c:ser>
          <c:idx val="0"/>
          <c:order val="0"/>
          <c:tx>
            <c:strRef>
              <c:f>Sheet8!$D$6</c:f>
              <c:strCache>
                <c:ptCount val="1"/>
                <c:pt idx="0">
                  <c:v>% of Employment (out of Total Employment)</c:v>
                </c:pt>
              </c:strCache>
            </c:strRef>
          </c:tx>
          <c:cat>
            <c:strRef>
              <c:f>Sheet8!$E$5:$I$5</c:f>
              <c:strCache>
                <c:ptCount val="5"/>
                <c:pt idx="0">
                  <c:v>Nov 2016</c:v>
                </c:pt>
                <c:pt idx="1">
                  <c:v>Feb 2017</c:v>
                </c:pt>
                <c:pt idx="2">
                  <c:v>May 2017</c:v>
                </c:pt>
                <c:pt idx="3">
                  <c:v>Aug 2017</c:v>
                </c:pt>
                <c:pt idx="4">
                  <c:v>Nov 2017</c:v>
                </c:pt>
              </c:strCache>
            </c:strRef>
          </c:cat>
          <c:val>
            <c:numRef>
              <c:f>Sheet8!$E$6:$I$6</c:f>
              <c:numCache>
                <c:formatCode>General</c:formatCode>
                <c:ptCount val="5"/>
                <c:pt idx="0">
                  <c:v>8.9</c:v>
                </c:pt>
                <c:pt idx="1">
                  <c:v>9.1</c:v>
                </c:pt>
                <c:pt idx="2">
                  <c:v>9.1999999999999993</c:v>
                </c:pt>
                <c:pt idx="3">
                  <c:v>9.3000000000000007</c:v>
                </c:pt>
                <c:pt idx="4">
                  <c:v>9.4</c:v>
                </c:pt>
              </c:numCache>
            </c:numRef>
          </c:val>
          <c:smooth val="0"/>
          <c:extLst xmlns:c16r2="http://schemas.microsoft.com/office/drawing/2015/06/chart">
            <c:ext xmlns:c16="http://schemas.microsoft.com/office/drawing/2014/chart" uri="{C3380CC4-5D6E-409C-BE32-E72D297353CC}">
              <c16:uniqueId val="{00000001-2EA5-49A4-A719-C7BBF37E5A6D}"/>
            </c:ext>
          </c:extLst>
        </c:ser>
        <c:dLbls>
          <c:showLegendKey val="0"/>
          <c:showVal val="0"/>
          <c:showCatName val="0"/>
          <c:showSerName val="0"/>
          <c:showPercent val="0"/>
          <c:showBubbleSize val="0"/>
        </c:dLbls>
        <c:marker val="1"/>
        <c:smooth val="0"/>
        <c:axId val="69363584"/>
        <c:axId val="69361664"/>
      </c:lineChart>
      <c:catAx>
        <c:axId val="69357952"/>
        <c:scaling>
          <c:orientation val="minMax"/>
        </c:scaling>
        <c:delete val="0"/>
        <c:axPos val="b"/>
        <c:numFmt formatCode="General" sourceLinked="0"/>
        <c:majorTickMark val="out"/>
        <c:minorTickMark val="none"/>
        <c:tickLblPos val="nextTo"/>
        <c:crossAx val="69359488"/>
        <c:crosses val="autoZero"/>
        <c:auto val="1"/>
        <c:lblAlgn val="ctr"/>
        <c:lblOffset val="100"/>
        <c:noMultiLvlLbl val="0"/>
      </c:catAx>
      <c:valAx>
        <c:axId val="69359488"/>
        <c:scaling>
          <c:orientation val="minMax"/>
        </c:scaling>
        <c:delete val="0"/>
        <c:axPos val="l"/>
        <c:title>
          <c:tx>
            <c:rich>
              <a:bodyPr rot="-5400000" vert="horz"/>
              <a:lstStyle/>
              <a:p>
                <a:pPr>
                  <a:defRPr/>
                </a:pPr>
                <a:r>
                  <a:rPr lang="en-US"/>
                  <a:t>People Employed in Construction (000)</a:t>
                </a:r>
              </a:p>
            </c:rich>
          </c:tx>
          <c:overlay val="0"/>
        </c:title>
        <c:numFmt formatCode="General" sourceLinked="1"/>
        <c:majorTickMark val="out"/>
        <c:minorTickMark val="none"/>
        <c:tickLblPos val="nextTo"/>
        <c:crossAx val="69357952"/>
        <c:crosses val="autoZero"/>
        <c:crossBetween val="between"/>
      </c:valAx>
      <c:valAx>
        <c:axId val="69361664"/>
        <c:scaling>
          <c:orientation val="minMax"/>
        </c:scaling>
        <c:delete val="0"/>
        <c:axPos val="r"/>
        <c:title>
          <c:tx>
            <c:rich>
              <a:bodyPr rot="0" vert="wordArtVert"/>
              <a:lstStyle/>
              <a:p>
                <a:pPr>
                  <a:defRPr/>
                </a:pPr>
                <a:r>
                  <a:rPr lang="en-US"/>
                  <a:t>%</a:t>
                </a:r>
              </a:p>
            </c:rich>
          </c:tx>
          <c:overlay val="0"/>
        </c:title>
        <c:numFmt formatCode="General" sourceLinked="1"/>
        <c:majorTickMark val="out"/>
        <c:minorTickMark val="none"/>
        <c:tickLblPos val="nextTo"/>
        <c:crossAx val="69363584"/>
        <c:crosses val="max"/>
        <c:crossBetween val="between"/>
      </c:valAx>
      <c:catAx>
        <c:axId val="69363584"/>
        <c:scaling>
          <c:orientation val="minMax"/>
        </c:scaling>
        <c:delete val="1"/>
        <c:axPos val="b"/>
        <c:numFmt formatCode="General" sourceLinked="1"/>
        <c:majorTickMark val="out"/>
        <c:minorTickMark val="none"/>
        <c:tickLblPos val="nextTo"/>
        <c:crossAx val="69361664"/>
        <c:crosses val="autoZero"/>
        <c:auto val="1"/>
        <c:lblAlgn val="ctr"/>
        <c:lblOffset val="100"/>
        <c:noMultiLvlLbl val="0"/>
      </c:catAx>
    </c:plotArea>
    <c:legend>
      <c:legendPos val="r"/>
      <c:layout>
        <c:manualLayout>
          <c:xMode val="edge"/>
          <c:yMode val="edge"/>
          <c:x val="0.14085287743649563"/>
          <c:y val="7.3134229433442027E-2"/>
          <c:w val="0.32064706476213661"/>
          <c:h val="0.24751447607510599"/>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en-US"/>
        </a:p>
      </c:txPr>
    </c:title>
    <c:autoTitleDeleted val="0"/>
    <c:plotArea>
      <c:layout/>
      <c:barChart>
        <c:barDir val="col"/>
        <c:grouping val="clustered"/>
        <c:varyColors val="0"/>
        <c:ser>
          <c:idx val="0"/>
          <c:order val="0"/>
          <c:tx>
            <c:strRef>
              <c:f>Sheet2!$D$8</c:f>
              <c:strCache>
                <c:ptCount val="1"/>
                <c:pt idx="0">
                  <c:v>Amount US $ M</c:v>
                </c:pt>
              </c:strCache>
            </c:strRef>
          </c:tx>
          <c:invertIfNegative val="0"/>
          <c:cat>
            <c:strRef>
              <c:f>Sheet2!$C$9:$C$14</c:f>
              <c:strCache>
                <c:ptCount val="6"/>
                <c:pt idx="0">
                  <c:v>Bahrain</c:v>
                </c:pt>
                <c:pt idx="1">
                  <c:v>Kuwait</c:v>
                </c:pt>
                <c:pt idx="2">
                  <c:v>Oman</c:v>
                </c:pt>
                <c:pt idx="3">
                  <c:v>Qata</c:v>
                </c:pt>
                <c:pt idx="4">
                  <c:v>Saudi Arabia</c:v>
                </c:pt>
                <c:pt idx="5">
                  <c:v>UAE</c:v>
                </c:pt>
              </c:strCache>
            </c:strRef>
          </c:cat>
          <c:val>
            <c:numRef>
              <c:f>Sheet2!$D$9:$D$14</c:f>
              <c:numCache>
                <c:formatCode>General</c:formatCode>
                <c:ptCount val="6"/>
                <c:pt idx="0">
                  <c:v>30967</c:v>
                </c:pt>
                <c:pt idx="1">
                  <c:v>80080</c:v>
                </c:pt>
                <c:pt idx="2">
                  <c:v>43160</c:v>
                </c:pt>
                <c:pt idx="3">
                  <c:v>139843</c:v>
                </c:pt>
                <c:pt idx="4">
                  <c:v>475218</c:v>
                </c:pt>
                <c:pt idx="5">
                  <c:v>539793</c:v>
                </c:pt>
              </c:numCache>
            </c:numRef>
          </c:val>
          <c:extLst xmlns:c16r2="http://schemas.microsoft.com/office/drawing/2015/06/chart">
            <c:ext xmlns:c16="http://schemas.microsoft.com/office/drawing/2014/chart" uri="{C3380CC4-5D6E-409C-BE32-E72D297353CC}">
              <c16:uniqueId val="{00000000-CDE5-4063-97B9-F62B4A614640}"/>
            </c:ext>
          </c:extLst>
        </c:ser>
        <c:dLbls>
          <c:showLegendKey val="0"/>
          <c:showVal val="0"/>
          <c:showCatName val="0"/>
          <c:showSerName val="0"/>
          <c:showPercent val="0"/>
          <c:showBubbleSize val="0"/>
        </c:dLbls>
        <c:gapWidth val="150"/>
        <c:axId val="69388160"/>
        <c:axId val="69389696"/>
      </c:barChart>
      <c:catAx>
        <c:axId val="69388160"/>
        <c:scaling>
          <c:orientation val="minMax"/>
        </c:scaling>
        <c:delete val="0"/>
        <c:axPos val="b"/>
        <c:numFmt formatCode="General" sourceLinked="0"/>
        <c:majorTickMark val="none"/>
        <c:minorTickMark val="none"/>
        <c:tickLblPos val="nextTo"/>
        <c:crossAx val="69389696"/>
        <c:crosses val="autoZero"/>
        <c:auto val="1"/>
        <c:lblAlgn val="ctr"/>
        <c:lblOffset val="100"/>
        <c:noMultiLvlLbl val="0"/>
      </c:catAx>
      <c:valAx>
        <c:axId val="69389696"/>
        <c:scaling>
          <c:orientation val="minMax"/>
        </c:scaling>
        <c:delete val="0"/>
        <c:axPos val="l"/>
        <c:majorGridlines/>
        <c:numFmt formatCode="General" sourceLinked="1"/>
        <c:majorTickMark val="none"/>
        <c:minorTickMark val="none"/>
        <c:tickLblPos val="nextTo"/>
        <c:crossAx val="69388160"/>
        <c:crosses val="autoZero"/>
        <c:crossBetween val="between"/>
      </c:valAx>
      <c:dTable>
        <c:showHorzBorder val="1"/>
        <c:showVertBorder val="1"/>
        <c:showOutline val="1"/>
        <c:showKeys val="1"/>
      </c:dTable>
      <c:spPr>
        <a:noFill/>
        <a:ln w="25400">
          <a:no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US$ Billion</a:t>
            </a:r>
          </a:p>
        </c:rich>
      </c:tx>
      <c:layout>
        <c:manualLayout>
          <c:xMode val="edge"/>
          <c:yMode val="edge"/>
          <c:x val="0.45704673418890124"/>
          <c:y val="0.8701213673212469"/>
        </c:manualLayout>
      </c:layout>
      <c:overlay val="0"/>
    </c:title>
    <c:autoTitleDeleted val="0"/>
    <c:plotArea>
      <c:layout>
        <c:manualLayout>
          <c:layoutTarget val="inner"/>
          <c:xMode val="edge"/>
          <c:yMode val="edge"/>
          <c:x val="2.9993183367416496E-2"/>
          <c:y val="0.10325026136863319"/>
          <c:w val="0.94001363326516696"/>
          <c:h val="0.67332514571830948"/>
        </c:manualLayout>
      </c:layout>
      <c:barChart>
        <c:barDir val="col"/>
        <c:grouping val="clustered"/>
        <c:varyColors val="0"/>
        <c:ser>
          <c:idx val="0"/>
          <c:order val="0"/>
          <c:tx>
            <c:strRef>
              <c:f>Sheet1!$F$6</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Sheet1!$G$5:$I$5</c:f>
              <c:strCache>
                <c:ptCount val="3"/>
                <c:pt idx="0">
                  <c:v>January</c:v>
                </c:pt>
                <c:pt idx="1">
                  <c:v>February</c:v>
                </c:pt>
                <c:pt idx="2">
                  <c:v>March</c:v>
                </c:pt>
              </c:strCache>
            </c:strRef>
          </c:cat>
          <c:val>
            <c:numRef>
              <c:f>Sheet1!$G$6:$I$6</c:f>
              <c:numCache>
                <c:formatCode>General</c:formatCode>
                <c:ptCount val="3"/>
                <c:pt idx="0">
                  <c:v>11511</c:v>
                </c:pt>
                <c:pt idx="1">
                  <c:v>9033</c:v>
                </c:pt>
                <c:pt idx="2">
                  <c:v>13900</c:v>
                </c:pt>
              </c:numCache>
            </c:numRef>
          </c:val>
          <c:extLst xmlns:c16r2="http://schemas.microsoft.com/office/drawing/2015/06/chart">
            <c:ext xmlns:c16="http://schemas.microsoft.com/office/drawing/2014/chart" uri="{C3380CC4-5D6E-409C-BE32-E72D297353CC}">
              <c16:uniqueId val="{00000000-92C8-4787-9665-2927E40C2C87}"/>
            </c:ext>
          </c:extLst>
        </c:ser>
        <c:ser>
          <c:idx val="1"/>
          <c:order val="1"/>
          <c:tx>
            <c:strRef>
              <c:f>Sheet1!$F$7</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Sheet1!$G$5:$I$5</c:f>
              <c:strCache>
                <c:ptCount val="3"/>
                <c:pt idx="0">
                  <c:v>January</c:v>
                </c:pt>
                <c:pt idx="1">
                  <c:v>February</c:v>
                </c:pt>
                <c:pt idx="2">
                  <c:v>March</c:v>
                </c:pt>
              </c:strCache>
            </c:strRef>
          </c:cat>
          <c:val>
            <c:numRef>
              <c:f>Sheet1!$G$7:$I$7</c:f>
              <c:numCache>
                <c:formatCode>General</c:formatCode>
                <c:ptCount val="3"/>
                <c:pt idx="0">
                  <c:v>8557</c:v>
                </c:pt>
                <c:pt idx="1">
                  <c:v>11264</c:v>
                </c:pt>
                <c:pt idx="2">
                  <c:v>9594</c:v>
                </c:pt>
              </c:numCache>
            </c:numRef>
          </c:val>
          <c:extLst xmlns:c16r2="http://schemas.microsoft.com/office/drawing/2015/06/chart">
            <c:ext xmlns:c16="http://schemas.microsoft.com/office/drawing/2014/chart" uri="{C3380CC4-5D6E-409C-BE32-E72D297353CC}">
              <c16:uniqueId val="{00000001-92C8-4787-9665-2927E40C2C87}"/>
            </c:ext>
          </c:extLst>
        </c:ser>
        <c:dLbls>
          <c:showLegendKey val="0"/>
          <c:showVal val="1"/>
          <c:showCatName val="0"/>
          <c:showSerName val="0"/>
          <c:showPercent val="0"/>
          <c:showBubbleSize val="0"/>
        </c:dLbls>
        <c:gapWidth val="150"/>
        <c:overlap val="-25"/>
        <c:axId val="219389312"/>
        <c:axId val="219923584"/>
      </c:barChart>
      <c:catAx>
        <c:axId val="219389312"/>
        <c:scaling>
          <c:orientation val="minMax"/>
        </c:scaling>
        <c:delete val="0"/>
        <c:axPos val="b"/>
        <c:numFmt formatCode="General" sourceLinked="0"/>
        <c:majorTickMark val="none"/>
        <c:minorTickMark val="none"/>
        <c:tickLblPos val="nextTo"/>
        <c:crossAx val="219923584"/>
        <c:crosses val="autoZero"/>
        <c:auto val="1"/>
        <c:lblAlgn val="ctr"/>
        <c:lblOffset val="100"/>
        <c:noMultiLvlLbl val="0"/>
      </c:catAx>
      <c:valAx>
        <c:axId val="219923584"/>
        <c:scaling>
          <c:orientation val="minMax"/>
        </c:scaling>
        <c:delete val="1"/>
        <c:axPos val="l"/>
        <c:numFmt formatCode="General" sourceLinked="1"/>
        <c:majorTickMark val="none"/>
        <c:minorTickMark val="none"/>
        <c:tickLblPos val="nextTo"/>
        <c:crossAx val="219389312"/>
        <c:crosses val="autoZero"/>
        <c:crossBetween val="between"/>
      </c:valAx>
    </c:plotArea>
    <c:legend>
      <c:legendPos val="t"/>
      <c:layout>
        <c:manualLayout>
          <c:xMode val="edge"/>
          <c:yMode val="edge"/>
          <c:x val="0.38952321143906093"/>
          <c:y val="8.6975571801753415E-2"/>
          <c:w val="0.20459365892146913"/>
          <c:h val="7.2079364416767391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'Oman Const Industry'!$D$6</c:f>
              <c:strCache>
                <c:ptCount val="1"/>
                <c:pt idx="0">
                  <c:v>Construction Industry Value, (OMR, Billion)</c:v>
                </c:pt>
              </c:strCache>
            </c:strRef>
          </c:tx>
          <c:marker>
            <c:symbol val="none"/>
          </c:marker>
          <c:cat>
            <c:numRef>
              <c:f>'Oman Const Industry'!$E$5:$O$5</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'Oman Const Industry'!$E$6:$O$6</c:f>
              <c:numCache>
                <c:formatCode>General</c:formatCode>
                <c:ptCount val="11"/>
                <c:pt idx="0">
                  <c:v>2.2599999999999998</c:v>
                </c:pt>
                <c:pt idx="1">
                  <c:v>2.5299999999999998</c:v>
                </c:pt>
                <c:pt idx="2">
                  <c:v>2.85</c:v>
                </c:pt>
                <c:pt idx="3">
                  <c:v>3.27</c:v>
                </c:pt>
                <c:pt idx="4">
                  <c:v>3.76</c:v>
                </c:pt>
                <c:pt idx="5">
                  <c:v>4.2</c:v>
                </c:pt>
                <c:pt idx="6">
                  <c:v>4.62</c:v>
                </c:pt>
                <c:pt idx="7">
                  <c:v>5.12</c:v>
                </c:pt>
                <c:pt idx="8">
                  <c:v>5.72</c:v>
                </c:pt>
                <c:pt idx="9">
                  <c:v>6.3</c:v>
                </c:pt>
                <c:pt idx="10">
                  <c:v>6.88</c:v>
                </c:pt>
              </c:numCache>
            </c:numRef>
          </c:val>
          <c:smooth val="0"/>
          <c:extLst xmlns:c16r2="http://schemas.microsoft.com/office/drawing/2015/06/chart">
            <c:ext xmlns:c16="http://schemas.microsoft.com/office/drawing/2014/chart" uri="{C3380CC4-5D6E-409C-BE32-E72D297353CC}">
              <c16:uniqueId val="{00000000-2542-41CA-82DC-41262C2D7E5A}"/>
            </c:ext>
          </c:extLst>
        </c:ser>
        <c:ser>
          <c:idx val="2"/>
          <c:order val="2"/>
          <c:tx>
            <c:strRef>
              <c:f>'Oman Const Industry'!$D$8</c:f>
              <c:strCache>
                <c:ptCount val="1"/>
                <c:pt idx="0">
                  <c:v>Construction Industry Value, (GDP)</c:v>
                </c:pt>
              </c:strCache>
            </c:strRef>
          </c:tx>
          <c:marker>
            <c:symbol val="none"/>
          </c:marker>
          <c:cat>
            <c:numRef>
              <c:f>'Oman Const Industry'!$E$5:$O$5</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'Oman Const Industry'!$E$8:$O$8</c:f>
              <c:numCache>
                <c:formatCode>General</c:formatCode>
                <c:ptCount val="11"/>
                <c:pt idx="0">
                  <c:v>8.1</c:v>
                </c:pt>
                <c:pt idx="1">
                  <c:v>8</c:v>
                </c:pt>
                <c:pt idx="2">
                  <c:v>9.6</c:v>
                </c:pt>
                <c:pt idx="3">
                  <c:v>10.4</c:v>
                </c:pt>
                <c:pt idx="4">
                  <c:v>11.4</c:v>
                </c:pt>
                <c:pt idx="5">
                  <c:v>12.1</c:v>
                </c:pt>
                <c:pt idx="6">
                  <c:v>12.6</c:v>
                </c:pt>
                <c:pt idx="7">
                  <c:v>13.4</c:v>
                </c:pt>
                <c:pt idx="8">
                  <c:v>14.2</c:v>
                </c:pt>
                <c:pt idx="9">
                  <c:v>14.9</c:v>
                </c:pt>
                <c:pt idx="10">
                  <c:v>15.4</c:v>
                </c:pt>
              </c:numCache>
            </c:numRef>
          </c:val>
          <c:smooth val="0"/>
          <c:extLst xmlns:c16r2="http://schemas.microsoft.com/office/drawing/2015/06/chart">
            <c:ext xmlns:c16="http://schemas.microsoft.com/office/drawing/2014/chart" uri="{C3380CC4-5D6E-409C-BE32-E72D297353CC}">
              <c16:uniqueId val="{00000001-2542-41CA-82DC-41262C2D7E5A}"/>
            </c:ext>
          </c:extLst>
        </c:ser>
        <c:dLbls>
          <c:showLegendKey val="0"/>
          <c:showVal val="0"/>
          <c:showCatName val="0"/>
          <c:showSerName val="0"/>
          <c:showPercent val="0"/>
          <c:showBubbleSize val="0"/>
        </c:dLbls>
        <c:marker val="1"/>
        <c:smooth val="0"/>
        <c:axId val="219825280"/>
        <c:axId val="219826816"/>
      </c:lineChart>
      <c:lineChart>
        <c:grouping val="standard"/>
        <c:varyColors val="0"/>
        <c:ser>
          <c:idx val="1"/>
          <c:order val="1"/>
          <c:tx>
            <c:strRef>
              <c:f>'Oman Const Industry'!$D$7</c:f>
              <c:strCache>
                <c:ptCount val="1"/>
                <c:pt idx="0">
                  <c:v>Construction Industry Value, Growth (%)</c:v>
                </c:pt>
              </c:strCache>
            </c:strRef>
          </c:tx>
          <c:marker>
            <c:symbol val="none"/>
          </c:marker>
          <c:cat>
            <c:numRef>
              <c:f>'Oman Const Industry'!$E$5:$O$5</c:f>
              <c:numCache>
                <c:formatCode>General</c:formatCode>
                <c:ptCount val="11"/>
                <c:pt idx="0">
                  <c:v>2016</c:v>
                </c:pt>
                <c:pt idx="1">
                  <c:v>2017</c:v>
                </c:pt>
                <c:pt idx="2">
                  <c:v>2018</c:v>
                </c:pt>
                <c:pt idx="3">
                  <c:v>2019</c:v>
                </c:pt>
                <c:pt idx="4">
                  <c:v>2020</c:v>
                </c:pt>
                <c:pt idx="5">
                  <c:v>2021</c:v>
                </c:pt>
                <c:pt idx="6">
                  <c:v>2022</c:v>
                </c:pt>
                <c:pt idx="7">
                  <c:v>2023</c:v>
                </c:pt>
                <c:pt idx="8">
                  <c:v>2024</c:v>
                </c:pt>
                <c:pt idx="9">
                  <c:v>2025</c:v>
                </c:pt>
                <c:pt idx="10">
                  <c:v>2026</c:v>
                </c:pt>
              </c:numCache>
            </c:numRef>
          </c:cat>
          <c:val>
            <c:numRef>
              <c:f>'Oman Const Industry'!$E$7:$O$7</c:f>
              <c:numCache>
                <c:formatCode>General</c:formatCode>
                <c:ptCount val="11"/>
                <c:pt idx="0">
                  <c:v>8.4</c:v>
                </c:pt>
                <c:pt idx="1">
                  <c:v>10.029999999999999</c:v>
                </c:pt>
                <c:pt idx="2">
                  <c:v>10.4</c:v>
                </c:pt>
                <c:pt idx="3">
                  <c:v>11.5</c:v>
                </c:pt>
                <c:pt idx="4">
                  <c:v>12.1</c:v>
                </c:pt>
                <c:pt idx="5">
                  <c:v>8.6999999999999993</c:v>
                </c:pt>
                <c:pt idx="6">
                  <c:v>7</c:v>
                </c:pt>
                <c:pt idx="7">
                  <c:v>7.9</c:v>
                </c:pt>
                <c:pt idx="8">
                  <c:v>8.6</c:v>
                </c:pt>
                <c:pt idx="9">
                  <c:v>7.3</c:v>
                </c:pt>
                <c:pt idx="10">
                  <c:v>6.1</c:v>
                </c:pt>
              </c:numCache>
            </c:numRef>
          </c:val>
          <c:smooth val="0"/>
          <c:extLst xmlns:c16r2="http://schemas.microsoft.com/office/drawing/2015/06/chart">
            <c:ext xmlns:c16="http://schemas.microsoft.com/office/drawing/2014/chart" uri="{C3380CC4-5D6E-409C-BE32-E72D297353CC}">
              <c16:uniqueId val="{00000002-2542-41CA-82DC-41262C2D7E5A}"/>
            </c:ext>
          </c:extLst>
        </c:ser>
        <c:dLbls>
          <c:showLegendKey val="0"/>
          <c:showVal val="0"/>
          <c:showCatName val="0"/>
          <c:showSerName val="0"/>
          <c:showPercent val="0"/>
          <c:showBubbleSize val="0"/>
        </c:dLbls>
        <c:marker val="1"/>
        <c:smooth val="0"/>
        <c:axId val="219843200"/>
        <c:axId val="219841280"/>
      </c:lineChart>
      <c:catAx>
        <c:axId val="219825280"/>
        <c:scaling>
          <c:orientation val="minMax"/>
        </c:scaling>
        <c:delete val="0"/>
        <c:axPos val="b"/>
        <c:numFmt formatCode="General" sourceLinked="1"/>
        <c:majorTickMark val="none"/>
        <c:minorTickMark val="none"/>
        <c:tickLblPos val="nextTo"/>
        <c:crossAx val="219826816"/>
        <c:crosses val="autoZero"/>
        <c:auto val="1"/>
        <c:lblAlgn val="ctr"/>
        <c:lblOffset val="100"/>
        <c:noMultiLvlLbl val="0"/>
      </c:catAx>
      <c:valAx>
        <c:axId val="219826816"/>
        <c:scaling>
          <c:orientation val="minMax"/>
        </c:scaling>
        <c:delete val="0"/>
        <c:axPos val="l"/>
        <c:title>
          <c:tx>
            <c:rich>
              <a:bodyPr/>
              <a:lstStyle/>
              <a:p>
                <a:pPr>
                  <a:defRPr sz="900" b="1"/>
                </a:pPr>
                <a:r>
                  <a:rPr lang="en-US" sz="900" b="1"/>
                  <a:t>Construciton Industry Value (OMR, Billion), Construciton Industry Value, (GDP)</a:t>
                </a:r>
              </a:p>
            </c:rich>
          </c:tx>
          <c:layout>
            <c:manualLayout>
              <c:xMode val="edge"/>
              <c:yMode val="edge"/>
              <c:x val="0.2206175101474761"/>
              <c:y val="3.3555131843144168E-2"/>
            </c:manualLayout>
          </c:layout>
          <c:overlay val="0"/>
        </c:title>
        <c:numFmt formatCode="General" sourceLinked="1"/>
        <c:majorTickMark val="none"/>
        <c:minorTickMark val="none"/>
        <c:tickLblPos val="nextTo"/>
        <c:crossAx val="219825280"/>
        <c:crosses val="autoZero"/>
        <c:crossBetween val="between"/>
      </c:valAx>
      <c:valAx>
        <c:axId val="219841280"/>
        <c:scaling>
          <c:orientation val="minMax"/>
        </c:scaling>
        <c:delete val="0"/>
        <c:axPos val="r"/>
        <c:title>
          <c:tx>
            <c:strRef>
              <c:f>'Oman Const Industry'!$D$7</c:f>
              <c:strCache>
                <c:ptCount val="1"/>
                <c:pt idx="0">
                  <c:v>Construction Industry Value, Growth (%)</c:v>
                </c:pt>
              </c:strCache>
            </c:strRef>
          </c:tx>
          <c:overlay val="0"/>
          <c:txPr>
            <a:bodyPr rot="-5400000" vert="horz"/>
            <a:lstStyle/>
            <a:p>
              <a:pPr>
                <a:defRPr sz="900" b="1"/>
              </a:pPr>
              <a:endParaRPr lang="en-US"/>
            </a:p>
          </c:txPr>
        </c:title>
        <c:numFmt formatCode="General" sourceLinked="1"/>
        <c:majorTickMark val="out"/>
        <c:minorTickMark val="none"/>
        <c:tickLblPos val="nextTo"/>
        <c:crossAx val="219843200"/>
        <c:crosses val="max"/>
        <c:crossBetween val="between"/>
      </c:valAx>
      <c:catAx>
        <c:axId val="219843200"/>
        <c:scaling>
          <c:orientation val="minMax"/>
        </c:scaling>
        <c:delete val="1"/>
        <c:axPos val="b"/>
        <c:numFmt formatCode="General" sourceLinked="1"/>
        <c:majorTickMark val="out"/>
        <c:minorTickMark val="none"/>
        <c:tickLblPos val="nextTo"/>
        <c:crossAx val="219841280"/>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Pt>
            <c:idx val="0"/>
            <c:bubble3D val="0"/>
            <c:spPr>
              <a:pattFill prst="pct70">
                <a:fgClr>
                  <a:srgbClr val="FFC000"/>
                </a:fgClr>
                <a:bgClr>
                  <a:schemeClr val="bg1"/>
                </a:bgClr>
              </a:pattFill>
            </c:spPr>
            <c:extLst xmlns:c16r2="http://schemas.microsoft.com/office/drawing/2015/06/chart">
              <c:ext xmlns:c16="http://schemas.microsoft.com/office/drawing/2014/chart" uri="{C3380CC4-5D6E-409C-BE32-E72D297353CC}">
                <c16:uniqueId val="{00000001-3ED1-4DDE-B9A1-3749F287DD6B}"/>
              </c:ext>
            </c:extLst>
          </c:dPt>
          <c:dPt>
            <c:idx val="1"/>
            <c:bubble3D val="0"/>
            <c:spPr>
              <a:pattFill prst="dashVert">
                <a:fgClr>
                  <a:schemeClr val="accent3"/>
                </a:fgClr>
                <a:bgClr>
                  <a:schemeClr val="bg1"/>
                </a:bgClr>
              </a:pattFill>
            </c:spPr>
            <c:extLst xmlns:c16r2="http://schemas.microsoft.com/office/drawing/2015/06/chart">
              <c:ext xmlns:c16="http://schemas.microsoft.com/office/drawing/2014/chart" uri="{C3380CC4-5D6E-409C-BE32-E72D297353CC}">
                <c16:uniqueId val="{00000003-3ED1-4DDE-B9A1-3749F287DD6B}"/>
              </c:ext>
            </c:extLst>
          </c:dPt>
          <c:dPt>
            <c:idx val="2"/>
            <c:bubble3D val="0"/>
            <c:spPr>
              <a:pattFill prst="zigZag">
                <a:fgClr>
                  <a:schemeClr val="accent4">
                    <a:lumMod val="75000"/>
                  </a:schemeClr>
                </a:fgClr>
                <a:bgClr>
                  <a:schemeClr val="bg1"/>
                </a:bgClr>
              </a:pattFill>
            </c:spPr>
            <c:extLst xmlns:c16r2="http://schemas.microsoft.com/office/drawing/2015/06/chart">
              <c:ext xmlns:c16="http://schemas.microsoft.com/office/drawing/2014/chart" uri="{C3380CC4-5D6E-409C-BE32-E72D297353CC}">
                <c16:uniqueId val="{00000005-3ED1-4DDE-B9A1-3749F287DD6B}"/>
              </c:ext>
            </c:extLst>
          </c:dPt>
          <c:dPt>
            <c:idx val="3"/>
            <c:bubble3D val="0"/>
            <c:spPr>
              <a:pattFill prst="dkVert">
                <a:fgClr>
                  <a:schemeClr val="tx2">
                    <a:lumMod val="60000"/>
                    <a:lumOff val="40000"/>
                  </a:schemeClr>
                </a:fgClr>
                <a:bgClr>
                  <a:schemeClr val="bg1"/>
                </a:bgClr>
              </a:pattFill>
            </c:spPr>
            <c:extLst xmlns:c16r2="http://schemas.microsoft.com/office/drawing/2015/06/chart">
              <c:ext xmlns:c16="http://schemas.microsoft.com/office/drawing/2014/chart" uri="{C3380CC4-5D6E-409C-BE32-E72D297353CC}">
                <c16:uniqueId val="{00000007-3ED1-4DDE-B9A1-3749F287DD6B}"/>
              </c:ext>
            </c:extLst>
          </c:dPt>
          <c:dPt>
            <c:idx val="4"/>
            <c:bubble3D val="0"/>
            <c:spPr>
              <a:pattFill prst="dkHorz">
                <a:fgClr>
                  <a:srgbClr val="FF0000"/>
                </a:fgClr>
                <a:bgClr>
                  <a:schemeClr val="bg1"/>
                </a:bgClr>
              </a:pattFill>
            </c:spPr>
            <c:extLst xmlns:c16r2="http://schemas.microsoft.com/office/drawing/2015/06/chart">
              <c:ext xmlns:c16="http://schemas.microsoft.com/office/drawing/2014/chart" uri="{C3380CC4-5D6E-409C-BE32-E72D297353CC}">
                <c16:uniqueId val="{00000009-3ED1-4DDE-B9A1-3749F287DD6B}"/>
              </c:ext>
            </c:extLst>
          </c:dPt>
          <c:dPt>
            <c:idx val="5"/>
            <c:bubble3D val="0"/>
            <c:spPr>
              <a:pattFill prst="horzBrick">
                <a:fgClr>
                  <a:schemeClr val="accent3">
                    <a:lumMod val="75000"/>
                  </a:schemeClr>
                </a:fgClr>
                <a:bgClr>
                  <a:schemeClr val="bg1"/>
                </a:bgClr>
              </a:pattFill>
            </c:spPr>
            <c:extLst xmlns:c16r2="http://schemas.microsoft.com/office/drawing/2015/06/chart">
              <c:ext xmlns:c16="http://schemas.microsoft.com/office/drawing/2014/chart" uri="{C3380CC4-5D6E-409C-BE32-E72D297353CC}">
                <c16:uniqueId val="{0000000B-3ED1-4DDE-B9A1-3749F287DD6B}"/>
              </c:ext>
            </c:extLst>
          </c:dPt>
          <c:dLbls>
            <c:dLbl>
              <c:idx val="3"/>
              <c:layout>
                <c:manualLayout>
                  <c:x val="-4.7806282279231225E-3"/>
                  <c:y val="-8.0121755613881598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ED1-4DDE-B9A1-3749F287DD6B}"/>
                </c:ext>
              </c:extLst>
            </c:dLbl>
            <c:dLbl>
              <c:idx val="4"/>
              <c:layout>
                <c:manualLayout>
                  <c:x val="-6.9160387209663304E-2"/>
                  <c:y val="-7.0881816856226298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ED1-4DDE-B9A1-3749F287DD6B}"/>
                </c:ext>
              </c:extLst>
            </c:dLbl>
            <c:dLbl>
              <c:idx val="5"/>
              <c:layout>
                <c:manualLayout>
                  <c:x val="-3.5536815962520812E-2"/>
                  <c:y val="4.249744823563721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ED1-4DDE-B9A1-3749F287DD6B}"/>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Sheet1!$D$10:$D$15</c:f>
              <c:strCache>
                <c:ptCount val="6"/>
                <c:pt idx="0">
                  <c:v>Senior Managers</c:v>
                </c:pt>
                <c:pt idx="1">
                  <c:v>Engineers</c:v>
                </c:pt>
                <c:pt idx="2">
                  <c:v>Admin Staff</c:v>
                </c:pt>
                <c:pt idx="3">
                  <c:v>Foremen</c:v>
                </c:pt>
                <c:pt idx="4">
                  <c:v>Skilled Workers</c:v>
                </c:pt>
                <c:pt idx="5">
                  <c:v>Semi Skilled Workers</c:v>
                </c:pt>
              </c:strCache>
            </c:strRef>
          </c:cat>
          <c:val>
            <c:numRef>
              <c:f>Sheet1!$E$10:$E$15</c:f>
              <c:numCache>
                <c:formatCode>General</c:formatCode>
                <c:ptCount val="6"/>
                <c:pt idx="0">
                  <c:v>2170</c:v>
                </c:pt>
                <c:pt idx="1">
                  <c:v>24010</c:v>
                </c:pt>
                <c:pt idx="2">
                  <c:v>20720</c:v>
                </c:pt>
                <c:pt idx="3">
                  <c:v>129080</c:v>
                </c:pt>
                <c:pt idx="4">
                  <c:v>410480</c:v>
                </c:pt>
                <c:pt idx="5">
                  <c:v>113540</c:v>
                </c:pt>
              </c:numCache>
            </c:numRef>
          </c:val>
          <c:extLst xmlns:c16r2="http://schemas.microsoft.com/office/drawing/2015/06/chart">
            <c:ext xmlns:c16="http://schemas.microsoft.com/office/drawing/2014/chart" uri="{C3380CC4-5D6E-409C-BE32-E72D297353CC}">
              <c16:uniqueId val="{0000000C-3ED1-4DDE-B9A1-3749F287DD6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28948785247998"/>
          <c:y val="3.7314379658454563E-2"/>
          <c:w val="0.73466888754290327"/>
          <c:h val="0.60585838431674222"/>
        </c:manualLayout>
      </c:layout>
      <c:barChart>
        <c:barDir val="col"/>
        <c:grouping val="clustered"/>
        <c:varyColors val="0"/>
        <c:ser>
          <c:idx val="0"/>
          <c:order val="0"/>
          <c:tx>
            <c:strRef>
              <c:f>'C:\Users\Engg_user\Downloads\[Table_06.xls]Sheet1'!$E$6</c:f>
              <c:strCache>
                <c:ptCount val="1"/>
                <c:pt idx="0">
                  <c:v>Babraini</c:v>
                </c:pt>
              </c:strCache>
            </c:strRef>
          </c:tx>
          <c:invertIfNegative val="0"/>
          <c:cat>
            <c:strRef>
              <c:f>'C:\Users\Engg_user\Downloads\[Table_06.xls]Sheet1'!$D$7:$D$25</c:f>
              <c:strCache>
                <c:ptCount val="19"/>
                <c:pt idx="0">
                  <c:v>Agriculture</c:v>
                </c:pt>
                <c:pt idx="1">
                  <c:v>Mining/Quarrying</c:v>
                </c:pt>
                <c:pt idx="2">
                  <c:v>Manufacturing</c:v>
                </c:pt>
                <c:pt idx="3">
                  <c:v>Electricity</c:v>
                </c:pt>
                <c:pt idx="4">
                  <c:v>Watersupply/Sewerage</c:v>
                </c:pt>
                <c:pt idx="5">
                  <c:v>Construction</c:v>
                </c:pt>
                <c:pt idx="6">
                  <c:v>Sale/Trading </c:v>
                </c:pt>
                <c:pt idx="7">
                  <c:v>Transportation </c:v>
                </c:pt>
                <c:pt idx="8">
                  <c:v>Hoteling</c:v>
                </c:pt>
                <c:pt idx="9">
                  <c:v>ICT</c:v>
                </c:pt>
                <c:pt idx="10">
                  <c:v>Financial activities</c:v>
                </c:pt>
                <c:pt idx="11">
                  <c:v>Real estate </c:v>
                </c:pt>
                <c:pt idx="12">
                  <c:v>Scientific/Technical</c:v>
                </c:pt>
                <c:pt idx="13">
                  <c:v>Administrative </c:v>
                </c:pt>
                <c:pt idx="14">
                  <c:v>Education</c:v>
                </c:pt>
                <c:pt idx="15">
                  <c:v>Health </c:v>
                </c:pt>
                <c:pt idx="16">
                  <c:v>Arts/Entertainment</c:v>
                </c:pt>
                <c:pt idx="17">
                  <c:v>Personal service </c:v>
                </c:pt>
                <c:pt idx="18">
                  <c:v>Unspecified</c:v>
                </c:pt>
              </c:strCache>
            </c:strRef>
          </c:cat>
          <c:val>
            <c:numRef>
              <c:f>'C:\Users\Engg_user\Downloads\[Table_06.xls]Sheet1'!$E$7:$E$25</c:f>
              <c:numCache>
                <c:formatCode>General</c:formatCode>
                <c:ptCount val="19"/>
                <c:pt idx="0">
                  <c:v>52</c:v>
                </c:pt>
                <c:pt idx="1">
                  <c:v>388</c:v>
                </c:pt>
                <c:pt idx="2">
                  <c:v>12558</c:v>
                </c:pt>
                <c:pt idx="3">
                  <c:v>65</c:v>
                </c:pt>
                <c:pt idx="4">
                  <c:v>226</c:v>
                </c:pt>
                <c:pt idx="5">
                  <c:v>12235</c:v>
                </c:pt>
                <c:pt idx="6">
                  <c:v>20099</c:v>
                </c:pt>
                <c:pt idx="7">
                  <c:v>5113</c:v>
                </c:pt>
                <c:pt idx="8">
                  <c:v>4761</c:v>
                </c:pt>
                <c:pt idx="9">
                  <c:v>2769</c:v>
                </c:pt>
                <c:pt idx="10">
                  <c:v>8988</c:v>
                </c:pt>
                <c:pt idx="11">
                  <c:v>1343</c:v>
                </c:pt>
                <c:pt idx="12">
                  <c:v>5797</c:v>
                </c:pt>
                <c:pt idx="13">
                  <c:v>4681</c:v>
                </c:pt>
                <c:pt idx="14">
                  <c:v>3688</c:v>
                </c:pt>
                <c:pt idx="15">
                  <c:v>1324</c:v>
                </c:pt>
                <c:pt idx="16">
                  <c:v>117</c:v>
                </c:pt>
                <c:pt idx="17">
                  <c:v>989</c:v>
                </c:pt>
                <c:pt idx="18">
                  <c:v>345</c:v>
                </c:pt>
              </c:numCache>
            </c:numRef>
          </c:val>
          <c:extLst xmlns:c16r2="http://schemas.microsoft.com/office/drawing/2015/06/chart">
            <c:ext xmlns:c16="http://schemas.microsoft.com/office/drawing/2014/chart" uri="{C3380CC4-5D6E-409C-BE32-E72D297353CC}">
              <c16:uniqueId val="{00000000-5E38-4A75-8D67-847E510A329F}"/>
            </c:ext>
          </c:extLst>
        </c:ser>
        <c:dLbls>
          <c:showLegendKey val="0"/>
          <c:showVal val="0"/>
          <c:showCatName val="0"/>
          <c:showSerName val="0"/>
          <c:showPercent val="0"/>
          <c:showBubbleSize val="0"/>
        </c:dLbls>
        <c:gapWidth val="150"/>
        <c:axId val="219770240"/>
        <c:axId val="219804800"/>
      </c:barChart>
      <c:lineChart>
        <c:grouping val="standard"/>
        <c:varyColors val="0"/>
        <c:ser>
          <c:idx val="1"/>
          <c:order val="1"/>
          <c:tx>
            <c:strRef>
              <c:f>'C:\Users\Engg_user\Downloads\[Table_06.xls]Sheet1'!$F$6</c:f>
              <c:strCache>
                <c:ptCount val="1"/>
                <c:pt idx="0">
                  <c:v>Non Bahraini</c:v>
                </c:pt>
              </c:strCache>
            </c:strRef>
          </c:tx>
          <c:dPt>
            <c:idx val="5"/>
            <c:marker>
              <c:symbol val="square"/>
              <c:size val="7"/>
            </c:marker>
            <c:bubble3D val="0"/>
            <c:extLst xmlns:c16r2="http://schemas.microsoft.com/office/drawing/2015/06/chart">
              <c:ext xmlns:c16="http://schemas.microsoft.com/office/drawing/2014/chart" uri="{C3380CC4-5D6E-409C-BE32-E72D297353CC}">
                <c16:uniqueId val="{00000001-5E38-4A75-8D67-847E510A329F}"/>
              </c:ext>
            </c:extLst>
          </c:dPt>
          <c:cat>
            <c:strRef>
              <c:f>'C:\Users\Engg_user\Downloads\[Table_06.xls]Sheet1'!$D$7:$D$25</c:f>
              <c:strCache>
                <c:ptCount val="19"/>
                <c:pt idx="0">
                  <c:v>Agriculture</c:v>
                </c:pt>
                <c:pt idx="1">
                  <c:v>Mining/Quarrying</c:v>
                </c:pt>
                <c:pt idx="2">
                  <c:v>Manufacturing</c:v>
                </c:pt>
                <c:pt idx="3">
                  <c:v>Electricity</c:v>
                </c:pt>
                <c:pt idx="4">
                  <c:v>Watersupply/Sewerage</c:v>
                </c:pt>
                <c:pt idx="5">
                  <c:v>Construction</c:v>
                </c:pt>
                <c:pt idx="6">
                  <c:v>Sale/Trading </c:v>
                </c:pt>
                <c:pt idx="7">
                  <c:v>Transportation </c:v>
                </c:pt>
                <c:pt idx="8">
                  <c:v>Hoteling</c:v>
                </c:pt>
                <c:pt idx="9">
                  <c:v>ICT</c:v>
                </c:pt>
                <c:pt idx="10">
                  <c:v>Financial activities</c:v>
                </c:pt>
                <c:pt idx="11">
                  <c:v>Real estate </c:v>
                </c:pt>
                <c:pt idx="12">
                  <c:v>Scientific/Technical</c:v>
                </c:pt>
                <c:pt idx="13">
                  <c:v>Administrative </c:v>
                </c:pt>
                <c:pt idx="14">
                  <c:v>Education</c:v>
                </c:pt>
                <c:pt idx="15">
                  <c:v>Health </c:v>
                </c:pt>
                <c:pt idx="16">
                  <c:v>Arts/Entertainment</c:v>
                </c:pt>
                <c:pt idx="17">
                  <c:v>Personal service </c:v>
                </c:pt>
                <c:pt idx="18">
                  <c:v>Unspecified</c:v>
                </c:pt>
              </c:strCache>
            </c:strRef>
          </c:cat>
          <c:val>
            <c:numRef>
              <c:f>'C:\Users\Engg_user\Downloads\[Table_06.xls]Sheet1'!$F$7:$F$25</c:f>
              <c:numCache>
                <c:formatCode>General</c:formatCode>
                <c:ptCount val="19"/>
                <c:pt idx="0">
                  <c:v>5756</c:v>
                </c:pt>
                <c:pt idx="1">
                  <c:v>6009</c:v>
                </c:pt>
                <c:pt idx="2">
                  <c:v>57442</c:v>
                </c:pt>
                <c:pt idx="3">
                  <c:v>75</c:v>
                </c:pt>
                <c:pt idx="4">
                  <c:v>1312</c:v>
                </c:pt>
                <c:pt idx="5">
                  <c:v>162677</c:v>
                </c:pt>
                <c:pt idx="6">
                  <c:v>106383</c:v>
                </c:pt>
                <c:pt idx="7">
                  <c:v>10783</c:v>
                </c:pt>
                <c:pt idx="8">
                  <c:v>50973</c:v>
                </c:pt>
                <c:pt idx="9">
                  <c:v>4454</c:v>
                </c:pt>
                <c:pt idx="10">
                  <c:v>7154</c:v>
                </c:pt>
                <c:pt idx="11">
                  <c:v>7734</c:v>
                </c:pt>
                <c:pt idx="12">
                  <c:v>16215</c:v>
                </c:pt>
                <c:pt idx="13">
                  <c:v>45685</c:v>
                </c:pt>
                <c:pt idx="14">
                  <c:v>5079</c:v>
                </c:pt>
                <c:pt idx="15">
                  <c:v>3054</c:v>
                </c:pt>
                <c:pt idx="16">
                  <c:v>859</c:v>
                </c:pt>
                <c:pt idx="17">
                  <c:v>13664</c:v>
                </c:pt>
                <c:pt idx="18">
                  <c:v>3684</c:v>
                </c:pt>
              </c:numCache>
            </c:numRef>
          </c:val>
          <c:smooth val="0"/>
          <c:extLst xmlns:c16r2="http://schemas.microsoft.com/office/drawing/2015/06/chart">
            <c:ext xmlns:c16="http://schemas.microsoft.com/office/drawing/2014/chart" uri="{C3380CC4-5D6E-409C-BE32-E72D297353CC}">
              <c16:uniqueId val="{00000002-5E38-4A75-8D67-847E510A329F}"/>
            </c:ext>
          </c:extLst>
        </c:ser>
        <c:dLbls>
          <c:showLegendKey val="0"/>
          <c:showVal val="0"/>
          <c:showCatName val="0"/>
          <c:showSerName val="0"/>
          <c:showPercent val="0"/>
          <c:showBubbleSize val="0"/>
        </c:dLbls>
        <c:marker val="1"/>
        <c:smooth val="0"/>
        <c:axId val="219890816"/>
        <c:axId val="219806720"/>
      </c:lineChart>
      <c:catAx>
        <c:axId val="219770240"/>
        <c:scaling>
          <c:orientation val="minMax"/>
        </c:scaling>
        <c:delete val="0"/>
        <c:axPos val="b"/>
        <c:numFmt formatCode="General" sourceLinked="0"/>
        <c:majorTickMark val="out"/>
        <c:minorTickMark val="none"/>
        <c:tickLblPos val="nextTo"/>
        <c:crossAx val="219804800"/>
        <c:crosses val="autoZero"/>
        <c:auto val="1"/>
        <c:lblAlgn val="ctr"/>
        <c:lblOffset val="100"/>
        <c:noMultiLvlLbl val="0"/>
      </c:catAx>
      <c:valAx>
        <c:axId val="219804800"/>
        <c:scaling>
          <c:orientation val="minMax"/>
        </c:scaling>
        <c:delete val="0"/>
        <c:axPos val="l"/>
        <c:title>
          <c:tx>
            <c:strRef>
              <c:f>Sheet4!$E$8</c:f>
              <c:strCache>
                <c:ptCount val="1"/>
                <c:pt idx="0">
                  <c:v>Bahraini</c:v>
                </c:pt>
              </c:strCache>
            </c:strRef>
          </c:tx>
          <c:overlay val="0"/>
          <c:txPr>
            <a:bodyPr rot="-5400000" vert="horz"/>
            <a:lstStyle/>
            <a:p>
              <a:pPr>
                <a:defRPr/>
              </a:pPr>
              <a:endParaRPr lang="en-US"/>
            </a:p>
          </c:txPr>
        </c:title>
        <c:numFmt formatCode="General" sourceLinked="1"/>
        <c:majorTickMark val="out"/>
        <c:minorTickMark val="none"/>
        <c:tickLblPos val="nextTo"/>
        <c:crossAx val="219770240"/>
        <c:crosses val="autoZero"/>
        <c:crossBetween val="between"/>
      </c:valAx>
      <c:valAx>
        <c:axId val="219806720"/>
        <c:scaling>
          <c:orientation val="minMax"/>
        </c:scaling>
        <c:delete val="0"/>
        <c:axPos val="r"/>
        <c:title>
          <c:tx>
            <c:strRef>
              <c:f>'C:\Users\Engg_user\Downloads\[Table_06.xls]Sheet1'!$F$6:$G$6</c:f>
              <c:strCache>
                <c:ptCount val="1"/>
                <c:pt idx="0">
                  <c:v>Non Bahraini</c:v>
                </c:pt>
              </c:strCache>
            </c:strRef>
          </c:tx>
          <c:overlay val="0"/>
          <c:txPr>
            <a:bodyPr rot="-5400000" vert="horz"/>
            <a:lstStyle/>
            <a:p>
              <a:pPr>
                <a:defRPr/>
              </a:pPr>
              <a:endParaRPr lang="en-US"/>
            </a:p>
          </c:txPr>
        </c:title>
        <c:numFmt formatCode="General" sourceLinked="1"/>
        <c:majorTickMark val="out"/>
        <c:minorTickMark val="none"/>
        <c:tickLblPos val="nextTo"/>
        <c:crossAx val="219890816"/>
        <c:crosses val="max"/>
        <c:crossBetween val="between"/>
      </c:valAx>
      <c:catAx>
        <c:axId val="219890816"/>
        <c:scaling>
          <c:orientation val="minMax"/>
        </c:scaling>
        <c:delete val="1"/>
        <c:axPos val="b"/>
        <c:numFmt formatCode="General" sourceLinked="1"/>
        <c:majorTickMark val="out"/>
        <c:minorTickMark val="none"/>
        <c:tickLblPos val="nextTo"/>
        <c:crossAx val="219806720"/>
        <c:crosses val="autoZero"/>
        <c:auto val="1"/>
        <c:lblAlgn val="ctr"/>
        <c:lblOffset val="100"/>
        <c:noMultiLvlLbl val="0"/>
      </c:catAx>
    </c:plotArea>
    <c:legend>
      <c:legendPos val="r"/>
      <c:layout>
        <c:manualLayout>
          <c:xMode val="edge"/>
          <c:yMode val="edge"/>
          <c:x val="0.57017094017094028"/>
          <c:y val="0.13365827999882518"/>
          <c:w val="0.17982905982905983"/>
          <c:h val="0.11509229098805646"/>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823761540296972"/>
          <c:y val="4.1562289562289564E-2"/>
          <c:w val="0.6019219632208862"/>
          <c:h val="0.75429347852022455"/>
        </c:manualLayout>
      </c:layout>
      <c:barChart>
        <c:barDir val="col"/>
        <c:grouping val="clustered"/>
        <c:varyColors val="0"/>
        <c:ser>
          <c:idx val="0"/>
          <c:order val="0"/>
          <c:tx>
            <c:strRef>
              <c:f>'Global GDP and OS&amp;H Cost'!$D$4</c:f>
              <c:strCache>
                <c:ptCount val="1"/>
                <c:pt idx="0">
                  <c:v>Global GDP Value (US$ Billion)</c:v>
                </c:pt>
              </c:strCache>
            </c:strRef>
          </c:tx>
          <c:invertIfNegative val="0"/>
          <c:cat>
            <c:numRef>
              <c:f>'Global GDP and OS&amp;H Cost'!$C$5:$C$15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'Global GDP and OS&amp;H Cost'!$D$5:$D$15</c:f>
              <c:numCache>
                <c:formatCode>General</c:formatCode>
                <c:ptCount val="11"/>
                <c:pt idx="0">
                  <c:v>74535.41</c:v>
                </c:pt>
                <c:pt idx="1">
                  <c:v>76596.14</c:v>
                </c:pt>
                <c:pt idx="2">
                  <c:v>78663.17</c:v>
                </c:pt>
                <c:pt idx="3">
                  <c:v>74429.03</c:v>
                </c:pt>
                <c:pt idx="4">
                  <c:v>75485.009999999995</c:v>
                </c:pt>
                <c:pt idx="5">
                  <c:v>79865.48</c:v>
                </c:pt>
                <c:pt idx="6">
                  <c:v>87504.57</c:v>
                </c:pt>
                <c:pt idx="7">
                  <c:v>92734.03</c:v>
                </c:pt>
                <c:pt idx="8">
                  <c:v>97789.46</c:v>
                </c:pt>
                <c:pt idx="9">
                  <c:v>103029.66</c:v>
                </c:pt>
                <c:pt idx="10">
                  <c:v>108523.32</c:v>
                </c:pt>
              </c:numCache>
            </c:numRef>
          </c:val>
          <c:extLst xmlns:c16r2="http://schemas.microsoft.com/office/drawing/2015/06/chart">
            <c:ext xmlns:c16="http://schemas.microsoft.com/office/drawing/2014/chart" uri="{C3380CC4-5D6E-409C-BE32-E72D297353CC}">
              <c16:uniqueId val="{00000000-DFF4-4A74-BFE7-E0727518ED2E}"/>
            </c:ext>
          </c:extLst>
        </c:ser>
        <c:dLbls>
          <c:showLegendKey val="0"/>
          <c:showVal val="0"/>
          <c:showCatName val="0"/>
          <c:showSerName val="0"/>
          <c:showPercent val="0"/>
          <c:showBubbleSize val="0"/>
        </c:dLbls>
        <c:gapWidth val="150"/>
        <c:axId val="219973888"/>
        <c:axId val="219979776"/>
      </c:barChart>
      <c:barChart>
        <c:barDir val="col"/>
        <c:grouping val="clustered"/>
        <c:varyColors val="0"/>
        <c:ser>
          <c:idx val="2"/>
          <c:order val="2"/>
          <c:tx>
            <c:strRef>
              <c:f>'Global GDP and OS&amp;H Cost'!$F$4</c:f>
              <c:strCache>
                <c:ptCount val="1"/>
                <c:pt idx="0">
                  <c:v>Total Construction GDP Value (US$ Billion)</c:v>
                </c:pt>
              </c:strCache>
            </c:strRef>
          </c:tx>
          <c:invertIfNegative val="0"/>
          <c:cat>
            <c:numRef>
              <c:f>'Global GDP and OS&amp;H Cost'!$C$5:$C$15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'Global GDP and OS&amp;H Cost'!$F$5:$F$15</c:f>
              <c:numCache>
                <c:formatCode>0.00</c:formatCode>
                <c:ptCount val="11"/>
                <c:pt idx="0">
                  <c:v>5217.4787000000006</c:v>
                </c:pt>
                <c:pt idx="1">
                  <c:v>5361.7298000000001</c:v>
                </c:pt>
                <c:pt idx="2">
                  <c:v>5506.4219000000003</c:v>
                </c:pt>
                <c:pt idx="3">
                  <c:v>5210.0321000000004</c:v>
                </c:pt>
                <c:pt idx="4">
                  <c:v>5283.9507000000003</c:v>
                </c:pt>
                <c:pt idx="5">
                  <c:v>5590.5835999999999</c:v>
                </c:pt>
                <c:pt idx="6">
                  <c:v>6125.3199000000013</c:v>
                </c:pt>
                <c:pt idx="7">
                  <c:v>6491.3821000000007</c:v>
                </c:pt>
                <c:pt idx="8">
                  <c:v>6845.262200000001</c:v>
                </c:pt>
                <c:pt idx="9">
                  <c:v>7212.0762000000013</c:v>
                </c:pt>
                <c:pt idx="10">
                  <c:v>7596.6324000000013</c:v>
                </c:pt>
              </c:numCache>
            </c:numRef>
          </c:val>
          <c:extLst xmlns:c16r2="http://schemas.microsoft.com/office/drawing/2015/06/chart">
            <c:ext xmlns:c16="http://schemas.microsoft.com/office/drawing/2014/chart" uri="{C3380CC4-5D6E-409C-BE32-E72D297353CC}">
              <c16:uniqueId val="{00000001-DFF4-4A74-BFE7-E0727518ED2E}"/>
            </c:ext>
          </c:extLst>
        </c:ser>
        <c:dLbls>
          <c:showLegendKey val="0"/>
          <c:showVal val="0"/>
          <c:showCatName val="0"/>
          <c:showSerName val="0"/>
          <c:showPercent val="0"/>
          <c:showBubbleSize val="0"/>
        </c:dLbls>
        <c:gapWidth val="396"/>
        <c:overlap val="-93"/>
        <c:axId val="219987968"/>
        <c:axId val="219981696"/>
      </c:barChart>
      <c:lineChart>
        <c:grouping val="standard"/>
        <c:varyColors val="0"/>
        <c:ser>
          <c:idx val="1"/>
          <c:order val="1"/>
          <c:tx>
            <c:strRef>
              <c:f>'Global GDP and OS&amp;H Cost'!$E$4</c:f>
              <c:strCache>
                <c:ptCount val="1"/>
                <c:pt idx="0">
                  <c:v>Total OS&amp;H Cost (US$ Billion)</c:v>
                </c:pt>
              </c:strCache>
            </c:strRef>
          </c:tx>
          <c:cat>
            <c:numRef>
              <c:f>'Global GDP and OS&amp;H Cost'!$C$5:$C$15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'Global GDP and OS&amp;H Cost'!$E$5:$E$15</c:f>
              <c:numCache>
                <c:formatCode>0.00</c:formatCode>
                <c:ptCount val="11"/>
                <c:pt idx="0">
                  <c:v>2936.695154</c:v>
                </c:pt>
                <c:pt idx="1">
                  <c:v>3017.8879159999997</c:v>
                </c:pt>
                <c:pt idx="2">
                  <c:v>3099.3288979999998</c:v>
                </c:pt>
                <c:pt idx="3">
                  <c:v>2932.5037819999998</c:v>
                </c:pt>
                <c:pt idx="4">
                  <c:v>2974.1093939999996</c:v>
                </c:pt>
                <c:pt idx="5">
                  <c:v>3146.6999119999996</c:v>
                </c:pt>
                <c:pt idx="6">
                  <c:v>3447.6800579999999</c:v>
                </c:pt>
                <c:pt idx="7">
                  <c:v>3653.7207819999999</c:v>
                </c:pt>
                <c:pt idx="8">
                  <c:v>3852.904724</c:v>
                </c:pt>
                <c:pt idx="9">
                  <c:v>4059.3686039999998</c:v>
                </c:pt>
                <c:pt idx="10">
                  <c:v>4275.818808</c:v>
                </c:pt>
              </c:numCache>
            </c:numRef>
          </c:val>
          <c:smooth val="0"/>
          <c:extLst xmlns:c16r2="http://schemas.microsoft.com/office/drawing/2015/06/chart">
            <c:ext xmlns:c16="http://schemas.microsoft.com/office/drawing/2014/chart" uri="{C3380CC4-5D6E-409C-BE32-E72D297353CC}">
              <c16:uniqueId val="{00000002-DFF4-4A74-BFE7-E0727518ED2E}"/>
            </c:ext>
          </c:extLst>
        </c:ser>
        <c:ser>
          <c:idx val="3"/>
          <c:order val="3"/>
          <c:tx>
            <c:strRef>
              <c:f>'Global GDP and OS&amp;H Cost'!$G$4</c:f>
              <c:strCache>
                <c:ptCount val="1"/>
                <c:pt idx="0">
                  <c:v>Total Construction OS&amp;H Cost (US$ Billion) </c:v>
                </c:pt>
              </c:strCache>
            </c:strRef>
          </c:tx>
          <c:marker>
            <c:symbol val="triangle"/>
            <c:size val="7"/>
          </c:marker>
          <c:cat>
            <c:numRef>
              <c:f>'Global GDP and OS&amp;H Cost'!$C$5:$C$15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'Global GDP and OS&amp;H Cost'!$G$5:$G$15</c:f>
              <c:numCache>
                <c:formatCode>0.00</c:formatCode>
                <c:ptCount val="11"/>
                <c:pt idx="0">
                  <c:v>205.56866078000002</c:v>
                </c:pt>
                <c:pt idx="1">
                  <c:v>211.25215412</c:v>
                </c:pt>
                <c:pt idx="2">
                  <c:v>216.95302286</c:v>
                </c:pt>
                <c:pt idx="3">
                  <c:v>205.27526474000001</c:v>
                </c:pt>
                <c:pt idx="4">
                  <c:v>208.18765758000001</c:v>
                </c:pt>
                <c:pt idx="5">
                  <c:v>220.26899383999998</c:v>
                </c:pt>
                <c:pt idx="6">
                  <c:v>241.33760406000005</c:v>
                </c:pt>
                <c:pt idx="7">
                  <c:v>255.76045474</c:v>
                </c:pt>
                <c:pt idx="8">
                  <c:v>269.70333068000002</c:v>
                </c:pt>
                <c:pt idx="9">
                  <c:v>284.15580228000005</c:v>
                </c:pt>
                <c:pt idx="10">
                  <c:v>299.30731656000006</c:v>
                </c:pt>
              </c:numCache>
            </c:numRef>
          </c:val>
          <c:smooth val="0"/>
          <c:extLst xmlns:c16r2="http://schemas.microsoft.com/office/drawing/2015/06/chart">
            <c:ext xmlns:c16="http://schemas.microsoft.com/office/drawing/2014/chart" uri="{C3380CC4-5D6E-409C-BE32-E72D297353CC}">
              <c16:uniqueId val="{00000003-DFF4-4A74-BFE7-E0727518ED2E}"/>
            </c:ext>
          </c:extLst>
        </c:ser>
        <c:dLbls>
          <c:showLegendKey val="0"/>
          <c:showVal val="0"/>
          <c:showCatName val="0"/>
          <c:showSerName val="0"/>
          <c:showPercent val="0"/>
          <c:showBubbleSize val="0"/>
        </c:dLbls>
        <c:marker val="1"/>
        <c:smooth val="0"/>
        <c:axId val="219987968"/>
        <c:axId val="219981696"/>
      </c:lineChart>
      <c:catAx>
        <c:axId val="219973888"/>
        <c:scaling>
          <c:orientation val="minMax"/>
        </c:scaling>
        <c:delete val="0"/>
        <c:axPos val="b"/>
        <c:numFmt formatCode="General" sourceLinked="1"/>
        <c:majorTickMark val="none"/>
        <c:minorTickMark val="none"/>
        <c:tickLblPos val="nextTo"/>
        <c:crossAx val="219979776"/>
        <c:crosses val="autoZero"/>
        <c:auto val="1"/>
        <c:lblAlgn val="ctr"/>
        <c:lblOffset val="100"/>
        <c:noMultiLvlLbl val="0"/>
      </c:catAx>
      <c:valAx>
        <c:axId val="219979776"/>
        <c:scaling>
          <c:orientation val="minMax"/>
        </c:scaling>
        <c:delete val="0"/>
        <c:axPos val="l"/>
        <c:title>
          <c:tx>
            <c:strRef>
              <c:f>'Global GDP and OS&amp;H Cost'!$D$4</c:f>
              <c:strCache>
                <c:ptCount val="1"/>
                <c:pt idx="0">
                  <c:v>Global GDP Value (US$ Billion)</c:v>
                </c:pt>
              </c:strCache>
            </c:strRef>
          </c:tx>
          <c:layout>
            <c:manualLayout>
              <c:xMode val="edge"/>
              <c:yMode val="edge"/>
              <c:x val="0.2544138055544527"/>
              <c:y val="0.37229598709799827"/>
            </c:manualLayout>
          </c:layout>
          <c:overlay val="0"/>
          <c:txPr>
            <a:bodyPr rot="-5400000" vert="horz"/>
            <a:lstStyle/>
            <a:p>
              <a:pPr>
                <a:defRPr b="0"/>
              </a:pPr>
              <a:endParaRPr lang="en-US"/>
            </a:p>
          </c:txPr>
        </c:title>
        <c:numFmt formatCode="General" sourceLinked="1"/>
        <c:majorTickMark val="none"/>
        <c:minorTickMark val="none"/>
        <c:tickLblPos val="nextTo"/>
        <c:crossAx val="219973888"/>
        <c:crosses val="autoZero"/>
        <c:crossBetween val="between"/>
      </c:valAx>
      <c:valAx>
        <c:axId val="219981696"/>
        <c:scaling>
          <c:orientation val="minMax"/>
        </c:scaling>
        <c:delete val="0"/>
        <c:axPos val="r"/>
        <c:title>
          <c:tx>
            <c:rich>
              <a:bodyPr rot="-5400000" vert="horz"/>
              <a:lstStyle/>
              <a:p>
                <a:pPr>
                  <a:defRPr b="0"/>
                </a:pPr>
                <a:r>
                  <a:rPr lang="en-US" b="0"/>
                  <a:t>Total Construciton GDP Value, Total OS&amp;H Cost, Total Construction OS&amp;H Cost (US$ Billion)</a:t>
                </a:r>
              </a:p>
            </c:rich>
          </c:tx>
          <c:overlay val="0"/>
        </c:title>
        <c:numFmt formatCode="0.00" sourceLinked="1"/>
        <c:majorTickMark val="out"/>
        <c:minorTickMark val="none"/>
        <c:tickLblPos val="nextTo"/>
        <c:crossAx val="219987968"/>
        <c:crosses val="max"/>
        <c:crossBetween val="between"/>
      </c:valAx>
      <c:catAx>
        <c:axId val="219987968"/>
        <c:scaling>
          <c:orientation val="minMax"/>
        </c:scaling>
        <c:delete val="1"/>
        <c:axPos val="b"/>
        <c:numFmt formatCode="General" sourceLinked="1"/>
        <c:majorTickMark val="out"/>
        <c:minorTickMark val="none"/>
        <c:tickLblPos val="nextTo"/>
        <c:crossAx val="219981696"/>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lgn="just">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78522556475314E-2"/>
          <c:y val="3.9007529729678886E-2"/>
          <c:w val="0.80401803620701262"/>
          <c:h val="0.8835163157053153"/>
        </c:manualLayout>
      </c:layout>
      <c:barChart>
        <c:barDir val="col"/>
        <c:grouping val="clustered"/>
        <c:varyColors val="0"/>
        <c:ser>
          <c:idx val="0"/>
          <c:order val="0"/>
          <c:tx>
            <c:strRef>
              <c:f>'Fatalities in USA'!$E$7</c:f>
              <c:strCache>
                <c:ptCount val="1"/>
                <c:pt idx="0">
                  <c:v>Total Fatal Injuries</c:v>
                </c:pt>
              </c:strCache>
            </c:strRef>
          </c:tx>
          <c:invertIfNegative val="0"/>
          <c:cat>
            <c:numRef>
              <c:f>'Fatalities in USA'!$D$8:$D$18</c:f>
              <c:numCache>
                <c:formatCode>General</c:formatCode>
                <c:ptCount val="11"/>
                <c:pt idx="0">
                  <c:v>2006</c:v>
                </c:pt>
                <c:pt idx="1">
                  <c:v>2007</c:v>
                </c:pt>
                <c:pt idx="2">
                  <c:v>2009</c:v>
                </c:pt>
                <c:pt idx="3">
                  <c:v>2009</c:v>
                </c:pt>
                <c:pt idx="4">
                  <c:v>2010</c:v>
                </c:pt>
                <c:pt idx="5">
                  <c:v>2011</c:v>
                </c:pt>
                <c:pt idx="6">
                  <c:v>2012</c:v>
                </c:pt>
                <c:pt idx="7">
                  <c:v>2013</c:v>
                </c:pt>
                <c:pt idx="8">
                  <c:v>2014</c:v>
                </c:pt>
                <c:pt idx="9">
                  <c:v>2015</c:v>
                </c:pt>
                <c:pt idx="10">
                  <c:v>2016</c:v>
                </c:pt>
              </c:numCache>
            </c:numRef>
          </c:cat>
          <c:val>
            <c:numRef>
              <c:f>'Fatalities in USA'!$E$8:$E$18</c:f>
              <c:numCache>
                <c:formatCode>General</c:formatCode>
                <c:ptCount val="11"/>
                <c:pt idx="0">
                  <c:v>1239</c:v>
                </c:pt>
                <c:pt idx="1">
                  <c:v>1204</c:v>
                </c:pt>
                <c:pt idx="2">
                  <c:v>975</c:v>
                </c:pt>
                <c:pt idx="3">
                  <c:v>834</c:v>
                </c:pt>
                <c:pt idx="4">
                  <c:v>774</c:v>
                </c:pt>
                <c:pt idx="5">
                  <c:v>738</c:v>
                </c:pt>
                <c:pt idx="6">
                  <c:v>806</c:v>
                </c:pt>
                <c:pt idx="7">
                  <c:v>828</c:v>
                </c:pt>
                <c:pt idx="8">
                  <c:v>899</c:v>
                </c:pt>
                <c:pt idx="9">
                  <c:v>937</c:v>
                </c:pt>
                <c:pt idx="10">
                  <c:v>991</c:v>
                </c:pt>
              </c:numCache>
            </c:numRef>
          </c:val>
          <c:extLst xmlns:c16r2="http://schemas.microsoft.com/office/drawing/2015/06/chart">
            <c:ext xmlns:c16="http://schemas.microsoft.com/office/drawing/2014/chart" uri="{C3380CC4-5D6E-409C-BE32-E72D297353CC}">
              <c16:uniqueId val="{00000000-5093-4013-953C-B4C1AC9591BA}"/>
            </c:ext>
          </c:extLst>
        </c:ser>
        <c:dLbls>
          <c:showLegendKey val="0"/>
          <c:showVal val="0"/>
          <c:showCatName val="0"/>
          <c:showSerName val="0"/>
          <c:showPercent val="0"/>
          <c:showBubbleSize val="0"/>
        </c:dLbls>
        <c:gapWidth val="150"/>
        <c:axId val="220094464"/>
        <c:axId val="220096000"/>
      </c:barChart>
      <c:lineChart>
        <c:grouping val="stacked"/>
        <c:varyColors val="0"/>
        <c:ser>
          <c:idx val="1"/>
          <c:order val="1"/>
          <c:tx>
            <c:strRef>
              <c:f>'Fatalities in USA'!$F$7</c:f>
              <c:strCache>
                <c:ptCount val="1"/>
                <c:pt idx="0">
                  <c:v>Fatal Injury Rate (%)</c:v>
                </c:pt>
              </c:strCache>
            </c:strRef>
          </c:tx>
          <c:cat>
            <c:numRef>
              <c:f>'Fatalities in USA'!$D$8:$D$18</c:f>
              <c:numCache>
                <c:formatCode>General</c:formatCode>
                <c:ptCount val="11"/>
                <c:pt idx="0">
                  <c:v>2006</c:v>
                </c:pt>
                <c:pt idx="1">
                  <c:v>2007</c:v>
                </c:pt>
                <c:pt idx="2">
                  <c:v>2009</c:v>
                </c:pt>
                <c:pt idx="3">
                  <c:v>2009</c:v>
                </c:pt>
                <c:pt idx="4">
                  <c:v>2010</c:v>
                </c:pt>
                <c:pt idx="5">
                  <c:v>2011</c:v>
                </c:pt>
                <c:pt idx="6">
                  <c:v>2012</c:v>
                </c:pt>
                <c:pt idx="7">
                  <c:v>2013</c:v>
                </c:pt>
                <c:pt idx="8">
                  <c:v>2014</c:v>
                </c:pt>
                <c:pt idx="9">
                  <c:v>2015</c:v>
                </c:pt>
                <c:pt idx="10">
                  <c:v>2016</c:v>
                </c:pt>
              </c:numCache>
            </c:numRef>
          </c:cat>
          <c:val>
            <c:numRef>
              <c:f>'Fatalities in USA'!$F$8:$F$18</c:f>
              <c:numCache>
                <c:formatCode>General</c:formatCode>
                <c:ptCount val="11"/>
                <c:pt idx="0">
                  <c:v>11.2</c:v>
                </c:pt>
                <c:pt idx="1">
                  <c:v>10.8</c:v>
                </c:pt>
                <c:pt idx="2">
                  <c:v>9.6999999999999993</c:v>
                </c:pt>
                <c:pt idx="3">
                  <c:v>9.9</c:v>
                </c:pt>
                <c:pt idx="4">
                  <c:v>9.8000000000000007</c:v>
                </c:pt>
                <c:pt idx="5">
                  <c:v>9.1</c:v>
                </c:pt>
                <c:pt idx="6">
                  <c:v>9.9</c:v>
                </c:pt>
                <c:pt idx="7">
                  <c:v>9.6999999999999993</c:v>
                </c:pt>
                <c:pt idx="8">
                  <c:v>9.8000000000000007</c:v>
                </c:pt>
                <c:pt idx="9">
                  <c:v>10.1</c:v>
                </c:pt>
                <c:pt idx="10">
                  <c:v>10.1</c:v>
                </c:pt>
              </c:numCache>
            </c:numRef>
          </c:val>
          <c:smooth val="0"/>
          <c:extLst xmlns:c16r2="http://schemas.microsoft.com/office/drawing/2015/06/chart">
            <c:ext xmlns:c16="http://schemas.microsoft.com/office/drawing/2014/chart" uri="{C3380CC4-5D6E-409C-BE32-E72D297353CC}">
              <c16:uniqueId val="{00000001-5093-4013-953C-B4C1AC9591BA}"/>
            </c:ext>
          </c:extLst>
        </c:ser>
        <c:dLbls>
          <c:showLegendKey val="0"/>
          <c:showVal val="0"/>
          <c:showCatName val="0"/>
          <c:showSerName val="0"/>
          <c:showPercent val="0"/>
          <c:showBubbleSize val="0"/>
        </c:dLbls>
        <c:marker val="1"/>
        <c:smooth val="0"/>
        <c:axId val="220108288"/>
        <c:axId val="220097920"/>
      </c:lineChart>
      <c:catAx>
        <c:axId val="220094464"/>
        <c:scaling>
          <c:orientation val="minMax"/>
        </c:scaling>
        <c:delete val="0"/>
        <c:axPos val="b"/>
        <c:numFmt formatCode="General" sourceLinked="1"/>
        <c:majorTickMark val="out"/>
        <c:minorTickMark val="none"/>
        <c:tickLblPos val="nextTo"/>
        <c:crossAx val="220096000"/>
        <c:crosses val="autoZero"/>
        <c:auto val="1"/>
        <c:lblAlgn val="ctr"/>
        <c:lblOffset val="100"/>
        <c:noMultiLvlLbl val="0"/>
      </c:catAx>
      <c:valAx>
        <c:axId val="220096000"/>
        <c:scaling>
          <c:orientation val="minMax"/>
        </c:scaling>
        <c:delete val="0"/>
        <c:axPos val="l"/>
        <c:title>
          <c:tx>
            <c:strRef>
              <c:f>'Fatalities in USA'!$E$7</c:f>
              <c:strCache>
                <c:ptCount val="1"/>
                <c:pt idx="0">
                  <c:v>Total Fatal Injuries</c:v>
                </c:pt>
              </c:strCache>
            </c:strRef>
          </c:tx>
          <c:overlay val="0"/>
          <c:txPr>
            <a:bodyPr rot="-5400000" vert="horz"/>
            <a:lstStyle/>
            <a:p>
              <a:pPr>
                <a:defRPr/>
              </a:pPr>
              <a:endParaRPr lang="en-US"/>
            </a:p>
          </c:txPr>
        </c:title>
        <c:numFmt formatCode="General" sourceLinked="1"/>
        <c:majorTickMark val="out"/>
        <c:minorTickMark val="none"/>
        <c:tickLblPos val="nextTo"/>
        <c:crossAx val="220094464"/>
        <c:crosses val="autoZero"/>
        <c:crossBetween val="between"/>
      </c:valAx>
      <c:valAx>
        <c:axId val="220097920"/>
        <c:scaling>
          <c:orientation val="minMax"/>
        </c:scaling>
        <c:delete val="0"/>
        <c:axPos val="r"/>
        <c:title>
          <c:tx>
            <c:strRef>
              <c:f>'Fatalities in USA'!$F$7</c:f>
              <c:strCache>
                <c:ptCount val="1"/>
                <c:pt idx="0">
                  <c:v>Fatal Injury Rate (%)</c:v>
                </c:pt>
              </c:strCache>
            </c:strRef>
          </c:tx>
          <c:overlay val="0"/>
          <c:txPr>
            <a:bodyPr rot="-5400000" vert="horz"/>
            <a:lstStyle/>
            <a:p>
              <a:pPr>
                <a:defRPr/>
              </a:pPr>
              <a:endParaRPr lang="en-US"/>
            </a:p>
          </c:txPr>
        </c:title>
        <c:numFmt formatCode="General" sourceLinked="1"/>
        <c:majorTickMark val="out"/>
        <c:minorTickMark val="none"/>
        <c:tickLblPos val="nextTo"/>
        <c:crossAx val="220108288"/>
        <c:crosses val="max"/>
        <c:crossBetween val="between"/>
      </c:valAx>
      <c:catAx>
        <c:axId val="220108288"/>
        <c:scaling>
          <c:orientation val="minMax"/>
        </c:scaling>
        <c:delete val="1"/>
        <c:axPos val="b"/>
        <c:numFmt formatCode="General" sourceLinked="1"/>
        <c:majorTickMark val="out"/>
        <c:minorTickMark val="none"/>
        <c:tickLblPos val="nextTo"/>
        <c:crossAx val="220097920"/>
        <c:crosses val="autoZero"/>
        <c:auto val="1"/>
        <c:lblAlgn val="ctr"/>
        <c:lblOffset val="100"/>
        <c:noMultiLvlLbl val="0"/>
      </c:catAx>
    </c:plotArea>
    <c:legend>
      <c:legendPos val="r"/>
      <c:layout>
        <c:manualLayout>
          <c:xMode val="edge"/>
          <c:yMode val="edge"/>
          <c:x val="0.30936653431141614"/>
          <c:y val="3.5940640787797094E-2"/>
          <c:w val="0.33946857415568532"/>
          <c:h val="0.1270648107829668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CCD0F45-5A6F-4BF5-90E8-7D90C16A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39</Pages>
  <Words>10912</Words>
  <Characters>62201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Engg_user</dc:creator>
  <cp:lastModifiedBy>Engg_user</cp:lastModifiedBy>
  <cp:revision>232</cp:revision>
  <cp:lastPrinted>2019-09-17T08:39:00Z</cp:lastPrinted>
  <dcterms:created xsi:type="dcterms:W3CDTF">2019-01-01T05:05:00Z</dcterms:created>
  <dcterms:modified xsi:type="dcterms:W3CDTF">2019-09-22T13:04:00Z</dcterms:modified>
</cp:coreProperties>
</file>