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40F1" w:rsidRPr="00380357" w:rsidRDefault="008E40F1" w:rsidP="00D42091">
      <w:pPr>
        <w:pStyle w:val="BCAuthorAddress"/>
        <w:spacing w:after="0" w:line="276" w:lineRule="auto"/>
        <w:contextualSpacing/>
        <w:rPr>
          <w:rFonts w:ascii="Times New Roman" w:hAnsi="Times New Roman"/>
          <w:b/>
          <w:bCs/>
          <w:color w:val="000000" w:themeColor="text1"/>
          <w:sz w:val="40"/>
          <w:szCs w:val="28"/>
        </w:rPr>
      </w:pPr>
      <w:bookmarkStart w:id="0" w:name="_GoBack"/>
      <w:bookmarkEnd w:id="0"/>
      <w:r w:rsidRPr="00380357">
        <w:rPr>
          <w:rFonts w:ascii="Times New Roman" w:hAnsi="Times New Roman"/>
          <w:b/>
          <w:bCs/>
          <w:color w:val="000000" w:themeColor="text1"/>
          <w:sz w:val="40"/>
          <w:szCs w:val="28"/>
        </w:rPr>
        <w:t xml:space="preserve">Systematic multivariate </w:t>
      </w:r>
      <w:r w:rsidRPr="000E015C">
        <w:rPr>
          <w:rFonts w:ascii="Times New Roman" w:hAnsi="Times New Roman"/>
          <w:b/>
          <w:bCs/>
          <w:noProof/>
          <w:color w:val="000000" w:themeColor="text1"/>
          <w:sz w:val="40"/>
          <w:szCs w:val="28"/>
        </w:rPr>
        <w:t>optimisation</w:t>
      </w:r>
      <w:r w:rsidRPr="00380357">
        <w:rPr>
          <w:rFonts w:ascii="Times New Roman" w:hAnsi="Times New Roman"/>
          <w:b/>
          <w:bCs/>
          <w:color w:val="000000" w:themeColor="text1"/>
          <w:sz w:val="40"/>
          <w:szCs w:val="28"/>
        </w:rPr>
        <w:t xml:space="preserve"> of butylene carbonate synthesis </w:t>
      </w:r>
      <w:r w:rsidRPr="00380357">
        <w:rPr>
          <w:rFonts w:ascii="Times New Roman" w:hAnsi="Times New Roman"/>
          <w:b/>
          <w:bCs/>
          <w:i/>
          <w:iCs/>
          <w:color w:val="000000" w:themeColor="text1"/>
          <w:sz w:val="40"/>
          <w:szCs w:val="28"/>
        </w:rPr>
        <w:t>via</w:t>
      </w:r>
      <w:r w:rsidRPr="00380357">
        <w:rPr>
          <w:rFonts w:ascii="Times New Roman" w:hAnsi="Times New Roman"/>
          <w:b/>
          <w:bCs/>
          <w:color w:val="000000" w:themeColor="text1"/>
          <w:sz w:val="40"/>
          <w:szCs w:val="28"/>
        </w:rPr>
        <w:t xml:space="preserve"> CO</w:t>
      </w:r>
      <w:r w:rsidRPr="00380357">
        <w:rPr>
          <w:rFonts w:ascii="Times New Roman" w:hAnsi="Times New Roman"/>
          <w:b/>
          <w:bCs/>
          <w:color w:val="000000" w:themeColor="text1"/>
          <w:sz w:val="40"/>
          <w:szCs w:val="28"/>
          <w:vertAlign w:val="subscript"/>
        </w:rPr>
        <w:t>2</w:t>
      </w:r>
      <w:r w:rsidRPr="00380357">
        <w:rPr>
          <w:rFonts w:ascii="Times New Roman" w:hAnsi="Times New Roman"/>
          <w:b/>
          <w:bCs/>
          <w:color w:val="000000" w:themeColor="text1"/>
          <w:sz w:val="40"/>
          <w:szCs w:val="28"/>
        </w:rPr>
        <w:t xml:space="preserve"> </w:t>
      </w:r>
      <w:r w:rsidRPr="000E015C">
        <w:rPr>
          <w:rFonts w:ascii="Times New Roman" w:hAnsi="Times New Roman"/>
          <w:b/>
          <w:bCs/>
          <w:noProof/>
          <w:color w:val="000000" w:themeColor="text1"/>
          <w:sz w:val="40"/>
          <w:szCs w:val="28"/>
        </w:rPr>
        <w:t>utilisation</w:t>
      </w:r>
      <w:r w:rsidRPr="00380357">
        <w:rPr>
          <w:rFonts w:ascii="Times New Roman" w:hAnsi="Times New Roman"/>
          <w:b/>
          <w:bCs/>
          <w:color w:val="000000" w:themeColor="text1"/>
          <w:sz w:val="40"/>
          <w:szCs w:val="28"/>
        </w:rPr>
        <w:t xml:space="preserve"> using graphene-inorganic nanocomposite catalysts</w:t>
      </w:r>
    </w:p>
    <w:p w:rsidR="00380357" w:rsidRDefault="00380357" w:rsidP="00D42091">
      <w:pPr>
        <w:pStyle w:val="BBAuthorName"/>
        <w:spacing w:after="0" w:line="276" w:lineRule="auto"/>
        <w:contextualSpacing/>
      </w:pPr>
    </w:p>
    <w:p w:rsidR="00380357" w:rsidRDefault="008E40F1" w:rsidP="00D42091">
      <w:pPr>
        <w:pStyle w:val="BBAuthorName"/>
        <w:spacing w:after="0" w:line="276" w:lineRule="auto"/>
        <w:contextualSpacing/>
        <w:rPr>
          <w:rFonts w:ascii="Times New Roman" w:hAnsi="Times New Roman"/>
          <w:color w:val="000000" w:themeColor="text1"/>
          <w:vertAlign w:val="superscript"/>
        </w:rPr>
      </w:pPr>
      <w:r w:rsidRPr="00B6778D">
        <w:t xml:space="preserve">Victor </w:t>
      </w:r>
      <w:r w:rsidR="005F0482" w:rsidRPr="00B6778D">
        <w:t>N</w:t>
      </w:r>
      <w:r w:rsidR="00227457">
        <w:t>nam</w:t>
      </w:r>
      <w:r w:rsidR="005F0482" w:rsidRPr="00B6778D">
        <w:t>di</w:t>
      </w:r>
      <w:r w:rsidRPr="00B6778D">
        <w:t xml:space="preserve"> Onyenkeadi</w:t>
      </w:r>
      <w:r w:rsidR="00D42091">
        <w:rPr>
          <w:vertAlign w:val="superscript"/>
        </w:rPr>
        <w:t>a</w:t>
      </w:r>
      <w:r w:rsidRPr="00B6778D">
        <w:t xml:space="preserve">, </w:t>
      </w:r>
      <w:r w:rsidRPr="00B6778D">
        <w:rPr>
          <w:rFonts w:ascii="Times New Roman" w:hAnsi="Times New Roman"/>
          <w:color w:val="000000" w:themeColor="text1"/>
        </w:rPr>
        <w:t>Omar Aboelazayem</w:t>
      </w:r>
      <w:r w:rsidR="00D42091">
        <w:rPr>
          <w:rFonts w:ascii="Times New Roman" w:hAnsi="Times New Roman"/>
          <w:color w:val="000000" w:themeColor="text1"/>
          <w:vertAlign w:val="superscript"/>
        </w:rPr>
        <w:t>a,b</w:t>
      </w:r>
      <w:r w:rsidR="00380357">
        <w:rPr>
          <w:rFonts w:ascii="Times New Roman" w:hAnsi="Times New Roman"/>
          <w:color w:val="000000" w:themeColor="text1"/>
        </w:rPr>
        <w:t xml:space="preserve"> </w:t>
      </w:r>
      <w:r w:rsidR="00380357" w:rsidRPr="000E015C">
        <w:rPr>
          <w:rFonts w:ascii="Times New Roman" w:hAnsi="Times New Roman"/>
          <w:noProof/>
          <w:color w:val="000000" w:themeColor="text1"/>
        </w:rPr>
        <w:t>and</w:t>
      </w:r>
      <w:r w:rsidR="00380357">
        <w:rPr>
          <w:rFonts w:ascii="Times New Roman" w:hAnsi="Times New Roman"/>
          <w:color w:val="000000" w:themeColor="text1"/>
        </w:rPr>
        <w:t xml:space="preserve"> Basudeb </w:t>
      </w:r>
      <w:r w:rsidR="00380357" w:rsidRPr="000E015C">
        <w:rPr>
          <w:rFonts w:ascii="Times New Roman" w:hAnsi="Times New Roman"/>
          <w:noProof/>
          <w:color w:val="000000" w:themeColor="text1"/>
        </w:rPr>
        <w:t>Saha</w:t>
      </w:r>
      <w:r w:rsidR="00D42091" w:rsidRPr="000E015C">
        <w:rPr>
          <w:rFonts w:ascii="Times New Roman" w:hAnsi="Times New Roman"/>
          <w:noProof/>
          <w:color w:val="000000" w:themeColor="text1"/>
          <w:vertAlign w:val="superscript"/>
        </w:rPr>
        <w:t>a</w:t>
      </w:r>
      <w:r w:rsidR="00380357">
        <w:rPr>
          <w:rStyle w:val="FootnoteReference"/>
          <w:rFonts w:ascii="Times New Roman" w:hAnsi="Times New Roman"/>
          <w:color w:val="000000" w:themeColor="text1"/>
        </w:rPr>
        <w:footnoteReference w:id="1"/>
      </w:r>
    </w:p>
    <w:p w:rsidR="00D42091" w:rsidRPr="00B6778D" w:rsidRDefault="00D42091" w:rsidP="00D42091">
      <w:pPr>
        <w:pStyle w:val="BCAuthorAddress"/>
        <w:spacing w:after="0" w:line="276" w:lineRule="auto"/>
        <w:contextualSpacing/>
        <w:jc w:val="both"/>
        <w:rPr>
          <w:rFonts w:ascii="Times New Roman" w:hAnsi="Times New Roman"/>
          <w:color w:val="000000" w:themeColor="text1"/>
          <w:sz w:val="22"/>
          <w:szCs w:val="22"/>
        </w:rPr>
      </w:pPr>
      <w:r>
        <w:rPr>
          <w:rFonts w:ascii="Times New Roman" w:hAnsi="Times New Roman"/>
          <w:color w:val="000000" w:themeColor="text1"/>
          <w:sz w:val="22"/>
          <w:szCs w:val="22"/>
          <w:vertAlign w:val="superscript"/>
        </w:rPr>
        <w:t>a</w:t>
      </w:r>
      <w:r w:rsidRPr="00B6778D">
        <w:rPr>
          <w:rFonts w:ascii="Times New Roman" w:hAnsi="Times New Roman"/>
          <w:color w:val="000000" w:themeColor="text1"/>
          <w:sz w:val="22"/>
          <w:szCs w:val="22"/>
          <w:vertAlign w:val="superscript"/>
        </w:rPr>
        <w:t xml:space="preserve"> </w:t>
      </w:r>
      <w:r w:rsidRPr="00B6778D">
        <w:rPr>
          <w:rFonts w:ascii="Times New Roman" w:hAnsi="Times New Roman"/>
          <w:color w:val="000000" w:themeColor="text1"/>
          <w:sz w:val="22"/>
          <w:szCs w:val="22"/>
        </w:rPr>
        <w:t>Centre for Energy and Environment Research, School of Engineering, London South Bank University, 103 Borough Road, London, SE1 0AA, UK.</w:t>
      </w:r>
    </w:p>
    <w:p w:rsidR="00D42091" w:rsidRPr="00B6778D" w:rsidRDefault="00D42091" w:rsidP="00D42091">
      <w:pPr>
        <w:pStyle w:val="BCAuthorAddress"/>
        <w:spacing w:after="0" w:line="276" w:lineRule="auto"/>
        <w:contextualSpacing/>
        <w:jc w:val="both"/>
        <w:rPr>
          <w:rFonts w:ascii="Times New Roman" w:hAnsi="Times New Roman"/>
          <w:color w:val="000000" w:themeColor="text1"/>
          <w:sz w:val="22"/>
          <w:szCs w:val="22"/>
        </w:rPr>
      </w:pPr>
      <w:r>
        <w:rPr>
          <w:rFonts w:ascii="Times New Roman" w:hAnsi="Times New Roman"/>
          <w:color w:val="000000" w:themeColor="text1"/>
          <w:sz w:val="22"/>
          <w:szCs w:val="22"/>
          <w:vertAlign w:val="superscript"/>
        </w:rPr>
        <w:t>b</w:t>
      </w:r>
      <w:r w:rsidRPr="00B6778D">
        <w:rPr>
          <w:rFonts w:ascii="Times New Roman" w:hAnsi="Times New Roman"/>
          <w:color w:val="000000" w:themeColor="text1"/>
          <w:sz w:val="22"/>
          <w:szCs w:val="22"/>
          <w:vertAlign w:val="superscript"/>
        </w:rPr>
        <w:t xml:space="preserve"> </w:t>
      </w:r>
      <w:r w:rsidRPr="00B6778D">
        <w:rPr>
          <w:rFonts w:ascii="Times New Roman" w:hAnsi="Times New Roman"/>
          <w:color w:val="000000" w:themeColor="text1"/>
          <w:sz w:val="22"/>
          <w:szCs w:val="22"/>
        </w:rPr>
        <w:t>Department of Chemical Engineering, The British University in Egypt, Misr-Ismalia Road, El-Shorouk City 11837, Cairo, Egypt.</w:t>
      </w:r>
    </w:p>
    <w:p w:rsidR="00D42091" w:rsidRDefault="00D42091" w:rsidP="00D42091">
      <w:pPr>
        <w:pStyle w:val="BDAbstract"/>
        <w:spacing w:before="0" w:after="0" w:line="360" w:lineRule="auto"/>
        <w:contextualSpacing/>
        <w:jc w:val="left"/>
        <w:rPr>
          <w:rFonts w:ascii="Times New Roman" w:hAnsi="Times New Roman"/>
          <w:b/>
          <w:bCs/>
          <w:color w:val="000000" w:themeColor="text1"/>
        </w:rPr>
      </w:pPr>
      <w:r>
        <w:rPr>
          <w:rFonts w:ascii="Times New Roman" w:hAnsi="Times New Roman"/>
          <w:b/>
          <w:bCs/>
          <w:color w:val="000000" w:themeColor="text1"/>
        </w:rPr>
        <w:br w:type="page"/>
      </w:r>
    </w:p>
    <w:p w:rsidR="00D42091" w:rsidRPr="00D42091" w:rsidRDefault="00D42091" w:rsidP="00D42091">
      <w:pPr>
        <w:pStyle w:val="BCAuthorAddress"/>
        <w:sectPr w:rsidR="00D42091" w:rsidRPr="00D42091" w:rsidSect="0049408C">
          <w:footerReference w:type="even" r:id="rId8"/>
          <w:footerReference w:type="default" r:id="rId9"/>
          <w:pgSz w:w="11906" w:h="16838"/>
          <w:pgMar w:top="1440" w:right="1440" w:bottom="1440" w:left="1440" w:header="706" w:footer="706" w:gutter="0"/>
          <w:cols w:space="708"/>
          <w:docGrid w:linePitch="360"/>
        </w:sectPr>
      </w:pPr>
    </w:p>
    <w:p w:rsidR="008E40F1" w:rsidRPr="0049408C" w:rsidRDefault="008E40F1" w:rsidP="0049408C">
      <w:pPr>
        <w:pStyle w:val="Heading1"/>
        <w:rPr>
          <w:rFonts w:ascii="Times New Roman" w:hAnsi="Times New Roman"/>
          <w:b w:val="0"/>
          <w:bCs/>
          <w:color w:val="000000" w:themeColor="text1"/>
        </w:rPr>
      </w:pPr>
      <w:r w:rsidRPr="00247F73">
        <w:rPr>
          <w:rStyle w:val="Heading1Char"/>
          <w:b/>
        </w:rPr>
        <w:lastRenderedPageBreak/>
        <w:t>A</w:t>
      </w:r>
      <w:r w:rsidR="00166DDA" w:rsidRPr="00247F73">
        <w:rPr>
          <w:rStyle w:val="Heading1Char"/>
          <w:b/>
        </w:rPr>
        <w:t>bstract</w:t>
      </w:r>
      <w:r w:rsidR="00D42091" w:rsidRPr="00947B12">
        <w:rPr>
          <w:rStyle w:val="FootnoteReference"/>
          <w:rFonts w:ascii="Times New Roman" w:hAnsi="Times New Roman"/>
          <w:bCs/>
          <w:color w:val="000000" w:themeColor="text1"/>
        </w:rPr>
        <w:footnoteReference w:id="2"/>
      </w:r>
      <w:r w:rsidRPr="00947B12">
        <w:rPr>
          <w:rFonts w:ascii="Times New Roman" w:hAnsi="Times New Roman"/>
          <w:bCs/>
          <w:color w:val="000000" w:themeColor="text1"/>
        </w:rPr>
        <w:t xml:space="preserve"> </w:t>
      </w:r>
    </w:p>
    <w:p w:rsidR="00B027CC" w:rsidRPr="00B027CC" w:rsidRDefault="008E40F1" w:rsidP="004924A1">
      <w:pPr>
        <w:spacing w:line="276" w:lineRule="auto"/>
        <w:jc w:val="both"/>
        <w:rPr>
          <w:noProof/>
        </w:rPr>
      </w:pPr>
      <w:r w:rsidRPr="00B6778D">
        <w:t xml:space="preserve">The synthesis of butylene carbonate (BC) through the reaction of butylene oxide (BO) and carbon dioxide </w:t>
      </w:r>
      <w:r w:rsidR="00E33F5A">
        <w:t>(CO</w:t>
      </w:r>
      <w:r w:rsidR="00E33F5A" w:rsidRPr="00FA2670">
        <w:rPr>
          <w:vertAlign w:val="subscript"/>
        </w:rPr>
        <w:t>2</w:t>
      </w:r>
      <w:r w:rsidR="00E33F5A">
        <w:t xml:space="preserve">) </w:t>
      </w:r>
      <w:r w:rsidRPr="00B6778D">
        <w:t>has been investigated using highly efficient graphene-inorganic heterogeneous catalyst, cerium-</w:t>
      </w:r>
      <w:r w:rsidR="004D17E8" w:rsidRPr="004D17E8">
        <w:rPr>
          <w:noProof/>
        </w:rPr>
        <w:t xml:space="preserve"> </w:t>
      </w:r>
      <w:r w:rsidR="004D17E8" w:rsidRPr="00B6778D">
        <w:rPr>
          <w:noProof/>
        </w:rPr>
        <w:t>lanthana</w:t>
      </w:r>
      <w:r w:rsidR="004D17E8" w:rsidRPr="00B6778D">
        <w:t>-</w:t>
      </w:r>
      <w:r w:rsidRPr="00B6778D">
        <w:t>zirconia and graphene oxide represented as Ce–</w:t>
      </w:r>
      <w:r w:rsidR="004D17E8" w:rsidRPr="004D17E8">
        <w:t xml:space="preserve"> </w:t>
      </w:r>
      <w:r w:rsidR="004D17E8" w:rsidRPr="00B6778D">
        <w:t xml:space="preserve">La– </w:t>
      </w:r>
      <w:r w:rsidRPr="00B6778D">
        <w:t xml:space="preserve">Zr–GO nanocomposite. The systematic multivariate </w:t>
      </w:r>
      <w:r w:rsidRPr="000E015C">
        <w:rPr>
          <w:noProof/>
        </w:rPr>
        <w:t>optimisation</w:t>
      </w:r>
      <w:r w:rsidRPr="00B6778D">
        <w:t xml:space="preserve"> of </w:t>
      </w:r>
      <w:r w:rsidR="00E33F5A">
        <w:t>BC</w:t>
      </w:r>
      <w:r w:rsidRPr="00B6778D">
        <w:t xml:space="preserve"> synthesis </w:t>
      </w:r>
      <w:r w:rsidRPr="0039577A">
        <w:rPr>
          <w:i/>
        </w:rPr>
        <w:t>via</w:t>
      </w:r>
      <w:r w:rsidRPr="00B6778D">
        <w:t xml:space="preserve"> CO</w:t>
      </w:r>
      <w:r w:rsidRPr="008A6299">
        <w:rPr>
          <w:vertAlign w:val="subscript"/>
        </w:rPr>
        <w:t>2</w:t>
      </w:r>
      <w:r w:rsidRPr="00B6778D">
        <w:t xml:space="preserve"> </w:t>
      </w:r>
      <w:r w:rsidRPr="000E015C">
        <w:rPr>
          <w:noProof/>
        </w:rPr>
        <w:t>utilisation</w:t>
      </w:r>
      <w:r w:rsidRPr="00B6778D">
        <w:t xml:space="preserve"> using graphene-inorganic nanocomposite ha</w:t>
      </w:r>
      <w:r w:rsidR="00E33F5A">
        <w:t xml:space="preserve">s been developed </w:t>
      </w:r>
      <w:r w:rsidRPr="00B6778D">
        <w:t xml:space="preserve">using </w:t>
      </w:r>
      <w:r w:rsidR="00B908E2">
        <w:t>B</w:t>
      </w:r>
      <w:r w:rsidRPr="00B6778D">
        <w:t>ox</w:t>
      </w:r>
      <w:r w:rsidR="00E33F5A">
        <w:t>-</w:t>
      </w:r>
      <w:r w:rsidRPr="00B6778D">
        <w:t xml:space="preserve">Behnken </w:t>
      </w:r>
      <w:r w:rsidR="00FA2670">
        <w:t>D</w:t>
      </w:r>
      <w:r w:rsidRPr="00B6778D">
        <w:t>esign (BBD) of Response Surface Methodology</w:t>
      </w:r>
      <w:r w:rsidR="0039577A">
        <w:t xml:space="preserve"> (RSM)</w:t>
      </w:r>
      <w:r w:rsidR="0039577A">
        <w:rPr>
          <w:noProof/>
        </w:rPr>
        <w:t>.</w:t>
      </w:r>
      <w:r w:rsidR="0039577A" w:rsidRPr="0039577A">
        <w:t xml:space="preserve"> </w:t>
      </w:r>
      <w:r w:rsidRPr="00B6778D">
        <w:t>The</w:t>
      </w:r>
      <w:r w:rsidR="00E33F5A">
        <w:t xml:space="preserve"> </w:t>
      </w:r>
      <w:r w:rsidRPr="00B6778D">
        <w:t xml:space="preserve">BBD has been applied to </w:t>
      </w:r>
      <w:r w:rsidRPr="000E015C">
        <w:rPr>
          <w:noProof/>
        </w:rPr>
        <w:t>optimise</w:t>
      </w:r>
      <w:r w:rsidRPr="00B6778D">
        <w:t xml:space="preserve"> the single and interactive effect of four independent reaction variables, i.e. reaction temperature, pressure, cat</w:t>
      </w:r>
      <w:r w:rsidR="0039577A">
        <w:t>alyst loading and reaction time</w:t>
      </w:r>
      <w:r w:rsidRPr="00B6778D">
        <w:t xml:space="preserve"> on the conversion of BO and BC yield. Two quadratic regression models have been developed representing an empirical relationship between each reaction response and all the independent variables. </w:t>
      </w:r>
      <w:r w:rsidRPr="0039577A">
        <w:rPr>
          <w:noProof/>
        </w:rPr>
        <w:t>The predicted</w:t>
      </w:r>
      <w:r w:rsidRPr="00B6778D">
        <w:t xml:space="preserve"> models have been validated statistically and experimentally, where </w:t>
      </w:r>
      <w:r w:rsidR="004924A1">
        <w:t xml:space="preserve">a </w:t>
      </w:r>
      <w:r w:rsidRPr="00B6778D">
        <w:t xml:space="preserve">high agreement </w:t>
      </w:r>
      <w:r w:rsidR="00E33F5A">
        <w:t>has been</w:t>
      </w:r>
      <w:r w:rsidR="00E33F5A" w:rsidRPr="00B6778D">
        <w:t xml:space="preserve"> </w:t>
      </w:r>
      <w:r w:rsidRPr="00B6778D">
        <w:t xml:space="preserve">observed between predicted and experimental results with approximate relative errors of ±1.45% and ±1.52% for both the </w:t>
      </w:r>
      <w:r w:rsidR="004924A1">
        <w:t xml:space="preserve">BO </w:t>
      </w:r>
      <w:r w:rsidRPr="00B6778D">
        <w:t>conversion</w:t>
      </w:r>
      <w:r w:rsidR="00E33F5A">
        <w:t xml:space="preserve"> </w:t>
      </w:r>
      <w:r w:rsidRPr="00B6778D">
        <w:t xml:space="preserve">and </w:t>
      </w:r>
      <w:r w:rsidR="00E33F5A">
        <w:t xml:space="preserve">BC </w:t>
      </w:r>
      <w:r w:rsidRPr="00B6778D">
        <w:t>yield, respectively.</w:t>
      </w:r>
      <w:r w:rsidR="00B027CC" w:rsidRPr="00B027CC">
        <w:t xml:space="preserve"> The</w:t>
      </w:r>
      <w:r w:rsidR="0098634B">
        <w:t xml:space="preserve"> </w:t>
      </w:r>
      <w:r w:rsidR="00E33F5A">
        <w:t>implementation</w:t>
      </w:r>
      <w:r w:rsidR="00B027CC" w:rsidRPr="00B027CC">
        <w:t xml:space="preserve"> of RSM </w:t>
      </w:r>
      <w:r w:rsidR="00B027CC" w:rsidRPr="000E015C">
        <w:rPr>
          <w:noProof/>
        </w:rPr>
        <w:t>optimisation</w:t>
      </w:r>
      <w:r w:rsidR="00B027CC">
        <w:rPr>
          <w:noProof/>
        </w:rPr>
        <w:t xml:space="preserve"> process</w:t>
      </w:r>
      <w:r w:rsidR="0098634B">
        <w:rPr>
          <w:noProof/>
        </w:rPr>
        <w:t xml:space="preserve"> </w:t>
      </w:r>
      <w:r w:rsidR="004924A1">
        <w:rPr>
          <w:noProof/>
        </w:rPr>
        <w:t xml:space="preserve">for the conversion </w:t>
      </w:r>
      <w:r w:rsidR="0098634B">
        <w:rPr>
          <w:noProof/>
        </w:rPr>
        <w:t xml:space="preserve">of BC through the reaction </w:t>
      </w:r>
      <w:r w:rsidR="004924A1">
        <w:rPr>
          <w:noProof/>
        </w:rPr>
        <w:t>between</w:t>
      </w:r>
      <w:r w:rsidR="0098634B">
        <w:rPr>
          <w:noProof/>
        </w:rPr>
        <w:t xml:space="preserve"> BO and CO</w:t>
      </w:r>
      <w:r w:rsidR="0098634B" w:rsidRPr="0098634B">
        <w:rPr>
          <w:noProof/>
          <w:vertAlign w:val="subscript"/>
        </w:rPr>
        <w:t>2</w:t>
      </w:r>
      <w:r w:rsidR="004924A1">
        <w:rPr>
          <w:noProof/>
        </w:rPr>
        <w:t>,</w:t>
      </w:r>
      <w:r w:rsidR="0098634B">
        <w:rPr>
          <w:noProof/>
        </w:rPr>
        <w:t xml:space="preserve"> has </w:t>
      </w:r>
      <w:r w:rsidR="0098634B" w:rsidRPr="0098634B">
        <w:rPr>
          <w:noProof/>
        </w:rPr>
        <w:t>offer</w:t>
      </w:r>
      <w:r w:rsidR="0098634B">
        <w:rPr>
          <w:noProof/>
        </w:rPr>
        <w:t>ed a new direction in green chemi</w:t>
      </w:r>
      <w:r w:rsidR="0049408C">
        <w:rPr>
          <w:noProof/>
        </w:rPr>
        <w:t>cal process</w:t>
      </w:r>
      <w:r w:rsidR="0098634B">
        <w:rPr>
          <w:noProof/>
        </w:rPr>
        <w:t xml:space="preserve">in terms of waste reduction, </w:t>
      </w:r>
      <w:r w:rsidR="0098634B" w:rsidRPr="000E015C">
        <w:rPr>
          <w:noProof/>
        </w:rPr>
        <w:t>maximising</w:t>
      </w:r>
      <w:r w:rsidR="0098634B">
        <w:rPr>
          <w:noProof/>
        </w:rPr>
        <w:t xml:space="preserve"> production </w:t>
      </w:r>
      <w:r w:rsidR="00E33F5A">
        <w:rPr>
          <w:noProof/>
        </w:rPr>
        <w:t xml:space="preserve">of value-added chemicals </w:t>
      </w:r>
      <w:r w:rsidR="0098634B">
        <w:rPr>
          <w:noProof/>
        </w:rPr>
        <w:t xml:space="preserve">and effectively </w:t>
      </w:r>
      <w:r w:rsidR="004924A1">
        <w:rPr>
          <w:noProof/>
        </w:rPr>
        <w:t xml:space="preserve">utilise </w:t>
      </w:r>
      <w:r w:rsidR="0098634B">
        <w:rPr>
          <w:noProof/>
        </w:rPr>
        <w:t>CO</w:t>
      </w:r>
      <w:r w:rsidR="0098634B" w:rsidRPr="0098634B">
        <w:rPr>
          <w:noProof/>
          <w:vertAlign w:val="subscript"/>
        </w:rPr>
        <w:t>2</w:t>
      </w:r>
      <w:r w:rsidR="0098634B">
        <w:rPr>
          <w:noProof/>
        </w:rPr>
        <w:t xml:space="preserve"> </w:t>
      </w:r>
      <w:r w:rsidR="004924A1">
        <w:rPr>
          <w:noProof/>
        </w:rPr>
        <w:t>gas</w:t>
      </w:r>
      <w:r w:rsidR="0049408C">
        <w:rPr>
          <w:noProof/>
        </w:rPr>
        <w:t xml:space="preserve"> emissions</w:t>
      </w:r>
      <w:r w:rsidR="0098634B">
        <w:rPr>
          <w:noProof/>
        </w:rPr>
        <w:t>.</w:t>
      </w:r>
    </w:p>
    <w:p w:rsidR="009324EC" w:rsidRDefault="009324EC" w:rsidP="008E40F1">
      <w:pPr>
        <w:pStyle w:val="BDAbstract"/>
        <w:spacing w:before="0" w:after="0" w:line="276" w:lineRule="auto"/>
        <w:contextualSpacing/>
        <w:jc w:val="left"/>
        <w:rPr>
          <w:rFonts w:ascii="Times New Roman" w:hAnsi="Times New Roman"/>
          <w:b/>
          <w:bCs/>
          <w:color w:val="000000" w:themeColor="text1"/>
        </w:rPr>
      </w:pPr>
    </w:p>
    <w:p w:rsidR="008E40F1" w:rsidRPr="00B6778D" w:rsidRDefault="008E40F1" w:rsidP="008E40F1">
      <w:pPr>
        <w:pStyle w:val="BDAbstract"/>
        <w:spacing w:before="0" w:after="0" w:line="276" w:lineRule="auto"/>
        <w:contextualSpacing/>
        <w:jc w:val="left"/>
        <w:rPr>
          <w:rFonts w:ascii="Times New Roman" w:hAnsi="Times New Roman"/>
          <w:b/>
          <w:bCs/>
          <w:color w:val="000000" w:themeColor="text1"/>
        </w:rPr>
      </w:pPr>
      <w:r w:rsidRPr="00B6778D">
        <w:rPr>
          <w:rFonts w:ascii="Times New Roman" w:hAnsi="Times New Roman"/>
          <w:b/>
          <w:bCs/>
          <w:color w:val="000000" w:themeColor="text1"/>
        </w:rPr>
        <w:t>K</w:t>
      </w:r>
      <w:r w:rsidR="00166DDA" w:rsidRPr="00B6778D">
        <w:rPr>
          <w:rFonts w:ascii="Times New Roman" w:hAnsi="Times New Roman"/>
          <w:b/>
          <w:bCs/>
          <w:color w:val="000000" w:themeColor="text1"/>
        </w:rPr>
        <w:t>eywords</w:t>
      </w:r>
    </w:p>
    <w:p w:rsidR="00FA28D0" w:rsidRDefault="008E40F1">
      <w:pPr>
        <w:pStyle w:val="BGKeywords"/>
        <w:spacing w:after="0" w:line="276" w:lineRule="auto"/>
        <w:contextualSpacing/>
        <w:rPr>
          <w:rFonts w:ascii="Times New Roman" w:hAnsi="Times New Roman"/>
          <w:noProof/>
          <w:color w:val="000000" w:themeColor="text1"/>
          <w:lang w:eastAsia="en-GB"/>
        </w:rPr>
      </w:pPr>
      <w:r w:rsidRPr="00B6778D">
        <w:t>Butylene carbonate</w:t>
      </w:r>
      <w:r w:rsidR="00612D50">
        <w:t>;</w:t>
      </w:r>
      <w:r w:rsidRPr="00B6778D">
        <w:t xml:space="preserve"> Carbon </w:t>
      </w:r>
      <w:r w:rsidR="00E33F5A" w:rsidRPr="00B6778D">
        <w:t xml:space="preserve">dioxide </w:t>
      </w:r>
      <w:r w:rsidR="00E33F5A" w:rsidRPr="00B6778D">
        <w:rPr>
          <w:noProof/>
        </w:rPr>
        <w:t>utilisation</w:t>
      </w:r>
      <w:r w:rsidR="00612D50">
        <w:rPr>
          <w:noProof/>
        </w:rPr>
        <w:t>;</w:t>
      </w:r>
      <w:r w:rsidRPr="00B6778D">
        <w:rPr>
          <w:rFonts w:ascii="Times New Roman" w:hAnsi="Times New Roman"/>
          <w:color w:val="000000" w:themeColor="text1"/>
        </w:rPr>
        <w:t xml:space="preserve"> Optimisatio</w:t>
      </w:r>
      <w:r w:rsidR="00732D4B">
        <w:rPr>
          <w:rFonts w:ascii="Times New Roman" w:hAnsi="Times New Roman"/>
          <w:color w:val="000000" w:themeColor="text1"/>
        </w:rPr>
        <w:t>n</w:t>
      </w:r>
      <w:r w:rsidR="00612D50">
        <w:rPr>
          <w:rFonts w:ascii="Times New Roman" w:hAnsi="Times New Roman"/>
          <w:color w:val="000000" w:themeColor="text1"/>
        </w:rPr>
        <w:t>;</w:t>
      </w:r>
      <w:r w:rsidR="00732D4B">
        <w:rPr>
          <w:rFonts w:ascii="Times New Roman" w:hAnsi="Times New Roman"/>
          <w:color w:val="000000" w:themeColor="text1"/>
        </w:rPr>
        <w:t xml:space="preserve"> </w:t>
      </w:r>
      <w:r w:rsidR="00EA15FA" w:rsidRPr="00B6778D">
        <w:t>Box</w:t>
      </w:r>
      <w:r w:rsidR="00E33F5A">
        <w:t>-</w:t>
      </w:r>
      <w:r w:rsidR="00EA15FA" w:rsidRPr="00B6778D">
        <w:t>Behnken Design (BBD)</w:t>
      </w:r>
      <w:r w:rsidR="00612D50">
        <w:t>;</w:t>
      </w:r>
      <w:r w:rsidR="00E33F5A">
        <w:t xml:space="preserve"> </w:t>
      </w:r>
      <w:r w:rsidR="00732D4B">
        <w:rPr>
          <w:rFonts w:ascii="Times New Roman" w:hAnsi="Times New Roman"/>
          <w:color w:val="000000" w:themeColor="text1"/>
        </w:rPr>
        <w:t xml:space="preserve">Response </w:t>
      </w:r>
      <w:r w:rsidR="00E33F5A">
        <w:rPr>
          <w:rFonts w:ascii="Times New Roman" w:hAnsi="Times New Roman"/>
          <w:color w:val="000000" w:themeColor="text1"/>
        </w:rPr>
        <w:t xml:space="preserve">surface methodology </w:t>
      </w:r>
      <w:r w:rsidR="0039577A">
        <w:rPr>
          <w:rFonts w:ascii="Times New Roman" w:hAnsi="Times New Roman"/>
          <w:color w:val="000000" w:themeColor="text1"/>
        </w:rPr>
        <w:t>(RSM)</w:t>
      </w:r>
      <w:r w:rsidR="00732D4B">
        <w:rPr>
          <w:rFonts w:ascii="Times New Roman" w:hAnsi="Times New Roman"/>
          <w:color w:val="000000" w:themeColor="text1"/>
        </w:rPr>
        <w:t>.</w:t>
      </w:r>
    </w:p>
    <w:p w:rsidR="00FA28D0" w:rsidRDefault="00FA28D0" w:rsidP="008E40F1">
      <w:pPr>
        <w:pStyle w:val="BGKeywords"/>
        <w:spacing w:after="0" w:line="276" w:lineRule="auto"/>
        <w:contextualSpacing/>
        <w:rPr>
          <w:rFonts w:ascii="Times New Roman" w:hAnsi="Times New Roman"/>
          <w:noProof/>
          <w:color w:val="000000" w:themeColor="text1"/>
          <w:lang w:eastAsia="en-GB"/>
        </w:rPr>
      </w:pPr>
    </w:p>
    <w:p w:rsidR="00ED54F1" w:rsidRDefault="00ED54F1" w:rsidP="008E40F1">
      <w:pPr>
        <w:pStyle w:val="BGKeywords"/>
        <w:spacing w:after="0" w:line="276" w:lineRule="auto"/>
        <w:contextualSpacing/>
        <w:rPr>
          <w:rFonts w:ascii="Times New Roman" w:hAnsi="Times New Roman"/>
          <w:color w:val="000000" w:themeColor="text1"/>
        </w:rPr>
      </w:pPr>
    </w:p>
    <w:p w:rsidR="00FA28D0" w:rsidRDefault="00FA28D0" w:rsidP="008E40F1">
      <w:pPr>
        <w:pStyle w:val="BGKeywords"/>
        <w:spacing w:after="0" w:line="276" w:lineRule="auto"/>
        <w:contextualSpacing/>
        <w:rPr>
          <w:rFonts w:ascii="Times New Roman" w:hAnsi="Times New Roman"/>
          <w:color w:val="000000" w:themeColor="text1"/>
        </w:rPr>
      </w:pPr>
    </w:p>
    <w:p w:rsidR="00FA28D0" w:rsidRDefault="00FA28D0" w:rsidP="008E40F1">
      <w:pPr>
        <w:pStyle w:val="BGKeywords"/>
        <w:spacing w:after="0" w:line="276" w:lineRule="auto"/>
        <w:contextualSpacing/>
        <w:rPr>
          <w:rFonts w:ascii="Times New Roman" w:hAnsi="Times New Roman"/>
          <w:color w:val="000000" w:themeColor="text1"/>
        </w:rPr>
      </w:pPr>
    </w:p>
    <w:p w:rsidR="00FA28D0" w:rsidRDefault="00FA28D0" w:rsidP="008E40F1">
      <w:pPr>
        <w:pStyle w:val="BGKeywords"/>
        <w:spacing w:after="0" w:line="276" w:lineRule="auto"/>
        <w:contextualSpacing/>
        <w:rPr>
          <w:rFonts w:ascii="Times New Roman" w:hAnsi="Times New Roman"/>
          <w:color w:val="000000" w:themeColor="text1"/>
        </w:rPr>
      </w:pPr>
    </w:p>
    <w:p w:rsidR="00FA28D0" w:rsidRDefault="00FA28D0" w:rsidP="008E40F1">
      <w:pPr>
        <w:pStyle w:val="BGKeywords"/>
        <w:spacing w:after="0" w:line="276" w:lineRule="auto"/>
        <w:contextualSpacing/>
        <w:rPr>
          <w:rFonts w:ascii="Times New Roman" w:hAnsi="Times New Roman"/>
          <w:color w:val="000000" w:themeColor="text1"/>
        </w:rPr>
      </w:pPr>
    </w:p>
    <w:p w:rsidR="00FA28D0" w:rsidRDefault="00FA28D0" w:rsidP="008E40F1">
      <w:pPr>
        <w:pStyle w:val="BGKeywords"/>
        <w:spacing w:after="0" w:line="276" w:lineRule="auto"/>
        <w:contextualSpacing/>
        <w:rPr>
          <w:rFonts w:ascii="Times New Roman" w:hAnsi="Times New Roman"/>
          <w:color w:val="000000" w:themeColor="text1"/>
        </w:rPr>
      </w:pPr>
    </w:p>
    <w:p w:rsidR="00FA28D0" w:rsidRDefault="00FA28D0" w:rsidP="008E40F1">
      <w:pPr>
        <w:pStyle w:val="BGKeywords"/>
        <w:spacing w:after="0" w:line="276" w:lineRule="auto"/>
        <w:contextualSpacing/>
        <w:rPr>
          <w:rFonts w:ascii="Times New Roman" w:hAnsi="Times New Roman"/>
          <w:color w:val="000000" w:themeColor="text1"/>
        </w:rPr>
      </w:pPr>
    </w:p>
    <w:p w:rsidR="00FA28D0" w:rsidRDefault="00FA28D0" w:rsidP="008E40F1">
      <w:pPr>
        <w:pStyle w:val="BGKeywords"/>
        <w:spacing w:after="0" w:line="276" w:lineRule="auto"/>
        <w:contextualSpacing/>
        <w:rPr>
          <w:rFonts w:ascii="Times New Roman" w:hAnsi="Times New Roman"/>
          <w:color w:val="000000" w:themeColor="text1"/>
        </w:rPr>
      </w:pPr>
    </w:p>
    <w:p w:rsidR="00FA28D0" w:rsidRDefault="00FA28D0" w:rsidP="008E40F1">
      <w:pPr>
        <w:pStyle w:val="BGKeywords"/>
        <w:spacing w:after="0" w:line="276" w:lineRule="auto"/>
        <w:contextualSpacing/>
        <w:rPr>
          <w:rFonts w:ascii="Times New Roman" w:hAnsi="Times New Roman"/>
          <w:color w:val="000000" w:themeColor="text1"/>
        </w:rPr>
      </w:pPr>
    </w:p>
    <w:p w:rsidR="00FA28D0" w:rsidRDefault="00FA28D0" w:rsidP="008E40F1">
      <w:pPr>
        <w:pStyle w:val="BGKeywords"/>
        <w:spacing w:after="0" w:line="276" w:lineRule="auto"/>
        <w:contextualSpacing/>
        <w:rPr>
          <w:rFonts w:ascii="Times New Roman" w:hAnsi="Times New Roman"/>
          <w:color w:val="000000" w:themeColor="text1"/>
        </w:rPr>
      </w:pPr>
    </w:p>
    <w:p w:rsidR="00A7055F" w:rsidRDefault="00A7055F" w:rsidP="00A7055F">
      <w:pPr>
        <w:pStyle w:val="Heading1"/>
      </w:pPr>
      <w:r>
        <w:t>Figures</w:t>
      </w:r>
      <w:r w:rsidR="00ED54F1">
        <w:t xml:space="preserve"> Captions</w:t>
      </w:r>
    </w:p>
    <w:p w:rsidR="001C6EDE" w:rsidRDefault="001C6EDE">
      <w:pPr>
        <w:pStyle w:val="TableofFigures"/>
        <w:tabs>
          <w:tab w:val="right" w:leader="dot" w:pos="9016"/>
        </w:tabs>
        <w:rPr>
          <w:rFonts w:asciiTheme="minorHAnsi" w:eastAsiaTheme="minorEastAsia" w:hAnsiTheme="minorHAnsi" w:cstheme="minorBidi"/>
          <w:noProof/>
          <w:sz w:val="22"/>
          <w:lang w:eastAsia="en-GB"/>
        </w:rPr>
      </w:pPr>
      <w:r>
        <w:fldChar w:fldCharType="begin"/>
      </w:r>
      <w:r>
        <w:instrText xml:space="preserve"> TOC \h \z \c "Figure" </w:instrText>
      </w:r>
      <w:r>
        <w:fldChar w:fldCharType="separate"/>
      </w:r>
      <w:hyperlink w:anchor="_Toc528474665" w:history="1">
        <w:r w:rsidRPr="00000161">
          <w:rPr>
            <w:rStyle w:val="Hyperlink"/>
            <w:noProof/>
          </w:rPr>
          <w:t>Figure 1. Schematic representation of the experimental set-up for the synthesis of styrene carbonate using a high-pressure reactor (Autoclave reactor). Key: RC, reactor controller; IV, inlet valve; TC, thermocouple; PG, pressure gauge; SM, stirring motor; GOV, gas outlet valve; GIV, gas inlet valve; SV, sampling valve; SCFP, supercritical fluid pump; CIV, CO2 inlet valve; CC, CO2 cylinder.</w:t>
        </w:r>
        <w:r>
          <w:rPr>
            <w:noProof/>
            <w:webHidden/>
          </w:rPr>
          <w:tab/>
        </w:r>
        <w:r>
          <w:rPr>
            <w:noProof/>
            <w:webHidden/>
          </w:rPr>
          <w:fldChar w:fldCharType="begin"/>
        </w:r>
        <w:r>
          <w:rPr>
            <w:noProof/>
            <w:webHidden/>
          </w:rPr>
          <w:instrText xml:space="preserve"> PAGEREF _Toc528474665 \h </w:instrText>
        </w:r>
        <w:r>
          <w:rPr>
            <w:noProof/>
            <w:webHidden/>
          </w:rPr>
        </w:r>
        <w:r>
          <w:rPr>
            <w:noProof/>
            <w:webHidden/>
          </w:rPr>
          <w:fldChar w:fldCharType="separate"/>
        </w:r>
        <w:r w:rsidR="004A2E92">
          <w:rPr>
            <w:noProof/>
            <w:webHidden/>
          </w:rPr>
          <w:t>11</w:t>
        </w:r>
        <w:r>
          <w:rPr>
            <w:noProof/>
            <w:webHidden/>
          </w:rPr>
          <w:fldChar w:fldCharType="end"/>
        </w:r>
      </w:hyperlink>
    </w:p>
    <w:p w:rsidR="001C6EDE" w:rsidRDefault="00741074">
      <w:pPr>
        <w:pStyle w:val="TableofFigures"/>
        <w:tabs>
          <w:tab w:val="right" w:leader="dot" w:pos="9016"/>
        </w:tabs>
        <w:rPr>
          <w:rFonts w:asciiTheme="minorHAnsi" w:eastAsiaTheme="minorEastAsia" w:hAnsiTheme="minorHAnsi" w:cstheme="minorBidi"/>
          <w:noProof/>
          <w:sz w:val="22"/>
          <w:lang w:eastAsia="en-GB"/>
        </w:rPr>
      </w:pPr>
      <w:hyperlink w:anchor="_Toc528474666" w:history="1">
        <w:r w:rsidR="001C6EDE" w:rsidRPr="00000161">
          <w:rPr>
            <w:rStyle w:val="Hyperlink"/>
            <w:noProof/>
          </w:rPr>
          <w:t>Figure 2. Synthesis of butylene carbonate (BC) using a Ce-La-Zr/GO catalyst. (a) Reaction scheme and (b) Plausible reaction mechanism.</w:t>
        </w:r>
        <w:r w:rsidR="001C6EDE">
          <w:rPr>
            <w:noProof/>
            <w:webHidden/>
          </w:rPr>
          <w:tab/>
        </w:r>
        <w:r w:rsidR="001C6EDE">
          <w:rPr>
            <w:noProof/>
            <w:webHidden/>
          </w:rPr>
          <w:fldChar w:fldCharType="begin"/>
        </w:r>
        <w:r w:rsidR="001C6EDE">
          <w:rPr>
            <w:noProof/>
            <w:webHidden/>
          </w:rPr>
          <w:instrText xml:space="preserve"> PAGEREF _Toc528474666 \h </w:instrText>
        </w:r>
        <w:r w:rsidR="001C6EDE">
          <w:rPr>
            <w:noProof/>
            <w:webHidden/>
          </w:rPr>
        </w:r>
        <w:r w:rsidR="001C6EDE">
          <w:rPr>
            <w:noProof/>
            <w:webHidden/>
          </w:rPr>
          <w:fldChar w:fldCharType="separate"/>
        </w:r>
        <w:r w:rsidR="004A2E92">
          <w:rPr>
            <w:noProof/>
            <w:webHidden/>
          </w:rPr>
          <w:t>12</w:t>
        </w:r>
        <w:r w:rsidR="001C6EDE">
          <w:rPr>
            <w:noProof/>
            <w:webHidden/>
          </w:rPr>
          <w:fldChar w:fldCharType="end"/>
        </w:r>
      </w:hyperlink>
    </w:p>
    <w:p w:rsidR="001C6EDE" w:rsidRDefault="00741074">
      <w:pPr>
        <w:pStyle w:val="TableofFigures"/>
        <w:tabs>
          <w:tab w:val="right" w:leader="dot" w:pos="9016"/>
        </w:tabs>
        <w:rPr>
          <w:rFonts w:asciiTheme="minorHAnsi" w:eastAsiaTheme="minorEastAsia" w:hAnsiTheme="minorHAnsi" w:cstheme="minorBidi"/>
          <w:noProof/>
          <w:sz w:val="22"/>
          <w:lang w:eastAsia="en-GB"/>
        </w:rPr>
      </w:pPr>
      <w:hyperlink w:anchor="_Toc528474667" w:history="1">
        <w:r w:rsidR="001C6EDE" w:rsidRPr="00000161">
          <w:rPr>
            <w:rStyle w:val="Hyperlink"/>
            <w:noProof/>
          </w:rPr>
          <w:t xml:space="preserve">Figure 3. Predicted </w:t>
        </w:r>
        <w:r w:rsidR="001C6EDE" w:rsidRPr="00000161">
          <w:rPr>
            <w:rStyle w:val="Hyperlink"/>
            <w:i/>
            <w:iCs/>
            <w:noProof/>
          </w:rPr>
          <w:t>versus</w:t>
        </w:r>
        <w:r w:rsidR="001C6EDE" w:rsidRPr="00000161">
          <w:rPr>
            <w:rStyle w:val="Hyperlink"/>
            <w:noProof/>
          </w:rPr>
          <w:t xml:space="preserve"> actual values for (a) BO conversion model (b) and BC yield model</w:t>
        </w:r>
        <w:r w:rsidR="001C6EDE">
          <w:rPr>
            <w:noProof/>
            <w:webHidden/>
          </w:rPr>
          <w:tab/>
        </w:r>
        <w:r w:rsidR="001C6EDE">
          <w:rPr>
            <w:noProof/>
            <w:webHidden/>
          </w:rPr>
          <w:fldChar w:fldCharType="begin"/>
        </w:r>
        <w:r w:rsidR="001C6EDE">
          <w:rPr>
            <w:noProof/>
            <w:webHidden/>
          </w:rPr>
          <w:instrText xml:space="preserve"> PAGEREF _Toc528474667 \h </w:instrText>
        </w:r>
        <w:r w:rsidR="001C6EDE">
          <w:rPr>
            <w:noProof/>
            <w:webHidden/>
          </w:rPr>
        </w:r>
        <w:r w:rsidR="001C6EDE">
          <w:rPr>
            <w:noProof/>
            <w:webHidden/>
          </w:rPr>
          <w:fldChar w:fldCharType="separate"/>
        </w:r>
        <w:r w:rsidR="004A2E92">
          <w:rPr>
            <w:noProof/>
            <w:webHidden/>
          </w:rPr>
          <w:t>15</w:t>
        </w:r>
        <w:r w:rsidR="001C6EDE">
          <w:rPr>
            <w:noProof/>
            <w:webHidden/>
          </w:rPr>
          <w:fldChar w:fldCharType="end"/>
        </w:r>
      </w:hyperlink>
    </w:p>
    <w:p w:rsidR="001C6EDE" w:rsidRDefault="00741074">
      <w:pPr>
        <w:pStyle w:val="TableofFigures"/>
        <w:tabs>
          <w:tab w:val="right" w:leader="dot" w:pos="9016"/>
        </w:tabs>
        <w:rPr>
          <w:rFonts w:asciiTheme="minorHAnsi" w:eastAsiaTheme="minorEastAsia" w:hAnsiTheme="minorHAnsi" w:cstheme="minorBidi"/>
          <w:noProof/>
          <w:sz w:val="22"/>
          <w:lang w:eastAsia="en-GB"/>
        </w:rPr>
      </w:pPr>
      <w:hyperlink w:anchor="_Toc528474668" w:history="1">
        <w:r w:rsidR="001C6EDE" w:rsidRPr="00000161">
          <w:rPr>
            <w:rStyle w:val="Hyperlink"/>
            <w:noProof/>
          </w:rPr>
          <w:t>Figure 4. The normal plot of residuals for (a) BO conversion model and (b) BC yield model</w:t>
        </w:r>
        <w:r w:rsidR="001C6EDE">
          <w:rPr>
            <w:noProof/>
            <w:webHidden/>
          </w:rPr>
          <w:tab/>
        </w:r>
        <w:r w:rsidR="001C6EDE">
          <w:rPr>
            <w:noProof/>
            <w:webHidden/>
          </w:rPr>
          <w:fldChar w:fldCharType="begin"/>
        </w:r>
        <w:r w:rsidR="001C6EDE">
          <w:rPr>
            <w:noProof/>
            <w:webHidden/>
          </w:rPr>
          <w:instrText xml:space="preserve"> PAGEREF _Toc528474668 \h </w:instrText>
        </w:r>
        <w:r w:rsidR="001C6EDE">
          <w:rPr>
            <w:noProof/>
            <w:webHidden/>
          </w:rPr>
        </w:r>
        <w:r w:rsidR="001C6EDE">
          <w:rPr>
            <w:noProof/>
            <w:webHidden/>
          </w:rPr>
          <w:fldChar w:fldCharType="separate"/>
        </w:r>
        <w:r w:rsidR="004A2E92">
          <w:rPr>
            <w:noProof/>
            <w:webHidden/>
          </w:rPr>
          <w:t>16</w:t>
        </w:r>
        <w:r w:rsidR="001C6EDE">
          <w:rPr>
            <w:noProof/>
            <w:webHidden/>
          </w:rPr>
          <w:fldChar w:fldCharType="end"/>
        </w:r>
      </w:hyperlink>
    </w:p>
    <w:p w:rsidR="001C6EDE" w:rsidRDefault="00741074">
      <w:pPr>
        <w:pStyle w:val="TableofFigures"/>
        <w:tabs>
          <w:tab w:val="right" w:leader="dot" w:pos="9016"/>
        </w:tabs>
        <w:rPr>
          <w:rFonts w:asciiTheme="minorHAnsi" w:eastAsiaTheme="minorEastAsia" w:hAnsiTheme="minorHAnsi" w:cstheme="minorBidi"/>
          <w:noProof/>
          <w:sz w:val="22"/>
          <w:lang w:eastAsia="en-GB"/>
        </w:rPr>
      </w:pPr>
      <w:hyperlink w:anchor="_Toc528474669" w:history="1">
        <w:r w:rsidR="001C6EDE" w:rsidRPr="00000161">
          <w:rPr>
            <w:rStyle w:val="Hyperlink"/>
            <w:noProof/>
          </w:rPr>
          <w:t xml:space="preserve">Figure 5. The plot of residuals </w:t>
        </w:r>
        <w:r w:rsidR="001C6EDE" w:rsidRPr="00000161">
          <w:rPr>
            <w:rStyle w:val="Hyperlink"/>
            <w:i/>
            <w:iCs/>
            <w:noProof/>
          </w:rPr>
          <w:t>versus</w:t>
        </w:r>
        <w:r w:rsidR="001C6EDE" w:rsidRPr="00000161">
          <w:rPr>
            <w:rStyle w:val="Hyperlink"/>
            <w:noProof/>
          </w:rPr>
          <w:t xml:space="preserve"> predicted response for (a) BO conversion model and (b) BO yield model</w:t>
        </w:r>
        <w:r w:rsidR="001C6EDE">
          <w:rPr>
            <w:noProof/>
            <w:webHidden/>
          </w:rPr>
          <w:tab/>
        </w:r>
        <w:r w:rsidR="001C6EDE">
          <w:rPr>
            <w:noProof/>
            <w:webHidden/>
          </w:rPr>
          <w:fldChar w:fldCharType="begin"/>
        </w:r>
        <w:r w:rsidR="001C6EDE">
          <w:rPr>
            <w:noProof/>
            <w:webHidden/>
          </w:rPr>
          <w:instrText xml:space="preserve"> PAGEREF _Toc528474669 \h </w:instrText>
        </w:r>
        <w:r w:rsidR="001C6EDE">
          <w:rPr>
            <w:noProof/>
            <w:webHidden/>
          </w:rPr>
        </w:r>
        <w:r w:rsidR="001C6EDE">
          <w:rPr>
            <w:noProof/>
            <w:webHidden/>
          </w:rPr>
          <w:fldChar w:fldCharType="separate"/>
        </w:r>
        <w:r w:rsidR="004A2E92">
          <w:rPr>
            <w:noProof/>
            <w:webHidden/>
          </w:rPr>
          <w:t>16</w:t>
        </w:r>
        <w:r w:rsidR="001C6EDE">
          <w:rPr>
            <w:noProof/>
            <w:webHidden/>
          </w:rPr>
          <w:fldChar w:fldCharType="end"/>
        </w:r>
      </w:hyperlink>
    </w:p>
    <w:p w:rsidR="001C6EDE" w:rsidRDefault="00741074">
      <w:pPr>
        <w:pStyle w:val="TableofFigures"/>
        <w:tabs>
          <w:tab w:val="right" w:leader="dot" w:pos="9016"/>
        </w:tabs>
        <w:rPr>
          <w:rFonts w:asciiTheme="minorHAnsi" w:eastAsiaTheme="minorEastAsia" w:hAnsiTheme="minorHAnsi" w:cstheme="minorBidi"/>
          <w:noProof/>
          <w:sz w:val="22"/>
          <w:lang w:eastAsia="en-GB"/>
        </w:rPr>
      </w:pPr>
      <w:hyperlink w:anchor="_Toc528474670" w:history="1">
        <w:r w:rsidR="001C6EDE" w:rsidRPr="00000161">
          <w:rPr>
            <w:rStyle w:val="Hyperlink"/>
            <w:noProof/>
          </w:rPr>
          <w:t xml:space="preserve">Figure 6. The plot of residuals </w:t>
        </w:r>
        <w:r w:rsidR="001C6EDE" w:rsidRPr="00000161">
          <w:rPr>
            <w:rStyle w:val="Hyperlink"/>
            <w:i/>
            <w:iCs/>
            <w:noProof/>
          </w:rPr>
          <w:t>versus</w:t>
        </w:r>
        <w:r w:rsidR="001C6EDE" w:rsidRPr="00000161">
          <w:rPr>
            <w:rStyle w:val="Hyperlink"/>
            <w:noProof/>
          </w:rPr>
          <w:t xml:space="preserve"> predicted values of temperature variable for (a) BO conversion model and (b) BC yield model</w:t>
        </w:r>
        <w:r w:rsidR="001C6EDE">
          <w:rPr>
            <w:noProof/>
            <w:webHidden/>
          </w:rPr>
          <w:tab/>
        </w:r>
        <w:r w:rsidR="001C6EDE">
          <w:rPr>
            <w:noProof/>
            <w:webHidden/>
          </w:rPr>
          <w:fldChar w:fldCharType="begin"/>
        </w:r>
        <w:r w:rsidR="001C6EDE">
          <w:rPr>
            <w:noProof/>
            <w:webHidden/>
          </w:rPr>
          <w:instrText xml:space="preserve"> PAGEREF _Toc528474670 \h </w:instrText>
        </w:r>
        <w:r w:rsidR="001C6EDE">
          <w:rPr>
            <w:noProof/>
            <w:webHidden/>
          </w:rPr>
        </w:r>
        <w:r w:rsidR="001C6EDE">
          <w:rPr>
            <w:noProof/>
            <w:webHidden/>
          </w:rPr>
          <w:fldChar w:fldCharType="separate"/>
        </w:r>
        <w:r w:rsidR="004A2E92">
          <w:rPr>
            <w:noProof/>
            <w:webHidden/>
          </w:rPr>
          <w:t>17</w:t>
        </w:r>
        <w:r w:rsidR="001C6EDE">
          <w:rPr>
            <w:noProof/>
            <w:webHidden/>
          </w:rPr>
          <w:fldChar w:fldCharType="end"/>
        </w:r>
      </w:hyperlink>
    </w:p>
    <w:p w:rsidR="001C6EDE" w:rsidRDefault="00741074">
      <w:pPr>
        <w:pStyle w:val="TableofFigures"/>
        <w:tabs>
          <w:tab w:val="right" w:leader="dot" w:pos="9016"/>
        </w:tabs>
        <w:rPr>
          <w:rFonts w:asciiTheme="minorHAnsi" w:eastAsiaTheme="minorEastAsia" w:hAnsiTheme="minorHAnsi" w:cstheme="minorBidi"/>
          <w:noProof/>
          <w:sz w:val="22"/>
          <w:lang w:eastAsia="en-GB"/>
        </w:rPr>
      </w:pPr>
      <w:hyperlink w:anchor="_Toc528474671" w:history="1">
        <w:r w:rsidR="001C6EDE" w:rsidRPr="00000161">
          <w:rPr>
            <w:rStyle w:val="Hyperlink"/>
            <w:noProof/>
          </w:rPr>
          <w:t>Figure 7. The plot showing the effect reaction temperature and pressure on BO conversion</w:t>
        </w:r>
        <w:r w:rsidR="001C6EDE">
          <w:rPr>
            <w:noProof/>
            <w:webHidden/>
          </w:rPr>
          <w:tab/>
        </w:r>
        <w:r w:rsidR="001C6EDE">
          <w:rPr>
            <w:noProof/>
            <w:webHidden/>
          </w:rPr>
          <w:fldChar w:fldCharType="begin"/>
        </w:r>
        <w:r w:rsidR="001C6EDE">
          <w:rPr>
            <w:noProof/>
            <w:webHidden/>
          </w:rPr>
          <w:instrText xml:space="preserve"> PAGEREF _Toc528474671 \h </w:instrText>
        </w:r>
        <w:r w:rsidR="001C6EDE">
          <w:rPr>
            <w:noProof/>
            <w:webHidden/>
          </w:rPr>
        </w:r>
        <w:r w:rsidR="001C6EDE">
          <w:rPr>
            <w:noProof/>
            <w:webHidden/>
          </w:rPr>
          <w:fldChar w:fldCharType="separate"/>
        </w:r>
        <w:r w:rsidR="004A2E92">
          <w:rPr>
            <w:noProof/>
            <w:webHidden/>
          </w:rPr>
          <w:t>18</w:t>
        </w:r>
        <w:r w:rsidR="001C6EDE">
          <w:rPr>
            <w:noProof/>
            <w:webHidden/>
          </w:rPr>
          <w:fldChar w:fldCharType="end"/>
        </w:r>
      </w:hyperlink>
    </w:p>
    <w:p w:rsidR="001C6EDE" w:rsidRDefault="00741074">
      <w:pPr>
        <w:pStyle w:val="TableofFigures"/>
        <w:tabs>
          <w:tab w:val="right" w:leader="dot" w:pos="9016"/>
        </w:tabs>
        <w:rPr>
          <w:rFonts w:asciiTheme="minorHAnsi" w:eastAsiaTheme="minorEastAsia" w:hAnsiTheme="minorHAnsi" w:cstheme="minorBidi"/>
          <w:noProof/>
          <w:sz w:val="22"/>
          <w:lang w:eastAsia="en-GB"/>
        </w:rPr>
      </w:pPr>
      <w:hyperlink w:anchor="_Toc528474672" w:history="1">
        <w:r w:rsidR="001C6EDE" w:rsidRPr="00000161">
          <w:rPr>
            <w:rStyle w:val="Hyperlink"/>
            <w:noProof/>
          </w:rPr>
          <w:t>Figure 8. The plot showing the effect of catalyst loading and reaction time on BO conversion</w:t>
        </w:r>
        <w:r w:rsidR="001C6EDE">
          <w:rPr>
            <w:noProof/>
            <w:webHidden/>
          </w:rPr>
          <w:tab/>
        </w:r>
        <w:r w:rsidR="001C6EDE">
          <w:rPr>
            <w:noProof/>
            <w:webHidden/>
          </w:rPr>
          <w:fldChar w:fldCharType="begin"/>
        </w:r>
        <w:r w:rsidR="001C6EDE">
          <w:rPr>
            <w:noProof/>
            <w:webHidden/>
          </w:rPr>
          <w:instrText xml:space="preserve"> PAGEREF _Toc528474672 \h </w:instrText>
        </w:r>
        <w:r w:rsidR="001C6EDE">
          <w:rPr>
            <w:noProof/>
            <w:webHidden/>
          </w:rPr>
        </w:r>
        <w:r w:rsidR="001C6EDE">
          <w:rPr>
            <w:noProof/>
            <w:webHidden/>
          </w:rPr>
          <w:fldChar w:fldCharType="separate"/>
        </w:r>
        <w:r w:rsidR="004A2E92">
          <w:rPr>
            <w:noProof/>
            <w:webHidden/>
          </w:rPr>
          <w:t>18</w:t>
        </w:r>
        <w:r w:rsidR="001C6EDE">
          <w:rPr>
            <w:noProof/>
            <w:webHidden/>
          </w:rPr>
          <w:fldChar w:fldCharType="end"/>
        </w:r>
      </w:hyperlink>
    </w:p>
    <w:p w:rsidR="001C6EDE" w:rsidRDefault="00741074">
      <w:pPr>
        <w:pStyle w:val="TableofFigures"/>
        <w:tabs>
          <w:tab w:val="right" w:leader="dot" w:pos="9016"/>
        </w:tabs>
        <w:rPr>
          <w:rFonts w:asciiTheme="minorHAnsi" w:eastAsiaTheme="minorEastAsia" w:hAnsiTheme="minorHAnsi" w:cstheme="minorBidi"/>
          <w:noProof/>
          <w:sz w:val="22"/>
          <w:lang w:eastAsia="en-GB"/>
        </w:rPr>
      </w:pPr>
      <w:hyperlink w:anchor="_Toc528474673" w:history="1">
        <w:r w:rsidR="001C6EDE" w:rsidRPr="00000161">
          <w:rPr>
            <w:rStyle w:val="Hyperlink"/>
            <w:noProof/>
          </w:rPr>
          <w:t>Figure 9. The plot showing the effect of reaction temperature and pressure on BC yield</w:t>
        </w:r>
        <w:r w:rsidR="001C6EDE">
          <w:rPr>
            <w:noProof/>
            <w:webHidden/>
          </w:rPr>
          <w:tab/>
        </w:r>
        <w:r w:rsidR="001C6EDE">
          <w:rPr>
            <w:noProof/>
            <w:webHidden/>
          </w:rPr>
          <w:fldChar w:fldCharType="begin"/>
        </w:r>
        <w:r w:rsidR="001C6EDE">
          <w:rPr>
            <w:noProof/>
            <w:webHidden/>
          </w:rPr>
          <w:instrText xml:space="preserve"> PAGEREF _Toc528474673 \h </w:instrText>
        </w:r>
        <w:r w:rsidR="001C6EDE">
          <w:rPr>
            <w:noProof/>
            <w:webHidden/>
          </w:rPr>
        </w:r>
        <w:r w:rsidR="001C6EDE">
          <w:rPr>
            <w:noProof/>
            <w:webHidden/>
          </w:rPr>
          <w:fldChar w:fldCharType="separate"/>
        </w:r>
        <w:r w:rsidR="004A2E92">
          <w:rPr>
            <w:noProof/>
            <w:webHidden/>
          </w:rPr>
          <w:t>18</w:t>
        </w:r>
        <w:r w:rsidR="001C6EDE">
          <w:rPr>
            <w:noProof/>
            <w:webHidden/>
          </w:rPr>
          <w:fldChar w:fldCharType="end"/>
        </w:r>
      </w:hyperlink>
    </w:p>
    <w:p w:rsidR="001C6EDE" w:rsidRDefault="00741074">
      <w:pPr>
        <w:pStyle w:val="TableofFigures"/>
        <w:tabs>
          <w:tab w:val="right" w:leader="dot" w:pos="9016"/>
        </w:tabs>
        <w:rPr>
          <w:rFonts w:asciiTheme="minorHAnsi" w:eastAsiaTheme="minorEastAsia" w:hAnsiTheme="minorHAnsi" w:cstheme="minorBidi"/>
          <w:noProof/>
          <w:sz w:val="22"/>
          <w:lang w:eastAsia="en-GB"/>
        </w:rPr>
      </w:pPr>
      <w:hyperlink w:anchor="_Toc528474674" w:history="1">
        <w:r w:rsidR="001C6EDE" w:rsidRPr="00000161">
          <w:rPr>
            <w:rStyle w:val="Hyperlink"/>
            <w:noProof/>
          </w:rPr>
          <w:t>Figure 10. The plot showing the effect of catalyst loading and reaction time on BC yield</w:t>
        </w:r>
        <w:r w:rsidR="001C6EDE">
          <w:rPr>
            <w:noProof/>
            <w:webHidden/>
          </w:rPr>
          <w:tab/>
        </w:r>
        <w:r w:rsidR="001C6EDE">
          <w:rPr>
            <w:noProof/>
            <w:webHidden/>
          </w:rPr>
          <w:fldChar w:fldCharType="begin"/>
        </w:r>
        <w:r w:rsidR="001C6EDE">
          <w:rPr>
            <w:noProof/>
            <w:webHidden/>
          </w:rPr>
          <w:instrText xml:space="preserve"> PAGEREF _Toc528474674 \h </w:instrText>
        </w:r>
        <w:r w:rsidR="001C6EDE">
          <w:rPr>
            <w:noProof/>
            <w:webHidden/>
          </w:rPr>
        </w:r>
        <w:r w:rsidR="001C6EDE">
          <w:rPr>
            <w:noProof/>
            <w:webHidden/>
          </w:rPr>
          <w:fldChar w:fldCharType="separate"/>
        </w:r>
        <w:r w:rsidR="004A2E92">
          <w:rPr>
            <w:noProof/>
            <w:webHidden/>
          </w:rPr>
          <w:t>19</w:t>
        </w:r>
        <w:r w:rsidR="001C6EDE">
          <w:rPr>
            <w:noProof/>
            <w:webHidden/>
          </w:rPr>
          <w:fldChar w:fldCharType="end"/>
        </w:r>
      </w:hyperlink>
    </w:p>
    <w:p w:rsidR="001C6EDE" w:rsidRDefault="00741074">
      <w:pPr>
        <w:pStyle w:val="TableofFigures"/>
        <w:tabs>
          <w:tab w:val="right" w:leader="dot" w:pos="9016"/>
        </w:tabs>
        <w:rPr>
          <w:rFonts w:asciiTheme="minorHAnsi" w:eastAsiaTheme="minorEastAsia" w:hAnsiTheme="minorHAnsi" w:cstheme="minorBidi"/>
          <w:noProof/>
          <w:sz w:val="22"/>
          <w:lang w:eastAsia="en-GB"/>
        </w:rPr>
      </w:pPr>
      <w:hyperlink w:anchor="_Toc528474675" w:history="1">
        <w:r w:rsidR="001C6EDE" w:rsidRPr="00000161">
          <w:rPr>
            <w:rStyle w:val="Hyperlink"/>
            <w:noProof/>
          </w:rPr>
          <w:t xml:space="preserve">Figure 11. 3D response surface and contour plot of reaction temperature and pressure </w:t>
        </w:r>
        <w:r w:rsidR="001C6EDE" w:rsidRPr="00000161">
          <w:rPr>
            <w:rStyle w:val="Hyperlink"/>
            <w:i/>
            <w:iCs/>
            <w:noProof/>
          </w:rPr>
          <w:t>versus</w:t>
        </w:r>
        <w:r w:rsidR="001C6EDE" w:rsidRPr="00000161">
          <w:rPr>
            <w:rStyle w:val="Hyperlink"/>
            <w:noProof/>
          </w:rPr>
          <w:t xml:space="preserve"> BO conversion</w:t>
        </w:r>
        <w:r w:rsidR="001C6EDE">
          <w:rPr>
            <w:noProof/>
            <w:webHidden/>
          </w:rPr>
          <w:tab/>
        </w:r>
        <w:r w:rsidR="001C6EDE">
          <w:rPr>
            <w:noProof/>
            <w:webHidden/>
          </w:rPr>
          <w:fldChar w:fldCharType="begin"/>
        </w:r>
        <w:r w:rsidR="001C6EDE">
          <w:rPr>
            <w:noProof/>
            <w:webHidden/>
          </w:rPr>
          <w:instrText xml:space="preserve"> PAGEREF _Toc528474675 \h </w:instrText>
        </w:r>
        <w:r w:rsidR="001C6EDE">
          <w:rPr>
            <w:noProof/>
            <w:webHidden/>
          </w:rPr>
        </w:r>
        <w:r w:rsidR="001C6EDE">
          <w:rPr>
            <w:noProof/>
            <w:webHidden/>
          </w:rPr>
          <w:fldChar w:fldCharType="separate"/>
        </w:r>
        <w:r w:rsidR="004A2E92">
          <w:rPr>
            <w:noProof/>
            <w:webHidden/>
          </w:rPr>
          <w:t>21</w:t>
        </w:r>
        <w:r w:rsidR="001C6EDE">
          <w:rPr>
            <w:noProof/>
            <w:webHidden/>
          </w:rPr>
          <w:fldChar w:fldCharType="end"/>
        </w:r>
      </w:hyperlink>
    </w:p>
    <w:p w:rsidR="001C6EDE" w:rsidRDefault="00741074">
      <w:pPr>
        <w:pStyle w:val="TableofFigures"/>
        <w:tabs>
          <w:tab w:val="right" w:leader="dot" w:pos="9016"/>
        </w:tabs>
        <w:rPr>
          <w:rFonts w:asciiTheme="minorHAnsi" w:eastAsiaTheme="minorEastAsia" w:hAnsiTheme="minorHAnsi" w:cstheme="minorBidi"/>
          <w:noProof/>
          <w:sz w:val="22"/>
          <w:lang w:eastAsia="en-GB"/>
        </w:rPr>
      </w:pPr>
      <w:hyperlink w:anchor="_Toc528474676" w:history="1">
        <w:r w:rsidR="001C6EDE" w:rsidRPr="00000161">
          <w:rPr>
            <w:rStyle w:val="Hyperlink"/>
            <w:noProof/>
          </w:rPr>
          <w:t xml:space="preserve">Figure 12. 3D response surface and contour plot of reaction temperature and pressure </w:t>
        </w:r>
        <w:r w:rsidR="001C6EDE" w:rsidRPr="00000161">
          <w:rPr>
            <w:rStyle w:val="Hyperlink"/>
            <w:i/>
            <w:iCs/>
            <w:noProof/>
          </w:rPr>
          <w:t>versus</w:t>
        </w:r>
        <w:r w:rsidR="001C6EDE" w:rsidRPr="00000161">
          <w:rPr>
            <w:rStyle w:val="Hyperlink"/>
            <w:noProof/>
          </w:rPr>
          <w:t xml:space="preserve"> BC yield</w:t>
        </w:r>
        <w:r w:rsidR="001C6EDE">
          <w:rPr>
            <w:noProof/>
            <w:webHidden/>
          </w:rPr>
          <w:tab/>
        </w:r>
        <w:r w:rsidR="001C6EDE">
          <w:rPr>
            <w:noProof/>
            <w:webHidden/>
          </w:rPr>
          <w:fldChar w:fldCharType="begin"/>
        </w:r>
        <w:r w:rsidR="001C6EDE">
          <w:rPr>
            <w:noProof/>
            <w:webHidden/>
          </w:rPr>
          <w:instrText xml:space="preserve"> PAGEREF _Toc528474676 \h </w:instrText>
        </w:r>
        <w:r w:rsidR="001C6EDE">
          <w:rPr>
            <w:noProof/>
            <w:webHidden/>
          </w:rPr>
        </w:r>
        <w:r w:rsidR="001C6EDE">
          <w:rPr>
            <w:noProof/>
            <w:webHidden/>
          </w:rPr>
          <w:fldChar w:fldCharType="separate"/>
        </w:r>
        <w:r w:rsidR="004A2E92">
          <w:rPr>
            <w:noProof/>
            <w:webHidden/>
          </w:rPr>
          <w:t>22</w:t>
        </w:r>
        <w:r w:rsidR="001C6EDE">
          <w:rPr>
            <w:noProof/>
            <w:webHidden/>
          </w:rPr>
          <w:fldChar w:fldCharType="end"/>
        </w:r>
      </w:hyperlink>
    </w:p>
    <w:p w:rsidR="001C6EDE" w:rsidRDefault="00741074">
      <w:pPr>
        <w:pStyle w:val="TableofFigures"/>
        <w:tabs>
          <w:tab w:val="right" w:leader="dot" w:pos="9016"/>
        </w:tabs>
        <w:rPr>
          <w:rFonts w:asciiTheme="minorHAnsi" w:eastAsiaTheme="minorEastAsia" w:hAnsiTheme="minorHAnsi" w:cstheme="minorBidi"/>
          <w:noProof/>
          <w:sz w:val="22"/>
          <w:lang w:eastAsia="en-GB"/>
        </w:rPr>
      </w:pPr>
      <w:hyperlink w:anchor="_Toc528474677" w:history="1">
        <w:r w:rsidR="001C6EDE" w:rsidRPr="00000161">
          <w:rPr>
            <w:rStyle w:val="Hyperlink"/>
            <w:noProof/>
          </w:rPr>
          <w:t xml:space="preserve">Figure 13. 3D response surface and contour plot of catalyst loading and reaction time </w:t>
        </w:r>
        <w:r w:rsidR="001C6EDE" w:rsidRPr="00000161">
          <w:rPr>
            <w:rStyle w:val="Hyperlink"/>
            <w:i/>
            <w:iCs/>
            <w:noProof/>
          </w:rPr>
          <w:t>versus</w:t>
        </w:r>
        <w:r w:rsidR="001C6EDE" w:rsidRPr="00000161">
          <w:rPr>
            <w:rStyle w:val="Hyperlink"/>
            <w:noProof/>
          </w:rPr>
          <w:t xml:space="preserve"> BO conversion</w:t>
        </w:r>
        <w:r w:rsidR="001C6EDE">
          <w:rPr>
            <w:noProof/>
            <w:webHidden/>
          </w:rPr>
          <w:tab/>
        </w:r>
        <w:r w:rsidR="001C6EDE">
          <w:rPr>
            <w:noProof/>
            <w:webHidden/>
          </w:rPr>
          <w:fldChar w:fldCharType="begin"/>
        </w:r>
        <w:r w:rsidR="001C6EDE">
          <w:rPr>
            <w:noProof/>
            <w:webHidden/>
          </w:rPr>
          <w:instrText xml:space="preserve"> PAGEREF _Toc528474677 \h </w:instrText>
        </w:r>
        <w:r w:rsidR="001C6EDE">
          <w:rPr>
            <w:noProof/>
            <w:webHidden/>
          </w:rPr>
        </w:r>
        <w:r w:rsidR="001C6EDE">
          <w:rPr>
            <w:noProof/>
            <w:webHidden/>
          </w:rPr>
          <w:fldChar w:fldCharType="separate"/>
        </w:r>
        <w:r w:rsidR="004A2E92">
          <w:rPr>
            <w:noProof/>
            <w:webHidden/>
          </w:rPr>
          <w:t>24</w:t>
        </w:r>
        <w:r w:rsidR="001C6EDE">
          <w:rPr>
            <w:noProof/>
            <w:webHidden/>
          </w:rPr>
          <w:fldChar w:fldCharType="end"/>
        </w:r>
      </w:hyperlink>
    </w:p>
    <w:p w:rsidR="001C6EDE" w:rsidRDefault="00741074">
      <w:pPr>
        <w:pStyle w:val="TableofFigures"/>
        <w:tabs>
          <w:tab w:val="right" w:leader="dot" w:pos="9016"/>
        </w:tabs>
        <w:rPr>
          <w:rFonts w:asciiTheme="minorHAnsi" w:eastAsiaTheme="minorEastAsia" w:hAnsiTheme="minorHAnsi" w:cstheme="minorBidi"/>
          <w:noProof/>
          <w:sz w:val="22"/>
          <w:lang w:eastAsia="en-GB"/>
        </w:rPr>
      </w:pPr>
      <w:hyperlink w:anchor="_Toc528474678" w:history="1">
        <w:r w:rsidR="001C6EDE" w:rsidRPr="00000161">
          <w:rPr>
            <w:rStyle w:val="Hyperlink"/>
            <w:noProof/>
          </w:rPr>
          <w:t xml:space="preserve">Figure 14. 3D response surface and contour plot of catalyst loading and reaction time </w:t>
        </w:r>
        <w:r w:rsidR="001C6EDE" w:rsidRPr="00000161">
          <w:rPr>
            <w:rStyle w:val="Hyperlink"/>
            <w:i/>
            <w:iCs/>
            <w:noProof/>
          </w:rPr>
          <w:t>versus</w:t>
        </w:r>
        <w:r w:rsidR="001C6EDE" w:rsidRPr="00000161">
          <w:rPr>
            <w:rStyle w:val="Hyperlink"/>
            <w:noProof/>
          </w:rPr>
          <w:t xml:space="preserve"> BC yield</w:t>
        </w:r>
        <w:r w:rsidR="001C6EDE">
          <w:rPr>
            <w:noProof/>
            <w:webHidden/>
          </w:rPr>
          <w:tab/>
        </w:r>
        <w:r w:rsidR="001C6EDE">
          <w:rPr>
            <w:noProof/>
            <w:webHidden/>
          </w:rPr>
          <w:fldChar w:fldCharType="begin"/>
        </w:r>
        <w:r w:rsidR="001C6EDE">
          <w:rPr>
            <w:noProof/>
            <w:webHidden/>
          </w:rPr>
          <w:instrText xml:space="preserve"> PAGEREF _Toc528474678 \h </w:instrText>
        </w:r>
        <w:r w:rsidR="001C6EDE">
          <w:rPr>
            <w:noProof/>
            <w:webHidden/>
          </w:rPr>
        </w:r>
        <w:r w:rsidR="001C6EDE">
          <w:rPr>
            <w:noProof/>
            <w:webHidden/>
          </w:rPr>
          <w:fldChar w:fldCharType="separate"/>
        </w:r>
        <w:r w:rsidR="004A2E92">
          <w:rPr>
            <w:noProof/>
            <w:webHidden/>
          </w:rPr>
          <w:t>25</w:t>
        </w:r>
        <w:r w:rsidR="001C6EDE">
          <w:rPr>
            <w:noProof/>
            <w:webHidden/>
          </w:rPr>
          <w:fldChar w:fldCharType="end"/>
        </w:r>
      </w:hyperlink>
    </w:p>
    <w:p w:rsidR="001C6EDE" w:rsidRDefault="00741074">
      <w:pPr>
        <w:pStyle w:val="TableofFigures"/>
        <w:tabs>
          <w:tab w:val="right" w:leader="dot" w:pos="9016"/>
        </w:tabs>
        <w:rPr>
          <w:rFonts w:asciiTheme="minorHAnsi" w:eastAsiaTheme="minorEastAsia" w:hAnsiTheme="minorHAnsi" w:cstheme="minorBidi"/>
          <w:noProof/>
          <w:sz w:val="22"/>
          <w:lang w:eastAsia="en-GB"/>
        </w:rPr>
      </w:pPr>
      <w:hyperlink w:anchor="_Toc528474679" w:history="1">
        <w:r w:rsidR="001C6EDE" w:rsidRPr="00000161">
          <w:rPr>
            <w:rStyle w:val="Hyperlink"/>
            <w:noProof/>
          </w:rPr>
          <w:t>Figure 15. Catalyst reusability studies of Ce-La-Zr/GO on conversion of butylene oxide (BO), selectivity and yield of butylene carbonate (BC) using predicted response surface methodology’s optimum condition of 90 bar, 408 K, 15% (w/w) catalyst loading, stirring speed 300 rpm and reaction time 20 h.</w:t>
        </w:r>
        <w:r w:rsidR="001C6EDE">
          <w:rPr>
            <w:noProof/>
            <w:webHidden/>
          </w:rPr>
          <w:tab/>
        </w:r>
        <w:r w:rsidR="001C6EDE">
          <w:rPr>
            <w:noProof/>
            <w:webHidden/>
          </w:rPr>
          <w:fldChar w:fldCharType="begin"/>
        </w:r>
        <w:r w:rsidR="001C6EDE">
          <w:rPr>
            <w:noProof/>
            <w:webHidden/>
          </w:rPr>
          <w:instrText xml:space="preserve"> PAGEREF _Toc528474679 \h </w:instrText>
        </w:r>
        <w:r w:rsidR="001C6EDE">
          <w:rPr>
            <w:noProof/>
            <w:webHidden/>
          </w:rPr>
        </w:r>
        <w:r w:rsidR="001C6EDE">
          <w:rPr>
            <w:noProof/>
            <w:webHidden/>
          </w:rPr>
          <w:fldChar w:fldCharType="separate"/>
        </w:r>
        <w:r w:rsidR="004A2E92">
          <w:rPr>
            <w:noProof/>
            <w:webHidden/>
          </w:rPr>
          <w:t>28</w:t>
        </w:r>
        <w:r w:rsidR="001C6EDE">
          <w:rPr>
            <w:noProof/>
            <w:webHidden/>
          </w:rPr>
          <w:fldChar w:fldCharType="end"/>
        </w:r>
      </w:hyperlink>
    </w:p>
    <w:p w:rsidR="00ED54F1" w:rsidRDefault="001C6EDE" w:rsidP="00ED54F1">
      <w:r>
        <w:lastRenderedPageBreak/>
        <w:fldChar w:fldCharType="end"/>
      </w:r>
    </w:p>
    <w:p w:rsidR="008E40F1" w:rsidRDefault="00A7055F" w:rsidP="00ED54F1">
      <w:pPr>
        <w:pStyle w:val="Heading1"/>
      </w:pPr>
      <w:r>
        <w:t xml:space="preserve">Tables </w:t>
      </w:r>
      <w:r w:rsidR="00ED54F1">
        <w:t>Captions</w:t>
      </w:r>
    </w:p>
    <w:p w:rsidR="001C6EDE" w:rsidRPr="00FA2670" w:rsidRDefault="001C6EDE">
      <w:pPr>
        <w:pStyle w:val="TableofFigures"/>
        <w:tabs>
          <w:tab w:val="right" w:leader="dot" w:pos="9016"/>
        </w:tabs>
        <w:rPr>
          <w:rFonts w:asciiTheme="minorHAnsi" w:eastAsiaTheme="minorEastAsia" w:hAnsiTheme="minorHAnsi" w:cstheme="minorBidi"/>
          <w:b/>
          <w:noProof/>
          <w:sz w:val="22"/>
          <w:lang w:eastAsia="en-GB"/>
        </w:rPr>
      </w:pPr>
      <w:r w:rsidRPr="00FA2670">
        <w:fldChar w:fldCharType="begin"/>
      </w:r>
      <w:r w:rsidRPr="00FA2670">
        <w:instrText xml:space="preserve"> TOC \h \z \c "Table" </w:instrText>
      </w:r>
      <w:r w:rsidRPr="00FA2670">
        <w:fldChar w:fldCharType="separate"/>
      </w:r>
      <w:hyperlink w:anchor="_Toc528474721" w:history="1">
        <w:r w:rsidRPr="00FA2670">
          <w:rPr>
            <w:rStyle w:val="Hyperlink"/>
            <w:b/>
            <w:noProof/>
          </w:rPr>
          <w:t xml:space="preserve">Table 1. </w:t>
        </w:r>
        <w:r w:rsidRPr="00FA2670">
          <w:rPr>
            <w:rStyle w:val="Hyperlink"/>
            <w:noProof/>
          </w:rPr>
          <w:t>Physical and chemical properties of synthesised ceria, lanthana doped zirconia (Ce-La-Zr-O) and ceria, lanthana, zirconia doped graphene (Ce-La-Zr/GO) inorganic nanocomposite catalysts</w:t>
        </w:r>
        <w:r w:rsidRPr="00FA2670">
          <w:rPr>
            <w:noProof/>
            <w:webHidden/>
          </w:rPr>
          <w:tab/>
        </w:r>
        <w:r w:rsidRPr="00FA2670">
          <w:rPr>
            <w:noProof/>
            <w:webHidden/>
          </w:rPr>
          <w:fldChar w:fldCharType="begin"/>
        </w:r>
        <w:r w:rsidRPr="00FA2670">
          <w:rPr>
            <w:noProof/>
            <w:webHidden/>
          </w:rPr>
          <w:instrText xml:space="preserve"> PAGEREF _Toc528474721 \h </w:instrText>
        </w:r>
        <w:r w:rsidRPr="00FA2670">
          <w:rPr>
            <w:noProof/>
            <w:webHidden/>
          </w:rPr>
        </w:r>
        <w:r w:rsidRPr="00FA2670">
          <w:rPr>
            <w:noProof/>
            <w:webHidden/>
          </w:rPr>
          <w:fldChar w:fldCharType="separate"/>
        </w:r>
        <w:r w:rsidR="004A2E92">
          <w:rPr>
            <w:noProof/>
            <w:webHidden/>
          </w:rPr>
          <w:t>7</w:t>
        </w:r>
        <w:r w:rsidRPr="00FA2670">
          <w:rPr>
            <w:noProof/>
            <w:webHidden/>
          </w:rPr>
          <w:fldChar w:fldCharType="end"/>
        </w:r>
      </w:hyperlink>
    </w:p>
    <w:p w:rsidR="001C6EDE" w:rsidRPr="00FA2670" w:rsidRDefault="00741074">
      <w:pPr>
        <w:pStyle w:val="TableofFigures"/>
        <w:tabs>
          <w:tab w:val="right" w:leader="dot" w:pos="9016"/>
        </w:tabs>
        <w:rPr>
          <w:rFonts w:asciiTheme="minorHAnsi" w:eastAsiaTheme="minorEastAsia" w:hAnsiTheme="minorHAnsi" w:cstheme="minorBidi"/>
          <w:noProof/>
          <w:sz w:val="22"/>
          <w:lang w:eastAsia="en-GB"/>
        </w:rPr>
      </w:pPr>
      <w:hyperlink w:anchor="_Toc528474722" w:history="1">
        <w:r w:rsidR="001C6EDE" w:rsidRPr="00FA2670">
          <w:rPr>
            <w:rStyle w:val="Hyperlink"/>
            <w:b/>
            <w:noProof/>
          </w:rPr>
          <w:t>Table 2</w:t>
        </w:r>
        <w:r w:rsidR="001C6EDE" w:rsidRPr="00FA2670">
          <w:rPr>
            <w:rStyle w:val="Hyperlink"/>
            <w:noProof/>
          </w:rPr>
          <w:t>. Experimental design variables and their coded levels</w:t>
        </w:r>
        <w:r w:rsidR="001C6EDE" w:rsidRPr="00FA2670">
          <w:rPr>
            <w:noProof/>
            <w:webHidden/>
          </w:rPr>
          <w:tab/>
        </w:r>
        <w:r w:rsidR="001C6EDE" w:rsidRPr="00FA2670">
          <w:rPr>
            <w:noProof/>
            <w:webHidden/>
          </w:rPr>
          <w:fldChar w:fldCharType="begin"/>
        </w:r>
        <w:r w:rsidR="001C6EDE" w:rsidRPr="00FA2670">
          <w:rPr>
            <w:noProof/>
            <w:webHidden/>
          </w:rPr>
          <w:instrText xml:space="preserve"> PAGEREF _Toc528474722 \h </w:instrText>
        </w:r>
        <w:r w:rsidR="001C6EDE" w:rsidRPr="00FA2670">
          <w:rPr>
            <w:noProof/>
            <w:webHidden/>
          </w:rPr>
        </w:r>
        <w:r w:rsidR="001C6EDE" w:rsidRPr="00FA2670">
          <w:rPr>
            <w:noProof/>
            <w:webHidden/>
          </w:rPr>
          <w:fldChar w:fldCharType="separate"/>
        </w:r>
        <w:r w:rsidR="004A2E92">
          <w:rPr>
            <w:noProof/>
            <w:webHidden/>
          </w:rPr>
          <w:t>7</w:t>
        </w:r>
        <w:r w:rsidR="001C6EDE" w:rsidRPr="00FA2670">
          <w:rPr>
            <w:noProof/>
            <w:webHidden/>
          </w:rPr>
          <w:fldChar w:fldCharType="end"/>
        </w:r>
      </w:hyperlink>
    </w:p>
    <w:p w:rsidR="001C6EDE" w:rsidRPr="00FA2670" w:rsidRDefault="00741074">
      <w:pPr>
        <w:pStyle w:val="TableofFigures"/>
        <w:tabs>
          <w:tab w:val="right" w:leader="dot" w:pos="9016"/>
        </w:tabs>
        <w:rPr>
          <w:rFonts w:asciiTheme="minorHAnsi" w:eastAsiaTheme="minorEastAsia" w:hAnsiTheme="minorHAnsi" w:cstheme="minorBidi"/>
          <w:noProof/>
          <w:sz w:val="22"/>
          <w:lang w:eastAsia="en-GB"/>
        </w:rPr>
      </w:pPr>
      <w:hyperlink w:anchor="_Toc528474723" w:history="1">
        <w:r w:rsidR="001C6EDE" w:rsidRPr="00FA2670">
          <w:rPr>
            <w:rStyle w:val="Hyperlink"/>
            <w:b/>
            <w:noProof/>
          </w:rPr>
          <w:t>Table 3</w:t>
        </w:r>
        <w:r w:rsidR="001C6EDE" w:rsidRPr="00FA2670">
          <w:rPr>
            <w:rStyle w:val="Hyperlink"/>
            <w:noProof/>
          </w:rPr>
          <w:t>. Experimental design matrix with the actual and predicted responses</w:t>
        </w:r>
        <w:r w:rsidR="001C6EDE" w:rsidRPr="00FA2670">
          <w:rPr>
            <w:noProof/>
            <w:webHidden/>
          </w:rPr>
          <w:tab/>
        </w:r>
        <w:r w:rsidR="001C6EDE" w:rsidRPr="00FA2670">
          <w:rPr>
            <w:noProof/>
            <w:webHidden/>
          </w:rPr>
          <w:fldChar w:fldCharType="begin"/>
        </w:r>
        <w:r w:rsidR="001C6EDE" w:rsidRPr="00FA2670">
          <w:rPr>
            <w:noProof/>
            <w:webHidden/>
          </w:rPr>
          <w:instrText xml:space="preserve"> PAGEREF _Toc528474723 \h </w:instrText>
        </w:r>
        <w:r w:rsidR="001C6EDE" w:rsidRPr="00FA2670">
          <w:rPr>
            <w:noProof/>
            <w:webHidden/>
          </w:rPr>
        </w:r>
        <w:r w:rsidR="001C6EDE" w:rsidRPr="00FA2670">
          <w:rPr>
            <w:noProof/>
            <w:webHidden/>
          </w:rPr>
          <w:fldChar w:fldCharType="separate"/>
        </w:r>
        <w:r w:rsidR="004A2E92">
          <w:rPr>
            <w:noProof/>
            <w:webHidden/>
          </w:rPr>
          <w:t>9</w:t>
        </w:r>
        <w:r w:rsidR="001C6EDE" w:rsidRPr="00FA2670">
          <w:rPr>
            <w:noProof/>
            <w:webHidden/>
          </w:rPr>
          <w:fldChar w:fldCharType="end"/>
        </w:r>
      </w:hyperlink>
    </w:p>
    <w:p w:rsidR="001C6EDE" w:rsidRPr="00FA2670" w:rsidRDefault="00741074">
      <w:pPr>
        <w:pStyle w:val="TableofFigures"/>
        <w:tabs>
          <w:tab w:val="right" w:leader="dot" w:pos="9016"/>
        </w:tabs>
        <w:rPr>
          <w:rFonts w:asciiTheme="minorHAnsi" w:eastAsiaTheme="minorEastAsia" w:hAnsiTheme="minorHAnsi" w:cstheme="minorBidi"/>
          <w:noProof/>
          <w:sz w:val="22"/>
          <w:lang w:eastAsia="en-GB"/>
        </w:rPr>
      </w:pPr>
      <w:hyperlink w:anchor="_Toc528474724" w:history="1">
        <w:r w:rsidR="001C6EDE" w:rsidRPr="00FA2670">
          <w:rPr>
            <w:rStyle w:val="Hyperlink"/>
            <w:b/>
            <w:noProof/>
          </w:rPr>
          <w:t>Table 4</w:t>
        </w:r>
        <w:r w:rsidR="001C6EDE" w:rsidRPr="00FA2670">
          <w:rPr>
            <w:rStyle w:val="Hyperlink"/>
            <w:noProof/>
          </w:rPr>
          <w:t>. Analysis of variance of developed model for BO conversion</w:t>
        </w:r>
        <w:r w:rsidR="001C6EDE" w:rsidRPr="00FA2670">
          <w:rPr>
            <w:noProof/>
            <w:webHidden/>
          </w:rPr>
          <w:tab/>
        </w:r>
        <w:r w:rsidR="001C6EDE" w:rsidRPr="00FA2670">
          <w:rPr>
            <w:noProof/>
            <w:webHidden/>
          </w:rPr>
          <w:fldChar w:fldCharType="begin"/>
        </w:r>
        <w:r w:rsidR="001C6EDE" w:rsidRPr="00FA2670">
          <w:rPr>
            <w:noProof/>
            <w:webHidden/>
          </w:rPr>
          <w:instrText xml:space="preserve"> PAGEREF _Toc528474724 \h </w:instrText>
        </w:r>
        <w:r w:rsidR="001C6EDE" w:rsidRPr="00FA2670">
          <w:rPr>
            <w:noProof/>
            <w:webHidden/>
          </w:rPr>
        </w:r>
        <w:r w:rsidR="001C6EDE" w:rsidRPr="00FA2670">
          <w:rPr>
            <w:noProof/>
            <w:webHidden/>
          </w:rPr>
          <w:fldChar w:fldCharType="separate"/>
        </w:r>
        <w:r w:rsidR="004A2E92">
          <w:rPr>
            <w:noProof/>
            <w:webHidden/>
          </w:rPr>
          <w:t>14</w:t>
        </w:r>
        <w:r w:rsidR="001C6EDE" w:rsidRPr="00FA2670">
          <w:rPr>
            <w:noProof/>
            <w:webHidden/>
          </w:rPr>
          <w:fldChar w:fldCharType="end"/>
        </w:r>
      </w:hyperlink>
    </w:p>
    <w:p w:rsidR="001C6EDE" w:rsidRPr="00FA2670" w:rsidRDefault="00741074">
      <w:pPr>
        <w:pStyle w:val="TableofFigures"/>
        <w:tabs>
          <w:tab w:val="right" w:leader="dot" w:pos="9016"/>
        </w:tabs>
        <w:rPr>
          <w:rFonts w:asciiTheme="minorHAnsi" w:eastAsiaTheme="minorEastAsia" w:hAnsiTheme="minorHAnsi" w:cstheme="minorBidi"/>
          <w:noProof/>
          <w:sz w:val="22"/>
          <w:lang w:eastAsia="en-GB"/>
        </w:rPr>
      </w:pPr>
      <w:hyperlink w:anchor="_Toc528474725" w:history="1">
        <w:r w:rsidR="001C6EDE" w:rsidRPr="00FA2670">
          <w:rPr>
            <w:rStyle w:val="Hyperlink"/>
            <w:b/>
            <w:noProof/>
          </w:rPr>
          <w:t>Table 5</w:t>
        </w:r>
        <w:r w:rsidR="001C6EDE" w:rsidRPr="00FA2670">
          <w:rPr>
            <w:rStyle w:val="Hyperlink"/>
            <w:noProof/>
          </w:rPr>
          <w:t>. Analysis of variance of developed model for BC yield</w:t>
        </w:r>
        <w:r w:rsidR="001C6EDE" w:rsidRPr="00FA2670">
          <w:rPr>
            <w:noProof/>
            <w:webHidden/>
          </w:rPr>
          <w:tab/>
        </w:r>
        <w:r w:rsidR="001C6EDE" w:rsidRPr="00FA2670">
          <w:rPr>
            <w:noProof/>
            <w:webHidden/>
          </w:rPr>
          <w:fldChar w:fldCharType="begin"/>
        </w:r>
        <w:r w:rsidR="001C6EDE" w:rsidRPr="00FA2670">
          <w:rPr>
            <w:noProof/>
            <w:webHidden/>
          </w:rPr>
          <w:instrText xml:space="preserve"> PAGEREF _Toc528474725 \h </w:instrText>
        </w:r>
        <w:r w:rsidR="001C6EDE" w:rsidRPr="00FA2670">
          <w:rPr>
            <w:noProof/>
            <w:webHidden/>
          </w:rPr>
        </w:r>
        <w:r w:rsidR="001C6EDE" w:rsidRPr="00FA2670">
          <w:rPr>
            <w:noProof/>
            <w:webHidden/>
          </w:rPr>
          <w:fldChar w:fldCharType="separate"/>
        </w:r>
        <w:r w:rsidR="004A2E92">
          <w:rPr>
            <w:noProof/>
            <w:webHidden/>
          </w:rPr>
          <w:t>14</w:t>
        </w:r>
        <w:r w:rsidR="001C6EDE" w:rsidRPr="00FA2670">
          <w:rPr>
            <w:noProof/>
            <w:webHidden/>
          </w:rPr>
          <w:fldChar w:fldCharType="end"/>
        </w:r>
      </w:hyperlink>
    </w:p>
    <w:p w:rsidR="001C6EDE" w:rsidRPr="00FA2670" w:rsidRDefault="00741074">
      <w:pPr>
        <w:pStyle w:val="TableofFigures"/>
        <w:tabs>
          <w:tab w:val="right" w:leader="dot" w:pos="9016"/>
        </w:tabs>
        <w:rPr>
          <w:rFonts w:asciiTheme="minorHAnsi" w:eastAsiaTheme="minorEastAsia" w:hAnsiTheme="minorHAnsi" w:cstheme="minorBidi"/>
          <w:noProof/>
          <w:sz w:val="22"/>
          <w:lang w:eastAsia="en-GB"/>
        </w:rPr>
      </w:pPr>
      <w:hyperlink w:anchor="_Toc528474726" w:history="1">
        <w:r w:rsidR="001C6EDE" w:rsidRPr="00FA2670">
          <w:rPr>
            <w:rStyle w:val="Hyperlink"/>
            <w:b/>
            <w:noProof/>
          </w:rPr>
          <w:t>Table 6</w:t>
        </w:r>
        <w:r w:rsidR="001C6EDE" w:rsidRPr="00FA2670">
          <w:rPr>
            <w:rStyle w:val="Hyperlink"/>
            <w:noProof/>
          </w:rPr>
          <w:t>. Optimisation constraints used to predict optimum conditions for butylene carbonate</w:t>
        </w:r>
        <w:r w:rsidR="001C6EDE" w:rsidRPr="00FA2670">
          <w:rPr>
            <w:noProof/>
            <w:webHidden/>
          </w:rPr>
          <w:tab/>
        </w:r>
        <w:r w:rsidR="001C6EDE" w:rsidRPr="00FA2670">
          <w:rPr>
            <w:noProof/>
            <w:webHidden/>
          </w:rPr>
          <w:fldChar w:fldCharType="begin"/>
        </w:r>
        <w:r w:rsidR="001C6EDE" w:rsidRPr="00FA2670">
          <w:rPr>
            <w:noProof/>
            <w:webHidden/>
          </w:rPr>
          <w:instrText xml:space="preserve"> PAGEREF _Toc528474726 \h </w:instrText>
        </w:r>
        <w:r w:rsidR="001C6EDE" w:rsidRPr="00FA2670">
          <w:rPr>
            <w:noProof/>
            <w:webHidden/>
          </w:rPr>
        </w:r>
        <w:r w:rsidR="001C6EDE" w:rsidRPr="00FA2670">
          <w:rPr>
            <w:noProof/>
            <w:webHidden/>
          </w:rPr>
          <w:fldChar w:fldCharType="separate"/>
        </w:r>
        <w:r w:rsidR="004A2E92">
          <w:rPr>
            <w:noProof/>
            <w:webHidden/>
          </w:rPr>
          <w:t>27</w:t>
        </w:r>
        <w:r w:rsidR="001C6EDE" w:rsidRPr="00FA2670">
          <w:rPr>
            <w:noProof/>
            <w:webHidden/>
          </w:rPr>
          <w:fldChar w:fldCharType="end"/>
        </w:r>
      </w:hyperlink>
    </w:p>
    <w:p w:rsidR="00ED54F1" w:rsidRDefault="001C6EDE">
      <w:pPr>
        <w:spacing w:after="200" w:line="276" w:lineRule="auto"/>
      </w:pPr>
      <w:r w:rsidRPr="00FA2670">
        <w:fldChar w:fldCharType="end"/>
      </w:r>
      <w:r w:rsidR="00ED54F1">
        <w:br w:type="page"/>
      </w:r>
    </w:p>
    <w:p w:rsidR="006F6FCA" w:rsidRDefault="006F6FCA" w:rsidP="00FB6D14">
      <w:pPr>
        <w:pStyle w:val="Heading1"/>
        <w:sectPr w:rsidR="006F6FCA" w:rsidSect="0049408C">
          <w:footerReference w:type="default" r:id="rId10"/>
          <w:footerReference w:type="first" r:id="rId11"/>
          <w:footnotePr>
            <w:numFmt w:val="chicago"/>
          </w:footnotePr>
          <w:type w:val="continuous"/>
          <w:pgSz w:w="11906" w:h="16838"/>
          <w:pgMar w:top="1440" w:right="1440" w:bottom="1440" w:left="1440" w:header="706" w:footer="706" w:gutter="0"/>
          <w:pgNumType w:start="2"/>
          <w:cols w:space="708"/>
          <w:docGrid w:linePitch="360"/>
        </w:sectPr>
      </w:pPr>
    </w:p>
    <w:p w:rsidR="0003079F" w:rsidRPr="00B6778D" w:rsidRDefault="000A2167" w:rsidP="00FB6D14">
      <w:pPr>
        <w:pStyle w:val="Heading1"/>
      </w:pPr>
      <w:r>
        <w:lastRenderedPageBreak/>
        <w:t>1.</w:t>
      </w:r>
      <w:r w:rsidR="00FB6D14">
        <w:t xml:space="preserve"> </w:t>
      </w:r>
      <w:r w:rsidR="00133C55" w:rsidRPr="00B6778D">
        <w:t>Introduction</w:t>
      </w:r>
    </w:p>
    <w:p w:rsidR="0003079F" w:rsidRPr="00B6778D" w:rsidRDefault="0003079F">
      <w:pPr>
        <w:jc w:val="both"/>
        <w:rPr>
          <w:rFonts w:ascii="Times" w:eastAsia="Times New Roman" w:hAnsi="Times"/>
          <w:b/>
          <w:szCs w:val="20"/>
        </w:rPr>
      </w:pPr>
      <w:r w:rsidRPr="00B6778D">
        <w:t>The rapid deterioration of the global environment due to continuous releas</w:t>
      </w:r>
      <w:r w:rsidR="00D22FA4">
        <w:t xml:space="preserve">e </w:t>
      </w:r>
      <w:r w:rsidRPr="00B6778D">
        <w:t>of CO</w:t>
      </w:r>
      <w:r w:rsidRPr="00B6778D">
        <w:rPr>
          <w:vertAlign w:val="subscript"/>
        </w:rPr>
        <w:t>2</w:t>
      </w:r>
      <w:r w:rsidRPr="00B6778D">
        <w:t xml:space="preserve"> into the atmosphere is </w:t>
      </w:r>
      <w:r w:rsidR="00E33F5A">
        <w:t xml:space="preserve">considered as a global </w:t>
      </w:r>
      <w:r w:rsidRPr="00B6778D">
        <w:t>concern</w:t>
      </w:r>
      <w:r w:rsidR="00064DA0">
        <w:t xml:space="preserve"> for protection of environment</w:t>
      </w:r>
      <w:r w:rsidR="00E33F5A">
        <w:t>.</w:t>
      </w:r>
      <w:r w:rsidRPr="00B6778D">
        <w:t xml:space="preserve"> </w:t>
      </w:r>
      <w:r w:rsidR="00E33F5A">
        <w:t xml:space="preserve">Hence, </w:t>
      </w:r>
      <w:r w:rsidR="002470F6" w:rsidRPr="002470F6">
        <w:rPr>
          <w:noProof/>
        </w:rPr>
        <w:t xml:space="preserve">there is a </w:t>
      </w:r>
      <w:r w:rsidR="00E33F5A">
        <w:rPr>
          <w:noProof/>
        </w:rPr>
        <w:t>wide intentions</w:t>
      </w:r>
      <w:r w:rsidR="00E33F5A" w:rsidRPr="002470F6">
        <w:rPr>
          <w:noProof/>
        </w:rPr>
        <w:t xml:space="preserve"> </w:t>
      </w:r>
      <w:r w:rsidR="002470F6" w:rsidRPr="002470F6">
        <w:rPr>
          <w:noProof/>
        </w:rPr>
        <w:t>for the emission of CO</w:t>
      </w:r>
      <w:r w:rsidR="002470F6" w:rsidRPr="002470F6">
        <w:rPr>
          <w:noProof/>
          <w:vertAlign w:val="subscript"/>
        </w:rPr>
        <w:t>2</w:t>
      </w:r>
      <w:r w:rsidR="002470F6" w:rsidRPr="002470F6">
        <w:rPr>
          <w:noProof/>
        </w:rPr>
        <w:t xml:space="preserve"> to be drastically reduced</w:t>
      </w:r>
      <w:r w:rsidRPr="002470F6">
        <w:rPr>
          <w:noProof/>
        </w:rPr>
        <w:t>.</w:t>
      </w:r>
      <w:r w:rsidRPr="00B6778D">
        <w:t xml:space="preserve"> The </w:t>
      </w:r>
      <w:r w:rsidR="00E33F5A" w:rsidRPr="00B6778D">
        <w:t>usage</w:t>
      </w:r>
      <w:r w:rsidRPr="00B6778D">
        <w:t xml:space="preserve"> of fossil fuel</w:t>
      </w:r>
      <w:r w:rsidR="00E33F5A">
        <w:t>s</w:t>
      </w:r>
      <w:r w:rsidRPr="00B6778D">
        <w:t xml:space="preserve"> as primary source</w:t>
      </w:r>
      <w:r w:rsidR="00E33F5A">
        <w:t>s</w:t>
      </w:r>
      <w:r w:rsidRPr="00B6778D">
        <w:t xml:space="preserve"> of energy </w:t>
      </w:r>
      <w:r w:rsidR="00E33F5A">
        <w:t>require</w:t>
      </w:r>
      <w:r w:rsidR="00632C31">
        <w:t>s</w:t>
      </w:r>
      <w:r w:rsidR="00E33F5A">
        <w:t xml:space="preserve"> </w:t>
      </w:r>
      <w:r w:rsidR="00FC5FAD">
        <w:t xml:space="preserve">serious </w:t>
      </w:r>
      <w:r w:rsidR="00E33F5A">
        <w:t>shifting</w:t>
      </w:r>
      <w:r w:rsidRPr="00B6778D">
        <w:t xml:space="preserve"> to alternative</w:t>
      </w:r>
      <w:r w:rsidR="00FC5FAD">
        <w:t xml:space="preserve"> green fuels</w:t>
      </w:r>
      <w:r w:rsidRPr="00B6778D">
        <w:t xml:space="preserve"> in order t</w:t>
      </w:r>
      <w:r w:rsidR="002470F6">
        <w:t xml:space="preserve">o reduce </w:t>
      </w:r>
      <w:r w:rsidR="00AB0336">
        <w:t>the amount of</w:t>
      </w:r>
      <w:r w:rsidR="00FC5FAD">
        <w:t xml:space="preserve"> released</w:t>
      </w:r>
      <w:r w:rsidR="002470F6">
        <w:t xml:space="preserve"> </w:t>
      </w:r>
      <w:r w:rsidRPr="00B6778D">
        <w:t>CO</w:t>
      </w:r>
      <w:r w:rsidRPr="00B6778D">
        <w:rPr>
          <w:vertAlign w:val="subscript"/>
        </w:rPr>
        <w:t>2</w:t>
      </w:r>
      <w:r w:rsidRPr="00B6778D">
        <w:t xml:space="preserve"> into the atmosphere</w:t>
      </w:r>
      <w:r w:rsidR="00F12D89">
        <w:t xml:space="preserve">. </w:t>
      </w:r>
      <w:r w:rsidR="00FC5FAD">
        <w:t>In addition</w:t>
      </w:r>
      <w:r w:rsidR="00F12D89">
        <w:t xml:space="preserve">, the </w:t>
      </w:r>
      <w:r w:rsidR="00F12D89" w:rsidRPr="00AB0336">
        <w:rPr>
          <w:noProof/>
        </w:rPr>
        <w:t>valoris</w:t>
      </w:r>
      <w:r w:rsidRPr="00AB0336">
        <w:rPr>
          <w:noProof/>
        </w:rPr>
        <w:t>ation</w:t>
      </w:r>
      <w:r w:rsidRPr="00B6778D">
        <w:t xml:space="preserve"> of CO</w:t>
      </w:r>
      <w:r w:rsidRPr="00B6778D">
        <w:rPr>
          <w:vertAlign w:val="subscript"/>
        </w:rPr>
        <w:t xml:space="preserve">2 </w:t>
      </w:r>
      <w:r w:rsidRPr="00B6778D">
        <w:t>has drawn much attention not just because of the potential use of CO</w:t>
      </w:r>
      <w:r w:rsidRPr="00B6778D">
        <w:rPr>
          <w:vertAlign w:val="subscript"/>
        </w:rPr>
        <w:t>2</w:t>
      </w:r>
      <w:r w:rsidRPr="00B6778D">
        <w:t xml:space="preserve"> as a cheap, abundant, safe, renewable C1 source for the formation of valuable chemicals</w:t>
      </w:r>
      <w:r w:rsidR="0021216A">
        <w:t>,</w:t>
      </w:r>
      <w:r w:rsidRPr="00B6778D">
        <w:t xml:space="preserve"> but</w:t>
      </w:r>
      <w:r w:rsidR="00AB0336">
        <w:t xml:space="preserve"> also contributing to the quest </w:t>
      </w:r>
      <w:r w:rsidRPr="00B6778D">
        <w:t>of</w:t>
      </w:r>
      <w:r w:rsidR="00E83E18" w:rsidRPr="00B6778D">
        <w:t xml:space="preserve"> </w:t>
      </w:r>
      <w:r w:rsidR="00E83E18" w:rsidRPr="00B6778D">
        <w:rPr>
          <w:noProof/>
        </w:rPr>
        <w:t>preventing global</w:t>
      </w:r>
      <w:r w:rsidR="00E83E18" w:rsidRPr="00B6778D">
        <w:t xml:space="preserve"> warming </w:t>
      </w:r>
      <w:r w:rsidR="00850A05" w:rsidRPr="00B6778D">
        <w:fldChar w:fldCharType="begin" w:fldLock="1"/>
      </w:r>
      <w:r w:rsidR="00CB10A7">
        <w:instrText>ADDIN CSL_CITATION {"citationItems":[{"id":"ITEM-1","itemData":{"DOI":"10.1039/b700658f","ISBN":"1477-9226","ISSN":"1477-9226","PMID":"17622414","abstract":"The need to reduce the accumulation of CO2 into the atmosphere requires new technologies able to reduce the CO2 emission. The utilization of CO2 as a building block may represent an interesting approach to synthetic methodologies less intensive in carbon and energy. In this paper the general properties of carbon dioxide and its interaction with metal centres is first considered. The potential of carbon dioxide as a raw material in the synthesis of chemicals such as carboxylates, carbonates, carbamates is then discussed. The utilization of CO2 as source of carbon for the synthesis of fuels or other C1 molecules such as formic acid and methanol is also described and the conditions for its implementation are outlined. A comparison of chemical and biotechnological conversion routes of CO2 is made and the barriers to their exploitation are highlighted.","author":[{"dropping-particle":"","family":"Aresta","given":"Michele","non-dropping-particle":"","parse-names":false,"suffix":""},{"dropping-particle":"","family":"Dibenedetto","given":"Angela","non-dropping-particle":"","parse-names":false,"suffix":""}],"container-title":"Dalton Transactions","id":"ITEM-1","issue":"28","issued":{"date-parts":[["2007"]]},"page":"2975","title":"Utilisation of CO2 as a chemical feedstock: opportunities and challenges","type":"article-journal"},"uris":["http://www.mendeley.com/documents/?uuid=3cbc8cb7-17d4-4e8e-9ca3-94fbc6999029","http://www.mendeley.com/documents/?uuid=81736f94-b105-4f37-9599-414781f32f15"]},{"id":"ITEM-2","itemData":{"DOI":"10.1016/j.cattod.2018.06.020","ISSN":"09205861","abstract":"In present work, three amino-bridged biomass bis-β-cyclodextrins (bis-β-CDs) and eight bifunctionalized bis-β-CDs derivatives were designed and synthesized as environmental friendly catalysts to fix CO2. Both the bridged bis-β-CDs 1a-3a/potassium halide and haloalkane functionalized bis-β-CDs 1b-8b were poven to be efficient catalytic systems for the solvent-free coupling reaction of CO2and epoxides. After systematic investigation, the optimized conditions of (120 °C, 4 MPa, 0.14mol% 1a, 1.25mol% KI, 2 h) have been established for dual catalytic system 1a/KI and the excellent yield (94%) with high selectivity (99%) can be achieved for the cycloaddition of CO2and propylene oxide. Furthermore, after functionalization with alkyl halides, bis-β-CD derivative 1b-8b as sigle bifunctional catalyst exhibited better activity under milder optimal conditions of (110 °C, 2 MPa, 0.125mol% 1b and 4 h). Moreover, these bifunctional catalysts are also applicable to a variety of epoxides (including diepoxides) and good catalytic performances were abtained for producing the corresponding cyclic carbonates in most cases. Furthermore, this catalyst can be reused at least for five times without significant activity decrease. Finally, a possible mechanism including the activation of both epoxide and CO2was proposed based on the literatures and experimental results.","author":[{"dropping-particle":"","family":"Peng","given":"Jing","non-dropping-particle":"","parse-names":false,"suffix":""},{"dropping-particle":"","family":"Wang","given":"Sheng","non-dropping-particle":"","parse-names":false,"suffix":""},{"dropping-particle":"","family":"Yang","given":"Hai Jian","non-dropping-particle":"","parse-names":false,"suffix":""},{"dropping-particle":"","family":"Ban","given":"Binru","non-dropping-particle":"","parse-names":false,"suffix":""},{"dropping-particle":"","family":"Wei","given":"Zidong","non-dropping-particle":"","parse-names":false,"suffix":""},{"dropping-particle":"","family":"Wang","given":"Lihua","non-dropping-particle":"","parse-names":false,"suffix":""},{"dropping-particle":"","family":"Bo","given":"Lei","non-dropping-particle":"","parse-names":false,"suffix":""}],"container-title":"Catalysis Today","id":"ITEM-2","issued":{"date-parts":[["2018"]]},"title":"Chemical fixation of CO2to cyclic carbonate catalyzed by new environmental- friendly bifunctional bis-β-cyclodextrin derivatives","type":"article-journal"},"uris":["http://www.mendeley.com/documents/?uuid=aa6286c8-7cef-365b-bcd5-96565776b2b8","http://www.mendeley.com/documents/?uuid=d6567f09-6a48-4f27-8694-432564aa4d66"]}],"mendeley":{"formattedCitation":"[1,2]","plainTextFormattedCitation":"[1,2]","previouslyFormattedCitation":"[1,2]"},"properties":{"noteIndex":0},"schema":"https://github.com/citation-style-language/schema/raw/master/csl-citation.json"}</w:instrText>
      </w:r>
      <w:r w:rsidR="00850A05" w:rsidRPr="00B6778D">
        <w:fldChar w:fldCharType="separate"/>
      </w:r>
      <w:r w:rsidR="002D6134" w:rsidRPr="002D6134">
        <w:rPr>
          <w:noProof/>
        </w:rPr>
        <w:t>[1,2]</w:t>
      </w:r>
      <w:r w:rsidR="00850A05" w:rsidRPr="00B6778D">
        <w:fldChar w:fldCharType="end"/>
      </w:r>
      <w:r w:rsidRPr="00B6778D">
        <w:t>. CO</w:t>
      </w:r>
      <w:r w:rsidRPr="00B6778D">
        <w:rPr>
          <w:vertAlign w:val="subscript"/>
        </w:rPr>
        <w:t>2</w:t>
      </w:r>
      <w:r w:rsidRPr="00B6778D">
        <w:t xml:space="preserve"> is </w:t>
      </w:r>
      <w:r w:rsidR="00FC5FAD">
        <w:t>a stable compound due to exceptional</w:t>
      </w:r>
      <w:r w:rsidRPr="00B6778D">
        <w:t xml:space="preserve"> distance bond of 0.116 nm </w:t>
      </w:r>
      <w:r w:rsidR="00FC5FAD">
        <w:t xml:space="preserve">between carbon and oxygen </w:t>
      </w:r>
      <w:r w:rsidRPr="00B6778D">
        <w:t>(C=O)</w:t>
      </w:r>
      <w:r w:rsidR="00AB0336">
        <w:t xml:space="preserve">, which </w:t>
      </w:r>
      <w:r w:rsidRPr="00B6778D">
        <w:t>is shorter than the normal bond length</w:t>
      </w:r>
      <w:r w:rsidR="00850A05" w:rsidRPr="00B6778D">
        <w:t xml:space="preserve"> </w:t>
      </w:r>
      <w:r w:rsidR="00E223E8" w:rsidRPr="00B6778D">
        <w:fldChar w:fldCharType="begin" w:fldLock="1"/>
      </w:r>
      <w:r w:rsidR="00CB10A7">
        <w:instrText>ADDIN CSL_CITATION {"citationItems":[{"id":"ITEM-1","itemData":{"DOI":"10.1007/978-3-662-46831-9","ISBN":"9783662468319","abstract":"Carbon dioxide (CO2) is today at the centre of attention of the scientific and technological world because of its potential role in climate change, which is supposed to be, directly or indirectly, caused by the growing level of CO2 in the atmosphere. Policy-makers work out solutions ranging over a large number of options, including carbon capture and disposal or sequestration (CCS) or carbon capture and utilization (CCU). The conversion of CO2 into added-value products (chemicals, materials, fuels) is today one of the most widespread research themes, and the scientific literature presents a large number of reviews, papers and books that disclose the CO2 chemistry or, in general, utilization. Industry is also much involved, as witnessed by the ever growing number of industrial patents and new processes. Despite the large number of volumes published, an organized collection of information about the mechanisms concerning the many reactions in which CO2 is involved does not exist. However, this book has been designed with the precise idea of filling the gap and collecting the knowledge we have of the reaction mechanism of CO2 conversion when it is used either as a building block for the production of chemicals and materials, or as a carbon source for C1 and Cn energyrich molecules. This book covers 40 years of research efforts in understanding the reactivity of CO2. Its aim is not to present an exhaustive list of all reactions in which CO2 can be involved, even if it shows quite a large number of them, but to analyze the thermodynamics and kinetics of its conversion. The book is organized in ten chapters, each devoted to a particular subject. References point the reader to more specific issues or more general applications. Chapter 1 presents the CO2 molecule and gives fundamental information for understanding the chemistry of the heterocumulene. It also discusses the excited states of CO2 and its radical anion and radical cation. Such species are often encountered in other chapters. The spectroscopic techniques (infrared, ultraviolet, nuclear magnetic resonance) used for collecting information about the state of theCO2 moiety in the products are introduced here, and applied in the following chapters. Chapter 2 discusses the co-ordination of CO2 to metal centres in various temperature conditions and the effects of such interaction on the heterocumulene structure. It addresses the question of whether preliminary co-ordination of CO2 to a metal centre is an es…","author":[{"dropping-particle":"","family":"Aresta","given":"Michele","non-dropping-particle":"","parse-names":false,"suffix":""},{"dropping-particle":"","family":"Dibenedetto","given":"Angela","non-dropping-particle":"","parse-names":false,"suffix":""},{"dropping-particle":"","family":"Quaranta","given":"Eugenio","non-dropping-particle":"","parse-names":false,"suffix":""}],"container-title":"Reaction Mechanisms in Carbon Dioxide Conversion","id":"ITEM-1","issued":{"date-parts":[["2015"]]},"number-of-pages":"1-409","title":"Reaction mechanisms in carbon dioxide conversion","type":"book"},"uris":["http://www.mendeley.com/documents/?uuid=96f94750-31dd-3f15-97f4-e20e3316b3b1","http://www.mendeley.com/documents/?uuid=7a33064c-93a8-4eda-bc1c-43e8e8d23298"]}],"mendeley":{"formattedCitation":"[3]","plainTextFormattedCitation":"[3]","previouslyFormattedCitation":"[3]"},"properties":{"noteIndex":0},"schema":"https://github.com/citation-style-language/schema/raw/master/csl-citation.json"}</w:instrText>
      </w:r>
      <w:r w:rsidR="00E223E8" w:rsidRPr="00B6778D">
        <w:fldChar w:fldCharType="separate"/>
      </w:r>
      <w:r w:rsidR="002D6134" w:rsidRPr="002D6134">
        <w:rPr>
          <w:noProof/>
        </w:rPr>
        <w:t>[3]</w:t>
      </w:r>
      <w:r w:rsidR="00E223E8" w:rsidRPr="00B6778D">
        <w:fldChar w:fldCharType="end"/>
      </w:r>
      <w:r w:rsidRPr="00B6778D">
        <w:t xml:space="preserve">. This </w:t>
      </w:r>
      <w:r w:rsidR="00FC5FAD">
        <w:t>bond distance provides</w:t>
      </w:r>
      <w:r w:rsidR="00FC5FAD" w:rsidRPr="00B6778D">
        <w:t xml:space="preserve"> </w:t>
      </w:r>
      <w:r w:rsidRPr="00B6778D">
        <w:t>CO</w:t>
      </w:r>
      <w:r w:rsidRPr="00B6778D">
        <w:rPr>
          <w:vertAlign w:val="subscript"/>
        </w:rPr>
        <w:t>2</w:t>
      </w:r>
      <w:r w:rsidR="00E223E8" w:rsidRPr="00B6778D">
        <w:t xml:space="preserve"> </w:t>
      </w:r>
      <w:r w:rsidR="00FC5FAD">
        <w:t>comp</w:t>
      </w:r>
      <w:r w:rsidR="00FA2670">
        <w:t>ound</w:t>
      </w:r>
      <w:r w:rsidR="00FC5FAD">
        <w:t xml:space="preserve"> with unique properties</w:t>
      </w:r>
      <w:r w:rsidR="00D81CA7">
        <w:t>,</w:t>
      </w:r>
      <w:r w:rsidR="00FC5FAD">
        <w:t xml:space="preserve"> where it is </w:t>
      </w:r>
      <w:r w:rsidR="00E223E8" w:rsidRPr="00B6778D">
        <w:t xml:space="preserve">hard to </w:t>
      </w:r>
      <w:r w:rsidR="00FC5FAD">
        <w:t xml:space="preserve">be </w:t>
      </w:r>
      <w:r w:rsidR="00E223E8" w:rsidRPr="00B6778D">
        <w:rPr>
          <w:noProof/>
        </w:rPr>
        <w:t>activate</w:t>
      </w:r>
      <w:r w:rsidR="00FC5FAD">
        <w:rPr>
          <w:noProof/>
        </w:rPr>
        <w:t>d</w:t>
      </w:r>
      <w:r w:rsidRPr="00B6778D">
        <w:rPr>
          <w:noProof/>
        </w:rPr>
        <w:t xml:space="preserve"> and</w:t>
      </w:r>
      <w:r w:rsidRPr="00B6778D">
        <w:t xml:space="preserve"> require</w:t>
      </w:r>
      <w:r w:rsidR="00D81CA7">
        <w:t>s</w:t>
      </w:r>
      <w:r w:rsidRPr="00B6778D">
        <w:t xml:space="preserve"> high energy to transform into another compound</w:t>
      </w:r>
      <w:r w:rsidR="007B562C" w:rsidRPr="00B6778D">
        <w:t xml:space="preserve"> </w:t>
      </w:r>
      <w:r w:rsidR="007B562C" w:rsidRPr="00B6778D">
        <w:fldChar w:fldCharType="begin" w:fldLock="1"/>
      </w:r>
      <w:r w:rsidR="00CB10A7">
        <w:instrText>ADDIN CSL_CITATION {"citationItems":[{"id":"ITEM-1","itemData":{"DOI":"10.1007/3418_2015_93","ISBN":"9783319220789","ISSN":"14366002","abstract":"The synthesis, structural characterization, photoluminescence, and excited state absorption properties of a series of platinum(II) terpyridyl complexes bearing a bipyridyl acetylide subunit are presented. The [tBu3tpyPtCtCbpy]þ (1) complex displays a broad and structureless emission profile at room temperature (RT), a lifetime of 5.8 μs, and transient absorption (TA) difference spectra characteristic of a charge transfer (CT) excited state. Upon coordination of Fe2þ to 1, producing tetranuclear 2, the CT emission was quantitatively quenched presumably through the low-lying iron-based ligand field states present. Surprisingly, the addition of Zn2þ to solutions of 1 produces a higher energy emissive state with a substantially longer excited state lifetime of 16.1 μs. The combined spectroscopic data measured for the zinc titration product (3) suggests that the overall excited state is dominated by a CT manifold, albeit at higher energy relative to 1. The photophysics of a bis-phosphine complex bearing two trans-disposed bpy-acetylide subunits (4) produced a model chromophore possessing an intraligand triplet excited state with a lifetime of 26 μs at RT. The bipyridyl analogue of 1, tBu2bpyPt(CtCbpy)2 (5), was also prepared and its photophysics are consistent with a lowest CT parentage at RT. The 77 K emission spectra measured for complexes 1, 3, 4, and 5 are all consistent with a triplet bpy-acetylide localized excited state; the E00 energies vary over a modest 344 cm-1 across the series. However, the shorter 77 K excited state lifetimes observed for 1, 3, and 5 in comparison to 4 suggests that the energetically proximate CT state in the former compounds significantly influences excited state decay at low temperature.","author":[{"dropping-particle":"","family":"Aresta","given":"Michele","non-dropping-particle":"","parse-names":false,"suffix":""},{"dropping-particle":"","family":"Angelini","given":"Antonella","non-dropping-particle":"","parse-names":false,"suffix":""}],"container-title":"Carbon Dioxide and Organometallics","id":"ITEM-1","issued":{"date-parts":[["2015"]]},"page":"1-38","title":"The carbon dioxide molecule and the effects of its interaction with electrophiles and nucleophiles","type":"chapter"},"uris":["http://www.mendeley.com/documents/?uuid=bb4403ea-4a27-322a-aa97-cb0997441af1","http://www.mendeley.com/documents/?uuid=770f205c-be50-4b63-a37a-ec97f362fedd"]},{"id":"ITEM-2","itemData":{"DOI":"10.1007/978-3-642-44988-8_2","ISBN":"978-3-642-44987-1","abstract":"Transformation and Utilization of Carbon Dioxide shows the various organic, polymeric and inorganic compounds which result from the transformation of carbon dioxide through chemical, photocatalytic, electrochemical, inorganic and biological processes. The book consists of twelve chapters demonstrating interesting examples of these reactions, depending on the types of reaction and catalyst. It also includes two chapters dealing with the utilization of carbon dioxide as a reaction promoter and presents a wide range of examples of chemistry and chemical engineering with carbon dioxide. Transformation and Utilization of Carbon Dioxide is a collective work of reviews illustrative of recent advances in the transformation and utilization of carbon dioxide. This book is interesting and useful to a wide readership in the various fields of chemical science and engineering.Bhalchandra Bhanage is a professor of industrial and engineering chemistry at Institute of Chemical Technology, India.Masahiko Arai is a professor of chemical engineering at Hokkaido University, Japan.","author":[{"dropping-particle":"","family":"Fujita","given":"Shin-Ichiro","non-dropping-particle":"","parse-names":false,"suffix":""},{"dropping-particle":"","family":"Arai","given":"Masahiko","non-dropping-particle":"","parse-names":false,"suffix":""},{"dropping-particle":"","family":"Bhanage","given":"Bhalchandra M","non-dropping-particle":"","parse-names":false,"suffix":""}],"container-title":"Transformation and Utilization of Carbon Dioxide","id":"ITEM-2","issued":{"date-parts":[["2014"]]},"page":"39-53","title":"Transformation and Utilization of Carbon Dioxide to Value-Added Products over Heterogeneous Catalysts","type":"chapter"},"uris":["http://www.mendeley.com/documents/?uuid=cbd43350-af40-48bb-9afa-dc62514cf255","http://www.mendeley.com/documents/?uuid=cc40291a-a7fe-4162-a464-25da66c1037a"]}],"mendeley":{"formattedCitation":"[4,5]","plainTextFormattedCitation":"[4,5]","previouslyFormattedCitation":"[4,5]"},"properties":{"noteIndex":0},"schema":"https://github.com/citation-style-language/schema/raw/master/csl-citation.json"}</w:instrText>
      </w:r>
      <w:r w:rsidR="007B562C" w:rsidRPr="00B6778D">
        <w:fldChar w:fldCharType="separate"/>
      </w:r>
      <w:r w:rsidR="002D6134" w:rsidRPr="002D6134">
        <w:rPr>
          <w:noProof/>
        </w:rPr>
        <w:t>[4,5]</w:t>
      </w:r>
      <w:r w:rsidR="007B562C" w:rsidRPr="00B6778D">
        <w:fldChar w:fldCharType="end"/>
      </w:r>
      <w:r w:rsidRPr="00B6778D">
        <w:t xml:space="preserve">. The use of high energy as precursor materials for the formation of </w:t>
      </w:r>
      <w:r w:rsidRPr="00AB0336">
        <w:rPr>
          <w:noProof/>
        </w:rPr>
        <w:t>oxidised</w:t>
      </w:r>
      <w:r w:rsidRPr="00B6778D">
        <w:t xml:space="preserve"> low energy synthe</w:t>
      </w:r>
      <w:r w:rsidR="007B22C1">
        <w:t>si</w:t>
      </w:r>
      <w:r w:rsidR="00785125">
        <w:t>s</w:t>
      </w:r>
      <w:r w:rsidRPr="00B6778D">
        <w:t xml:space="preserve"> is one of few effective methodologies for CO</w:t>
      </w:r>
      <w:r w:rsidRPr="00B6778D">
        <w:rPr>
          <w:vertAlign w:val="subscript"/>
        </w:rPr>
        <w:t xml:space="preserve">2 </w:t>
      </w:r>
      <w:r w:rsidRPr="00AB0336">
        <w:rPr>
          <w:noProof/>
        </w:rPr>
        <w:t>utilisation</w:t>
      </w:r>
      <w:r w:rsidR="007B562C" w:rsidRPr="00B6778D">
        <w:t xml:space="preserve"> </w:t>
      </w:r>
      <w:r w:rsidR="007B562C" w:rsidRPr="00B6778D">
        <w:fldChar w:fldCharType="begin" w:fldLock="1"/>
      </w:r>
      <w:r w:rsidR="00CB10A7">
        <w:instrText>ADDIN CSL_CITATION {"citationItems":[{"id":"ITEM-1","itemData":{"DOI":"10.1039/c0gc00065e","ISBN":"1463-9262","ISSN":"1463-9262","abstract":"The synthesis of cyclic carbonates by the 100% atom economical reaction between epoxides and CO2 is reviewed in the context of reducing global emissions of waste CO2 and converting waste CO2 into industrially useful chemical feedstocks.","author":[{"dropping-particle":"","family":"North","given":"Michael","non-dropping-particle":"","parse-names":false,"suffix":""},{"dropping-particle":"","family":"Pasquale","given":"Riccardo","non-dropping-particle":"","parse-names":false,"suffix":""},{"dropping-particle":"","family":"Young","given":"Carl","non-dropping-particle":"","parse-names":false,"suffix":""}],"container-title":"Green Chemistry","id":"ITEM-1","issue":"9","issued":{"date-parts":[["2010","9"]]},"page":"1514","publisher":"The Royal Society of Chemistry","title":"Synthesis of cyclic carbonates from epoxides and CO2","type":"article-journal","volume":"12"},"uris":["http://www.mendeley.com/documents/?uuid=afd30674-cb73-4879-bd55-f036c7989ec2","http://www.mendeley.com/documents/?uuid=a13b7028-a7bc-42b8-839a-48bd41a5e722"]}],"mendeley":{"formattedCitation":"[6]","plainTextFormattedCitation":"[6]","previouslyFormattedCitation":"[6]"},"properties":{"noteIndex":0},"schema":"https://github.com/citation-style-language/schema/raw/master/csl-citation.json"}</w:instrText>
      </w:r>
      <w:r w:rsidR="007B562C" w:rsidRPr="00B6778D">
        <w:fldChar w:fldCharType="separate"/>
      </w:r>
      <w:r w:rsidR="002D6134" w:rsidRPr="002D6134">
        <w:rPr>
          <w:noProof/>
        </w:rPr>
        <w:t>[6]</w:t>
      </w:r>
      <w:r w:rsidR="007B562C" w:rsidRPr="00B6778D">
        <w:fldChar w:fldCharType="end"/>
      </w:r>
      <w:r w:rsidRPr="00B6778D">
        <w:t>.</w:t>
      </w:r>
    </w:p>
    <w:p w:rsidR="0003079F" w:rsidRPr="00B6778D" w:rsidRDefault="0003079F" w:rsidP="00537EAE">
      <w:pPr>
        <w:jc w:val="both"/>
      </w:pPr>
    </w:p>
    <w:p w:rsidR="0003079F" w:rsidRPr="00B6778D" w:rsidRDefault="0003079F">
      <w:pPr>
        <w:jc w:val="both"/>
      </w:pPr>
      <w:r w:rsidRPr="00B6778D">
        <w:t xml:space="preserve">The </w:t>
      </w:r>
      <w:r w:rsidR="00A45223" w:rsidRPr="00AB0336">
        <w:rPr>
          <w:noProof/>
        </w:rPr>
        <w:t>valo</w:t>
      </w:r>
      <w:r w:rsidRPr="00AB0336">
        <w:rPr>
          <w:noProof/>
        </w:rPr>
        <w:t>risation</w:t>
      </w:r>
      <w:r w:rsidRPr="00B6778D">
        <w:t xml:space="preserve"> of </w:t>
      </w:r>
      <w:r w:rsidR="007B22C1">
        <w:t xml:space="preserve">emitted </w:t>
      </w:r>
      <w:r w:rsidRPr="00B6778D">
        <w:t>CO</w:t>
      </w:r>
      <w:r w:rsidRPr="00B6778D">
        <w:rPr>
          <w:vertAlign w:val="subscript"/>
        </w:rPr>
        <w:t xml:space="preserve">2 </w:t>
      </w:r>
      <w:r w:rsidRPr="00B6778D">
        <w:t xml:space="preserve">into </w:t>
      </w:r>
      <w:r w:rsidR="007B22C1">
        <w:t xml:space="preserve">a </w:t>
      </w:r>
      <w:r w:rsidRPr="00EA15FA">
        <w:rPr>
          <w:noProof/>
        </w:rPr>
        <w:t>value</w:t>
      </w:r>
      <w:r w:rsidR="00EA15FA">
        <w:rPr>
          <w:noProof/>
        </w:rPr>
        <w:t>-</w:t>
      </w:r>
      <w:r w:rsidRPr="00EA15FA">
        <w:rPr>
          <w:noProof/>
        </w:rPr>
        <w:t>added</w:t>
      </w:r>
      <w:r w:rsidRPr="00B6778D">
        <w:t xml:space="preserve"> chemical such as </w:t>
      </w:r>
      <w:r w:rsidR="00785125">
        <w:t>BC</w:t>
      </w:r>
      <w:r w:rsidR="00FC5FAD">
        <w:t>,</w:t>
      </w:r>
      <w:r w:rsidRPr="00B6778D">
        <w:t xml:space="preserve"> </w:t>
      </w:r>
      <w:r w:rsidR="00FC5FAD">
        <w:t>does</w:t>
      </w:r>
      <w:r w:rsidR="00FC5FAD" w:rsidRPr="00B6778D">
        <w:t xml:space="preserve"> </w:t>
      </w:r>
      <w:r w:rsidRPr="00B6778D">
        <w:t xml:space="preserve">not only </w:t>
      </w:r>
      <w:r w:rsidR="00FC5FAD">
        <w:t>provide</w:t>
      </w:r>
      <w:r w:rsidR="00FC5FAD" w:rsidRPr="00B6778D">
        <w:t xml:space="preserve"> </w:t>
      </w:r>
      <w:r w:rsidR="00823049" w:rsidRPr="00B6778D">
        <w:t xml:space="preserve">a </w:t>
      </w:r>
      <w:r w:rsidRPr="00B6778D">
        <w:rPr>
          <w:noProof/>
        </w:rPr>
        <w:t>solution</w:t>
      </w:r>
      <w:r w:rsidRPr="00B6778D">
        <w:t xml:space="preserve"> to </w:t>
      </w:r>
      <w:r w:rsidR="00FC5FAD" w:rsidRPr="00B6778D">
        <w:t>global warming</w:t>
      </w:r>
      <w:r w:rsidRPr="00B6778D">
        <w:t xml:space="preserve"> but </w:t>
      </w:r>
      <w:r w:rsidR="00AB0336">
        <w:t xml:space="preserve">also </w:t>
      </w:r>
      <w:r w:rsidRPr="00B6778D">
        <w:t>offer</w:t>
      </w:r>
      <w:r w:rsidR="0021216A">
        <w:t>s</w:t>
      </w:r>
      <w:r w:rsidRPr="00B6778D">
        <w:t xml:space="preserve"> a greater application in </w:t>
      </w:r>
      <w:r w:rsidR="00823049" w:rsidRPr="00B6778D">
        <w:t xml:space="preserve">the </w:t>
      </w:r>
      <w:r w:rsidRPr="00B6778D">
        <w:rPr>
          <w:noProof/>
        </w:rPr>
        <w:t>processing</w:t>
      </w:r>
      <w:r w:rsidR="00AB0336">
        <w:t xml:space="preserve"> industry. BC</w:t>
      </w:r>
      <w:r w:rsidRPr="00B6778D">
        <w:t xml:space="preserve"> is an essential chemical that </w:t>
      </w:r>
      <w:r w:rsidRPr="00B6778D">
        <w:rPr>
          <w:noProof/>
        </w:rPr>
        <w:t>find</w:t>
      </w:r>
      <w:r w:rsidR="00823049" w:rsidRPr="00B6778D">
        <w:rPr>
          <w:noProof/>
        </w:rPr>
        <w:t>s</w:t>
      </w:r>
      <w:r w:rsidRPr="00B6778D">
        <w:t xml:space="preserve"> its application in automobile </w:t>
      </w:r>
      <w:r w:rsidR="00AB0336">
        <w:t xml:space="preserve">and </w:t>
      </w:r>
      <w:r w:rsidRPr="00B6778D">
        <w:t xml:space="preserve">used as </w:t>
      </w:r>
      <w:r w:rsidR="00823049" w:rsidRPr="00B6778D">
        <w:t xml:space="preserve">a </w:t>
      </w:r>
      <w:r w:rsidRPr="00B6778D">
        <w:rPr>
          <w:noProof/>
        </w:rPr>
        <w:t>solvent</w:t>
      </w:r>
      <w:r w:rsidRPr="00B6778D">
        <w:t xml:space="preserve"> for degreasing, lubricants and lithium battery</w:t>
      </w:r>
      <w:r w:rsidR="007B562C" w:rsidRPr="00B6778D">
        <w:t xml:space="preserve"> </w:t>
      </w:r>
      <w:r w:rsidR="001E511E" w:rsidRPr="00B6778D">
        <w:fldChar w:fldCharType="begin" w:fldLock="1"/>
      </w:r>
      <w:r w:rsidR="00CB10A7">
        <w:instrText>ADDIN CSL_CITATION {"citationItems":[{"id":"ITEM-1","itemData":{"DOI":"10.1021/cr950067i","ISBN":"0009-2665","ISSN":"0009-2665","PMID":"11848777","abstract":"no abstract","author":[{"dropping-particle":"","family":"Shaikh","given":"Abbas-Alli G.","non-dropping-particle":"","parse-names":false,"suffix":""},{"dropping-particle":"","family":"Sivaram","given":"Swaminathan","non-dropping-particle":"","parse-names":false,"suffix":""}],"container-title":"Chemical Reviews","id":"ITEM-1","issue":"3","issued":{"date-parts":[["1996"]]},"page":"951-976","publisher":"American Chemical Society","title":"Organic Carbonates †","type":"article-journal","volume":"96"},"uris":["http://www.mendeley.com/documents/?uuid=46441888-cca8-364e-b540-7c0dae883136","http://www.mendeley.com/documents/?uuid=8d2cb93b-f7ca-4439-98ac-89776894d1c6"]}],"mendeley":{"formattedCitation":"[7]","plainTextFormattedCitation":"[7]","previouslyFormattedCitation":"[7]"},"properties":{"noteIndex":0},"schema":"https://github.com/citation-style-language/schema/raw/master/csl-citation.json"}</w:instrText>
      </w:r>
      <w:r w:rsidR="001E511E" w:rsidRPr="00B6778D">
        <w:fldChar w:fldCharType="separate"/>
      </w:r>
      <w:r w:rsidR="002D6134" w:rsidRPr="002D6134">
        <w:rPr>
          <w:noProof/>
        </w:rPr>
        <w:t>[7]</w:t>
      </w:r>
      <w:r w:rsidR="001E511E" w:rsidRPr="00B6778D">
        <w:fldChar w:fldCharType="end"/>
      </w:r>
      <w:r w:rsidRPr="00B6778D">
        <w:t>. Due to it</w:t>
      </w:r>
      <w:r w:rsidR="00AB0336">
        <w:t xml:space="preserve">s high polarity, BC </w:t>
      </w:r>
      <w:r w:rsidRPr="00B6778D">
        <w:t xml:space="preserve">can be used to produce </w:t>
      </w:r>
      <w:r w:rsidRPr="00AB0336">
        <w:rPr>
          <w:noProof/>
        </w:rPr>
        <w:t>plasticisers</w:t>
      </w:r>
      <w:r w:rsidRPr="00B6778D">
        <w:t xml:space="preserve"> a well as a precursor material to produce </w:t>
      </w:r>
      <w:r w:rsidR="00823049" w:rsidRPr="00B6778D">
        <w:t>an</w:t>
      </w:r>
      <w:r w:rsidRPr="00B6778D">
        <w:rPr>
          <w:noProof/>
        </w:rPr>
        <w:t>other cyclic carbonate</w:t>
      </w:r>
      <w:r w:rsidR="007B562C" w:rsidRPr="00B6778D">
        <w:t xml:space="preserve"> </w:t>
      </w:r>
      <w:r w:rsidR="007B562C" w:rsidRPr="00B6778D">
        <w:fldChar w:fldCharType="begin" w:fldLock="1"/>
      </w:r>
      <w:r w:rsidR="00CB10A7">
        <w:instrText>ADDIN CSL_CITATION {"citationItems":[{"id":"ITEM-1","itemData":{"DOI":"10.1016/j.energy.2018.09.135","ISSN":"03605442","author":[{"dropping-particle":"","family":"Onyenkeadi","given":"Victor","non-dropping-particle":"","parse-names":false,"suffix":""},{"dropping-particle":"","family":"Kellici","given":"Suela","non-dropping-particle":"","parse-names":false,"suffix":""},{"dropping-particle":"","family":"Saha","given":"Basudeb","non-dropping-particle":"","parse-names":false,"suffix":""}],"container-title":"Energy","id":"ITEM-1","issued":{"date-parts":[["2018"]]},"page":"867-876","publisher":"Elsevier Ltd","title":"Greener synthesis of 1,2-butylene carbonate from CO2 using graphene-inorganic nanocomposite catalyst","type":"article-journal","volume":"165"},"uris":["http://www.mendeley.com/documents/?uuid=d279d292-c950-49da-a5ca-3402f02d8949","http://www.mendeley.com/documents/?uuid=9c68cc51-c869-4cc5-9bdd-349684eb037f"]}],"mendeley":{"formattedCitation":"[8]","plainTextFormattedCitation":"[8]","previouslyFormattedCitation":"[8]"},"properties":{"noteIndex":0},"schema":"https://github.com/citation-style-language/schema/raw/master/csl-citation.json"}</w:instrText>
      </w:r>
      <w:r w:rsidR="007B562C" w:rsidRPr="00B6778D">
        <w:fldChar w:fldCharType="separate"/>
      </w:r>
      <w:r w:rsidR="002D6134" w:rsidRPr="002D6134">
        <w:rPr>
          <w:noProof/>
        </w:rPr>
        <w:t>[8]</w:t>
      </w:r>
      <w:r w:rsidR="007B562C" w:rsidRPr="00B6778D">
        <w:fldChar w:fldCharType="end"/>
      </w:r>
      <w:r w:rsidRPr="00B6778D">
        <w:t>.</w:t>
      </w:r>
    </w:p>
    <w:p w:rsidR="0003079F" w:rsidRPr="00B6778D" w:rsidRDefault="0003079F" w:rsidP="00537EAE">
      <w:pPr>
        <w:jc w:val="both"/>
      </w:pPr>
    </w:p>
    <w:p w:rsidR="0003079F" w:rsidRPr="00B6778D" w:rsidRDefault="00AB0336">
      <w:pPr>
        <w:jc w:val="both"/>
      </w:pPr>
      <w:r>
        <w:t>The use of graphene as a supported</w:t>
      </w:r>
      <w:r w:rsidR="0003079F" w:rsidRPr="00B6778D">
        <w:t xml:space="preserve"> heterogeneous catalyst has been gaining </w:t>
      </w:r>
      <w:r w:rsidR="0003079F" w:rsidRPr="00B6778D">
        <w:rPr>
          <w:noProof/>
        </w:rPr>
        <w:t>tremendous</w:t>
      </w:r>
      <w:r w:rsidR="0003079F" w:rsidRPr="00B6778D">
        <w:t xml:space="preserve"> interest due to </w:t>
      </w:r>
      <w:r w:rsidR="0003079F" w:rsidRPr="00B6778D">
        <w:rPr>
          <w:noProof/>
        </w:rPr>
        <w:t>its</w:t>
      </w:r>
      <w:r w:rsidR="0003079F" w:rsidRPr="00B6778D">
        <w:t xml:space="preserve"> excellent properties such as superior specific tensile strength, high surface area</w:t>
      </w:r>
      <w:r w:rsidR="009C5EAA">
        <w:t xml:space="preserve"> and</w:t>
      </w:r>
      <w:r w:rsidR="0003079F" w:rsidRPr="00B6778D">
        <w:t xml:space="preserve"> extremely high electrical and</w:t>
      </w:r>
      <w:r w:rsidR="001E511E" w:rsidRPr="00B6778D">
        <w:t xml:space="preserve"> thermal conductivities </w:t>
      </w:r>
      <w:r w:rsidR="001E511E" w:rsidRPr="00B6778D">
        <w:fldChar w:fldCharType="begin" w:fldLock="1"/>
      </w:r>
      <w:r w:rsidR="00CB10A7">
        <w:instrText>ADDIN CSL_CITATION {"citationItems":[{"id":"ITEM-1","itemData":{"DOI":"10.1016/j.carbon.2010.01.058","ISBN":"0008-6223","ISSN":"00086223","PMID":"25052830","abstract":"This review on graphene, a one-atom thick, two-dimensional sheet of carbon atoms, starts with a general description of the graphene electronic structure as well as a basic experimental toolkit for identifying and handling this material. Owing to the versatility of graphene properties and projected applications, several production techniques are summarized, ranging from the mechanical exfoliation of high-quality graphene to the direct growth on carbides or metal substrates and from the chemical routes using graphene oxide to the newly developed approach at the molecular level. The most promising and appealing properties of graphene are summarized from an exponentially growing literature, with a particular attention to matching production methods to characteristics and to applications. In particular, we report on the high carrier mobility value in suspended and annealed samples for electronic devices, on the thickness-dependent optical transparency and, in the mechanical section, on the high robustness and full integration of graphene in sensing device applications. Finally, we emphasize on the high potential of graphene not only as a post-silicon materials for CMOS device application but more ambitiously as a platform for post-CMOS molecular architecture in electronic information processing. © 2010 Elsevier Ltd. All rights reserved.","author":[{"dropping-particle":"","family":"Soldano","given":"Caterina","non-dropping-particle":"","parse-names":false,"suffix":""},{"dropping-particle":"","family":"Mahmood","given":"Ather","non-dropping-particle":"","parse-names":false,"suffix":""},{"dropping-particle":"","family":"Dujardin","given":"Erik","non-dropping-particle":"","parse-names":false,"suffix":""}],"container-title":"Carbon","id":"ITEM-1","issue":"8","issued":{"date-parts":[["2010"]]},"page":"2127-2150","title":"Production, properties and potential of graphene","type":"article","volume":"48"},"uris":["http://www.mendeley.com/documents/?uuid=48d8c9c6-5bfc-32e9-9bbf-b07fd6e4559c","http://www.mendeley.com/documents/?uuid=351271eb-4f50-44d9-b1e7-4bfc1c590dd9"]},{"id":"ITEM-2","itemData":{"DOI":"10.1038/nmat1849","ISBN":"1476-1122","ISSN":"14761122","PMID":"17330084","abstract":"Graphene is a rapidly rising star on the horizon of materials science and\\ncondensed matter physics. This strictly two-dimensional material exhibits\\nexceptionally high crystal and electronic quality and, despite its short\\nhistory, has already revealed a cornucopia of new physics and potential\\napplications, which are briefly discussed here. Whereas one can be certain of\\nthe realness of applications only when commercial products appear, graphene no\\nlonger requires any further proof of its importance in terms of fundamental\\nphysics. Owing to its unusual electronic spectrum, graphene has led to the\\nemergence of a new paradigm of 'relativistic' condensed matter physics, where\\nquantum relativistic phenomena, some of which are unobservable in high energy\\nphysics, can now be mimicked and tested in table-top experiments. More\\ngenerally, graphene represents a conceptually new class of materials that are\\nonly one atom thick and, on this basis, offers new inroads into low-dimensional\\nphysics that has never ceased to surprise and continues to provide a fertile\\nground for applications.","author":[{"dropping-particle":"","family":"Geim","given":"A. K.","non-dropping-particle":"","parse-names":false,"suffix":""},{"dropping-particle":"","family":"Novoselov","given":"K. S.","non-dropping-particle":"","parse-names":false,"suffix":""}],"container-title":"Nature Materials","id":"ITEM-2","issue":"3","issued":{"date-parts":[["2007"]]},"page":"183-191","title":"The rise of graphene","type":"article-journal","volume":"6"},"uris":["http://www.mendeley.com/documents/?uuid=a6391d80-2a56-39b3-95b8-fb34e19f3c4a","http://www.mendeley.com/documents/?uuid=e8270cf8-77e1-4acb-bdfe-de5360e89a8d"]}],"mendeley":{"formattedCitation":"[9,10]","plainTextFormattedCitation":"[9,10]","previouslyFormattedCitation":"[9,10]"},"properties":{"noteIndex":0},"schema":"https://github.com/citation-style-language/schema/raw/master/csl-citation.json"}</w:instrText>
      </w:r>
      <w:r w:rsidR="001E511E" w:rsidRPr="00B6778D">
        <w:fldChar w:fldCharType="separate"/>
      </w:r>
      <w:r w:rsidR="002D6134" w:rsidRPr="002D6134">
        <w:rPr>
          <w:noProof/>
        </w:rPr>
        <w:t>[9,10]</w:t>
      </w:r>
      <w:r w:rsidR="001E511E" w:rsidRPr="00B6778D">
        <w:fldChar w:fldCharType="end"/>
      </w:r>
      <w:r w:rsidR="0003079F" w:rsidRPr="00B6778D">
        <w:t xml:space="preserve">. Graphene </w:t>
      </w:r>
      <w:r w:rsidR="0003079F" w:rsidRPr="00B6778D">
        <w:rPr>
          <w:noProof/>
        </w:rPr>
        <w:t>exist</w:t>
      </w:r>
      <w:r w:rsidR="00823049" w:rsidRPr="00B6778D">
        <w:rPr>
          <w:noProof/>
        </w:rPr>
        <w:t>s</w:t>
      </w:r>
      <w:r w:rsidR="0003079F" w:rsidRPr="00B6778D">
        <w:t xml:space="preserve"> in 2D-carbon materials form with </w:t>
      </w:r>
      <w:r w:rsidR="0003079F" w:rsidRPr="00B6778D">
        <w:rPr>
          <w:noProof/>
        </w:rPr>
        <w:t>zero</w:t>
      </w:r>
      <w:r w:rsidR="00823049" w:rsidRPr="00B6778D">
        <w:rPr>
          <w:noProof/>
        </w:rPr>
        <w:t>-</w:t>
      </w:r>
      <w:r w:rsidR="0003079F" w:rsidRPr="00B6778D">
        <w:rPr>
          <w:noProof/>
        </w:rPr>
        <w:t>dimensional</w:t>
      </w:r>
      <w:r w:rsidR="0003079F" w:rsidRPr="00B6778D">
        <w:t xml:space="preserve"> fullerenes and stacked into three layers of graphite which </w:t>
      </w:r>
      <w:r w:rsidR="00823049" w:rsidRPr="00B6778D">
        <w:rPr>
          <w:noProof/>
        </w:rPr>
        <w:t>are</w:t>
      </w:r>
      <w:r w:rsidR="0003079F" w:rsidRPr="00B6778D">
        <w:t xml:space="preserve"> curled into carbon nanotubes of one dimensional</w:t>
      </w:r>
      <w:r w:rsidR="0003079F" w:rsidRPr="00B6778D">
        <w:rPr>
          <w:noProof/>
        </w:rPr>
        <w:t>.</w:t>
      </w:r>
      <w:r w:rsidR="00823049" w:rsidRPr="00B6778D">
        <w:rPr>
          <w:noProof/>
        </w:rPr>
        <w:t xml:space="preserve"> </w:t>
      </w:r>
      <w:r w:rsidR="0003079F" w:rsidRPr="00B6778D">
        <w:rPr>
          <w:noProof/>
        </w:rPr>
        <w:t>The</w:t>
      </w:r>
      <w:r w:rsidR="0003079F" w:rsidRPr="00B6778D">
        <w:t xml:space="preserve"> application of graphene could not be limited to energy storage device</w:t>
      </w:r>
      <w:r w:rsidR="009C5EAA">
        <w:t>,</w:t>
      </w:r>
      <w:r w:rsidR="0003079F" w:rsidRPr="00B6778D">
        <w:t xml:space="preserve"> but have </w:t>
      </w:r>
      <w:r w:rsidR="0003079F" w:rsidRPr="00B6778D">
        <w:rPr>
          <w:noProof/>
        </w:rPr>
        <w:t>wider application prospects</w:t>
      </w:r>
      <w:r w:rsidR="0003079F" w:rsidRPr="00B6778D">
        <w:t xml:space="preserve"> in drug carriers, </w:t>
      </w:r>
      <w:r w:rsidR="0003079F" w:rsidRPr="00B6778D">
        <w:rPr>
          <w:noProof/>
        </w:rPr>
        <w:t>semiconductor</w:t>
      </w:r>
      <w:r w:rsidR="0003079F" w:rsidRPr="00B6778D">
        <w:t xml:space="preserve"> materials, photoelectric, and electronic information</w:t>
      </w:r>
      <w:r w:rsidR="001E511E" w:rsidRPr="00B6778D">
        <w:t xml:space="preserve"> </w:t>
      </w:r>
      <w:r w:rsidR="001E511E" w:rsidRPr="00B6778D">
        <w:fldChar w:fldCharType="begin" w:fldLock="1"/>
      </w:r>
      <w:r w:rsidR="00CB10A7">
        <w:instrText>ADDIN CSL_CITATION {"citationItems":[{"id":"ITEM-1","itemData":{"DOI":"10.1038/nature04969","ISBN":"1476-4687 (Electronic)\\r0028-0836 (Linking)","ISSN":"00280836","PMID":"16855586","abstract":"Graphene sheets--one-atom-thick two-dimensional layers of sp2-bonded carbon--are predicted to have a range of unusual properties. Their thermal conductivity and mechanical stiffness may rival the remarkable in-plane values for graphite (approximately 3,000 W m(-1) K(-1) and 1,060 GPa, respectively); their fracture strength should be comparable to that of carbon nanotubes for similar types of defects; and recent studies have shown that individual graphene sheets have extraordinary electronic transport properties. One possible route to harnessing these properties for applications would be to incorporate graphene sheets in a composite material. The manufacturing of such composites requires not only that graphene sheets be produced on a sufficient scale but that they also be incorporated, and homogeneously distributed, into various matrices. Graphite, inexpensive and available in large quantity, unfortunately does not readily exfoliate to yield individual graphene sheets. Here we present a general approach for the preparation of graphene-polymer composites via complete exfoliation of graphite and molecular-level dispersion of individual, chemically modified graphene sheets within polymer hosts. A polystyrene-graphene composite formed by this route exhibits a percolation threshold of approximately 0.1 volume per cent for room-temperature electrical conductivity, the lowest reported value for any carbon-based composite except for those involving carbon nanotubes; at only 1 volume per cent, this composite has a conductivity of approximately 0.1 S m(-1), sufficient for many electrical applications. Our bottom-up chemical approach of tuning the graphene sheet properties provides a path to a broad new class of graphene-based materials and their use in a variety of applications.","author":[{"dropping-particle":"","family":"Stankovich","given":"Sasha","non-dropping-particle":"","parse-names":false,"suffix":""},{"dropping-particle":"","family":"Dikin","given":"Dmitriy A.","non-dropping-particle":"","parse-names":false,"suffix":""},{"dropping-particle":"","family":"Dommett","given":"Geoffrey H.B.","non-dropping-particle":"","parse-names":false,"suffix":""},{"dropping-particle":"","family":"Kohlhaas","given":"Kevin M.","non-dropping-particle":"","parse-names":false,"suffix":""},{"dropping-particle":"","family":"Zimney","given":"Eric J.","non-dropping-particle":"","parse-names":false,"suffix":""},{"dropping-particle":"","family":"Stach","given":"Eric A.","non-dropping-particle":"","parse-names":false,"suffix":""},{"dropping-particle":"","family":"Piner","given":"Richard D.","non-dropping-particle":"","parse-names":false,"suffix":""},{"dropping-particle":"","family":"Nguyen","given":"Son Binh T.","non-dropping-particle":"","parse-names":false,"suffix":""},{"dropping-particle":"","family":"Ruoff","given":"Rodney S.","non-dropping-particle":"","parse-names":false,"suffix":""}],"container-title":"Nature","id":"ITEM-1","issue":"7100","issued":{"date-parts":[["2006"]]},"page":"282-286","title":"Graphene-based composite materials","type":"article-journal","volume":"442"},"uris":["http://www.mendeley.com/documents/?uuid=21927550-afe1-3ec7-b43b-a3d3c8822b5b","http://www.mendeley.com/documents/?uuid=61fc6df2-2405-4650-9319-6b37e116c135"]}],"mendeley":{"formattedCitation":"[11]","plainTextFormattedCitation":"[11]","previouslyFormattedCitation":"[11]"},"properties":{"noteIndex":0},"schema":"https://github.com/citation-style-language/schema/raw/master/csl-citation.json"}</w:instrText>
      </w:r>
      <w:r w:rsidR="001E511E" w:rsidRPr="00B6778D">
        <w:fldChar w:fldCharType="separate"/>
      </w:r>
      <w:r w:rsidR="002D6134" w:rsidRPr="002D6134">
        <w:rPr>
          <w:noProof/>
        </w:rPr>
        <w:t>[11]</w:t>
      </w:r>
      <w:r w:rsidR="001E511E" w:rsidRPr="00B6778D">
        <w:fldChar w:fldCharType="end"/>
      </w:r>
      <w:r w:rsidR="0003079F" w:rsidRPr="00B6778D">
        <w:t>. There have been reported success o</w:t>
      </w:r>
      <w:r>
        <w:t>n the use of graphene as a supported</w:t>
      </w:r>
      <w:r w:rsidR="0003079F" w:rsidRPr="00B6778D">
        <w:t xml:space="preserve"> heterogeneous catalyst for the synthesis of propylene carbonate</w:t>
      </w:r>
      <w:r w:rsidR="001E511E" w:rsidRPr="00B6778D">
        <w:t xml:space="preserve"> </w:t>
      </w:r>
      <w:r w:rsidR="001E511E" w:rsidRPr="00B6778D">
        <w:fldChar w:fldCharType="begin" w:fldLock="1"/>
      </w:r>
      <w:r w:rsidR="00CB10A7">
        <w:instrText>ADDIN CSL_CITATION {"citationItems":[{"id":"ITEM-1","itemData":{"DOI":"10.1016/j.cattod.2014.12.032","ISSN":"09205861","abstract":"Continuous hydrothermal flow synthesis (CHFS) has been employed as rapid and cleaner route for the synthesis of a novel, highly efficient graphene-inorganic heterogeneous catalyst, denoted as Ce-La-Zr-GO nanocomposite. The catalyst was used for the direct synthesis of propylene carbonate (PC) from the cycloaddition of carbon dioxide (CO2) and propylene oxide (PO) in the absence of any organic solvents. Ce-Zr-La-GO nanocomposite was synthesized from pre-mixed aqueous solution of cerium, lanthanum, zirconium nitrate and GO (synthesized via conventional Hummers method) under alkaline conditions using the CHFS reactor. The resulting nanocomposite catalyst was heat-treated at various temperatures (773, 973 and 1173 K) and their catalytic properties were assessed. The as-prepared and the corresponding heat-treated catalysts were characterized using transmission electron microscopy (TEM), X-ray photoelectron spectroscopy (XPS), X-ray powder diffraction (XRD) and Brunauer-Emmett-Teller (BET) surface area measurements. Effect of various parameters such as heat-treatment temperature, catalyst loading, CO2 pressure, reaction time and temperature was systematically studied to determine the optimum reaction conditions. The optimum reaction condition for the direct synthesis of PC was found at 443 K, 70 bar and 10% (w/w) catalyst loading. Catalyst reusability study was also conducted to investigate the long life stability for the synthesis of PC and it was found that the catalyst could be reused several times without losing it catalytic activity. These studies revealed that Ce-Zr-La-GO nanocomposite catalyst showed high catalytic activity as compared to other reported heterogeneous catalysts with the conversion of PO, selectivity and yield of PC.","author":[{"dropping-particle":"","family":"Adeleye","given":"Adegboyega Isaac","non-dropping-particle":"","parse-names":false,"suffix":""},{"dropping-particle":"","family":"Kellici","given":"Suela","non-dropping-particle":"","parse-names":false,"suffix":""},{"dropping-particle":"","family":"Heil","given":"Tobias","non-dropping-particle":"","parse-names":false,"suffix":""},{"dropping-particle":"","family":"Morgan","given":"David","non-dropping-particle":"","parse-names":false,"suffix":""},{"dropping-particle":"","family":"Vickers","given":"Martin","non-dropping-particle":"","parse-names":false,"suffix":""},{"dropping-particle":"","family":"Saha","given":"Basudeb","non-dropping-particle":"","parse-names":false,"suffix":""}],"container-title":"Catalysis Today","id":"ITEM-1","issue":"P2","issued":{"date-parts":[["2015","11"]]},"page":"347-357","publisher":"Elsevier","title":"Greener synthesis of propylene carbonate using graphene-inorganic nanocomposite catalysts","type":"article-journal","volume":"256"},"uris":["http://www.mendeley.com/documents/?uuid=a6eefdf6-dff9-4afa-b89c-88dd24d07ab2","http://www.mendeley.com/documents/?uuid=be2fe9ba-a0a9-43e5-b48d-344098dd3a7e"]}],"mendeley":{"formattedCitation":"[12]","plainTextFormattedCitation":"[12]","previouslyFormattedCitation":"[12]"},"properties":{"noteIndex":0},"schema":"https://github.com/citation-style-language/schema/raw/master/csl-citation.json"}</w:instrText>
      </w:r>
      <w:r w:rsidR="001E511E" w:rsidRPr="00B6778D">
        <w:fldChar w:fldCharType="separate"/>
      </w:r>
      <w:r w:rsidR="002D6134" w:rsidRPr="002D6134">
        <w:rPr>
          <w:noProof/>
        </w:rPr>
        <w:t>[12]</w:t>
      </w:r>
      <w:r w:rsidR="001E511E" w:rsidRPr="00B6778D">
        <w:fldChar w:fldCharType="end"/>
      </w:r>
      <w:r w:rsidR="0003079F" w:rsidRPr="00B6778D">
        <w:t xml:space="preserve"> and dimethyl carbonate</w:t>
      </w:r>
      <w:r w:rsidR="00FC5FAD">
        <w:t xml:space="preserve"> (DMC)</w:t>
      </w:r>
      <w:r w:rsidR="001E511E" w:rsidRPr="00B6778D">
        <w:t xml:space="preserve"> </w:t>
      </w:r>
      <w:r w:rsidR="001E511E" w:rsidRPr="00B6778D">
        <w:fldChar w:fldCharType="begin" w:fldLock="1"/>
      </w:r>
      <w:r w:rsidR="00CB10A7">
        <w:instrText>ADDIN CSL_CITATION {"citationItems":[{"id":"ITEM-1","itemData":{"DOI":"10.1016/j.apcatb.2014.12.013","ISBN":"0926-3373","ISSN":"09263373","abstract":"A green, rapid and continuous hydrothermal flow synthesis (CHFS) route has been used to produce highly stable and active novel ceria-zirconia oxide/graphene nanocomposite catalyst [Ce-Zr oxide/graphene, where nominal atomic ratio of Ce:Zr (1:1)]. This catalyst has been investigated for the direct synthesis of dimethyl carbonate (DMC) from methanol (MeOH) and carbon dioxide (CO2) using 1,1,1, trimethoxymethane (TMM) as a dehydrating agent in a high pressure reactor. The resulting graphene nanocomposites have been further subjected to heat treatment at 973K for four hours in nitrogen. The as-prepared and the corresponding heat treated catalysts have been extensively characterized using powder X-ray diffraction (XRD), transmission electron microscopy (TEM), Brunauer-Emmett-Teller (BET) surface area measurement and X-ray photoelectron spectroscopy (XPS) analysis. The effect of various reaction conditions, such as reaction temperature, CO2pressure, catalyst loading and reaction time has been extensively evaluated. The optimum condition for the direct synthesis of DMC has been found at 383K, 275bar and 10% (w/w) catalyst loading. The ceria-zirconia oxide (Ce-Zr oxide)/graphene nanocomposite catalyst showed highest MeOH conversion of 58% at a DMC yield of 33%. Catalyst reusability studies have been conducted at optimum reaction condition and it has been found that this catalyst could be reused several times without losing its catalytic activity. These experimental findings indicated that novel ceria-zirconia oxide/graphene nanocomposite has a huge potential as a heterogeneous catalyst for the synthesis of DMC. The results also confirmed that the use of TMM markedly improved the conversion of MeOH and the yield of DMC.","author":[{"dropping-particle":"","family":"Saada","given":"Rim","non-dropping-particle":"","parse-names":false,"suffix":""},{"dropping-particle":"","family":"Kellici","given":"Suela","non-dropping-particle":"","parse-names":false,"suffix":""},{"dropping-particle":"","family":"Heil","given":"Tobias","non-dropping-particle":"","parse-names":false,"suffix":""},{"dropping-particle":"","family":"Morgan","given":"David","non-dropping-particle":"","parse-names":false,"suffix":""},{"dropping-particle":"","family":"Saha","given":"Basudeb","non-dropping-particle":"","parse-names":false,"suffix":""}],"container-title":"Applied Catalysis B: Environmental","id":"ITEM-1","issued":{"date-parts":[["2015"]]},"page":"353-362","publisher":"Elsevier B.V.","title":"Greener synthesis of dimethyl carbonate using a novel ceria-zirconia oxide/graphene nanocomposite catalyst","type":"article-journal","volume":"168-169"},"uris":["http://www.mendeley.com/documents/?uuid=156e4c4c-8b01-475f-be6c-1753e2b911dd"]}],"mendeley":{"formattedCitation":"[13]","plainTextFormattedCitation":"[13]","previouslyFormattedCitation":"[13]"},"properties":{"noteIndex":0},"schema":"https://github.com/citation-style-language/schema/raw/master/csl-citation.json"}</w:instrText>
      </w:r>
      <w:r w:rsidR="001E511E" w:rsidRPr="00B6778D">
        <w:fldChar w:fldCharType="separate"/>
      </w:r>
      <w:r w:rsidR="002D6134" w:rsidRPr="002D6134">
        <w:rPr>
          <w:noProof/>
        </w:rPr>
        <w:t>[13]</w:t>
      </w:r>
      <w:r w:rsidR="001E511E" w:rsidRPr="00B6778D">
        <w:fldChar w:fldCharType="end"/>
      </w:r>
      <w:r w:rsidR="001E511E" w:rsidRPr="00B6778D">
        <w:t>.</w:t>
      </w:r>
    </w:p>
    <w:p w:rsidR="0003079F" w:rsidRPr="00B6778D" w:rsidRDefault="0003079F" w:rsidP="00537EAE">
      <w:pPr>
        <w:jc w:val="both"/>
      </w:pPr>
    </w:p>
    <w:p w:rsidR="00291144" w:rsidRDefault="004E3C32">
      <w:pPr>
        <w:jc w:val="both"/>
      </w:pPr>
      <w:r>
        <w:rPr>
          <w:noProof/>
        </w:rPr>
        <w:t>O</w:t>
      </w:r>
      <w:r w:rsidR="0003079F" w:rsidRPr="00AB0336">
        <w:rPr>
          <w:noProof/>
        </w:rPr>
        <w:t>ptimisation</w:t>
      </w:r>
      <w:r>
        <w:t xml:space="preserve"> </w:t>
      </w:r>
      <w:r w:rsidR="0003079F" w:rsidRPr="00B6778D">
        <w:t xml:space="preserve">is the bedrock of saving </w:t>
      </w:r>
      <w:r>
        <w:t xml:space="preserve">the </w:t>
      </w:r>
      <w:r w:rsidR="0049408C">
        <w:t xml:space="preserve">overall </w:t>
      </w:r>
      <w:r>
        <w:t xml:space="preserve">process </w:t>
      </w:r>
      <w:r w:rsidR="0003079F" w:rsidRPr="00B6778D">
        <w:t xml:space="preserve">cost by </w:t>
      </w:r>
      <w:r w:rsidR="0003079F" w:rsidRPr="00AB0336">
        <w:rPr>
          <w:noProof/>
        </w:rPr>
        <w:t>maximising</w:t>
      </w:r>
      <w:r w:rsidR="0003079F" w:rsidRPr="00B6778D">
        <w:t xml:space="preserve"> the </w:t>
      </w:r>
      <w:r>
        <w:t xml:space="preserve">employability of the available </w:t>
      </w:r>
      <w:r w:rsidR="0003079F" w:rsidRPr="00B6778D">
        <w:t>resources in order to achieve optimal results</w:t>
      </w:r>
      <w:r w:rsidR="001E511E" w:rsidRPr="00B6778D">
        <w:t xml:space="preserve"> </w:t>
      </w:r>
      <w:r w:rsidR="00CD48D5" w:rsidRPr="00B6778D">
        <w:fldChar w:fldCharType="begin" w:fldLock="1"/>
      </w:r>
      <w:r w:rsidR="00CB10A7">
        <w:instrText>ADDIN CSL_CITATION {"citationItems":[{"id":"ITEM-1","itemData":{"DOI":"10.1016/j.talanta.2008.05.019","ISBN":"1873-3573 (Electronic)\\n0039-9140 (Linking)","ISSN":"00399140","PMID":"18761143","abstract":"A review about the application of response surface methodology (RSM) in the optimization of analytical methods is presented. The theoretical principles of RSM and steps for its application are described to introduce readers to this multivariate statistical technique. Symmetrical experimental designs (three-level factorial, Box-Behnken, central composite, and Doehlert designs) are compared in terms of characteristics and efficiency. Furthermore, recent references of their uses in analytical chemistry are presented. Multiple response optimization applying desirability functions in RSM and the use of artificial neural networks for modeling are also discussed. © 2008.","author":[{"dropping-particle":"","family":"Bezerra","given":"Marcos Almeida","non-dropping-particle":"","parse-names":false,"suffix":""},{"dropping-particle":"","family":"Santelli","given":"Ricardo Erthal","non-dropping-particle":"","parse-names":false,"suffix":""},{"dropping-particle":"","family":"Oliveira","given":"Eliane Padua","non-dropping-particle":"","parse-names":false,"suffix":""},{"dropping-particle":"","family":"Villar","given":"Leonardo Silveira","non-dropping-particle":"","parse-names":false,"suffix":""},{"dropping-particle":"","family":"Escaleira","given":"Luciane Amélia","non-dropping-particle":"","parse-names":false,"suffix":""}],"container-title":"Talanta","id":"ITEM-1","issue":"5","issued":{"date-parts":[["2008"]]},"page":"965-977","title":"Response surface methodology (RSM) as a tool for optimization in analytical chemistry","type":"article","volume":"76"},"uris":["http://www.mendeley.com/documents/?uuid=74cb0968-1cb4-3f20-a46a-064cd0bf0f5f","http://www.mendeley.com/documents/?uuid=1b3c460d-b653-42d8-bc0f-7751c0e8b319"]}],"mendeley":{"formattedCitation":"[14]","plainTextFormattedCitation":"[14]","previouslyFormattedCitation":"[14]"},"properties":{"noteIndex":0},"schema":"https://github.com/citation-style-language/schema/raw/master/csl-citation.json"}</w:instrText>
      </w:r>
      <w:r w:rsidR="00CD48D5" w:rsidRPr="00B6778D">
        <w:fldChar w:fldCharType="separate"/>
      </w:r>
      <w:r w:rsidR="002D6134" w:rsidRPr="002D6134">
        <w:rPr>
          <w:noProof/>
        </w:rPr>
        <w:t>[14]</w:t>
      </w:r>
      <w:r w:rsidR="00CD48D5" w:rsidRPr="00B6778D">
        <w:fldChar w:fldCharType="end"/>
      </w:r>
      <w:r w:rsidR="0003079F" w:rsidRPr="00B6778D">
        <w:t xml:space="preserve">. This process </w:t>
      </w:r>
      <w:r w:rsidR="0003079F" w:rsidRPr="00B6778D">
        <w:lastRenderedPageBreak/>
        <w:t xml:space="preserve">promotes the reduction of </w:t>
      </w:r>
      <w:r>
        <w:t xml:space="preserve">process </w:t>
      </w:r>
      <w:r w:rsidR="0003079F" w:rsidRPr="00B6778D">
        <w:t>waste</w:t>
      </w:r>
      <w:r>
        <w:t xml:space="preserve"> and</w:t>
      </w:r>
      <w:r w:rsidR="0003079F" w:rsidRPr="00B6778D">
        <w:t xml:space="preserve"> </w:t>
      </w:r>
      <w:r w:rsidR="0003079F" w:rsidRPr="00AB0336">
        <w:rPr>
          <w:noProof/>
        </w:rPr>
        <w:t>maximis</w:t>
      </w:r>
      <w:r>
        <w:rPr>
          <w:noProof/>
        </w:rPr>
        <w:t>e the</w:t>
      </w:r>
      <w:r w:rsidR="0003079F" w:rsidRPr="00B6778D">
        <w:t xml:space="preserve"> production output</w:t>
      </w:r>
      <w:r>
        <w:t>.</w:t>
      </w:r>
      <w:r w:rsidR="00064DA0">
        <w:t xml:space="preserve">Conventionally, </w:t>
      </w:r>
      <w:r w:rsidR="0003079F" w:rsidRPr="00B6778D">
        <w:t xml:space="preserve">the use of </w:t>
      </w:r>
      <w:r w:rsidR="0003079F" w:rsidRPr="00AB0336">
        <w:rPr>
          <w:noProof/>
        </w:rPr>
        <w:t>optimisation</w:t>
      </w:r>
      <w:r w:rsidR="0003079F" w:rsidRPr="00B6778D">
        <w:t xml:space="preserve"> on process parameter reveal the response effect of each process parameter at a time. On the application of </w:t>
      </w:r>
      <w:r w:rsidR="00823049" w:rsidRPr="00B6778D">
        <w:t xml:space="preserve">the </w:t>
      </w:r>
      <w:r w:rsidR="0003079F" w:rsidRPr="00B6778D">
        <w:rPr>
          <w:noProof/>
        </w:rPr>
        <w:t>traditional</w:t>
      </w:r>
      <w:r w:rsidR="0003079F" w:rsidRPr="00B6778D">
        <w:t xml:space="preserve"> method, only the inves</w:t>
      </w:r>
      <w:r w:rsidR="00291144">
        <w:t xml:space="preserve">tigated </w:t>
      </w:r>
      <w:r w:rsidR="006E6E47">
        <w:t>response</w:t>
      </w:r>
      <w:r w:rsidR="00291144">
        <w:t xml:space="preserve"> is varied at one factor at a time (OFAT) where the other factors are at a constant </w:t>
      </w:r>
      <w:r w:rsidR="006E6E47">
        <w:t>level</w:t>
      </w:r>
      <w:r w:rsidR="0003079F" w:rsidRPr="00B6778D">
        <w:t xml:space="preserve">. </w:t>
      </w:r>
      <w:r w:rsidR="00291144">
        <w:t xml:space="preserve">This </w:t>
      </w:r>
      <w:r w:rsidR="00291144" w:rsidRPr="00EA15FA">
        <w:rPr>
          <w:noProof/>
        </w:rPr>
        <w:t>disseminate</w:t>
      </w:r>
      <w:r w:rsidR="00EA15FA">
        <w:rPr>
          <w:noProof/>
        </w:rPr>
        <w:t>s</w:t>
      </w:r>
      <w:r w:rsidR="00291144">
        <w:t xml:space="preserve"> the effect of a single factor on the response where the optimum </w:t>
      </w:r>
      <w:r w:rsidR="00347721">
        <w:t xml:space="preserve">value of each parameter is only valid at a constant value of the other parameters </w:t>
      </w:r>
      <w:r w:rsidR="00347721">
        <w:fldChar w:fldCharType="begin" w:fldLock="1"/>
      </w:r>
      <w:r w:rsidR="00CB10A7">
        <w:instrText>ADDIN CSL_CITATION {"citationItems":[{"id":"ITEM-1","itemData":{"DOI":"10.1198/tech.2006.s372","ISBN":"0471316490","ISSN":"0040-1706","PMID":"3052115","abstract":"This bestselling professional reference has helped over 100,000 engineers and scientists with the success of their experiments. The new edition includes more software examples taken from the four most dominant programs in the field: Design-Expert, Minitab, JMP, and SAS.Additional material has also been added in several chapters, including new developments in robust design and factorial designs. New examples and exercises are also presented to illustrate the use of designed experiments in service and transactional organizations. Engineers will be able to apply this information to improve the quality and efficiency of working systems.","author":[{"dropping-particle":"","family":"Montgomery","given":"Douglas C","non-dropping-particle":"","parse-names":false,"suffix":""}],"container-title":"Technometrics","id":"ITEM-1","issue":"1","issued":{"date-parts":[["2006","2"]]},"page":"158-158","title":"Design and Analysis of Experiments","type":"article-journal","volume":"48"},"uris":["http://www.mendeley.com/documents/?uuid=9f7792c2-b317-4099-8515-1aa35ccc56d1","http://www.mendeley.com/documents/?uuid=407ce1c9-9e0a-475b-8576-f789929688c6"]}],"mendeley":{"formattedCitation":"[15]","plainTextFormattedCitation":"[15]","previouslyFormattedCitation":"[15]"},"properties":{"noteIndex":0},"schema":"https://github.com/citation-style-language/schema/raw/master/csl-citation.json"}</w:instrText>
      </w:r>
      <w:r w:rsidR="00347721">
        <w:fldChar w:fldCharType="separate"/>
      </w:r>
      <w:r w:rsidR="002D6134" w:rsidRPr="002D6134">
        <w:rPr>
          <w:noProof/>
        </w:rPr>
        <w:t>[15]</w:t>
      </w:r>
      <w:r w:rsidR="00347721">
        <w:fldChar w:fldCharType="end"/>
      </w:r>
      <w:r w:rsidR="00347721">
        <w:t xml:space="preserve">. Accordingly, the experimental design using either full or partial factorial design has been developed to overcome the aforementioned </w:t>
      </w:r>
      <w:r w:rsidR="00347721" w:rsidRPr="00AB0336">
        <w:rPr>
          <w:noProof/>
        </w:rPr>
        <w:t>optimisation</w:t>
      </w:r>
      <w:r w:rsidR="00347721">
        <w:t xml:space="preserve"> restrictions and to define the real optimum condition</w:t>
      </w:r>
      <w:r w:rsidR="00310C23">
        <w:t>s</w:t>
      </w:r>
      <w:r w:rsidR="00347721">
        <w:t xml:space="preserve"> by varying all the process parameters simultaneously.</w:t>
      </w:r>
      <w:r w:rsidR="00B61369">
        <w:t xml:space="preserve"> In addition, using </w:t>
      </w:r>
      <w:r w:rsidR="00EA15FA">
        <w:t xml:space="preserve">an </w:t>
      </w:r>
      <w:r w:rsidR="00B61369" w:rsidRPr="00EA15FA">
        <w:rPr>
          <w:noProof/>
        </w:rPr>
        <w:t>experimental</w:t>
      </w:r>
      <w:r w:rsidR="00B61369">
        <w:t xml:space="preserve"> design technique avoid the essential need of performing </w:t>
      </w:r>
      <w:r w:rsidR="00EA15FA">
        <w:t xml:space="preserve">a </w:t>
      </w:r>
      <w:r w:rsidR="00B61369" w:rsidRPr="00EA15FA">
        <w:rPr>
          <w:noProof/>
        </w:rPr>
        <w:t>large</w:t>
      </w:r>
      <w:r w:rsidR="00B61369">
        <w:t xml:space="preserve"> number of experiments that consume chemicals and materials </w:t>
      </w:r>
      <w:r w:rsidR="00B61369">
        <w:fldChar w:fldCharType="begin" w:fldLock="1"/>
      </w:r>
      <w:r w:rsidR="00CB10A7">
        <w:instrText>ADDIN CSL_CITATION {"citationItems":[{"id":"ITEM-1","itemData":{"DOI":"10.1016/j.jfoodeng.2005.11.024","ISBN":"0260-8774","ISSN":"02608774","abstract":"Response surface methodology (RSM) is the most popular optimization\\nmethod used in recent years. There are so many works based on the\\napplication of RSM in chemical and biochemical process. On the other\\nhand, few articles were published about the limitation and usability\\nof it. In this paper, we looked at some of the RSM articles published\\nduring the last few years. We tried to identify common mistakes made\\nin the application and the limitations of RSM. We asked ourselves\\ntwo important questions. These questions are “Can RSM be used for\\noptimization of all chemical and biochemical processes without any\\nlimitation?” and “Is RSM usable for other purposes (determination\\nof reaction kinetics, stability or evaluation of kinetic constants\\netc.) in addition to optimization?”. We were able to answer these\\nquestions based on the observations obtained from reviewed articles.\\nWe believe that the answers will be helpful for researchers, who\\nwill use RSM in their future studies.","author":[{"dropping-particle":"","family":"Baş","given":"Deniz","non-dropping-particle":"","parse-names":false,"suffix":""},{"dropping-particle":"","family":"Boyacı","given":"İsmail H.","non-dropping-particle":"","parse-names":false,"suffix":""}],"container-title":"Journal of Food Engineering","id":"ITEM-1","issue":"3","issued":{"date-parts":[["2007"]]},"page":"836-845","title":"Modeling and optimization I: Usability of response surface methodology","type":"article-journal","volume":"78"},"uris":["http://www.mendeley.com/documents/?uuid=4e692e92-3739-4960-9238-a350049dcc99","http://www.mendeley.com/documents/?uuid=40921f7a-44fc-4d70-b644-c6e028f584fd"]}],"mendeley":{"formattedCitation":"[16]","plainTextFormattedCitation":"[16]","previouslyFormattedCitation":"[16]"},"properties":{"noteIndex":0},"schema":"https://github.com/citation-style-language/schema/raw/master/csl-citation.json"}</w:instrText>
      </w:r>
      <w:r w:rsidR="00B61369">
        <w:fldChar w:fldCharType="separate"/>
      </w:r>
      <w:r w:rsidR="002D6134" w:rsidRPr="002D6134">
        <w:rPr>
          <w:noProof/>
        </w:rPr>
        <w:t>[16]</w:t>
      </w:r>
      <w:r w:rsidR="00B61369">
        <w:fldChar w:fldCharType="end"/>
      </w:r>
      <w:r w:rsidR="00B61369">
        <w:t>.</w:t>
      </w:r>
    </w:p>
    <w:p w:rsidR="0003079F" w:rsidRPr="00B6778D" w:rsidRDefault="0003079F" w:rsidP="00537EAE">
      <w:pPr>
        <w:jc w:val="both"/>
      </w:pPr>
    </w:p>
    <w:p w:rsidR="00346331" w:rsidRDefault="0003079F" w:rsidP="00955A46">
      <w:pPr>
        <w:jc w:val="both"/>
      </w:pPr>
      <w:r w:rsidRPr="00B6778D">
        <w:t xml:space="preserve">In recent times, </w:t>
      </w:r>
      <w:r w:rsidR="00B61369">
        <w:t xml:space="preserve">several experimental design </w:t>
      </w:r>
      <w:r w:rsidR="00B61369" w:rsidRPr="00EA15FA">
        <w:rPr>
          <w:noProof/>
        </w:rPr>
        <w:t>techni</w:t>
      </w:r>
      <w:r w:rsidR="00EA15FA">
        <w:rPr>
          <w:noProof/>
        </w:rPr>
        <w:t>q</w:t>
      </w:r>
      <w:r w:rsidR="00B61369" w:rsidRPr="00EA15FA">
        <w:rPr>
          <w:noProof/>
        </w:rPr>
        <w:t>ues</w:t>
      </w:r>
      <w:r w:rsidR="00B61369">
        <w:t xml:space="preserve"> have been implemented for process </w:t>
      </w:r>
      <w:r w:rsidR="00B61369" w:rsidRPr="00AB0336">
        <w:rPr>
          <w:noProof/>
        </w:rPr>
        <w:t>optimisation</w:t>
      </w:r>
      <w:r w:rsidR="00B61369">
        <w:t xml:space="preserve"> including </w:t>
      </w:r>
      <w:r w:rsidRPr="00B6778D">
        <w:t>response surface methodology (RSM)</w:t>
      </w:r>
      <w:r w:rsidR="00B61369">
        <w:t xml:space="preserve">, Taguchi method, artificial neural network (ANN) and Fuzzy </w:t>
      </w:r>
      <w:r w:rsidR="00B61369" w:rsidRPr="00AB0336">
        <w:rPr>
          <w:noProof/>
        </w:rPr>
        <w:t>modelling</w:t>
      </w:r>
      <w:r w:rsidR="00B61369">
        <w:t xml:space="preserve"> </w:t>
      </w:r>
      <w:r w:rsidR="00607308">
        <w:fldChar w:fldCharType="begin" w:fldLock="1"/>
      </w:r>
      <w:r w:rsidR="00CB10A7">
        <w:instrText>ADDIN CSL_CITATION {"citationItems":[{"id":"ITEM-1","itemData":{"DOI":"10.1016/j.energy.2017.05.041","ISBN":"9826328081","ISSN":"03605442","abstract":"This study was aimed at performing a multi-objective fuzzy modeling and optimization of a low power, high frequency piezo-ultrasonic reactor applied for biodiesel production from waste cooking oil (WCO). To achieve this, three different fuzzy optimization methods were interfaced with adaptive neuro-fuzzy inference system (ANFIS) as modeling system to minimize the specific energy consumption of the reactor and to satisfy the ASTM standard on yield, i.e., conversion efficiency of &gt;96.5%. Two ANFIS models were applied to correlate two output variables (conversion efficiency and specific energy consumption) individually with three input variables (reaction temperature, ultrasonic irradiation time, and methanol/oil molar ratio). The multi-objective optimization techniques included the fuzzy systems with independent, interdependent, and locally-modified interdependent objectives. Based on the results achieved, both ANFIS models excellently tracked the output parameters. Furthermore, the fuzzy system with locally-modified interdependent objectives outperformed the other two fuzzy systems in optimizing the transesterification process of WCO. The optimal WCO transesterification process for biodiesel production in the developed reactor corresponded to the methanol/oil molar ratio of 6.1:1, ultrasonic irradiation time of 10 min, and reaction temperature of 59.5 °C, leading to a conversion efficiency of 96.63% and a specific energy consumption of 373.87 kJ/kg.","author":[{"dropping-particle":"","family":"Aghbashlo","given":"Mortaza","non-dropping-particle":"","parse-names":false,"suffix":""},{"dropping-particle":"","family":"Hosseinpour","given":"Soleiman","non-dropping-particle":"","parse-names":false,"suffix":""},{"dropping-particle":"","family":"Tabatabaei","given":"Meisam","non-dropping-particle":"","parse-names":false,"suffix":""},{"dropping-particle":"","family":"Dadak","given":"Ali","non-dropping-particle":"","parse-names":false,"suffix":""}],"container-title":"Energy","id":"ITEM-1","issued":{"date-parts":[["2017"]]},"page":"65-78","publisher":"Elsevier Ltd","title":"Fuzzy modeling and optimization of the synthesis of biodiesel from waste cooking oil (WCO) by a low power, high frequency piezo-ultrasonic reactor","type":"article-journal","volume":"132"},"uris":["http://www.mendeley.com/documents/?uuid=3b78b1a5-2867-442e-a029-a2c873024f6f","http://www.mendeley.com/documents/?uuid=0ba48138-7fdf-4308-95fb-e6904fb9252b"]},{"id":"ITEM-2","itemData":{"DOI":"10.1016/j.jclepro.2018.08.238","ISSN":"0959-6526","author":[{"dropping-particle":"","family":"Omrani","given":"Hashem","non-dropping-particle":"","parse-names":false,"suffix":""},{"dropping-particle":"","family":"Alizadeh","given":"Arash","non-dropping-particle":"","parse-names":false,"suffix":""},{"dropping-particle":"","family":"Emrouznejad","given":"Ali","non-dropping-particle":"","parse-names":false,"suffix":""}],"container-title":"Journal of Cleaner Production","id":"ITEM-2","issued":{"date-parts":[["2018"]]},"page":"210-223","publisher":"Elsevier Ltd","title":"Finding the optimal combination of power plants alternatives: a multi response Taguchi-neural network using TOPSIS and fuzzy best-worst method","type":"article-journal","volume":"203"},"uris":["http://www.mendeley.com/documents/?uuid=c8424279-da3d-46bc-95ea-59e9d0bed2da","http://www.mendeley.com/documents/?uuid=ac1c9a09-313b-4bd5-9fdc-d9d0a396f657"]}],"mendeley":{"formattedCitation":"[17,18]","plainTextFormattedCitation":"[17,18]","previouslyFormattedCitation":"[17,18]"},"properties":{"noteIndex":0},"schema":"https://github.com/citation-style-language/schema/raw/master/csl-citation.json"}</w:instrText>
      </w:r>
      <w:r w:rsidR="00607308">
        <w:fldChar w:fldCharType="separate"/>
      </w:r>
      <w:r w:rsidR="002D6134" w:rsidRPr="002D6134">
        <w:rPr>
          <w:noProof/>
        </w:rPr>
        <w:t>[17,18]</w:t>
      </w:r>
      <w:r w:rsidR="00607308">
        <w:fldChar w:fldCharType="end"/>
      </w:r>
      <w:r w:rsidR="00B61369">
        <w:t>.</w:t>
      </w:r>
      <w:r w:rsidRPr="00B6778D">
        <w:t xml:space="preserve"> RSM is a powerful </w:t>
      </w:r>
      <w:r w:rsidRPr="00AB0336">
        <w:rPr>
          <w:noProof/>
        </w:rPr>
        <w:t>optimisation</w:t>
      </w:r>
      <w:r w:rsidRPr="00B6778D">
        <w:t xml:space="preserve"> process that has been extensively used to </w:t>
      </w:r>
      <w:r w:rsidRPr="00AB0336">
        <w:rPr>
          <w:noProof/>
        </w:rPr>
        <w:t>optimise</w:t>
      </w:r>
      <w:r w:rsidRPr="00B6778D">
        <w:t xml:space="preserve"> </w:t>
      </w:r>
      <w:r w:rsidR="00B61369">
        <w:t xml:space="preserve">different applications processes </w:t>
      </w:r>
      <w:r w:rsidR="00955A46">
        <w:fldChar w:fldCharType="begin" w:fldLock="1"/>
      </w:r>
      <w:r w:rsidR="00CB10A7">
        <w:instrText>ADDIN CSL_CITATION {"citationItems":[{"id":"ITEM-1","itemData":{"DOI":"10.1016/j.jenvman.2017.12.009","ISSN":"03014797","author":[{"dropping-particle":"","family":"Sillanpää","given":"Mika","non-dropping-particle":"","parse-names":false,"suffix":""},{"dropping-particle":"","family":"Ncibi","given":"Mohamed Chaker","non-dropping-particle":"","parse-names":false,"suffix":""},{"dropping-particle":"","family":"Matilainen","given":"Anu","non-dropping-particle":"","parse-names":false,"suffix":""}],"container-title":"Journal of Environmental Management","id":"ITEM-1","issued":{"date-parts":[["2018","2"]]},"page":"56-76","title":"Advanced oxidation processes for the removal of natural organic matter from drinking water sources: A comprehensive review","type":"article-journal","volume":"208"},"uris":["http://www.mendeley.com/documents/?uuid=a056de6e-f8a9-4294-869b-d24d5ffd5a98","http://www.mendeley.com/documents/?uuid=63cdaaf3-ad9f-4f9d-94db-e841899e998d"]},{"id":"ITEM-2","itemData":{"DOI":"10.1016/j.cej.2016.03.012","ISSN":"1385-8947","author":[{"dropping-particle":"","family":"Anitha","given":"M","non-dropping-particle":"","parse-names":false,"suffix":""},{"dropping-particle":"","family":"Kamarudin","given":"S K","non-dropping-particle":"","parse-names":false,"suffix":""},{"dropping-particle":"","family":"Kofli","given":"N T","non-dropping-particle":"","parse-names":false,"suffix":""}],"container-title":"Chemical Engineering Journal","id":"ITEM-2","issued":{"date-parts":[["2016"]]},"page":"119-130","publisher":"Elsevier B.V.","title":"The potential of glycerol as a value-added commodity","type":"article-journal","volume":"295"},"uris":["http://www.mendeley.com/documents/?uuid=0ba56091-1080-4fa8-87f4-54b57eb0406d","http://www.mendeley.com/documents/?uuid=97f16c21-17b7-4985-836b-7452706f1077"]},{"id":"ITEM-3","itemData":{"DOI":"10.1016/j.carbpol.2014.09.060","ISBN":"01448617","ISSN":"01448617","PMID":"25498628","abstract":"The purpose of this study was to optimize the preparation conditions of Lycium barbarum polysaccharides liposome (LBPL) by response surface methodology (RSM) and to investigate the effect of LBPL activating function of peritoneal macrophages. LBPL was prepared using the reverse-phase evaporation method. The optimal preparation conditions of LBPL by RSM were as follows: the ratio of lipid to drug (w/w) of25:1, the ultrasound time of 14 min and the ratio of soybean phospholipids to cholesterol (w/w) of 2.4:1.Under these conditions, the experimental encapsulation efficiency of LBPL was 86.37 ?? 0.63%, which was close to the predicted value. These indicated that LBPL with high entrapping efficiency and small particle size could be prepared by the reverse-phase evaporation method, which is applied easily. Furthermore, macrophages are the key players in the innate immune system. LBPL could effectively enhance peritoneal macrophages phagocytosis and resulted in inducing NO (nitric oxide) production in mouse peritoneal macrophages.","author":[{"dropping-particle":"","family":"Bo","given":"Ruonan","non-dropping-particle":"","parse-names":false,"suffix":""},{"dropping-particle":"","family":"Ma","given":"Xia","non-dropping-particle":"","parse-names":false,"suffix":""},{"dropping-particle":"","family":"Feng","given":"Yibo","non-dropping-particle":"","parse-names":false,"suffix":""},{"dropping-particle":"","family":"Zhu","given":"Qian","non-dropping-particle":"","parse-names":false,"suffix":""},{"dropping-particle":"","family":"Huang","given":"Yee","non-dropping-particle":"","parse-names":false,"suffix":""},{"dropping-particle":"","family":"Liu","given":"Zhenguang","non-dropping-particle":"","parse-names":false,"suffix":""},{"dropping-particle":"","family":"Liu","given":"Cui","non-dropping-particle":"","parse-names":false,"suffix":""},{"dropping-particle":"","family":"Gao","given":"Zhenzhen","non-dropping-particle":"","parse-names":false,"suffix":""},{"dropping-particle":"","family":"Hu","given":"Yuanliang","non-dropping-particle":"","parse-names":false,"suffix":""},{"dropping-particle":"","family":"Wang","given":"Deyun","non-dropping-particle":"","parse-names":false,"suffix":""}],"container-title":"Carbohydrate Polymers","id":"ITEM-3","issued":{"date-parts":[["2015"]]},"page":"215-222","publisher":"Elsevier Ltd.","title":"Optimization on conditions of Lycium barbarum polysaccharides liposome by RSM and its effects on the peritoneal macrophages function","type":"article-journal","volume":"117"},"uris":["http://www.mendeley.com/documents/?uuid=f6ada7fe-fd26-4303-817e-8789c557ca1d","http://www.mendeley.com/documents/?uuid=47ac3e44-adf4-4977-a4f0-0eb5ea73b7e2"]},{"id":"ITEM-4","itemData":{"DOI":"10.1016/j.renene.2017.06.076","ISSN":"09601481","abstract":"Biodiesel production using supercritical methanol in the absence of catalyst has been analysed by studying the main factors affecting biodiesel yield. A quadratic polynomial model has been developed using Response Surface Methodology (RSM). Box-Behnken Design (BBD) has been used to evaluate the influence of four independent variables i.e. methanol to oil (M:O) molar ratio, temperature, pressure and time on biodiesel yield. The optimum biodiesel yield is 91% at M:O molar ratio, temperature, pressure and reaction time of 37:1, 253.5 °C, 198.5 bar and 14.8 min, respectively. Overall reaction kinetics has been studied at optimum conditions concluding a pseudo first order reaction with reaction rate constant of 0.0006s−1. Moreover, thermodynamics of the reaction has been analysed in the temperature range between 240 and 280 °C concluding frequency factor and activation energy of 4.05s−1and 50.5 kJ/mol, respectively. A kinetic reactor has been simulated on HYSYS using the obtained kinetic data resulting in 91.7% conversion of triglycerides (TG) with 0.2% relative error from the experimental results.","author":[{"dropping-particle":"","family":"Aboelazayem","given":"Omar","non-dropping-particle":"","parse-names":false,"suffix":""},{"dropping-particle":"","family":"Gadalla","given":"Mamdouh","non-dropping-particle":"","parse-names":false,"suffix":""},{"dropping-particle":"","family":"Saha","given":"Basudeb","non-dropping-particle":"","parse-names":false,"suffix":""}],"container-title":"Renewable Energy","id":"ITEM-4","issued":{"date-parts":[["2018","8"]]},"page":"144-154","publisher":"Elsevier Ltd","title":"Biodiesel production from waste cooking oil via supercritical methanol: Optimisation and reactor simulation","type":"article-journal","volume":"124"},"uris":["http://www.mendeley.com/documents/?uuid=05bd5c45-6fce-4a76-ad74-377c95930d5f"]}],"mendeley":{"formattedCitation":"[19–22]","plainTextFormattedCitation":"[19–22]","previouslyFormattedCitation":"[19–22]"},"properties":{"noteIndex":0},"schema":"https://github.com/citation-style-language/schema/raw/master/csl-citation.json"}</w:instrText>
      </w:r>
      <w:r w:rsidR="00955A46">
        <w:fldChar w:fldCharType="separate"/>
      </w:r>
      <w:r w:rsidR="002D6134" w:rsidRPr="002D6134">
        <w:rPr>
          <w:noProof/>
        </w:rPr>
        <w:t>[19–22]</w:t>
      </w:r>
      <w:r w:rsidR="00955A46">
        <w:fldChar w:fldCharType="end"/>
      </w:r>
      <w:r w:rsidR="00B61369">
        <w:t>.</w:t>
      </w:r>
      <w:r w:rsidR="00607308">
        <w:t xml:space="preserve"> RSM is used to combine the effect</w:t>
      </w:r>
      <w:r w:rsidRPr="00B6778D">
        <w:t xml:space="preserve"> </w:t>
      </w:r>
      <w:r w:rsidR="00607308">
        <w:t xml:space="preserve">of </w:t>
      </w:r>
      <w:r w:rsidRPr="00B6778D">
        <w:t xml:space="preserve">process </w:t>
      </w:r>
      <w:r w:rsidR="00607308">
        <w:t>variables</w:t>
      </w:r>
      <w:r w:rsidRPr="00B6778D">
        <w:t xml:space="preserve"> with the </w:t>
      </w:r>
      <w:r w:rsidRPr="00B6778D">
        <w:rPr>
          <w:noProof/>
        </w:rPr>
        <w:t>assi</w:t>
      </w:r>
      <w:r w:rsidR="00823049" w:rsidRPr="00B6778D">
        <w:rPr>
          <w:noProof/>
        </w:rPr>
        <w:t>s</w:t>
      </w:r>
      <w:r w:rsidRPr="00B6778D">
        <w:rPr>
          <w:noProof/>
        </w:rPr>
        <w:t>tance</w:t>
      </w:r>
      <w:r w:rsidRPr="00B6778D">
        <w:t xml:space="preserve"> of fewer experimental data</w:t>
      </w:r>
      <w:r w:rsidR="00CD48D5" w:rsidRPr="00B6778D">
        <w:t xml:space="preserve"> </w:t>
      </w:r>
      <w:r w:rsidR="00CD48D5" w:rsidRPr="00B6778D">
        <w:fldChar w:fldCharType="begin" w:fldLock="1"/>
      </w:r>
      <w:r w:rsidR="00CB10A7">
        <w:instrText>ADDIN CSL_CITATION {"citationItems":[{"id":"ITEM-1","itemData":{"DOI":"10.1002/wics.73","ISBN":"19395108","ISSN":"19395108","PMID":"25246403","abstract":"The purpose of this article is to provide a survey of the various stages in the development of response surface methodology (RSM). The coverage of these stages is organized in three parts that describe the evolution of RSM since its introduction in the early 1950s.Part I covers theperiod, 1951–1975, during which the so-called classicalRSMwasdeveloped.This includes areview of basic experimental designs for fitting linear response surface models, in addition to a description of methods for the determination of optimum operating conditions. Part II, which covers the period, 1976–1999, discussesmore recentmodeling techniques in RSM, in addition to a coverage of Taguchi’s robust parameter design and its response surface alternative approach. Part III provides a coverage of further extensions and research directions in modern RSM. This includes discussions concerning response surface models with random effects, generalized linear models, and graphical techniques for comparing response surface designs.","author":[{"dropping-particle":"","family":"Khuri","given":"André I.","non-dropping-particle":"","parse-names":false,"suffix":""},{"dropping-particle":"","family":"Mukhopadhyay","given":"Siuli","non-dropping-particle":"","parse-names":false,"suffix":""}],"container-title":"Wiley Interdisciplinary Reviews: Computational Statistics","id":"ITEM-1","issue":"2","issued":{"date-parts":[["2010"]]},"page":"128-149","title":"Response surface methodology","type":"article","volume":"2"},"uris":["http://www.mendeley.com/documents/?uuid=03e60485-cc69-343d-a5d5-0e3de580d54c","http://www.mendeley.com/documents/?uuid=87fe353d-4c02-43d1-a14b-f6008d869931"]}],"mendeley":{"formattedCitation":"[23]","plainTextFormattedCitation":"[23]","previouslyFormattedCitation":"[23]"},"properties":{"noteIndex":0},"schema":"https://github.com/citation-style-language/schema/raw/master/csl-citation.json"}</w:instrText>
      </w:r>
      <w:r w:rsidR="00CD48D5" w:rsidRPr="00B6778D">
        <w:fldChar w:fldCharType="separate"/>
      </w:r>
      <w:r w:rsidR="002D6134" w:rsidRPr="002D6134">
        <w:rPr>
          <w:noProof/>
        </w:rPr>
        <w:t>[23]</w:t>
      </w:r>
      <w:r w:rsidR="00CD48D5" w:rsidRPr="00B6778D">
        <w:fldChar w:fldCharType="end"/>
      </w:r>
      <w:r w:rsidRPr="00B6778D">
        <w:t xml:space="preserve">. </w:t>
      </w:r>
      <w:r w:rsidRPr="00B6778D">
        <w:rPr>
          <w:noProof/>
        </w:rPr>
        <w:t>Thus</w:t>
      </w:r>
      <w:r w:rsidRPr="00B6778D">
        <w:t xml:space="preserve">, this method is most effective and efficient that has proven to have reduced cost and </w:t>
      </w:r>
      <w:r w:rsidRPr="00B6778D">
        <w:rPr>
          <w:noProof/>
        </w:rPr>
        <w:t>less</w:t>
      </w:r>
      <w:r w:rsidRPr="00B6778D">
        <w:t xml:space="preserve"> </w:t>
      </w:r>
      <w:r w:rsidRPr="00AB0336">
        <w:rPr>
          <w:noProof/>
        </w:rPr>
        <w:t>labour</w:t>
      </w:r>
      <w:r w:rsidR="00632C31">
        <w:t xml:space="preserve"> intensive.</w:t>
      </w:r>
    </w:p>
    <w:p w:rsidR="00346331" w:rsidRDefault="00346331" w:rsidP="00346331">
      <w:pPr>
        <w:jc w:val="both"/>
      </w:pPr>
    </w:p>
    <w:p w:rsidR="0003079F" w:rsidRPr="00B6778D" w:rsidRDefault="00DC12C9" w:rsidP="009B502E">
      <w:pPr>
        <w:jc w:val="both"/>
      </w:pPr>
      <w:r>
        <w:t>RSM</w:t>
      </w:r>
      <w:r w:rsidR="0003079F" w:rsidRPr="00B6778D">
        <w:t xml:space="preserve"> method employs the use of </w:t>
      </w:r>
      <w:r w:rsidR="00823049" w:rsidRPr="00B6778D">
        <w:t xml:space="preserve">a </w:t>
      </w:r>
      <w:r w:rsidR="0003079F" w:rsidRPr="00B6778D">
        <w:rPr>
          <w:noProof/>
        </w:rPr>
        <w:t>mathematical</w:t>
      </w:r>
      <w:r w:rsidR="0003079F" w:rsidRPr="00B6778D">
        <w:t xml:space="preserve"> </w:t>
      </w:r>
      <w:r w:rsidR="0003079F" w:rsidRPr="00B6778D">
        <w:rPr>
          <w:noProof/>
        </w:rPr>
        <w:t>algorithm on</w:t>
      </w:r>
      <w:r w:rsidR="0003079F" w:rsidRPr="00B6778D">
        <w:t xml:space="preserve"> the results produced from </w:t>
      </w:r>
      <w:r w:rsidR="00346331">
        <w:t>the designed experiments. It is also used to develop regression models and to validate them using several</w:t>
      </w:r>
      <w:r w:rsidR="0003079F" w:rsidRPr="00B6778D">
        <w:t xml:space="preserve"> </w:t>
      </w:r>
      <w:r w:rsidR="0003079F" w:rsidRPr="00B6778D">
        <w:rPr>
          <w:noProof/>
        </w:rPr>
        <w:t>statistical techniques</w:t>
      </w:r>
      <w:r w:rsidR="0003079F" w:rsidRPr="00B6778D">
        <w:t xml:space="preserve"> </w:t>
      </w:r>
      <w:r w:rsidR="0082088E" w:rsidRPr="00B6778D">
        <w:fldChar w:fldCharType="begin" w:fldLock="1"/>
      </w:r>
      <w:r w:rsidR="00CB10A7">
        <w:instrText>ADDIN CSL_CITATION {"citationItems":[{"id":"ITEM-1","itemData":{"DOI":"10.1016/j.biortech.2014.01.021","ISBN":"0960-8524","ISSN":"18732976","PMID":"24495798","abstract":"A review on the application of response surface methodology (RSM) and artificial neural networks (ANN) in biosorption modelling and optimization is presented. The theoretical background of the discussed methods with the application procedure is explained. The paper describes most frequently used experimental designs, concerning their limitations and typical applications. The paper also presents ways to determine the accuracy and the significance of model fitting for both methodologies described herein. Furthermore, recent references on biosorption modelling and optimization with the use of RSM and the ANN approach are shown. Special attention was paid to the selection of factors and responses, as well as to statistical analysis of the modelling results. © 2014 Elsevier Ltd.","author":[{"dropping-particle":"","family":"Witek-Krowiak","given":"Anna","non-dropping-particle":"","parse-names":false,"suffix":""},{"dropping-particle":"","family":"Chojnacka","given":"Katarzyna","non-dropping-particle":"","parse-names":false,"suffix":""},{"dropping-particle":"","family":"Podstawczyk","given":"Daria","non-dropping-particle":"","parse-names":false,"suffix":""},{"dropping-particle":"","family":"Dawiec","given":"Anna","non-dropping-particle":"","parse-names":false,"suffix":""},{"dropping-particle":"","family":"Pokomeda","given":"Karol","non-dropping-particle":"","parse-names":false,"suffix":""}],"container-title":"Bioresource Technology","id":"ITEM-1","issued":{"date-parts":[["2014"]]},"title":"Application of response surface methodology and artificial neural network methods in modelling and optimization of biosorption process","type":"article-journal"},"uris":["http://www.mendeley.com/documents/?uuid=9f27ddbb-1b40-3864-86c2-e5b1057c9f9e","http://www.mendeley.com/documents/?uuid=68d1a0df-e9a0-4440-9246-4007f892e69f"]}],"mendeley":{"formattedCitation":"[24]","plainTextFormattedCitation":"[24]","previouslyFormattedCitation":"[24]"},"properties":{"noteIndex":0},"schema":"https://github.com/citation-style-language/schema/raw/master/csl-citation.json"}</w:instrText>
      </w:r>
      <w:r w:rsidR="0082088E" w:rsidRPr="00B6778D">
        <w:fldChar w:fldCharType="separate"/>
      </w:r>
      <w:r w:rsidR="002D6134" w:rsidRPr="002D6134">
        <w:rPr>
          <w:noProof/>
        </w:rPr>
        <w:t>[24]</w:t>
      </w:r>
      <w:r w:rsidR="0082088E" w:rsidRPr="00B6778D">
        <w:fldChar w:fldCharType="end"/>
      </w:r>
      <w:r w:rsidR="0003079F" w:rsidRPr="00B6778D">
        <w:t xml:space="preserve">. </w:t>
      </w:r>
      <w:r w:rsidR="009B502E">
        <w:t xml:space="preserve">The application of RSM could be summarised for development of mathematical model representing the process variables function in the process response, illustrate the effect of process variables and their interactions on the response and </w:t>
      </w:r>
      <w:r w:rsidR="009B502E" w:rsidRPr="00AB0336">
        <w:rPr>
          <w:noProof/>
        </w:rPr>
        <w:t>optimise</w:t>
      </w:r>
      <w:r w:rsidR="009B502E">
        <w:t xml:space="preserve"> the process variables to achieve the desired goal for the process response</w:t>
      </w:r>
      <w:r w:rsidR="003E5724">
        <w:t xml:space="preserve"> </w:t>
      </w:r>
      <w:r w:rsidR="003E5724">
        <w:fldChar w:fldCharType="begin" w:fldLock="1"/>
      </w:r>
      <w:r w:rsidR="00CB10A7">
        <w:instrText>ADDIN CSL_CITATION {"citationItems":[{"id":"ITEM-1","itemData":{"DOI":"10.1016/j.cherd.2011.12.012","ISBN":"0263-8762","ISSN":"02638762","abstract":"In the field of response surface methodology (RSM), the prediction uncertainty of the empirical model needs to be considered for effective process optimisation. Current methods combine the prediction mean and uncertainty through certain weighting strategies, either explicitly or implicitly, to form a single objective function for optimisation. This paper proposes to address this problem under the multi-objective optimisation framework. Overall, the method iterates through initial experimental design, empirical modelling and model-based optimisation to allocate promising experiments for the next iteration. Specifically, the Gaussian process regression is adopted as the empirical model due to its demonstrated prediction accuracy and reliable quantification of prediction uncertainty in the literature. The non-dominated sorting genetic algorithm II (NSGA-II) is used to search for Pareto points that are further clustered to give experimental points to be conducted in the next iteration. The application study, on the optimisation of a catalytic epoxidation process, demonstrates that the proposed method is a powerful tool to aid the development of chemical and potentially other processes. © 2011 The Institution of Chemical Engineers.","author":[{"dropping-particle":"","family":"Chi","given":"Guoyi","non-dropping-particle":"","parse-names":false,"suffix":""},{"dropping-particle":"","family":"Hu","given":"Shuangquan","non-dropping-particle":"","parse-names":false,"suffix":""},{"dropping-particle":"","family":"Yang","given":"Yanhui","non-dropping-particle":"","parse-names":false,"suffix":""},{"dropping-particle":"","family":"Chen","given":"Tao","non-dropping-particle":"","parse-names":false,"suffix":""}],"container-title":"Chemical Engineering Research and Design","id":"ITEM-1","issue":"9","issued":{"date-parts":[["2012"]]},"page":"1235-1244","title":"Response surface methodology with prediction uncertainty: A multi-objective optimisation approach","type":"article-journal","volume":"90"},"uris":["http://www.mendeley.com/documents/?uuid=7105b73d-96cf-4d9e-b7ea-e1e00ff7a7f5"]}],"mendeley":{"formattedCitation":"[25]","plainTextFormattedCitation":"[25]","previouslyFormattedCitation":"[25]"},"properties":{"noteIndex":0},"schema":"https://github.com/citation-style-language/schema/raw/master/csl-citation.json"}</w:instrText>
      </w:r>
      <w:r w:rsidR="003E5724">
        <w:fldChar w:fldCharType="separate"/>
      </w:r>
      <w:r w:rsidR="002D6134" w:rsidRPr="002D6134">
        <w:rPr>
          <w:noProof/>
        </w:rPr>
        <w:t>[25]</w:t>
      </w:r>
      <w:r w:rsidR="003E5724">
        <w:fldChar w:fldCharType="end"/>
      </w:r>
      <w:r w:rsidR="00632C31">
        <w:t>.</w:t>
      </w:r>
    </w:p>
    <w:p w:rsidR="0003079F" w:rsidRPr="00B6778D" w:rsidRDefault="0003079F" w:rsidP="00537EAE">
      <w:pPr>
        <w:jc w:val="both"/>
      </w:pPr>
    </w:p>
    <w:p w:rsidR="0003079F" w:rsidRPr="00B6778D" w:rsidRDefault="0003079F">
      <w:pPr>
        <w:jc w:val="both"/>
      </w:pPr>
      <w:r w:rsidRPr="00B6778D">
        <w:t xml:space="preserve">In this study, </w:t>
      </w:r>
      <w:r w:rsidR="003E5724">
        <w:t>a systematic multivariate</w:t>
      </w:r>
      <w:r w:rsidRPr="00B6778D">
        <w:t xml:space="preserve"> </w:t>
      </w:r>
      <w:r w:rsidRPr="00AB0336">
        <w:rPr>
          <w:noProof/>
        </w:rPr>
        <w:t>optimisation</w:t>
      </w:r>
      <w:r w:rsidRPr="00B6778D">
        <w:t xml:space="preserve"> </w:t>
      </w:r>
      <w:r w:rsidRPr="00B6778D">
        <w:rPr>
          <w:noProof/>
        </w:rPr>
        <w:t>has</w:t>
      </w:r>
      <w:r w:rsidRPr="00B6778D">
        <w:t xml:space="preserve"> been </w:t>
      </w:r>
      <w:r w:rsidR="00752DC3">
        <w:t xml:space="preserve">implemented </w:t>
      </w:r>
      <w:r w:rsidR="00752DC3" w:rsidRPr="00B6778D">
        <w:t xml:space="preserve">for the synthesis of </w:t>
      </w:r>
      <w:r w:rsidR="00537750">
        <w:t>BC</w:t>
      </w:r>
      <w:r w:rsidR="00752DC3" w:rsidRPr="00B6778D">
        <w:t xml:space="preserve"> using a </w:t>
      </w:r>
      <w:r w:rsidR="00752DC3" w:rsidRPr="00B6778D">
        <w:rPr>
          <w:noProof/>
        </w:rPr>
        <w:t>graphene-based</w:t>
      </w:r>
      <w:r w:rsidR="00752DC3" w:rsidRPr="00B6778D">
        <w:t xml:space="preserve"> heterogeneous catalyst</w:t>
      </w:r>
      <w:r w:rsidR="00752DC3">
        <w:t xml:space="preserve">. </w:t>
      </w:r>
      <w:r w:rsidR="00752DC3" w:rsidRPr="00B6778D">
        <w:t xml:space="preserve">The effect of each process variables </w:t>
      </w:r>
      <w:r w:rsidR="00752DC3">
        <w:t>including</w:t>
      </w:r>
      <w:r w:rsidR="00752DC3" w:rsidRPr="00B6778D">
        <w:t xml:space="preserve"> temperature, pressure, reaction time and catalyst loading has been evaluated on process response. </w:t>
      </w:r>
      <w:r w:rsidRPr="00B6778D">
        <w:t>RSM using BBD</w:t>
      </w:r>
      <w:r w:rsidR="00537750">
        <w:t xml:space="preserve"> </w:t>
      </w:r>
      <w:r w:rsidR="00752DC3">
        <w:t>has been</w:t>
      </w:r>
      <w:r w:rsidRPr="00B6778D">
        <w:t xml:space="preserve"> used to investigate the </w:t>
      </w:r>
      <w:r w:rsidR="00752DC3">
        <w:t xml:space="preserve">effect of process variables and their interactive effect on the response. A quadratic model has been developed representing the interrelationship between process variables and each response. The </w:t>
      </w:r>
      <w:r w:rsidR="00752DC3">
        <w:lastRenderedPageBreak/>
        <w:t>developed mathematical models have been validated using analysis for variance (ANOVA). The developed optimum conditions have been validated st</w:t>
      </w:r>
      <w:r w:rsidR="00632C31">
        <w:t>atistically and experimentally.</w:t>
      </w:r>
    </w:p>
    <w:p w:rsidR="0003079F" w:rsidRPr="00B6778D" w:rsidRDefault="0003079F" w:rsidP="0003079F"/>
    <w:p w:rsidR="00133C55" w:rsidRPr="00FB6D14" w:rsidRDefault="00133C55" w:rsidP="00FB6D14">
      <w:pPr>
        <w:pStyle w:val="Heading1"/>
      </w:pPr>
      <w:r w:rsidRPr="00FB6D14">
        <w:t>2. Experimental Methods</w:t>
      </w:r>
    </w:p>
    <w:p w:rsidR="000033FD" w:rsidRPr="00FB6D14" w:rsidRDefault="00133C55" w:rsidP="00FB6D14">
      <w:pPr>
        <w:pStyle w:val="Heading2"/>
        <w:spacing w:line="276" w:lineRule="auto"/>
      </w:pPr>
      <w:r w:rsidRPr="00FB6D14">
        <w:t>2.1 Materials</w:t>
      </w:r>
    </w:p>
    <w:p w:rsidR="000033FD" w:rsidRDefault="000033FD">
      <w:pPr>
        <w:jc w:val="both"/>
        <w:rPr>
          <w:rFonts w:eastAsia="Times New Roman"/>
          <w:szCs w:val="24"/>
        </w:rPr>
      </w:pPr>
      <w:r w:rsidRPr="00B6778D">
        <w:rPr>
          <w:rFonts w:eastAsia="Times New Roman"/>
          <w:szCs w:val="24"/>
        </w:rPr>
        <w:t>Natural graphite powder (NGP), hydrochloric acid (</w:t>
      </w:r>
      <w:r w:rsidRPr="00B6778D">
        <w:rPr>
          <w:rFonts w:eastAsia="Times New Roman"/>
          <w:noProof/>
          <w:szCs w:val="24"/>
        </w:rPr>
        <w:t>HC</w:t>
      </w:r>
      <w:r w:rsidR="00823049" w:rsidRPr="00B6778D">
        <w:rPr>
          <w:rFonts w:eastAsia="Times New Roman"/>
          <w:noProof/>
          <w:szCs w:val="24"/>
        </w:rPr>
        <w:t>l</w:t>
      </w:r>
      <w:r w:rsidRPr="00B6778D">
        <w:rPr>
          <w:rFonts w:eastAsia="Times New Roman"/>
          <w:szCs w:val="24"/>
        </w:rPr>
        <w:t>), sulphuric acid (H</w:t>
      </w:r>
      <w:r w:rsidRPr="00B6778D">
        <w:rPr>
          <w:rFonts w:eastAsia="Times New Roman"/>
          <w:szCs w:val="24"/>
          <w:vertAlign w:val="subscript"/>
        </w:rPr>
        <w:t>2</w:t>
      </w:r>
      <w:r w:rsidRPr="00B6778D">
        <w:rPr>
          <w:rFonts w:eastAsia="Times New Roman"/>
          <w:szCs w:val="24"/>
        </w:rPr>
        <w:t>SO</w:t>
      </w:r>
      <w:r w:rsidRPr="00B6778D">
        <w:rPr>
          <w:rFonts w:eastAsia="Times New Roman"/>
          <w:szCs w:val="24"/>
          <w:vertAlign w:val="subscript"/>
        </w:rPr>
        <w:t>4</w:t>
      </w:r>
      <w:r w:rsidRPr="00B6778D">
        <w:rPr>
          <w:rFonts w:eastAsia="Times New Roman"/>
          <w:szCs w:val="24"/>
        </w:rPr>
        <w:t>), sodium nitrate, potassium hydroxide pellet (KOH), hydrogen peroxide (H</w:t>
      </w:r>
      <w:r w:rsidRPr="00B6778D">
        <w:rPr>
          <w:rFonts w:eastAsia="Times New Roman"/>
          <w:szCs w:val="24"/>
          <w:vertAlign w:val="subscript"/>
        </w:rPr>
        <w:t>2</w:t>
      </w:r>
      <w:r w:rsidRPr="00B6778D">
        <w:rPr>
          <w:rFonts w:eastAsia="Times New Roman"/>
          <w:szCs w:val="24"/>
        </w:rPr>
        <w:t>O</w:t>
      </w:r>
      <w:r w:rsidRPr="00B6778D">
        <w:rPr>
          <w:rFonts w:eastAsia="Times New Roman"/>
          <w:szCs w:val="24"/>
          <w:vertAlign w:val="subscript"/>
        </w:rPr>
        <w:t>2</w:t>
      </w:r>
      <w:r w:rsidRPr="00B6778D">
        <w:rPr>
          <w:rFonts w:eastAsia="Times New Roman"/>
          <w:szCs w:val="24"/>
        </w:rPr>
        <w:t>), acetone (C</w:t>
      </w:r>
      <w:r w:rsidRPr="00B6778D">
        <w:rPr>
          <w:rFonts w:eastAsia="Times New Roman"/>
          <w:szCs w:val="24"/>
          <w:vertAlign w:val="subscript"/>
        </w:rPr>
        <w:t>3</w:t>
      </w:r>
      <w:r w:rsidRPr="00B6778D">
        <w:rPr>
          <w:rFonts w:eastAsia="Times New Roman"/>
          <w:szCs w:val="24"/>
        </w:rPr>
        <w:t>H</w:t>
      </w:r>
      <w:r w:rsidRPr="00B6778D">
        <w:rPr>
          <w:rFonts w:eastAsia="Times New Roman"/>
          <w:szCs w:val="24"/>
          <w:vertAlign w:val="subscript"/>
        </w:rPr>
        <w:t>6</w:t>
      </w:r>
      <w:r w:rsidRPr="00B6778D">
        <w:rPr>
          <w:rFonts w:eastAsia="Times New Roman"/>
          <w:szCs w:val="24"/>
        </w:rPr>
        <w:t>O</w:t>
      </w:r>
      <w:r w:rsidRPr="00B6778D">
        <w:rPr>
          <w:rFonts w:ascii="Arial" w:eastAsia="Times New Roman" w:hAnsi="Arial" w:cs="Arial"/>
          <w:color w:val="222222"/>
          <w:sz w:val="20"/>
          <w:szCs w:val="20"/>
          <w:shd w:val="clear" w:color="auto" w:fill="FFFFFF"/>
        </w:rPr>
        <w:t>)</w:t>
      </w:r>
      <w:r w:rsidRPr="00B6778D">
        <w:rPr>
          <w:rFonts w:eastAsia="Times New Roman"/>
          <w:szCs w:val="24"/>
        </w:rPr>
        <w:t xml:space="preserve">, </w:t>
      </w:r>
      <w:r w:rsidRPr="00B6778D">
        <w:rPr>
          <w:rFonts w:eastAsia="Times New Roman"/>
          <w:noProof/>
          <w:szCs w:val="24"/>
        </w:rPr>
        <w:t>octane</w:t>
      </w:r>
      <w:r w:rsidRPr="00B6778D">
        <w:rPr>
          <w:rFonts w:eastAsia="Times New Roman"/>
          <w:szCs w:val="24"/>
        </w:rPr>
        <w:t xml:space="preserve"> (C</w:t>
      </w:r>
      <w:r w:rsidRPr="00B6778D">
        <w:rPr>
          <w:rFonts w:eastAsia="Times New Roman"/>
          <w:szCs w:val="24"/>
          <w:vertAlign w:val="subscript"/>
        </w:rPr>
        <w:t>8</w:t>
      </w:r>
      <w:r w:rsidRPr="00B6778D">
        <w:rPr>
          <w:rFonts w:eastAsia="Times New Roman"/>
          <w:szCs w:val="24"/>
        </w:rPr>
        <w:t>H</w:t>
      </w:r>
      <w:r w:rsidRPr="00B6778D">
        <w:rPr>
          <w:rFonts w:eastAsia="Times New Roman"/>
          <w:szCs w:val="24"/>
          <w:vertAlign w:val="subscript"/>
        </w:rPr>
        <w:t>18</w:t>
      </w:r>
      <w:r w:rsidR="00F34B60">
        <w:rPr>
          <w:rFonts w:eastAsia="Times New Roman"/>
          <w:szCs w:val="24"/>
        </w:rPr>
        <w:t>)</w:t>
      </w:r>
      <w:r w:rsidRPr="00B6778D">
        <w:rPr>
          <w:rFonts w:eastAsia="Times New Roman"/>
          <w:szCs w:val="24"/>
        </w:rPr>
        <w:t xml:space="preserve"> and potassium permanganate (KMnO</w:t>
      </w:r>
      <w:r w:rsidRPr="00B6778D">
        <w:rPr>
          <w:rFonts w:eastAsia="Times New Roman"/>
          <w:szCs w:val="24"/>
          <w:vertAlign w:val="subscript"/>
        </w:rPr>
        <w:t>4</w:t>
      </w:r>
      <w:r w:rsidRPr="00B6778D">
        <w:rPr>
          <w:rFonts w:eastAsia="Times New Roman"/>
          <w:szCs w:val="24"/>
        </w:rPr>
        <w:t>) were purchased from Fisher Scientific UK Ltd. Methanol (CH</w:t>
      </w:r>
      <w:r w:rsidRPr="00B6778D">
        <w:rPr>
          <w:rFonts w:eastAsia="Times New Roman"/>
          <w:szCs w:val="24"/>
          <w:vertAlign w:val="subscript"/>
        </w:rPr>
        <w:t>3</w:t>
      </w:r>
      <w:r w:rsidRPr="00B6778D">
        <w:rPr>
          <w:rFonts w:eastAsia="Times New Roman"/>
          <w:szCs w:val="24"/>
        </w:rPr>
        <w:t>OH), cerium(III) nitrate hexahydrate (Ce(NO</w:t>
      </w:r>
      <w:r w:rsidRPr="00B6778D">
        <w:rPr>
          <w:rFonts w:eastAsia="Times New Roman"/>
          <w:szCs w:val="24"/>
          <w:vertAlign w:val="subscript"/>
        </w:rPr>
        <w:t>3</w:t>
      </w:r>
      <w:r w:rsidRPr="00B6778D">
        <w:rPr>
          <w:rFonts w:eastAsia="Times New Roman"/>
          <w:szCs w:val="24"/>
        </w:rPr>
        <w:t>)</w:t>
      </w:r>
      <w:r w:rsidRPr="00B6778D">
        <w:rPr>
          <w:rFonts w:eastAsia="Times New Roman"/>
          <w:szCs w:val="24"/>
          <w:vertAlign w:val="subscript"/>
        </w:rPr>
        <w:t>3</w:t>
      </w:r>
      <w:r w:rsidRPr="00B6778D">
        <w:rPr>
          <w:rFonts w:eastAsia="Times New Roman"/>
          <w:szCs w:val="24"/>
        </w:rPr>
        <w:t xml:space="preserve"> 6H</w:t>
      </w:r>
      <w:r w:rsidRPr="00B6778D">
        <w:rPr>
          <w:rFonts w:eastAsia="Times New Roman"/>
          <w:szCs w:val="24"/>
          <w:vertAlign w:val="subscript"/>
        </w:rPr>
        <w:t>2</w:t>
      </w:r>
      <w:r w:rsidR="00AB0336">
        <w:rPr>
          <w:rFonts w:eastAsia="Times New Roman"/>
          <w:szCs w:val="24"/>
        </w:rPr>
        <w:t>O)</w:t>
      </w:r>
      <w:r w:rsidRPr="00B6778D">
        <w:rPr>
          <w:rFonts w:eastAsia="Times New Roman"/>
          <w:szCs w:val="24"/>
        </w:rPr>
        <w:t>, lanthanum (III) nitrate hexahydrate (La(NO</w:t>
      </w:r>
      <w:r w:rsidRPr="00B6778D">
        <w:rPr>
          <w:rFonts w:eastAsia="Times New Roman"/>
          <w:szCs w:val="24"/>
          <w:vertAlign w:val="subscript"/>
        </w:rPr>
        <w:t>3</w:t>
      </w:r>
      <w:r w:rsidRPr="00B6778D">
        <w:rPr>
          <w:rFonts w:eastAsia="Times New Roman"/>
          <w:szCs w:val="24"/>
        </w:rPr>
        <w:t>)</w:t>
      </w:r>
      <w:r w:rsidRPr="00B6778D">
        <w:rPr>
          <w:rFonts w:eastAsia="Times New Roman"/>
          <w:szCs w:val="24"/>
          <w:vertAlign w:val="subscript"/>
        </w:rPr>
        <w:t>3</w:t>
      </w:r>
      <w:r w:rsidRPr="00B6778D">
        <w:rPr>
          <w:rFonts w:ascii="Cambria Math" w:eastAsia="Times New Roman" w:hAnsi="Cambria Math" w:cs="Cambria Math"/>
          <w:szCs w:val="24"/>
        </w:rPr>
        <w:t>⋅</w:t>
      </w:r>
      <w:r w:rsidRPr="00B6778D">
        <w:rPr>
          <w:rFonts w:eastAsia="Times New Roman"/>
          <w:szCs w:val="24"/>
        </w:rPr>
        <w:t>6H</w:t>
      </w:r>
      <w:r w:rsidRPr="001E33E8">
        <w:rPr>
          <w:rFonts w:eastAsia="Times New Roman"/>
          <w:szCs w:val="24"/>
          <w:vertAlign w:val="subscript"/>
        </w:rPr>
        <w:t>2</w:t>
      </w:r>
      <w:r w:rsidRPr="00B6778D">
        <w:rPr>
          <w:rFonts w:eastAsia="Times New Roman"/>
          <w:szCs w:val="24"/>
        </w:rPr>
        <w:t>O), zirconium (IV) oxynitrate hydrate (ZrO(NO</w:t>
      </w:r>
      <w:r w:rsidRPr="00B6778D">
        <w:rPr>
          <w:rFonts w:eastAsia="Times New Roman"/>
          <w:szCs w:val="24"/>
          <w:vertAlign w:val="subscript"/>
        </w:rPr>
        <w:t>3</w:t>
      </w:r>
      <w:r w:rsidRPr="00B6778D">
        <w:rPr>
          <w:rFonts w:eastAsia="Times New Roman"/>
          <w:szCs w:val="24"/>
        </w:rPr>
        <w:t>)</w:t>
      </w:r>
      <w:r w:rsidRPr="00B6778D">
        <w:rPr>
          <w:rFonts w:eastAsia="Times New Roman"/>
          <w:szCs w:val="24"/>
          <w:vertAlign w:val="subscript"/>
        </w:rPr>
        <w:t>2</w:t>
      </w:r>
      <w:r w:rsidRPr="00B6778D">
        <w:rPr>
          <w:rFonts w:eastAsia="Times New Roman"/>
          <w:szCs w:val="24"/>
        </w:rPr>
        <w:t>·xH</w:t>
      </w:r>
      <w:r w:rsidRPr="00B6778D">
        <w:rPr>
          <w:rFonts w:eastAsia="Times New Roman"/>
          <w:szCs w:val="24"/>
          <w:vertAlign w:val="subscript"/>
        </w:rPr>
        <w:t>2</w:t>
      </w:r>
      <w:r w:rsidR="008A6299">
        <w:rPr>
          <w:rFonts w:eastAsia="Times New Roman"/>
          <w:szCs w:val="24"/>
        </w:rPr>
        <w:t xml:space="preserve">O), </w:t>
      </w:r>
      <w:r w:rsidRPr="00B6778D">
        <w:rPr>
          <w:rFonts w:eastAsia="Times New Roman"/>
          <w:szCs w:val="24"/>
        </w:rPr>
        <w:t>butylene oxide (C</w:t>
      </w:r>
      <w:r w:rsidRPr="00B6778D">
        <w:rPr>
          <w:rFonts w:eastAsia="Times New Roman"/>
          <w:szCs w:val="24"/>
          <w:vertAlign w:val="subscript"/>
        </w:rPr>
        <w:t>4</w:t>
      </w:r>
      <w:r w:rsidRPr="00B6778D">
        <w:rPr>
          <w:rFonts w:eastAsia="Times New Roman"/>
          <w:szCs w:val="24"/>
        </w:rPr>
        <w:t>H</w:t>
      </w:r>
      <w:r w:rsidRPr="00B6778D">
        <w:rPr>
          <w:rFonts w:eastAsia="Times New Roman"/>
          <w:szCs w:val="24"/>
          <w:vertAlign w:val="subscript"/>
        </w:rPr>
        <w:t>8</w:t>
      </w:r>
      <w:r w:rsidR="008A6299">
        <w:rPr>
          <w:rFonts w:eastAsia="Times New Roman"/>
          <w:szCs w:val="24"/>
        </w:rPr>
        <w:t xml:space="preserve">O), </w:t>
      </w:r>
      <w:r w:rsidRPr="00B6778D">
        <w:rPr>
          <w:rFonts w:eastAsia="Times New Roman"/>
          <w:szCs w:val="24"/>
        </w:rPr>
        <w:t>butylene carbonate (C</w:t>
      </w:r>
      <w:r w:rsidRPr="00B6778D">
        <w:rPr>
          <w:rFonts w:eastAsia="Times New Roman"/>
          <w:szCs w:val="24"/>
          <w:vertAlign w:val="subscript"/>
        </w:rPr>
        <w:t>5</w:t>
      </w:r>
      <w:r w:rsidRPr="00B6778D">
        <w:rPr>
          <w:rFonts w:eastAsia="Times New Roman"/>
          <w:szCs w:val="24"/>
        </w:rPr>
        <w:t>H</w:t>
      </w:r>
      <w:r w:rsidRPr="00B6778D">
        <w:rPr>
          <w:rFonts w:eastAsia="Times New Roman"/>
          <w:szCs w:val="24"/>
          <w:vertAlign w:val="subscript"/>
        </w:rPr>
        <w:t>8</w:t>
      </w:r>
      <w:r w:rsidRPr="00B6778D">
        <w:rPr>
          <w:rFonts w:eastAsia="Times New Roman"/>
          <w:szCs w:val="24"/>
        </w:rPr>
        <w:t>O</w:t>
      </w:r>
      <w:r w:rsidRPr="00B6778D">
        <w:rPr>
          <w:rFonts w:eastAsia="Times New Roman"/>
          <w:szCs w:val="24"/>
          <w:vertAlign w:val="subscript"/>
        </w:rPr>
        <w:t>3</w:t>
      </w:r>
      <w:r w:rsidRPr="00B6778D">
        <w:rPr>
          <w:rFonts w:eastAsia="Times New Roman"/>
          <w:szCs w:val="24"/>
        </w:rPr>
        <w:t xml:space="preserve">) were purchased from </w:t>
      </w:r>
      <w:r w:rsidR="00752DC3">
        <w:rPr>
          <w:rFonts w:eastAsia="Times New Roman"/>
          <w:szCs w:val="24"/>
        </w:rPr>
        <w:t>Merck</w:t>
      </w:r>
      <w:r w:rsidRPr="00B6778D">
        <w:rPr>
          <w:rFonts w:eastAsia="Times New Roman"/>
          <w:szCs w:val="24"/>
        </w:rPr>
        <w:t xml:space="preserve"> Co. L</w:t>
      </w:r>
      <w:r w:rsidR="004E3C32">
        <w:rPr>
          <w:rFonts w:eastAsia="Times New Roman"/>
          <w:szCs w:val="24"/>
        </w:rPr>
        <w:t>td</w:t>
      </w:r>
      <w:r w:rsidRPr="00B6778D">
        <w:rPr>
          <w:rFonts w:eastAsia="Times New Roman"/>
          <w:szCs w:val="24"/>
        </w:rPr>
        <w:t>, UK. The catalys</w:t>
      </w:r>
      <w:r w:rsidR="008A6299">
        <w:rPr>
          <w:rFonts w:eastAsia="Times New Roman"/>
          <w:szCs w:val="24"/>
        </w:rPr>
        <w:t>t used for the experiments is</w:t>
      </w:r>
      <w:r w:rsidRPr="00B6778D">
        <w:rPr>
          <w:rFonts w:eastAsia="Times New Roman"/>
          <w:szCs w:val="24"/>
        </w:rPr>
        <w:t xml:space="preserve"> lanthana doped zirconia (Ce-La-ZrO</w:t>
      </w:r>
      <w:r w:rsidRPr="00B6778D">
        <w:rPr>
          <w:rFonts w:eastAsia="Times New Roman"/>
          <w:szCs w:val="24"/>
          <w:vertAlign w:val="subscript"/>
        </w:rPr>
        <w:t>2</w:t>
      </w:r>
      <w:r w:rsidRPr="00B6778D">
        <w:rPr>
          <w:rFonts w:eastAsia="Times New Roman"/>
          <w:szCs w:val="24"/>
        </w:rPr>
        <w:t xml:space="preserve">). The </w:t>
      </w:r>
      <w:r w:rsidRPr="00B6778D">
        <w:rPr>
          <w:rFonts w:eastAsia="Times New Roman"/>
          <w:noProof/>
          <w:szCs w:val="24"/>
        </w:rPr>
        <w:t>above-mentioned</w:t>
      </w:r>
      <w:r w:rsidR="00EA15FA">
        <w:rPr>
          <w:rFonts w:eastAsia="Times New Roman"/>
          <w:szCs w:val="24"/>
        </w:rPr>
        <w:t xml:space="preserve"> catalyst</w:t>
      </w:r>
      <w:r w:rsidRPr="00B6778D">
        <w:rPr>
          <w:rFonts w:eastAsia="Times New Roman"/>
          <w:szCs w:val="24"/>
        </w:rPr>
        <w:t xml:space="preserve"> </w:t>
      </w:r>
      <w:r w:rsidR="00E41542">
        <w:rPr>
          <w:rFonts w:eastAsia="Times New Roman"/>
          <w:noProof/>
          <w:szCs w:val="24"/>
        </w:rPr>
        <w:t>was</w:t>
      </w:r>
      <w:r w:rsidR="00E41542">
        <w:rPr>
          <w:rFonts w:eastAsia="Times New Roman"/>
          <w:szCs w:val="24"/>
        </w:rPr>
        <w:t xml:space="preserve"> </w:t>
      </w:r>
      <w:r w:rsidRPr="00B6778D">
        <w:rPr>
          <w:rFonts w:eastAsia="Times New Roman"/>
          <w:szCs w:val="24"/>
        </w:rPr>
        <w:t>supplied by MEL Chemical Company Ltd. The liquid CO</w:t>
      </w:r>
      <w:r w:rsidRPr="00B6778D">
        <w:rPr>
          <w:rFonts w:eastAsia="Times New Roman"/>
          <w:szCs w:val="24"/>
          <w:vertAlign w:val="subscript"/>
        </w:rPr>
        <w:t>2</w:t>
      </w:r>
      <w:r w:rsidRPr="00B6778D">
        <w:rPr>
          <w:rFonts w:eastAsia="Times New Roman"/>
          <w:szCs w:val="24"/>
        </w:rPr>
        <w:t xml:space="preserve"> cylinder (99.9%) equipped with a dip tube was purchased from BOC Ltd., UK. All chemicals were used without further pre-treatment or purification.</w:t>
      </w:r>
    </w:p>
    <w:p w:rsidR="00752DC3" w:rsidRPr="00B6778D" w:rsidRDefault="00752DC3" w:rsidP="00752DC3">
      <w:pPr>
        <w:jc w:val="both"/>
        <w:rPr>
          <w:rFonts w:eastAsia="Times New Roman"/>
          <w:szCs w:val="24"/>
        </w:rPr>
      </w:pPr>
    </w:p>
    <w:p w:rsidR="00133C55" w:rsidRPr="00B6778D" w:rsidRDefault="00133C55" w:rsidP="00FB6D14">
      <w:pPr>
        <w:pStyle w:val="Heading2"/>
      </w:pPr>
      <w:r w:rsidRPr="00B6778D">
        <w:t>2.2. Catalyst Preparation and Characterization</w:t>
      </w:r>
    </w:p>
    <w:p w:rsidR="00537750" w:rsidRDefault="00664615" w:rsidP="0096445A">
      <w:pPr>
        <w:rPr>
          <w:b/>
          <w:bCs/>
          <w:szCs w:val="24"/>
        </w:rPr>
      </w:pPr>
      <w:r w:rsidRPr="00B6778D">
        <w:t xml:space="preserve">The catalyst ceria, lanthana, zirconia doped graphene (Ce-La-Zr/GO) has been prepared </w:t>
      </w:r>
      <w:r w:rsidR="00537750">
        <w:t>according to</w:t>
      </w:r>
      <w:r w:rsidRPr="00B6778D">
        <w:t xml:space="preserve"> </w:t>
      </w:r>
      <w:r w:rsidR="00CF279F" w:rsidRPr="00B6778D">
        <w:t>Onyenkeadi et al</w:t>
      </w:r>
      <w:r w:rsidR="00B908E2">
        <w:t>.</w:t>
      </w:r>
      <w:r w:rsidR="006166DD" w:rsidRPr="00B6778D">
        <w:t xml:space="preserve"> </w:t>
      </w:r>
      <w:r w:rsidR="006166DD" w:rsidRPr="00B6778D">
        <w:fldChar w:fldCharType="begin" w:fldLock="1"/>
      </w:r>
      <w:r w:rsidR="00CB10A7">
        <w:instrText>ADDIN CSL_CITATION {"citationItems":[{"id":"ITEM-1","itemData":{"DOI":"10.1016/j.energy.2018.09.135","ISSN":"03605442","author":[{"dropping-particle":"","family":"Onyenkeadi","given":"Victor","non-dropping-particle":"","parse-names":false,"suffix":""},{"dropping-particle":"","family":"Kellici","given":"Suela","non-dropping-particle":"","parse-names":false,"suffix":""},{"dropping-particle":"","family":"Saha","given":"Basudeb","non-dropping-particle":"","parse-names":false,"suffix":""}],"container-title":"Energy","id":"ITEM-1","issued":{"date-parts":[["2018"]]},"page":"867-876","publisher":"Elsevier Ltd","title":"Greener synthesis of 1,2-butylene carbonate from CO2 using graphene-inorganic nanocomposite catalyst","type":"article-journal","volume":"165"},"uris":["http://www.mendeley.com/documents/?uuid=9c68cc51-c869-4cc5-9bdd-349684eb037f","http://www.mendeley.com/documents/?uuid=d279d292-c950-49da-a5ca-3402f02d8949"]}],"mendeley":{"formattedCitation":"[8]","plainTextFormattedCitation":"[8]","previouslyFormattedCitation":"[8]"},"properties":{"noteIndex":0},"schema":"https://github.com/citation-style-language/schema/raw/master/csl-citation.json"}</w:instrText>
      </w:r>
      <w:r w:rsidR="006166DD" w:rsidRPr="00B6778D">
        <w:fldChar w:fldCharType="separate"/>
      </w:r>
      <w:r w:rsidR="002D6134" w:rsidRPr="002D6134">
        <w:rPr>
          <w:noProof/>
        </w:rPr>
        <w:t>[8]</w:t>
      </w:r>
      <w:r w:rsidR="006166DD" w:rsidRPr="00B6778D">
        <w:fldChar w:fldCharType="end"/>
      </w:r>
      <w:r w:rsidR="00537750">
        <w:t>,</w:t>
      </w:r>
      <w:r w:rsidR="00CF279F" w:rsidRPr="00B6778D">
        <w:t xml:space="preserve"> by </w:t>
      </w:r>
      <w:r w:rsidRPr="00B6778D">
        <w:t xml:space="preserve">using continuous hydrothermal flow synthesis (CHFS) </w:t>
      </w:r>
      <w:r w:rsidRPr="00B6778D">
        <w:rPr>
          <w:noProof/>
        </w:rPr>
        <w:t>process.</w:t>
      </w:r>
      <w:r w:rsidRPr="00B6778D">
        <w:t xml:space="preserve"> The graphene used as a dopant was prepared by Hummers and </w:t>
      </w:r>
      <w:r w:rsidRPr="00AB0336">
        <w:rPr>
          <w:noProof/>
        </w:rPr>
        <w:t>Offe</w:t>
      </w:r>
      <w:r w:rsidR="00823049" w:rsidRPr="00AB0336">
        <w:rPr>
          <w:noProof/>
        </w:rPr>
        <w:t>man'</w:t>
      </w:r>
      <w:r w:rsidRPr="00AB0336">
        <w:rPr>
          <w:noProof/>
        </w:rPr>
        <w:t>s</w:t>
      </w:r>
      <w:r w:rsidRPr="00B6778D">
        <w:t xml:space="preserve"> method. Ce-La-Zr/GO has been assessed and </w:t>
      </w:r>
      <w:r w:rsidRPr="00AB0336">
        <w:rPr>
          <w:noProof/>
        </w:rPr>
        <w:t>analysed</w:t>
      </w:r>
      <w:r w:rsidRPr="00B6778D">
        <w:t xml:space="preserve"> based on their activity and selectivity towards </w:t>
      </w:r>
      <w:r w:rsidRPr="00AB0336">
        <w:rPr>
          <w:noProof/>
        </w:rPr>
        <w:t>optimisation</w:t>
      </w:r>
      <w:r w:rsidRPr="00B6778D">
        <w:t xml:space="preserve"> of butylene carbonate synthesis. The particle size distribution of </w:t>
      </w:r>
      <w:r w:rsidRPr="00B6778D">
        <w:rPr>
          <w:noProof/>
        </w:rPr>
        <w:t>the catalyst</w:t>
      </w:r>
      <w:r w:rsidRPr="00B6778D">
        <w:t xml:space="preserve"> used for this study was carried out using Malvern Mastersizer and the catalyst BET surface area was measured by using a </w:t>
      </w:r>
      <w:r w:rsidRPr="00AB0336">
        <w:rPr>
          <w:noProof/>
        </w:rPr>
        <w:t>micromeritics</w:t>
      </w:r>
      <w:r w:rsidRPr="00B6778D">
        <w:t xml:space="preserve"> Gemini VII </w:t>
      </w:r>
      <w:r w:rsidRPr="00AB0336">
        <w:rPr>
          <w:noProof/>
        </w:rPr>
        <w:t>analyser</w:t>
      </w:r>
      <w:r w:rsidRPr="00B6778D">
        <w:t xml:space="preserve"> (nitrogen adsorption and desorption method). The physical and chemical properties</w:t>
      </w:r>
      <w:r w:rsidR="00AB0336">
        <w:t xml:space="preserve"> of Ce-La-Zr/GO catalyst is</w:t>
      </w:r>
      <w:r w:rsidRPr="00B6778D">
        <w:t xml:space="preserve"> summarised in Table 1.</w:t>
      </w:r>
      <w:r w:rsidR="00537750">
        <w:rPr>
          <w:szCs w:val="24"/>
        </w:rPr>
        <w:br w:type="page"/>
      </w:r>
    </w:p>
    <w:p w:rsidR="00664615" w:rsidRPr="00A7055F" w:rsidRDefault="00A7055F">
      <w:pPr>
        <w:pStyle w:val="Caption"/>
        <w:rPr>
          <w:b w:val="0"/>
          <w:color w:val="auto"/>
          <w:sz w:val="24"/>
          <w:szCs w:val="24"/>
        </w:rPr>
      </w:pPr>
      <w:bookmarkStart w:id="1" w:name="_Toc528474721"/>
      <w:r w:rsidRPr="00B908E2">
        <w:rPr>
          <w:color w:val="auto"/>
          <w:sz w:val="24"/>
          <w:szCs w:val="24"/>
        </w:rPr>
        <w:lastRenderedPageBreak/>
        <w:t xml:space="preserve">Table </w:t>
      </w:r>
      <w:r w:rsidRPr="00B908E2">
        <w:rPr>
          <w:color w:val="auto"/>
          <w:sz w:val="24"/>
          <w:szCs w:val="24"/>
        </w:rPr>
        <w:fldChar w:fldCharType="begin"/>
      </w:r>
      <w:r w:rsidRPr="00B908E2">
        <w:rPr>
          <w:color w:val="auto"/>
          <w:sz w:val="24"/>
          <w:szCs w:val="24"/>
        </w:rPr>
        <w:instrText xml:space="preserve"> SEQ Table \* ARABIC </w:instrText>
      </w:r>
      <w:r w:rsidRPr="00B908E2">
        <w:rPr>
          <w:color w:val="auto"/>
          <w:sz w:val="24"/>
          <w:szCs w:val="24"/>
        </w:rPr>
        <w:fldChar w:fldCharType="separate"/>
      </w:r>
      <w:r w:rsidR="004A2E92">
        <w:rPr>
          <w:noProof/>
          <w:color w:val="auto"/>
          <w:sz w:val="24"/>
          <w:szCs w:val="24"/>
        </w:rPr>
        <w:t>1</w:t>
      </w:r>
      <w:r w:rsidRPr="00B908E2">
        <w:rPr>
          <w:color w:val="auto"/>
          <w:sz w:val="24"/>
          <w:szCs w:val="24"/>
        </w:rPr>
        <w:fldChar w:fldCharType="end"/>
      </w:r>
      <w:r w:rsidRPr="00A7055F">
        <w:rPr>
          <w:color w:val="auto"/>
          <w:sz w:val="24"/>
          <w:szCs w:val="24"/>
        </w:rPr>
        <w:t>.</w:t>
      </w:r>
      <w:r w:rsidR="00435A5B" w:rsidRPr="00A7055F">
        <w:rPr>
          <w:color w:val="auto"/>
          <w:sz w:val="24"/>
          <w:szCs w:val="24"/>
        </w:rPr>
        <w:t xml:space="preserve"> </w:t>
      </w:r>
      <w:r w:rsidR="00435A5B" w:rsidRPr="00A7055F">
        <w:rPr>
          <w:b w:val="0"/>
          <w:color w:val="auto"/>
          <w:sz w:val="24"/>
          <w:szCs w:val="24"/>
        </w:rPr>
        <w:t xml:space="preserve">Physical and chemical properties of </w:t>
      </w:r>
      <w:r w:rsidR="00435A5B" w:rsidRPr="00AB0336">
        <w:rPr>
          <w:b w:val="0"/>
          <w:noProof/>
          <w:color w:val="auto"/>
          <w:sz w:val="24"/>
          <w:szCs w:val="24"/>
        </w:rPr>
        <w:t>synthesised</w:t>
      </w:r>
      <w:r w:rsidR="00435A5B" w:rsidRPr="00A7055F">
        <w:rPr>
          <w:b w:val="0"/>
          <w:color w:val="auto"/>
          <w:sz w:val="24"/>
          <w:szCs w:val="24"/>
        </w:rPr>
        <w:t xml:space="preserve"> ceria, lanthana doped zirconia (Ce-La-Zr-O) and ceria, lanthana, zirconia doped graphene (Ce-La-Zr/GO) inorganic nanocomposite cataly</w:t>
      </w:r>
      <w:r w:rsidR="00AB0336">
        <w:rPr>
          <w:b w:val="0"/>
          <w:color w:val="auto"/>
          <w:sz w:val="24"/>
          <w:szCs w:val="24"/>
        </w:rPr>
        <w:t>sts</w:t>
      </w:r>
      <w:bookmarkEnd w:id="1"/>
    </w:p>
    <w:tbl>
      <w:tblPr>
        <w:tblStyle w:val="TableGrid"/>
        <w:tblW w:w="9187" w:type="dxa"/>
        <w:tblLayout w:type="fixed"/>
        <w:tblLook w:val="04A0" w:firstRow="1" w:lastRow="0" w:firstColumn="1" w:lastColumn="0" w:noHBand="0" w:noVBand="1"/>
      </w:tblPr>
      <w:tblGrid>
        <w:gridCol w:w="3972"/>
        <w:gridCol w:w="2593"/>
        <w:gridCol w:w="2622"/>
      </w:tblGrid>
      <w:tr w:rsidR="00B6778D" w:rsidRPr="00FB09C6" w:rsidTr="0049408C">
        <w:trPr>
          <w:trHeight w:val="388"/>
        </w:trPr>
        <w:tc>
          <w:tcPr>
            <w:tcW w:w="3972" w:type="dxa"/>
            <w:tcBorders>
              <w:top w:val="single" w:sz="4" w:space="0" w:color="auto"/>
              <w:left w:val="nil"/>
              <w:bottom w:val="single" w:sz="8" w:space="0" w:color="auto"/>
              <w:right w:val="nil"/>
            </w:tcBorders>
          </w:tcPr>
          <w:p w:rsidR="00B6778D" w:rsidRPr="00FB09C6" w:rsidRDefault="00B6778D" w:rsidP="00F32C30">
            <w:pPr>
              <w:spacing w:line="276" w:lineRule="auto"/>
              <w:rPr>
                <w:b/>
                <w:bCs/>
                <w:sz w:val="22"/>
                <w:szCs w:val="20"/>
              </w:rPr>
            </w:pPr>
            <w:r w:rsidRPr="00FB09C6">
              <w:rPr>
                <w:b/>
                <w:bCs/>
                <w:sz w:val="22"/>
                <w:szCs w:val="20"/>
              </w:rPr>
              <w:t>Catalyst Properties</w:t>
            </w:r>
          </w:p>
        </w:tc>
        <w:tc>
          <w:tcPr>
            <w:tcW w:w="2593" w:type="dxa"/>
            <w:tcBorders>
              <w:top w:val="single" w:sz="4" w:space="0" w:color="auto"/>
              <w:left w:val="nil"/>
              <w:bottom w:val="single" w:sz="8" w:space="0" w:color="auto"/>
              <w:right w:val="nil"/>
            </w:tcBorders>
          </w:tcPr>
          <w:p w:rsidR="00B6778D" w:rsidRPr="00FB09C6" w:rsidRDefault="00B6778D" w:rsidP="00F32C30">
            <w:pPr>
              <w:spacing w:line="276" w:lineRule="auto"/>
              <w:rPr>
                <w:b/>
                <w:sz w:val="22"/>
                <w:szCs w:val="20"/>
              </w:rPr>
            </w:pPr>
          </w:p>
        </w:tc>
        <w:tc>
          <w:tcPr>
            <w:tcW w:w="2622" w:type="dxa"/>
            <w:tcBorders>
              <w:top w:val="single" w:sz="4" w:space="0" w:color="auto"/>
              <w:left w:val="nil"/>
              <w:bottom w:val="single" w:sz="8" w:space="0" w:color="auto"/>
              <w:right w:val="nil"/>
            </w:tcBorders>
          </w:tcPr>
          <w:p w:rsidR="00B6778D" w:rsidRPr="00FB09C6" w:rsidRDefault="00B6778D" w:rsidP="00F32C30">
            <w:pPr>
              <w:spacing w:line="276" w:lineRule="auto"/>
              <w:rPr>
                <w:b/>
                <w:sz w:val="22"/>
                <w:szCs w:val="20"/>
              </w:rPr>
            </w:pPr>
            <w:r w:rsidRPr="00FB09C6">
              <w:rPr>
                <w:b/>
                <w:sz w:val="22"/>
                <w:szCs w:val="20"/>
              </w:rPr>
              <w:t>Catalyst</w:t>
            </w:r>
          </w:p>
        </w:tc>
      </w:tr>
      <w:tr w:rsidR="00B6778D" w:rsidRPr="00FB09C6" w:rsidTr="000A2167">
        <w:trPr>
          <w:trHeight w:val="244"/>
        </w:trPr>
        <w:tc>
          <w:tcPr>
            <w:tcW w:w="3972" w:type="dxa"/>
            <w:tcBorders>
              <w:top w:val="single" w:sz="8" w:space="0" w:color="auto"/>
              <w:left w:val="nil"/>
              <w:bottom w:val="single" w:sz="8" w:space="0" w:color="auto"/>
              <w:right w:val="nil"/>
            </w:tcBorders>
          </w:tcPr>
          <w:p w:rsidR="00B6778D" w:rsidRPr="00FB09C6" w:rsidRDefault="00B6778D" w:rsidP="00F32C30">
            <w:pPr>
              <w:spacing w:line="276" w:lineRule="auto"/>
              <w:rPr>
                <w:b/>
                <w:bCs/>
                <w:sz w:val="22"/>
                <w:szCs w:val="20"/>
              </w:rPr>
            </w:pPr>
          </w:p>
        </w:tc>
        <w:tc>
          <w:tcPr>
            <w:tcW w:w="2593" w:type="dxa"/>
            <w:tcBorders>
              <w:top w:val="single" w:sz="8" w:space="0" w:color="auto"/>
              <w:left w:val="nil"/>
              <w:bottom w:val="single" w:sz="8" w:space="0" w:color="auto"/>
              <w:right w:val="nil"/>
            </w:tcBorders>
          </w:tcPr>
          <w:p w:rsidR="00B6778D" w:rsidRPr="00FB09C6" w:rsidRDefault="00B6778D" w:rsidP="00F32C30">
            <w:pPr>
              <w:spacing w:line="276" w:lineRule="auto"/>
              <w:rPr>
                <w:b/>
                <w:sz w:val="22"/>
                <w:szCs w:val="20"/>
              </w:rPr>
            </w:pPr>
            <w:r w:rsidRPr="00FB09C6">
              <w:rPr>
                <w:b/>
                <w:bCs/>
                <w:sz w:val="22"/>
                <w:szCs w:val="20"/>
              </w:rPr>
              <w:t>Ce-La-Zr-O</w:t>
            </w:r>
          </w:p>
        </w:tc>
        <w:tc>
          <w:tcPr>
            <w:tcW w:w="2622" w:type="dxa"/>
            <w:tcBorders>
              <w:top w:val="single" w:sz="8" w:space="0" w:color="auto"/>
              <w:left w:val="nil"/>
              <w:bottom w:val="single" w:sz="8" w:space="0" w:color="auto"/>
              <w:right w:val="nil"/>
            </w:tcBorders>
          </w:tcPr>
          <w:p w:rsidR="00B6778D" w:rsidRPr="00FB09C6" w:rsidRDefault="00B6778D" w:rsidP="00F32C30">
            <w:pPr>
              <w:spacing w:line="276" w:lineRule="auto"/>
              <w:rPr>
                <w:b/>
                <w:bCs/>
                <w:sz w:val="22"/>
                <w:szCs w:val="20"/>
              </w:rPr>
            </w:pPr>
            <w:r w:rsidRPr="00FB09C6">
              <w:rPr>
                <w:b/>
                <w:bCs/>
                <w:sz w:val="22"/>
                <w:szCs w:val="20"/>
              </w:rPr>
              <w:t xml:space="preserve"> Ce-La-Zr/GO</w:t>
            </w:r>
          </w:p>
        </w:tc>
      </w:tr>
      <w:tr w:rsidR="000A2167" w:rsidRPr="00FB09C6" w:rsidTr="000A2167">
        <w:trPr>
          <w:trHeight w:val="136"/>
        </w:trPr>
        <w:tc>
          <w:tcPr>
            <w:tcW w:w="3972" w:type="dxa"/>
            <w:tcBorders>
              <w:top w:val="single" w:sz="8" w:space="0" w:color="auto"/>
              <w:left w:val="nil"/>
              <w:bottom w:val="nil"/>
              <w:right w:val="nil"/>
            </w:tcBorders>
          </w:tcPr>
          <w:p w:rsidR="000A2167" w:rsidRPr="00FB09C6" w:rsidRDefault="000A2167" w:rsidP="00F32C30">
            <w:pPr>
              <w:spacing w:line="276" w:lineRule="auto"/>
              <w:rPr>
                <w:b/>
                <w:bCs/>
                <w:sz w:val="22"/>
                <w:szCs w:val="20"/>
              </w:rPr>
            </w:pPr>
          </w:p>
        </w:tc>
        <w:tc>
          <w:tcPr>
            <w:tcW w:w="2593" w:type="dxa"/>
            <w:tcBorders>
              <w:top w:val="single" w:sz="8" w:space="0" w:color="auto"/>
              <w:left w:val="nil"/>
              <w:bottom w:val="nil"/>
              <w:right w:val="nil"/>
            </w:tcBorders>
          </w:tcPr>
          <w:p w:rsidR="000A2167" w:rsidRPr="00FB09C6" w:rsidRDefault="000A2167" w:rsidP="00F32C30">
            <w:pPr>
              <w:spacing w:line="276" w:lineRule="auto"/>
              <w:rPr>
                <w:b/>
                <w:bCs/>
                <w:sz w:val="22"/>
                <w:szCs w:val="20"/>
              </w:rPr>
            </w:pPr>
          </w:p>
        </w:tc>
        <w:tc>
          <w:tcPr>
            <w:tcW w:w="2622" w:type="dxa"/>
            <w:tcBorders>
              <w:top w:val="single" w:sz="8" w:space="0" w:color="auto"/>
              <w:left w:val="nil"/>
              <w:bottom w:val="nil"/>
              <w:right w:val="nil"/>
            </w:tcBorders>
          </w:tcPr>
          <w:p w:rsidR="000A2167" w:rsidRPr="00FB09C6" w:rsidRDefault="000A2167" w:rsidP="00F32C30">
            <w:pPr>
              <w:spacing w:line="276" w:lineRule="auto"/>
              <w:rPr>
                <w:b/>
                <w:bCs/>
                <w:sz w:val="22"/>
                <w:szCs w:val="20"/>
              </w:rPr>
            </w:pPr>
          </w:p>
        </w:tc>
      </w:tr>
      <w:tr w:rsidR="00B6778D" w:rsidRPr="00FB09C6" w:rsidTr="000A2167">
        <w:trPr>
          <w:trHeight w:val="388"/>
        </w:trPr>
        <w:tc>
          <w:tcPr>
            <w:tcW w:w="3972" w:type="dxa"/>
            <w:tcBorders>
              <w:top w:val="nil"/>
              <w:left w:val="nil"/>
              <w:bottom w:val="nil"/>
              <w:right w:val="nil"/>
            </w:tcBorders>
          </w:tcPr>
          <w:p w:rsidR="00B6778D" w:rsidRPr="00FB09C6" w:rsidRDefault="00B6778D" w:rsidP="00F32C30">
            <w:pPr>
              <w:spacing w:line="276" w:lineRule="auto"/>
              <w:rPr>
                <w:bCs/>
                <w:sz w:val="22"/>
                <w:szCs w:val="20"/>
              </w:rPr>
            </w:pPr>
            <w:r w:rsidRPr="00FB09C6">
              <w:rPr>
                <w:bCs/>
                <w:sz w:val="22"/>
                <w:szCs w:val="20"/>
              </w:rPr>
              <w:t>Physical form</w:t>
            </w:r>
          </w:p>
        </w:tc>
        <w:tc>
          <w:tcPr>
            <w:tcW w:w="2593" w:type="dxa"/>
            <w:tcBorders>
              <w:top w:val="nil"/>
              <w:left w:val="nil"/>
              <w:bottom w:val="nil"/>
              <w:right w:val="nil"/>
            </w:tcBorders>
          </w:tcPr>
          <w:p w:rsidR="00B6778D" w:rsidRPr="00FB09C6" w:rsidRDefault="00B6778D" w:rsidP="00F32C30">
            <w:pPr>
              <w:spacing w:line="276" w:lineRule="auto"/>
              <w:rPr>
                <w:sz w:val="22"/>
                <w:szCs w:val="20"/>
              </w:rPr>
            </w:pPr>
            <w:r w:rsidRPr="00FB09C6">
              <w:rPr>
                <w:sz w:val="22"/>
                <w:szCs w:val="20"/>
              </w:rPr>
              <w:t>Pale-yellow powder</w:t>
            </w:r>
          </w:p>
        </w:tc>
        <w:tc>
          <w:tcPr>
            <w:tcW w:w="2622" w:type="dxa"/>
            <w:tcBorders>
              <w:top w:val="nil"/>
              <w:left w:val="nil"/>
              <w:bottom w:val="nil"/>
              <w:right w:val="nil"/>
            </w:tcBorders>
          </w:tcPr>
          <w:p w:rsidR="00B6778D" w:rsidRPr="00FB09C6" w:rsidRDefault="00B6778D" w:rsidP="00F32C30">
            <w:pPr>
              <w:spacing w:line="276" w:lineRule="auto"/>
              <w:rPr>
                <w:sz w:val="22"/>
                <w:szCs w:val="20"/>
              </w:rPr>
            </w:pPr>
            <w:r w:rsidRPr="00FB09C6">
              <w:rPr>
                <w:sz w:val="22"/>
                <w:szCs w:val="20"/>
              </w:rPr>
              <w:t xml:space="preserve">Black </w:t>
            </w:r>
          </w:p>
          <w:p w:rsidR="00B6778D" w:rsidRPr="00FB09C6" w:rsidRDefault="00B6778D" w:rsidP="00F32C30">
            <w:pPr>
              <w:spacing w:line="276" w:lineRule="auto"/>
              <w:rPr>
                <w:sz w:val="22"/>
                <w:szCs w:val="20"/>
              </w:rPr>
            </w:pPr>
            <w:r w:rsidRPr="00FB09C6">
              <w:rPr>
                <w:sz w:val="22"/>
                <w:szCs w:val="20"/>
              </w:rPr>
              <w:t>powder</w:t>
            </w:r>
          </w:p>
        </w:tc>
      </w:tr>
      <w:tr w:rsidR="00B6778D" w:rsidRPr="00FB09C6" w:rsidTr="000A2167">
        <w:trPr>
          <w:trHeight w:val="388"/>
        </w:trPr>
        <w:tc>
          <w:tcPr>
            <w:tcW w:w="3972" w:type="dxa"/>
            <w:tcBorders>
              <w:top w:val="nil"/>
              <w:left w:val="nil"/>
              <w:bottom w:val="nil"/>
              <w:right w:val="nil"/>
            </w:tcBorders>
          </w:tcPr>
          <w:p w:rsidR="00B6778D" w:rsidRPr="00FB09C6" w:rsidRDefault="00B6778D" w:rsidP="00F32C30">
            <w:pPr>
              <w:spacing w:line="276" w:lineRule="auto"/>
              <w:rPr>
                <w:bCs/>
                <w:sz w:val="22"/>
                <w:szCs w:val="20"/>
              </w:rPr>
            </w:pPr>
            <w:r w:rsidRPr="00FB09C6">
              <w:rPr>
                <w:bCs/>
                <w:sz w:val="22"/>
                <w:szCs w:val="20"/>
              </w:rPr>
              <w:t>Composition (%)</w:t>
            </w:r>
          </w:p>
        </w:tc>
        <w:tc>
          <w:tcPr>
            <w:tcW w:w="2593" w:type="dxa"/>
            <w:tcBorders>
              <w:top w:val="nil"/>
              <w:left w:val="nil"/>
              <w:bottom w:val="nil"/>
              <w:right w:val="nil"/>
            </w:tcBorders>
          </w:tcPr>
          <w:p w:rsidR="00B6778D" w:rsidRPr="00FB09C6" w:rsidRDefault="00B6778D" w:rsidP="00F32C30">
            <w:pPr>
              <w:spacing w:line="276" w:lineRule="auto"/>
              <w:rPr>
                <w:sz w:val="22"/>
                <w:szCs w:val="20"/>
              </w:rPr>
            </w:pPr>
            <w:r w:rsidRPr="00FB09C6">
              <w:rPr>
                <w:sz w:val="22"/>
                <w:szCs w:val="20"/>
              </w:rPr>
              <w:t>CeO</w:t>
            </w:r>
            <w:r w:rsidRPr="00FB09C6">
              <w:rPr>
                <w:sz w:val="22"/>
                <w:szCs w:val="20"/>
                <w:vertAlign w:val="subscript"/>
              </w:rPr>
              <w:t>2</w:t>
            </w:r>
            <w:r w:rsidRPr="00FB09C6">
              <w:rPr>
                <w:sz w:val="22"/>
                <w:szCs w:val="20"/>
              </w:rPr>
              <w:t>:17±2 La</w:t>
            </w:r>
            <w:r w:rsidRPr="00FB09C6">
              <w:rPr>
                <w:sz w:val="22"/>
                <w:szCs w:val="20"/>
                <w:vertAlign w:val="subscript"/>
              </w:rPr>
              <w:t>2</w:t>
            </w:r>
            <w:r w:rsidRPr="00FB09C6">
              <w:rPr>
                <w:sz w:val="22"/>
                <w:szCs w:val="20"/>
              </w:rPr>
              <w:t>O</w:t>
            </w:r>
            <w:r w:rsidRPr="00FB09C6">
              <w:rPr>
                <w:sz w:val="22"/>
                <w:szCs w:val="20"/>
                <w:vertAlign w:val="subscript"/>
              </w:rPr>
              <w:t>3</w:t>
            </w:r>
            <w:r w:rsidRPr="00FB09C6">
              <w:rPr>
                <w:sz w:val="22"/>
                <w:szCs w:val="20"/>
              </w:rPr>
              <w:t>: 5±1</w:t>
            </w:r>
          </w:p>
          <w:p w:rsidR="00B6778D" w:rsidRPr="00FB09C6" w:rsidRDefault="00B6778D" w:rsidP="00F32C30">
            <w:pPr>
              <w:spacing w:line="276" w:lineRule="auto"/>
              <w:rPr>
                <w:sz w:val="22"/>
                <w:szCs w:val="20"/>
              </w:rPr>
            </w:pPr>
            <w:r w:rsidRPr="00FB09C6">
              <w:rPr>
                <w:sz w:val="22"/>
                <w:szCs w:val="20"/>
              </w:rPr>
              <w:t>ZrO</w:t>
            </w:r>
            <w:r w:rsidRPr="00FB09C6">
              <w:rPr>
                <w:sz w:val="22"/>
                <w:szCs w:val="20"/>
                <w:vertAlign w:val="subscript"/>
              </w:rPr>
              <w:t>2</w:t>
            </w:r>
            <w:r w:rsidRPr="00FB09C6">
              <w:rPr>
                <w:sz w:val="22"/>
                <w:szCs w:val="20"/>
              </w:rPr>
              <w:t>: 78±3</w:t>
            </w:r>
          </w:p>
        </w:tc>
        <w:tc>
          <w:tcPr>
            <w:tcW w:w="2622" w:type="dxa"/>
            <w:tcBorders>
              <w:top w:val="nil"/>
              <w:left w:val="nil"/>
              <w:bottom w:val="nil"/>
              <w:right w:val="nil"/>
            </w:tcBorders>
          </w:tcPr>
          <w:p w:rsidR="00B6778D" w:rsidRPr="00FB09C6" w:rsidRDefault="00B6778D" w:rsidP="00F32C30">
            <w:pPr>
              <w:spacing w:line="276" w:lineRule="auto"/>
              <w:rPr>
                <w:sz w:val="22"/>
                <w:szCs w:val="20"/>
              </w:rPr>
            </w:pPr>
            <w:r w:rsidRPr="00FB09C6">
              <w:rPr>
                <w:sz w:val="22"/>
                <w:szCs w:val="20"/>
              </w:rPr>
              <w:t>Ce: 2.98</w:t>
            </w:r>
          </w:p>
          <w:p w:rsidR="00B6778D" w:rsidRPr="00FB09C6" w:rsidRDefault="00B6778D" w:rsidP="00F32C30">
            <w:pPr>
              <w:spacing w:line="276" w:lineRule="auto"/>
              <w:rPr>
                <w:sz w:val="22"/>
                <w:szCs w:val="20"/>
              </w:rPr>
            </w:pPr>
            <w:r w:rsidRPr="00FB09C6">
              <w:rPr>
                <w:sz w:val="22"/>
                <w:szCs w:val="20"/>
              </w:rPr>
              <w:t>La:1.19</w:t>
            </w:r>
          </w:p>
          <w:p w:rsidR="00B6778D" w:rsidRPr="00FB09C6" w:rsidRDefault="00B6778D" w:rsidP="00F32C30">
            <w:pPr>
              <w:spacing w:line="276" w:lineRule="auto"/>
              <w:rPr>
                <w:sz w:val="22"/>
                <w:szCs w:val="20"/>
              </w:rPr>
            </w:pPr>
            <w:r w:rsidRPr="00FB09C6">
              <w:rPr>
                <w:sz w:val="22"/>
                <w:szCs w:val="20"/>
              </w:rPr>
              <w:t>O: 34.99</w:t>
            </w:r>
          </w:p>
          <w:p w:rsidR="00B6778D" w:rsidRPr="00FB09C6" w:rsidRDefault="00B6778D" w:rsidP="00F32C30">
            <w:pPr>
              <w:spacing w:line="276" w:lineRule="auto"/>
              <w:rPr>
                <w:sz w:val="22"/>
                <w:szCs w:val="20"/>
              </w:rPr>
            </w:pPr>
            <w:r w:rsidRPr="00FB09C6">
              <w:rPr>
                <w:sz w:val="22"/>
                <w:szCs w:val="20"/>
              </w:rPr>
              <w:t xml:space="preserve"> C: 47.29</w:t>
            </w:r>
          </w:p>
          <w:p w:rsidR="00B6778D" w:rsidRPr="00FB09C6" w:rsidRDefault="00B6778D" w:rsidP="00F32C30">
            <w:pPr>
              <w:spacing w:line="276" w:lineRule="auto"/>
              <w:rPr>
                <w:sz w:val="22"/>
                <w:szCs w:val="20"/>
              </w:rPr>
            </w:pPr>
            <w:r w:rsidRPr="00FB09C6">
              <w:rPr>
                <w:sz w:val="22"/>
                <w:szCs w:val="20"/>
              </w:rPr>
              <w:t xml:space="preserve"> K: 0.8</w:t>
            </w:r>
          </w:p>
          <w:p w:rsidR="00B6778D" w:rsidRPr="00FB09C6" w:rsidRDefault="00B6778D" w:rsidP="00F32C30">
            <w:pPr>
              <w:spacing w:line="276" w:lineRule="auto"/>
              <w:rPr>
                <w:sz w:val="22"/>
                <w:szCs w:val="20"/>
              </w:rPr>
            </w:pPr>
            <w:r w:rsidRPr="00FB09C6">
              <w:rPr>
                <w:sz w:val="22"/>
                <w:szCs w:val="20"/>
              </w:rPr>
              <w:t xml:space="preserve"> Zr: 12.75</w:t>
            </w:r>
          </w:p>
        </w:tc>
      </w:tr>
      <w:tr w:rsidR="00B6778D" w:rsidRPr="00FB09C6" w:rsidTr="000A2167">
        <w:trPr>
          <w:trHeight w:val="388"/>
        </w:trPr>
        <w:tc>
          <w:tcPr>
            <w:tcW w:w="3972" w:type="dxa"/>
            <w:tcBorders>
              <w:top w:val="nil"/>
              <w:left w:val="nil"/>
              <w:bottom w:val="nil"/>
              <w:right w:val="nil"/>
            </w:tcBorders>
          </w:tcPr>
          <w:p w:rsidR="00B6778D" w:rsidRPr="00FB09C6" w:rsidRDefault="00B6778D" w:rsidP="00F32C30">
            <w:pPr>
              <w:spacing w:line="276" w:lineRule="auto"/>
              <w:rPr>
                <w:bCs/>
                <w:sz w:val="22"/>
                <w:szCs w:val="20"/>
              </w:rPr>
            </w:pPr>
            <w:r w:rsidRPr="00FB09C6">
              <w:rPr>
                <w:bCs/>
                <w:sz w:val="22"/>
                <w:szCs w:val="20"/>
              </w:rPr>
              <w:t>BET surface area (m</w:t>
            </w:r>
            <w:r w:rsidRPr="00FB09C6">
              <w:rPr>
                <w:bCs/>
                <w:sz w:val="22"/>
                <w:szCs w:val="20"/>
                <w:vertAlign w:val="superscript"/>
              </w:rPr>
              <w:t>2</w:t>
            </w:r>
            <w:r w:rsidRPr="00FB09C6">
              <w:rPr>
                <w:bCs/>
                <w:sz w:val="22"/>
                <w:szCs w:val="20"/>
              </w:rPr>
              <w:t xml:space="preserve"> g</w:t>
            </w:r>
            <w:r w:rsidRPr="00FB09C6">
              <w:rPr>
                <w:bCs/>
                <w:sz w:val="22"/>
                <w:szCs w:val="20"/>
                <w:vertAlign w:val="superscript"/>
              </w:rPr>
              <w:t>-1</w:t>
            </w:r>
            <w:r w:rsidRPr="00FB09C6">
              <w:rPr>
                <w:bCs/>
                <w:sz w:val="22"/>
                <w:szCs w:val="20"/>
              </w:rPr>
              <w:t>)</w:t>
            </w:r>
          </w:p>
        </w:tc>
        <w:tc>
          <w:tcPr>
            <w:tcW w:w="2593" w:type="dxa"/>
            <w:tcBorders>
              <w:top w:val="nil"/>
              <w:left w:val="nil"/>
              <w:bottom w:val="nil"/>
              <w:right w:val="nil"/>
            </w:tcBorders>
          </w:tcPr>
          <w:p w:rsidR="00B6778D" w:rsidRPr="00FB09C6" w:rsidRDefault="00B6778D" w:rsidP="00F32C30">
            <w:pPr>
              <w:spacing w:line="276" w:lineRule="auto"/>
              <w:rPr>
                <w:sz w:val="22"/>
                <w:szCs w:val="20"/>
              </w:rPr>
            </w:pPr>
            <w:r w:rsidRPr="00FB09C6">
              <w:rPr>
                <w:sz w:val="22"/>
                <w:szCs w:val="20"/>
              </w:rPr>
              <w:t>55</w:t>
            </w:r>
          </w:p>
        </w:tc>
        <w:tc>
          <w:tcPr>
            <w:tcW w:w="2622" w:type="dxa"/>
            <w:tcBorders>
              <w:top w:val="nil"/>
              <w:left w:val="nil"/>
              <w:bottom w:val="nil"/>
              <w:right w:val="nil"/>
            </w:tcBorders>
          </w:tcPr>
          <w:p w:rsidR="00B6778D" w:rsidRPr="00FB09C6" w:rsidRDefault="00B6778D" w:rsidP="00F32C30">
            <w:pPr>
              <w:spacing w:line="276" w:lineRule="auto"/>
              <w:rPr>
                <w:sz w:val="22"/>
                <w:szCs w:val="20"/>
              </w:rPr>
            </w:pPr>
            <w:r w:rsidRPr="00FB09C6">
              <w:rPr>
                <w:sz w:val="22"/>
                <w:szCs w:val="20"/>
              </w:rPr>
              <w:t>115</w:t>
            </w:r>
          </w:p>
        </w:tc>
      </w:tr>
      <w:tr w:rsidR="00B6778D" w:rsidRPr="00FB09C6" w:rsidTr="000A2167">
        <w:trPr>
          <w:trHeight w:val="388"/>
        </w:trPr>
        <w:tc>
          <w:tcPr>
            <w:tcW w:w="3972" w:type="dxa"/>
            <w:tcBorders>
              <w:top w:val="nil"/>
              <w:left w:val="nil"/>
              <w:bottom w:val="nil"/>
              <w:right w:val="nil"/>
            </w:tcBorders>
          </w:tcPr>
          <w:p w:rsidR="00B6778D" w:rsidRPr="00FB09C6" w:rsidRDefault="00B6778D" w:rsidP="00F32C30">
            <w:pPr>
              <w:spacing w:line="276" w:lineRule="auto"/>
              <w:rPr>
                <w:bCs/>
                <w:sz w:val="22"/>
                <w:szCs w:val="20"/>
              </w:rPr>
            </w:pPr>
            <w:r w:rsidRPr="00FB09C6">
              <w:rPr>
                <w:sz w:val="22"/>
                <w:szCs w:val="20"/>
              </w:rPr>
              <w:t>Pore volume  (cm</w:t>
            </w:r>
            <w:r w:rsidRPr="00FB09C6">
              <w:rPr>
                <w:sz w:val="22"/>
                <w:szCs w:val="20"/>
                <w:vertAlign w:val="superscript"/>
              </w:rPr>
              <w:t xml:space="preserve">3 </w:t>
            </w:r>
            <w:r w:rsidRPr="00FB09C6">
              <w:rPr>
                <w:sz w:val="22"/>
                <w:szCs w:val="20"/>
              </w:rPr>
              <w:t>g</w:t>
            </w:r>
            <w:r w:rsidRPr="00FB09C6">
              <w:rPr>
                <w:sz w:val="22"/>
                <w:szCs w:val="20"/>
                <w:vertAlign w:val="superscript"/>
              </w:rPr>
              <w:t>-1</w:t>
            </w:r>
            <w:r w:rsidRPr="00FB09C6">
              <w:rPr>
                <w:sz w:val="22"/>
                <w:szCs w:val="20"/>
              </w:rPr>
              <w:t>)</w:t>
            </w:r>
          </w:p>
        </w:tc>
        <w:tc>
          <w:tcPr>
            <w:tcW w:w="2593" w:type="dxa"/>
            <w:tcBorders>
              <w:top w:val="nil"/>
              <w:left w:val="nil"/>
              <w:bottom w:val="nil"/>
              <w:right w:val="nil"/>
            </w:tcBorders>
          </w:tcPr>
          <w:p w:rsidR="00B6778D" w:rsidRPr="00FB09C6" w:rsidRDefault="00B6778D" w:rsidP="00F32C30">
            <w:pPr>
              <w:spacing w:line="276" w:lineRule="auto"/>
              <w:rPr>
                <w:sz w:val="22"/>
                <w:szCs w:val="20"/>
              </w:rPr>
            </w:pPr>
            <w:r w:rsidRPr="00FB09C6">
              <w:rPr>
                <w:sz w:val="22"/>
                <w:szCs w:val="20"/>
              </w:rPr>
              <w:t>0.29</w:t>
            </w:r>
          </w:p>
        </w:tc>
        <w:tc>
          <w:tcPr>
            <w:tcW w:w="2622" w:type="dxa"/>
            <w:tcBorders>
              <w:top w:val="nil"/>
              <w:left w:val="nil"/>
              <w:bottom w:val="nil"/>
              <w:right w:val="nil"/>
            </w:tcBorders>
          </w:tcPr>
          <w:p w:rsidR="00B6778D" w:rsidRPr="00FB09C6" w:rsidRDefault="00B6778D" w:rsidP="00F32C30">
            <w:pPr>
              <w:spacing w:line="276" w:lineRule="auto"/>
              <w:rPr>
                <w:sz w:val="22"/>
                <w:szCs w:val="20"/>
              </w:rPr>
            </w:pPr>
            <w:r w:rsidRPr="00FB09C6">
              <w:rPr>
                <w:sz w:val="22"/>
                <w:szCs w:val="20"/>
              </w:rPr>
              <w:t>0.047</w:t>
            </w:r>
          </w:p>
        </w:tc>
      </w:tr>
      <w:tr w:rsidR="00B6778D" w:rsidRPr="00FB09C6" w:rsidTr="000A2167">
        <w:trPr>
          <w:trHeight w:val="388"/>
        </w:trPr>
        <w:tc>
          <w:tcPr>
            <w:tcW w:w="3972" w:type="dxa"/>
            <w:tcBorders>
              <w:top w:val="nil"/>
              <w:left w:val="nil"/>
              <w:bottom w:val="nil"/>
              <w:right w:val="nil"/>
            </w:tcBorders>
          </w:tcPr>
          <w:p w:rsidR="00B6778D" w:rsidRPr="00FB09C6" w:rsidRDefault="00B6778D" w:rsidP="00F32C30">
            <w:pPr>
              <w:spacing w:line="276" w:lineRule="auto"/>
              <w:rPr>
                <w:bCs/>
                <w:sz w:val="22"/>
                <w:szCs w:val="20"/>
              </w:rPr>
            </w:pPr>
            <w:r w:rsidRPr="00FB09C6">
              <w:rPr>
                <w:bCs/>
                <w:sz w:val="22"/>
                <w:szCs w:val="20"/>
              </w:rPr>
              <w:t>Particle size (nm)</w:t>
            </w:r>
          </w:p>
        </w:tc>
        <w:tc>
          <w:tcPr>
            <w:tcW w:w="2593" w:type="dxa"/>
            <w:tcBorders>
              <w:top w:val="nil"/>
              <w:left w:val="nil"/>
              <w:bottom w:val="nil"/>
              <w:right w:val="nil"/>
            </w:tcBorders>
          </w:tcPr>
          <w:p w:rsidR="00B6778D" w:rsidRPr="00FB09C6" w:rsidRDefault="00B6778D" w:rsidP="00F32C30">
            <w:pPr>
              <w:spacing w:line="276" w:lineRule="auto"/>
              <w:rPr>
                <w:sz w:val="22"/>
                <w:szCs w:val="20"/>
              </w:rPr>
            </w:pPr>
            <w:r w:rsidRPr="00FB09C6">
              <w:rPr>
                <w:sz w:val="22"/>
                <w:szCs w:val="20"/>
              </w:rPr>
              <w:t>1700</w:t>
            </w:r>
          </w:p>
        </w:tc>
        <w:tc>
          <w:tcPr>
            <w:tcW w:w="2622" w:type="dxa"/>
            <w:tcBorders>
              <w:top w:val="nil"/>
              <w:left w:val="nil"/>
              <w:bottom w:val="nil"/>
              <w:right w:val="nil"/>
            </w:tcBorders>
          </w:tcPr>
          <w:p w:rsidR="00B6778D" w:rsidRPr="00FB09C6" w:rsidRDefault="00B6778D" w:rsidP="00F32C30">
            <w:pPr>
              <w:spacing w:line="276" w:lineRule="auto"/>
              <w:rPr>
                <w:sz w:val="22"/>
                <w:szCs w:val="20"/>
              </w:rPr>
            </w:pPr>
            <w:r w:rsidRPr="00FB09C6">
              <w:rPr>
                <w:sz w:val="22"/>
                <w:szCs w:val="20"/>
              </w:rPr>
              <w:t>5.78±3.9</w:t>
            </w:r>
          </w:p>
        </w:tc>
      </w:tr>
      <w:tr w:rsidR="00B6778D" w:rsidRPr="00FB09C6" w:rsidTr="000A2167">
        <w:trPr>
          <w:trHeight w:val="388"/>
        </w:trPr>
        <w:tc>
          <w:tcPr>
            <w:tcW w:w="3972" w:type="dxa"/>
            <w:tcBorders>
              <w:top w:val="nil"/>
              <w:left w:val="nil"/>
              <w:bottom w:val="nil"/>
              <w:right w:val="nil"/>
            </w:tcBorders>
          </w:tcPr>
          <w:p w:rsidR="00B6778D" w:rsidRPr="00FB09C6" w:rsidRDefault="00B6778D" w:rsidP="00F32C30">
            <w:pPr>
              <w:spacing w:line="276" w:lineRule="auto"/>
              <w:rPr>
                <w:sz w:val="22"/>
                <w:szCs w:val="20"/>
              </w:rPr>
            </w:pPr>
            <w:r w:rsidRPr="00FB09C6">
              <w:rPr>
                <w:sz w:val="22"/>
                <w:szCs w:val="20"/>
              </w:rPr>
              <w:t>True Density (g cm</w:t>
            </w:r>
            <w:r w:rsidRPr="00FB09C6">
              <w:rPr>
                <w:sz w:val="22"/>
                <w:szCs w:val="20"/>
                <w:vertAlign w:val="superscript"/>
              </w:rPr>
              <w:t>3</w:t>
            </w:r>
            <w:r w:rsidRPr="00FB09C6">
              <w:rPr>
                <w:sz w:val="22"/>
                <w:szCs w:val="20"/>
              </w:rPr>
              <w:t>)</w:t>
            </w:r>
          </w:p>
        </w:tc>
        <w:tc>
          <w:tcPr>
            <w:tcW w:w="2593" w:type="dxa"/>
            <w:tcBorders>
              <w:top w:val="nil"/>
              <w:left w:val="nil"/>
              <w:bottom w:val="nil"/>
              <w:right w:val="nil"/>
            </w:tcBorders>
          </w:tcPr>
          <w:p w:rsidR="00B6778D" w:rsidRPr="00FB09C6" w:rsidRDefault="00B6778D" w:rsidP="00F32C30">
            <w:pPr>
              <w:spacing w:line="276" w:lineRule="auto"/>
              <w:rPr>
                <w:sz w:val="22"/>
                <w:szCs w:val="20"/>
              </w:rPr>
            </w:pPr>
            <w:r w:rsidRPr="00FB09C6">
              <w:rPr>
                <w:sz w:val="22"/>
                <w:szCs w:val="20"/>
              </w:rPr>
              <w:t>4.40</w:t>
            </w:r>
          </w:p>
        </w:tc>
        <w:tc>
          <w:tcPr>
            <w:tcW w:w="2622" w:type="dxa"/>
            <w:tcBorders>
              <w:top w:val="nil"/>
              <w:left w:val="nil"/>
              <w:bottom w:val="nil"/>
              <w:right w:val="nil"/>
            </w:tcBorders>
          </w:tcPr>
          <w:p w:rsidR="00B6778D" w:rsidRPr="00FB09C6" w:rsidRDefault="00B6778D" w:rsidP="00F32C30">
            <w:pPr>
              <w:spacing w:line="276" w:lineRule="auto"/>
              <w:rPr>
                <w:sz w:val="22"/>
                <w:szCs w:val="20"/>
              </w:rPr>
            </w:pPr>
            <w:r w:rsidRPr="00FB09C6">
              <w:rPr>
                <w:sz w:val="22"/>
                <w:szCs w:val="20"/>
              </w:rPr>
              <w:t xml:space="preserve"> 3.05</w:t>
            </w:r>
          </w:p>
        </w:tc>
      </w:tr>
      <w:tr w:rsidR="00B6778D" w:rsidRPr="00FB09C6" w:rsidTr="000A2167">
        <w:trPr>
          <w:trHeight w:val="258"/>
        </w:trPr>
        <w:tc>
          <w:tcPr>
            <w:tcW w:w="3972" w:type="dxa"/>
            <w:tcBorders>
              <w:top w:val="nil"/>
              <w:left w:val="nil"/>
              <w:bottom w:val="single" w:sz="8" w:space="0" w:color="auto"/>
              <w:right w:val="nil"/>
            </w:tcBorders>
          </w:tcPr>
          <w:p w:rsidR="00B6778D" w:rsidRPr="00FB09C6" w:rsidRDefault="00B6778D" w:rsidP="00F32C30">
            <w:pPr>
              <w:spacing w:line="276" w:lineRule="auto"/>
              <w:rPr>
                <w:bCs/>
                <w:sz w:val="22"/>
                <w:szCs w:val="20"/>
              </w:rPr>
            </w:pPr>
            <w:r w:rsidRPr="00FB09C6">
              <w:rPr>
                <w:bCs/>
                <w:sz w:val="22"/>
                <w:szCs w:val="20"/>
              </w:rPr>
              <w:t>Operating Temperature (K)</w:t>
            </w:r>
          </w:p>
        </w:tc>
        <w:tc>
          <w:tcPr>
            <w:tcW w:w="2593" w:type="dxa"/>
            <w:tcBorders>
              <w:top w:val="nil"/>
              <w:left w:val="nil"/>
              <w:bottom w:val="single" w:sz="8" w:space="0" w:color="auto"/>
              <w:right w:val="nil"/>
            </w:tcBorders>
          </w:tcPr>
          <w:p w:rsidR="00B6778D" w:rsidRPr="00FB09C6" w:rsidRDefault="00B6778D" w:rsidP="00F32C30">
            <w:pPr>
              <w:spacing w:line="276" w:lineRule="auto"/>
              <w:rPr>
                <w:sz w:val="22"/>
                <w:szCs w:val="20"/>
              </w:rPr>
            </w:pPr>
            <w:r w:rsidRPr="00FB09C6">
              <w:rPr>
                <w:sz w:val="22"/>
                <w:szCs w:val="20"/>
              </w:rPr>
              <w:t>673</w:t>
            </w:r>
            <w:r w:rsidRPr="00FB09C6">
              <w:rPr>
                <w:bCs/>
                <w:sz w:val="22"/>
                <w:szCs w:val="20"/>
                <w:vertAlign w:val="superscript"/>
              </w:rPr>
              <w:t xml:space="preserve">  </w:t>
            </w:r>
          </w:p>
        </w:tc>
        <w:tc>
          <w:tcPr>
            <w:tcW w:w="2622" w:type="dxa"/>
            <w:tcBorders>
              <w:top w:val="nil"/>
              <w:left w:val="nil"/>
              <w:bottom w:val="single" w:sz="8" w:space="0" w:color="auto"/>
              <w:right w:val="nil"/>
            </w:tcBorders>
          </w:tcPr>
          <w:p w:rsidR="00B6778D" w:rsidRPr="00FB09C6" w:rsidRDefault="00B6778D" w:rsidP="00F32C30">
            <w:pPr>
              <w:spacing w:line="276" w:lineRule="auto"/>
              <w:rPr>
                <w:sz w:val="22"/>
                <w:szCs w:val="20"/>
              </w:rPr>
            </w:pPr>
            <w:r w:rsidRPr="00FB09C6">
              <w:rPr>
                <w:sz w:val="22"/>
                <w:szCs w:val="20"/>
              </w:rPr>
              <w:t>443</w:t>
            </w:r>
            <w:r w:rsidRPr="00FB09C6">
              <w:rPr>
                <w:bCs/>
                <w:sz w:val="22"/>
                <w:szCs w:val="20"/>
                <w:vertAlign w:val="superscript"/>
              </w:rPr>
              <w:t xml:space="preserve"> </w:t>
            </w:r>
          </w:p>
        </w:tc>
      </w:tr>
      <w:tr w:rsidR="000A2167" w:rsidRPr="00FB09C6" w:rsidTr="000A2167">
        <w:trPr>
          <w:trHeight w:val="116"/>
        </w:trPr>
        <w:tc>
          <w:tcPr>
            <w:tcW w:w="3972" w:type="dxa"/>
            <w:tcBorders>
              <w:top w:val="single" w:sz="8" w:space="0" w:color="auto"/>
              <w:left w:val="nil"/>
              <w:bottom w:val="nil"/>
              <w:right w:val="nil"/>
            </w:tcBorders>
          </w:tcPr>
          <w:p w:rsidR="000A2167" w:rsidRPr="00FB09C6" w:rsidRDefault="000A2167" w:rsidP="00F32C30">
            <w:pPr>
              <w:spacing w:line="276" w:lineRule="auto"/>
              <w:rPr>
                <w:bCs/>
                <w:sz w:val="22"/>
                <w:szCs w:val="20"/>
              </w:rPr>
            </w:pPr>
          </w:p>
        </w:tc>
        <w:tc>
          <w:tcPr>
            <w:tcW w:w="2593" w:type="dxa"/>
            <w:tcBorders>
              <w:top w:val="single" w:sz="8" w:space="0" w:color="auto"/>
              <w:left w:val="nil"/>
              <w:bottom w:val="nil"/>
              <w:right w:val="nil"/>
            </w:tcBorders>
          </w:tcPr>
          <w:p w:rsidR="000A2167" w:rsidRPr="00FB09C6" w:rsidRDefault="000A2167" w:rsidP="00F32C30">
            <w:pPr>
              <w:spacing w:line="276" w:lineRule="auto"/>
              <w:rPr>
                <w:sz w:val="22"/>
                <w:szCs w:val="20"/>
              </w:rPr>
            </w:pPr>
          </w:p>
        </w:tc>
        <w:tc>
          <w:tcPr>
            <w:tcW w:w="2622" w:type="dxa"/>
            <w:tcBorders>
              <w:top w:val="single" w:sz="8" w:space="0" w:color="auto"/>
              <w:left w:val="nil"/>
              <w:bottom w:val="nil"/>
              <w:right w:val="nil"/>
            </w:tcBorders>
          </w:tcPr>
          <w:p w:rsidR="000A2167" w:rsidRPr="00FB09C6" w:rsidRDefault="000A2167" w:rsidP="00F32C30">
            <w:pPr>
              <w:spacing w:line="276" w:lineRule="auto"/>
              <w:rPr>
                <w:sz w:val="22"/>
                <w:szCs w:val="20"/>
              </w:rPr>
            </w:pPr>
          </w:p>
        </w:tc>
      </w:tr>
    </w:tbl>
    <w:p w:rsidR="00B6778D" w:rsidRDefault="00133C55" w:rsidP="00FB6D14">
      <w:pPr>
        <w:pStyle w:val="Heading2"/>
      </w:pPr>
      <w:r w:rsidRPr="00B6778D">
        <w:t xml:space="preserve">2.3. </w:t>
      </w:r>
      <w:r w:rsidR="00DC12C9">
        <w:t xml:space="preserve">Experimental Design </w:t>
      </w:r>
    </w:p>
    <w:p w:rsidR="0065449C" w:rsidRDefault="00AB0336">
      <w:pPr>
        <w:pStyle w:val="TAMainText"/>
        <w:spacing w:line="360" w:lineRule="auto"/>
        <w:ind w:firstLine="0"/>
        <w:contextualSpacing/>
      </w:pPr>
      <w:r>
        <w:t xml:space="preserve">RSM </w:t>
      </w:r>
      <w:r w:rsidR="00E41542">
        <w:t>was</w:t>
      </w:r>
      <w:r w:rsidR="0065449C">
        <w:t xml:space="preserve"> used to design the experiments </w:t>
      </w:r>
      <w:r w:rsidR="003504A1" w:rsidRPr="00B908E2">
        <w:rPr>
          <w:i/>
          <w:iCs/>
        </w:rPr>
        <w:t>via</w:t>
      </w:r>
      <w:r w:rsidR="003504A1">
        <w:t xml:space="preserve"> </w:t>
      </w:r>
      <w:r w:rsidR="0065449C">
        <w:t>BBD</w:t>
      </w:r>
      <w:r>
        <w:t>,</w:t>
      </w:r>
      <w:r w:rsidR="0065449C">
        <w:t xml:space="preserve"> which is based on three levels for each process variable. The three levels </w:t>
      </w:r>
      <w:r w:rsidR="0065449C" w:rsidRPr="00EA15FA">
        <w:rPr>
          <w:noProof/>
        </w:rPr>
        <w:t>represent</w:t>
      </w:r>
      <w:r w:rsidR="0065449C">
        <w:t xml:space="preserve"> the maximum, minimum and the average range of each variable.</w:t>
      </w:r>
      <w:r>
        <w:t xml:space="preserve"> Four independent variables </w:t>
      </w:r>
      <w:r w:rsidR="00E41542">
        <w:t>were</w:t>
      </w:r>
      <w:r w:rsidR="0065449C">
        <w:t xml:space="preserve"> studied including temperature, pressure, catalyst loading and time </w:t>
      </w:r>
      <w:r w:rsidR="00537750">
        <w:t xml:space="preserve">that </w:t>
      </w:r>
      <w:r w:rsidR="00E41542">
        <w:t>were</w:t>
      </w:r>
      <w:r w:rsidR="004535A6">
        <w:t xml:space="preserve"> coded as A,</w:t>
      </w:r>
      <w:r w:rsidR="00C83256">
        <w:t xml:space="preserve"> </w:t>
      </w:r>
      <w:r w:rsidR="004535A6">
        <w:t>B,</w:t>
      </w:r>
      <w:r w:rsidR="00C83256">
        <w:t xml:space="preserve"> </w:t>
      </w:r>
      <w:r w:rsidR="004535A6">
        <w:t xml:space="preserve">C </w:t>
      </w:r>
      <w:r w:rsidR="004535A6" w:rsidRPr="00AB0336">
        <w:rPr>
          <w:noProof/>
        </w:rPr>
        <w:t>and</w:t>
      </w:r>
      <w:r w:rsidR="004535A6">
        <w:t xml:space="preserve"> D, respectively. In this study, the levels of the independent variables </w:t>
      </w:r>
      <w:r w:rsidR="00E41542">
        <w:t>were</w:t>
      </w:r>
      <w:r w:rsidR="004535A6">
        <w:t xml:space="preserve"> coded as</w:t>
      </w:r>
      <w:r w:rsidR="006213A6">
        <w:t xml:space="preserve"> -1, 0 and 1 as shown in Table 2</w:t>
      </w:r>
      <w:r w:rsidR="00632C31">
        <w:t>.</w:t>
      </w:r>
    </w:p>
    <w:p w:rsidR="0065449C" w:rsidRPr="00A7055F" w:rsidRDefault="00A7055F" w:rsidP="00A7055F">
      <w:pPr>
        <w:pStyle w:val="Caption"/>
        <w:keepNext/>
        <w:rPr>
          <w:b w:val="0"/>
          <w:color w:val="auto"/>
          <w:sz w:val="24"/>
          <w:szCs w:val="24"/>
        </w:rPr>
      </w:pPr>
      <w:bookmarkStart w:id="2" w:name="_Toc528474722"/>
      <w:r w:rsidRPr="00B908E2">
        <w:rPr>
          <w:color w:val="auto"/>
          <w:sz w:val="24"/>
          <w:szCs w:val="24"/>
        </w:rPr>
        <w:t xml:space="preserve">Table </w:t>
      </w:r>
      <w:r w:rsidRPr="00B908E2">
        <w:rPr>
          <w:color w:val="auto"/>
          <w:sz w:val="24"/>
          <w:szCs w:val="24"/>
        </w:rPr>
        <w:fldChar w:fldCharType="begin"/>
      </w:r>
      <w:r w:rsidRPr="00B908E2">
        <w:rPr>
          <w:color w:val="auto"/>
          <w:sz w:val="24"/>
          <w:szCs w:val="24"/>
        </w:rPr>
        <w:instrText xml:space="preserve"> SEQ Table \* ARABIC </w:instrText>
      </w:r>
      <w:r w:rsidRPr="00B908E2">
        <w:rPr>
          <w:color w:val="auto"/>
          <w:sz w:val="24"/>
          <w:szCs w:val="24"/>
        </w:rPr>
        <w:fldChar w:fldCharType="separate"/>
      </w:r>
      <w:r w:rsidR="004A2E92">
        <w:rPr>
          <w:noProof/>
          <w:color w:val="auto"/>
          <w:sz w:val="24"/>
          <w:szCs w:val="24"/>
        </w:rPr>
        <w:t>2</w:t>
      </w:r>
      <w:r w:rsidRPr="00B908E2">
        <w:rPr>
          <w:color w:val="auto"/>
          <w:sz w:val="24"/>
          <w:szCs w:val="24"/>
        </w:rPr>
        <w:fldChar w:fldCharType="end"/>
      </w:r>
      <w:r w:rsidR="0065449C" w:rsidRPr="00A7055F">
        <w:rPr>
          <w:color w:val="auto"/>
          <w:sz w:val="24"/>
          <w:szCs w:val="24"/>
        </w:rPr>
        <w:t>.</w:t>
      </w:r>
      <w:r w:rsidR="0065449C" w:rsidRPr="00A7055F">
        <w:rPr>
          <w:b w:val="0"/>
          <w:color w:val="auto"/>
          <w:sz w:val="24"/>
          <w:szCs w:val="24"/>
        </w:rPr>
        <w:t xml:space="preserve"> Experimental design variables and their coded levels</w:t>
      </w:r>
      <w:bookmarkEnd w:id="2"/>
    </w:p>
    <w:tbl>
      <w:tblPr>
        <w:tblStyle w:val="TableGrid"/>
        <w:tblW w:w="896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2"/>
        <w:gridCol w:w="1576"/>
        <w:gridCol w:w="1387"/>
        <w:gridCol w:w="1387"/>
        <w:gridCol w:w="1387"/>
      </w:tblGrid>
      <w:tr w:rsidR="004535A6" w:rsidRPr="00857AB7" w:rsidTr="0049408C">
        <w:trPr>
          <w:trHeight w:val="292"/>
          <w:jc w:val="center"/>
        </w:trPr>
        <w:tc>
          <w:tcPr>
            <w:tcW w:w="3232" w:type="dxa"/>
            <w:tcBorders>
              <w:top w:val="single" w:sz="4" w:space="0" w:color="auto"/>
              <w:bottom w:val="single" w:sz="8" w:space="0" w:color="auto"/>
            </w:tcBorders>
            <w:hideMark/>
          </w:tcPr>
          <w:p w:rsidR="004535A6" w:rsidRPr="00ED2EA4" w:rsidRDefault="004535A6" w:rsidP="00F32C30">
            <w:pPr>
              <w:spacing w:line="276" w:lineRule="auto"/>
              <w:jc w:val="center"/>
              <w:rPr>
                <w:color w:val="000000" w:themeColor="text1"/>
                <w:sz w:val="22"/>
              </w:rPr>
            </w:pPr>
            <w:r w:rsidRPr="00ED2EA4">
              <w:rPr>
                <w:color w:val="000000" w:themeColor="text1"/>
                <w:sz w:val="22"/>
              </w:rPr>
              <w:t>Factor</w:t>
            </w:r>
          </w:p>
        </w:tc>
        <w:tc>
          <w:tcPr>
            <w:tcW w:w="1576" w:type="dxa"/>
            <w:tcBorders>
              <w:top w:val="single" w:sz="4" w:space="0" w:color="auto"/>
              <w:bottom w:val="single" w:sz="8" w:space="0" w:color="auto"/>
            </w:tcBorders>
          </w:tcPr>
          <w:p w:rsidR="004535A6" w:rsidRPr="00ED2EA4" w:rsidRDefault="004535A6" w:rsidP="00F32C30">
            <w:pPr>
              <w:spacing w:line="276" w:lineRule="auto"/>
              <w:jc w:val="center"/>
              <w:rPr>
                <w:color w:val="000000" w:themeColor="text1"/>
                <w:sz w:val="22"/>
              </w:rPr>
            </w:pPr>
            <w:r w:rsidRPr="00ED2EA4">
              <w:rPr>
                <w:color w:val="000000" w:themeColor="text1"/>
                <w:sz w:val="22"/>
              </w:rPr>
              <w:t>Code</w:t>
            </w:r>
          </w:p>
        </w:tc>
        <w:tc>
          <w:tcPr>
            <w:tcW w:w="0" w:type="auto"/>
            <w:gridSpan w:val="3"/>
            <w:tcBorders>
              <w:top w:val="single" w:sz="4" w:space="0" w:color="auto"/>
              <w:bottom w:val="single" w:sz="8" w:space="0" w:color="auto"/>
            </w:tcBorders>
          </w:tcPr>
          <w:p w:rsidR="004535A6" w:rsidRPr="00ED2EA4" w:rsidRDefault="004535A6" w:rsidP="00F32C30">
            <w:pPr>
              <w:spacing w:line="276" w:lineRule="auto"/>
              <w:jc w:val="center"/>
              <w:rPr>
                <w:color w:val="000000" w:themeColor="text1"/>
                <w:sz w:val="22"/>
              </w:rPr>
            </w:pPr>
            <w:r w:rsidRPr="00ED2EA4">
              <w:rPr>
                <w:color w:val="000000" w:themeColor="text1"/>
                <w:sz w:val="22"/>
              </w:rPr>
              <w:t>Levels</w:t>
            </w:r>
          </w:p>
        </w:tc>
      </w:tr>
      <w:tr w:rsidR="004535A6" w:rsidRPr="00857AB7" w:rsidTr="000A2167">
        <w:trPr>
          <w:trHeight w:val="270"/>
          <w:jc w:val="center"/>
        </w:trPr>
        <w:tc>
          <w:tcPr>
            <w:tcW w:w="4808" w:type="dxa"/>
            <w:gridSpan w:val="2"/>
            <w:tcBorders>
              <w:top w:val="single" w:sz="8" w:space="0" w:color="auto"/>
              <w:bottom w:val="single" w:sz="8" w:space="0" w:color="auto"/>
            </w:tcBorders>
            <w:hideMark/>
          </w:tcPr>
          <w:p w:rsidR="004535A6" w:rsidRPr="00ED2EA4" w:rsidRDefault="004535A6" w:rsidP="00F32C30">
            <w:pPr>
              <w:spacing w:line="276" w:lineRule="auto"/>
              <w:jc w:val="center"/>
              <w:rPr>
                <w:color w:val="000000" w:themeColor="text1"/>
                <w:sz w:val="22"/>
              </w:rPr>
            </w:pPr>
          </w:p>
        </w:tc>
        <w:tc>
          <w:tcPr>
            <w:tcW w:w="0" w:type="auto"/>
            <w:tcBorders>
              <w:top w:val="single" w:sz="8" w:space="0" w:color="auto"/>
              <w:bottom w:val="single" w:sz="8" w:space="0" w:color="auto"/>
            </w:tcBorders>
          </w:tcPr>
          <w:p w:rsidR="004535A6" w:rsidRPr="00ED2EA4" w:rsidRDefault="004535A6" w:rsidP="00F32C30">
            <w:pPr>
              <w:spacing w:line="276" w:lineRule="auto"/>
              <w:jc w:val="center"/>
              <w:rPr>
                <w:color w:val="000000" w:themeColor="text1"/>
                <w:sz w:val="22"/>
              </w:rPr>
            </w:pPr>
            <w:r w:rsidRPr="00ED2EA4">
              <w:rPr>
                <w:color w:val="000000" w:themeColor="text1"/>
                <w:sz w:val="22"/>
              </w:rPr>
              <w:t>-1</w:t>
            </w:r>
          </w:p>
        </w:tc>
        <w:tc>
          <w:tcPr>
            <w:tcW w:w="0" w:type="auto"/>
            <w:tcBorders>
              <w:top w:val="single" w:sz="8" w:space="0" w:color="auto"/>
              <w:bottom w:val="single" w:sz="8" w:space="0" w:color="auto"/>
            </w:tcBorders>
          </w:tcPr>
          <w:p w:rsidR="004535A6" w:rsidRPr="00ED2EA4" w:rsidRDefault="004535A6" w:rsidP="00F32C30">
            <w:pPr>
              <w:spacing w:line="276" w:lineRule="auto"/>
              <w:jc w:val="center"/>
              <w:rPr>
                <w:color w:val="000000" w:themeColor="text1"/>
                <w:sz w:val="22"/>
              </w:rPr>
            </w:pPr>
            <w:r w:rsidRPr="00ED2EA4">
              <w:rPr>
                <w:color w:val="000000" w:themeColor="text1"/>
                <w:sz w:val="22"/>
              </w:rPr>
              <w:t>0</w:t>
            </w:r>
          </w:p>
        </w:tc>
        <w:tc>
          <w:tcPr>
            <w:tcW w:w="0" w:type="auto"/>
            <w:tcBorders>
              <w:top w:val="single" w:sz="8" w:space="0" w:color="auto"/>
              <w:bottom w:val="single" w:sz="8" w:space="0" w:color="auto"/>
            </w:tcBorders>
          </w:tcPr>
          <w:p w:rsidR="004535A6" w:rsidRPr="00ED2EA4" w:rsidRDefault="004535A6" w:rsidP="00F32C30">
            <w:pPr>
              <w:spacing w:line="276" w:lineRule="auto"/>
              <w:jc w:val="center"/>
              <w:rPr>
                <w:color w:val="000000" w:themeColor="text1"/>
                <w:sz w:val="22"/>
              </w:rPr>
            </w:pPr>
            <w:r w:rsidRPr="00ED2EA4">
              <w:rPr>
                <w:color w:val="000000" w:themeColor="text1"/>
                <w:sz w:val="22"/>
              </w:rPr>
              <w:t>+1</w:t>
            </w:r>
          </w:p>
        </w:tc>
      </w:tr>
      <w:tr w:rsidR="004535A6" w:rsidRPr="00857AB7" w:rsidTr="000A2167">
        <w:trPr>
          <w:trHeight w:val="247"/>
          <w:jc w:val="center"/>
        </w:trPr>
        <w:tc>
          <w:tcPr>
            <w:tcW w:w="3232" w:type="dxa"/>
            <w:tcBorders>
              <w:top w:val="single" w:sz="8" w:space="0" w:color="auto"/>
            </w:tcBorders>
            <w:hideMark/>
          </w:tcPr>
          <w:p w:rsidR="004535A6" w:rsidRPr="00857AB7" w:rsidRDefault="004535A6" w:rsidP="00F32C30">
            <w:pPr>
              <w:spacing w:line="276" w:lineRule="auto"/>
              <w:jc w:val="center"/>
              <w:rPr>
                <w:color w:val="000000" w:themeColor="text1"/>
                <w:sz w:val="22"/>
              </w:rPr>
            </w:pPr>
            <w:r w:rsidRPr="00857AB7">
              <w:rPr>
                <w:color w:val="000000" w:themeColor="text1"/>
                <w:sz w:val="22"/>
              </w:rPr>
              <w:t>Temperature (</w:t>
            </w:r>
            <w:r w:rsidRPr="00857AB7">
              <w:rPr>
                <w:color w:val="000000" w:themeColor="text1"/>
                <w:sz w:val="22"/>
                <w:vertAlign w:val="superscript"/>
              </w:rPr>
              <w:t>o</w:t>
            </w:r>
            <w:r w:rsidRPr="00857AB7">
              <w:rPr>
                <w:color w:val="000000" w:themeColor="text1"/>
                <w:sz w:val="22"/>
              </w:rPr>
              <w:t>C)</w:t>
            </w:r>
          </w:p>
        </w:tc>
        <w:tc>
          <w:tcPr>
            <w:tcW w:w="1576" w:type="dxa"/>
            <w:tcBorders>
              <w:top w:val="single" w:sz="8" w:space="0" w:color="auto"/>
            </w:tcBorders>
          </w:tcPr>
          <w:p w:rsidR="004535A6" w:rsidRPr="00857AB7" w:rsidRDefault="004535A6" w:rsidP="00F32C30">
            <w:pPr>
              <w:spacing w:line="276" w:lineRule="auto"/>
              <w:jc w:val="center"/>
              <w:rPr>
                <w:color w:val="000000" w:themeColor="text1"/>
                <w:sz w:val="22"/>
              </w:rPr>
            </w:pPr>
            <w:r w:rsidRPr="00857AB7">
              <w:rPr>
                <w:color w:val="000000" w:themeColor="text1"/>
                <w:sz w:val="22"/>
              </w:rPr>
              <w:t>A</w:t>
            </w:r>
          </w:p>
        </w:tc>
        <w:tc>
          <w:tcPr>
            <w:tcW w:w="0" w:type="auto"/>
            <w:tcBorders>
              <w:top w:val="single" w:sz="8" w:space="0" w:color="auto"/>
            </w:tcBorders>
          </w:tcPr>
          <w:p w:rsidR="004535A6" w:rsidRPr="00857AB7" w:rsidRDefault="004535A6" w:rsidP="00F32C30">
            <w:pPr>
              <w:spacing w:line="276" w:lineRule="auto"/>
              <w:jc w:val="center"/>
              <w:rPr>
                <w:color w:val="000000" w:themeColor="text1"/>
                <w:sz w:val="22"/>
              </w:rPr>
            </w:pPr>
            <w:r>
              <w:rPr>
                <w:color w:val="000000" w:themeColor="text1"/>
                <w:sz w:val="22"/>
              </w:rPr>
              <w:t>100</w:t>
            </w:r>
          </w:p>
        </w:tc>
        <w:tc>
          <w:tcPr>
            <w:tcW w:w="0" w:type="auto"/>
            <w:tcBorders>
              <w:top w:val="single" w:sz="8" w:space="0" w:color="auto"/>
            </w:tcBorders>
            <w:hideMark/>
          </w:tcPr>
          <w:p w:rsidR="004535A6" w:rsidRPr="00857AB7" w:rsidRDefault="004535A6" w:rsidP="00F32C30">
            <w:pPr>
              <w:spacing w:line="276" w:lineRule="auto"/>
              <w:jc w:val="center"/>
              <w:rPr>
                <w:color w:val="000000" w:themeColor="text1"/>
                <w:sz w:val="22"/>
              </w:rPr>
            </w:pPr>
            <w:r>
              <w:rPr>
                <w:color w:val="000000" w:themeColor="text1"/>
                <w:sz w:val="22"/>
              </w:rPr>
              <w:t>135</w:t>
            </w:r>
          </w:p>
        </w:tc>
        <w:tc>
          <w:tcPr>
            <w:tcW w:w="0" w:type="auto"/>
            <w:tcBorders>
              <w:top w:val="single" w:sz="8" w:space="0" w:color="auto"/>
            </w:tcBorders>
          </w:tcPr>
          <w:p w:rsidR="004535A6" w:rsidRPr="00857AB7" w:rsidRDefault="004535A6" w:rsidP="00F32C30">
            <w:pPr>
              <w:spacing w:line="276" w:lineRule="auto"/>
              <w:jc w:val="center"/>
              <w:rPr>
                <w:color w:val="000000" w:themeColor="text1"/>
                <w:sz w:val="22"/>
              </w:rPr>
            </w:pPr>
            <w:r>
              <w:rPr>
                <w:color w:val="000000" w:themeColor="text1"/>
                <w:sz w:val="22"/>
              </w:rPr>
              <w:t>170</w:t>
            </w:r>
          </w:p>
        </w:tc>
      </w:tr>
      <w:tr w:rsidR="004535A6" w:rsidRPr="00857AB7" w:rsidTr="000A2167">
        <w:trPr>
          <w:trHeight w:val="233"/>
          <w:jc w:val="center"/>
        </w:trPr>
        <w:tc>
          <w:tcPr>
            <w:tcW w:w="3232" w:type="dxa"/>
          </w:tcPr>
          <w:p w:rsidR="004535A6" w:rsidRPr="00857AB7" w:rsidRDefault="004535A6" w:rsidP="00F32C30">
            <w:pPr>
              <w:spacing w:line="276" w:lineRule="auto"/>
              <w:jc w:val="center"/>
              <w:rPr>
                <w:color w:val="000000" w:themeColor="text1"/>
                <w:sz w:val="22"/>
              </w:rPr>
            </w:pPr>
            <w:r w:rsidRPr="00857AB7">
              <w:rPr>
                <w:color w:val="000000" w:themeColor="text1"/>
                <w:sz w:val="22"/>
              </w:rPr>
              <w:t>Pressure (bar)</w:t>
            </w:r>
          </w:p>
        </w:tc>
        <w:tc>
          <w:tcPr>
            <w:tcW w:w="1576" w:type="dxa"/>
          </w:tcPr>
          <w:p w:rsidR="004535A6" w:rsidRPr="00857AB7" w:rsidRDefault="004535A6" w:rsidP="00F32C30">
            <w:pPr>
              <w:spacing w:line="276" w:lineRule="auto"/>
              <w:jc w:val="center"/>
              <w:rPr>
                <w:color w:val="000000" w:themeColor="text1"/>
                <w:sz w:val="22"/>
                <w:vertAlign w:val="subscript"/>
              </w:rPr>
            </w:pPr>
            <w:r w:rsidRPr="00857AB7">
              <w:rPr>
                <w:color w:val="000000" w:themeColor="text1"/>
                <w:sz w:val="22"/>
              </w:rPr>
              <w:t>B</w:t>
            </w:r>
          </w:p>
        </w:tc>
        <w:tc>
          <w:tcPr>
            <w:tcW w:w="0" w:type="auto"/>
          </w:tcPr>
          <w:p w:rsidR="004535A6" w:rsidRPr="00857AB7" w:rsidRDefault="004535A6" w:rsidP="00F32C30">
            <w:pPr>
              <w:spacing w:line="276" w:lineRule="auto"/>
              <w:jc w:val="center"/>
              <w:rPr>
                <w:color w:val="000000" w:themeColor="text1"/>
                <w:sz w:val="22"/>
              </w:rPr>
            </w:pPr>
            <w:r>
              <w:rPr>
                <w:color w:val="000000" w:themeColor="text1"/>
                <w:sz w:val="22"/>
              </w:rPr>
              <w:t>60</w:t>
            </w:r>
          </w:p>
        </w:tc>
        <w:tc>
          <w:tcPr>
            <w:tcW w:w="0" w:type="auto"/>
            <w:hideMark/>
          </w:tcPr>
          <w:p w:rsidR="004535A6" w:rsidRPr="00857AB7" w:rsidRDefault="004535A6" w:rsidP="00F32C30">
            <w:pPr>
              <w:spacing w:line="276" w:lineRule="auto"/>
              <w:jc w:val="center"/>
              <w:rPr>
                <w:color w:val="000000" w:themeColor="text1"/>
                <w:sz w:val="22"/>
              </w:rPr>
            </w:pPr>
            <w:r>
              <w:rPr>
                <w:color w:val="000000" w:themeColor="text1"/>
                <w:sz w:val="22"/>
              </w:rPr>
              <w:t>75</w:t>
            </w:r>
          </w:p>
        </w:tc>
        <w:tc>
          <w:tcPr>
            <w:tcW w:w="0" w:type="auto"/>
          </w:tcPr>
          <w:p w:rsidR="004535A6" w:rsidRPr="00857AB7" w:rsidRDefault="004535A6" w:rsidP="00F32C30">
            <w:pPr>
              <w:spacing w:line="276" w:lineRule="auto"/>
              <w:jc w:val="center"/>
              <w:rPr>
                <w:color w:val="000000" w:themeColor="text1"/>
                <w:sz w:val="22"/>
              </w:rPr>
            </w:pPr>
            <w:r>
              <w:rPr>
                <w:color w:val="000000" w:themeColor="text1"/>
                <w:sz w:val="22"/>
              </w:rPr>
              <w:t>90</w:t>
            </w:r>
          </w:p>
        </w:tc>
      </w:tr>
      <w:tr w:rsidR="004535A6" w:rsidRPr="00857AB7" w:rsidTr="000A2167">
        <w:trPr>
          <w:trHeight w:val="233"/>
          <w:jc w:val="center"/>
        </w:trPr>
        <w:tc>
          <w:tcPr>
            <w:tcW w:w="3232" w:type="dxa"/>
          </w:tcPr>
          <w:p w:rsidR="004535A6" w:rsidRPr="00857AB7" w:rsidRDefault="004535A6" w:rsidP="00F32C30">
            <w:pPr>
              <w:spacing w:line="276" w:lineRule="auto"/>
              <w:jc w:val="center"/>
              <w:rPr>
                <w:color w:val="000000" w:themeColor="text1"/>
                <w:sz w:val="22"/>
              </w:rPr>
            </w:pPr>
            <w:r>
              <w:rPr>
                <w:color w:val="000000" w:themeColor="text1"/>
                <w:sz w:val="22"/>
              </w:rPr>
              <w:t>Catalyst loading (w/w)</w:t>
            </w:r>
          </w:p>
        </w:tc>
        <w:tc>
          <w:tcPr>
            <w:tcW w:w="1576" w:type="dxa"/>
          </w:tcPr>
          <w:p w:rsidR="004535A6" w:rsidRPr="00857AB7" w:rsidRDefault="004535A6" w:rsidP="00F32C30">
            <w:pPr>
              <w:spacing w:line="276" w:lineRule="auto"/>
              <w:jc w:val="center"/>
              <w:rPr>
                <w:color w:val="000000" w:themeColor="text1"/>
                <w:sz w:val="22"/>
                <w:vertAlign w:val="subscript"/>
              </w:rPr>
            </w:pPr>
            <w:r w:rsidRPr="00857AB7">
              <w:rPr>
                <w:color w:val="000000" w:themeColor="text1"/>
                <w:sz w:val="22"/>
              </w:rPr>
              <w:t>C</w:t>
            </w:r>
          </w:p>
        </w:tc>
        <w:tc>
          <w:tcPr>
            <w:tcW w:w="0" w:type="auto"/>
          </w:tcPr>
          <w:p w:rsidR="004535A6" w:rsidRPr="00857AB7" w:rsidRDefault="004535A6" w:rsidP="00F32C30">
            <w:pPr>
              <w:spacing w:line="276" w:lineRule="auto"/>
              <w:jc w:val="center"/>
              <w:rPr>
                <w:color w:val="000000" w:themeColor="text1"/>
                <w:sz w:val="22"/>
              </w:rPr>
            </w:pPr>
            <w:r>
              <w:rPr>
                <w:color w:val="000000" w:themeColor="text1"/>
                <w:sz w:val="22"/>
              </w:rPr>
              <w:t>5</w:t>
            </w:r>
          </w:p>
        </w:tc>
        <w:tc>
          <w:tcPr>
            <w:tcW w:w="0" w:type="auto"/>
            <w:hideMark/>
          </w:tcPr>
          <w:p w:rsidR="004535A6" w:rsidRPr="00857AB7" w:rsidRDefault="004535A6" w:rsidP="00F32C30">
            <w:pPr>
              <w:spacing w:line="276" w:lineRule="auto"/>
              <w:jc w:val="center"/>
              <w:rPr>
                <w:color w:val="000000" w:themeColor="text1"/>
                <w:sz w:val="22"/>
              </w:rPr>
            </w:pPr>
            <w:r>
              <w:rPr>
                <w:color w:val="000000" w:themeColor="text1"/>
                <w:sz w:val="22"/>
              </w:rPr>
              <w:t>10</w:t>
            </w:r>
          </w:p>
        </w:tc>
        <w:tc>
          <w:tcPr>
            <w:tcW w:w="0" w:type="auto"/>
          </w:tcPr>
          <w:p w:rsidR="004535A6" w:rsidRPr="00857AB7" w:rsidRDefault="004535A6" w:rsidP="00F32C30">
            <w:pPr>
              <w:spacing w:line="276" w:lineRule="auto"/>
              <w:jc w:val="center"/>
              <w:rPr>
                <w:color w:val="000000" w:themeColor="text1"/>
                <w:sz w:val="22"/>
              </w:rPr>
            </w:pPr>
            <w:r>
              <w:rPr>
                <w:color w:val="000000" w:themeColor="text1"/>
                <w:sz w:val="22"/>
              </w:rPr>
              <w:t>15</w:t>
            </w:r>
          </w:p>
        </w:tc>
      </w:tr>
      <w:tr w:rsidR="004535A6" w:rsidRPr="00857AB7" w:rsidTr="000A2167">
        <w:trPr>
          <w:trHeight w:val="72"/>
          <w:jc w:val="center"/>
        </w:trPr>
        <w:tc>
          <w:tcPr>
            <w:tcW w:w="3232" w:type="dxa"/>
            <w:tcBorders>
              <w:bottom w:val="single" w:sz="8" w:space="0" w:color="auto"/>
            </w:tcBorders>
            <w:hideMark/>
          </w:tcPr>
          <w:p w:rsidR="004535A6" w:rsidRPr="00857AB7" w:rsidRDefault="004535A6" w:rsidP="00F32C30">
            <w:pPr>
              <w:spacing w:line="276" w:lineRule="auto"/>
              <w:jc w:val="center"/>
              <w:rPr>
                <w:color w:val="000000" w:themeColor="text1"/>
                <w:sz w:val="22"/>
              </w:rPr>
            </w:pPr>
            <w:r>
              <w:rPr>
                <w:color w:val="000000" w:themeColor="text1"/>
                <w:sz w:val="22"/>
              </w:rPr>
              <w:t>Time (h</w:t>
            </w:r>
            <w:r w:rsidRPr="00857AB7">
              <w:rPr>
                <w:color w:val="000000" w:themeColor="text1"/>
                <w:sz w:val="22"/>
              </w:rPr>
              <w:t>)</w:t>
            </w:r>
          </w:p>
        </w:tc>
        <w:tc>
          <w:tcPr>
            <w:tcW w:w="1576" w:type="dxa"/>
            <w:tcBorders>
              <w:bottom w:val="single" w:sz="8" w:space="0" w:color="auto"/>
            </w:tcBorders>
          </w:tcPr>
          <w:p w:rsidR="004535A6" w:rsidRPr="00857AB7" w:rsidRDefault="004535A6" w:rsidP="00F32C30">
            <w:pPr>
              <w:spacing w:line="276" w:lineRule="auto"/>
              <w:jc w:val="center"/>
              <w:rPr>
                <w:color w:val="000000" w:themeColor="text1"/>
                <w:sz w:val="22"/>
                <w:vertAlign w:val="subscript"/>
              </w:rPr>
            </w:pPr>
            <w:r w:rsidRPr="00857AB7">
              <w:rPr>
                <w:color w:val="000000" w:themeColor="text1"/>
                <w:sz w:val="22"/>
              </w:rPr>
              <w:t>D</w:t>
            </w:r>
          </w:p>
        </w:tc>
        <w:tc>
          <w:tcPr>
            <w:tcW w:w="0" w:type="auto"/>
            <w:tcBorders>
              <w:bottom w:val="single" w:sz="8" w:space="0" w:color="auto"/>
            </w:tcBorders>
          </w:tcPr>
          <w:p w:rsidR="004535A6" w:rsidRPr="00857AB7" w:rsidRDefault="004535A6" w:rsidP="00F32C30">
            <w:pPr>
              <w:spacing w:line="276" w:lineRule="auto"/>
              <w:jc w:val="center"/>
              <w:rPr>
                <w:color w:val="000000" w:themeColor="text1"/>
                <w:sz w:val="22"/>
              </w:rPr>
            </w:pPr>
            <w:r>
              <w:rPr>
                <w:color w:val="000000" w:themeColor="text1"/>
                <w:sz w:val="22"/>
              </w:rPr>
              <w:t>16</w:t>
            </w:r>
          </w:p>
        </w:tc>
        <w:tc>
          <w:tcPr>
            <w:tcW w:w="0" w:type="auto"/>
            <w:tcBorders>
              <w:bottom w:val="single" w:sz="8" w:space="0" w:color="auto"/>
            </w:tcBorders>
            <w:hideMark/>
          </w:tcPr>
          <w:p w:rsidR="004535A6" w:rsidRPr="00857AB7" w:rsidRDefault="004535A6" w:rsidP="00F32C30">
            <w:pPr>
              <w:spacing w:line="276" w:lineRule="auto"/>
              <w:jc w:val="center"/>
              <w:rPr>
                <w:color w:val="000000" w:themeColor="text1"/>
                <w:sz w:val="22"/>
              </w:rPr>
            </w:pPr>
            <w:r>
              <w:rPr>
                <w:color w:val="000000" w:themeColor="text1"/>
                <w:sz w:val="22"/>
              </w:rPr>
              <w:t>20</w:t>
            </w:r>
          </w:p>
        </w:tc>
        <w:tc>
          <w:tcPr>
            <w:tcW w:w="0" w:type="auto"/>
            <w:tcBorders>
              <w:bottom w:val="single" w:sz="8" w:space="0" w:color="auto"/>
            </w:tcBorders>
          </w:tcPr>
          <w:p w:rsidR="004535A6" w:rsidRPr="00857AB7" w:rsidRDefault="004535A6" w:rsidP="00F32C30">
            <w:pPr>
              <w:spacing w:line="276" w:lineRule="auto"/>
              <w:jc w:val="center"/>
              <w:rPr>
                <w:color w:val="000000" w:themeColor="text1"/>
                <w:sz w:val="22"/>
              </w:rPr>
            </w:pPr>
            <w:r>
              <w:rPr>
                <w:color w:val="000000" w:themeColor="text1"/>
                <w:sz w:val="22"/>
              </w:rPr>
              <w:t>24</w:t>
            </w:r>
          </w:p>
        </w:tc>
      </w:tr>
    </w:tbl>
    <w:p w:rsidR="00FA0195" w:rsidRDefault="00FA0195" w:rsidP="00AB0336">
      <w:pPr>
        <w:pStyle w:val="TAMainText"/>
        <w:spacing w:line="360" w:lineRule="auto"/>
        <w:ind w:firstLine="0"/>
        <w:contextualSpacing/>
        <w:rPr>
          <w:rFonts w:asciiTheme="majorBidi" w:hAnsiTheme="majorBidi" w:cstheme="majorBidi"/>
          <w:color w:val="000000" w:themeColor="text1"/>
          <w:szCs w:val="24"/>
        </w:rPr>
      </w:pPr>
    </w:p>
    <w:p w:rsidR="00FA0195" w:rsidRDefault="00C83256">
      <w:pPr>
        <w:pStyle w:val="TAMainText"/>
        <w:spacing w:line="360" w:lineRule="auto"/>
        <w:ind w:firstLine="0"/>
        <w:contextualSpacing/>
        <w:rPr>
          <w:rFonts w:ascii="Times New Roman" w:hAnsi="Times New Roman"/>
          <w:color w:val="000000" w:themeColor="text1"/>
        </w:rPr>
      </w:pPr>
      <w:r w:rsidRPr="00AB0336">
        <w:rPr>
          <w:rFonts w:asciiTheme="majorBidi" w:hAnsiTheme="majorBidi" w:cstheme="majorBidi"/>
          <w:color w:val="000000" w:themeColor="text1"/>
          <w:szCs w:val="24"/>
        </w:rPr>
        <w:t xml:space="preserve">Twenty-nine runs </w:t>
      </w:r>
      <w:r w:rsidR="00E41542">
        <w:rPr>
          <w:rFonts w:asciiTheme="majorBidi" w:hAnsiTheme="majorBidi" w:cstheme="majorBidi"/>
          <w:color w:val="000000" w:themeColor="text1"/>
          <w:szCs w:val="24"/>
        </w:rPr>
        <w:t>were</w:t>
      </w:r>
      <w:r w:rsidRPr="00AB0336">
        <w:rPr>
          <w:rFonts w:asciiTheme="majorBidi" w:hAnsiTheme="majorBidi" w:cstheme="majorBidi"/>
          <w:color w:val="000000" w:themeColor="text1"/>
          <w:szCs w:val="24"/>
        </w:rPr>
        <w:t xml:space="preserve"> performed in a </w:t>
      </w:r>
      <w:r w:rsidRPr="00AB0336">
        <w:rPr>
          <w:rFonts w:asciiTheme="majorBidi" w:hAnsiTheme="majorBidi" w:cstheme="majorBidi"/>
          <w:noProof/>
          <w:color w:val="000000" w:themeColor="text1"/>
          <w:szCs w:val="24"/>
        </w:rPr>
        <w:t>randomised</w:t>
      </w:r>
      <w:r w:rsidR="00AB0336" w:rsidRPr="00AB0336">
        <w:rPr>
          <w:rFonts w:asciiTheme="majorBidi" w:hAnsiTheme="majorBidi" w:cstheme="majorBidi"/>
          <w:noProof/>
          <w:color w:val="000000" w:themeColor="text1"/>
          <w:szCs w:val="24"/>
        </w:rPr>
        <w:t xml:space="preserve"> manner</w:t>
      </w:r>
      <w:r w:rsidRPr="00AB0336">
        <w:rPr>
          <w:rFonts w:asciiTheme="majorBidi" w:hAnsiTheme="majorBidi" w:cstheme="majorBidi"/>
          <w:color w:val="000000" w:themeColor="text1"/>
          <w:szCs w:val="24"/>
        </w:rPr>
        <w:t xml:space="preserve"> </w:t>
      </w:r>
      <w:r w:rsidR="0065449C" w:rsidRPr="00AB0336">
        <w:rPr>
          <w:rFonts w:ascii="Times New Roman" w:hAnsi="Times New Roman"/>
          <w:color w:val="000000" w:themeColor="text1"/>
        </w:rPr>
        <w:t xml:space="preserve">to </w:t>
      </w:r>
      <w:r w:rsidR="0065449C" w:rsidRPr="00AB0336">
        <w:rPr>
          <w:rFonts w:ascii="Times New Roman" w:hAnsi="Times New Roman"/>
          <w:noProof/>
          <w:color w:val="000000" w:themeColor="text1"/>
        </w:rPr>
        <w:t>minimise</w:t>
      </w:r>
      <w:r w:rsidR="0065449C" w:rsidRPr="00AB0336">
        <w:rPr>
          <w:rFonts w:ascii="Times New Roman" w:hAnsi="Times New Roman"/>
          <w:color w:val="000000" w:themeColor="text1"/>
        </w:rPr>
        <w:t xml:space="preserve"> the effect of unexplained inconsistency in the responses </w:t>
      </w:r>
      <w:r w:rsidR="0065449C" w:rsidRPr="00AB0336">
        <w:rPr>
          <w:color w:val="000000" w:themeColor="text1"/>
        </w:rPr>
        <w:fldChar w:fldCharType="begin" w:fldLock="1"/>
      </w:r>
      <w:r w:rsidR="00CB10A7">
        <w:rPr>
          <w:rFonts w:ascii="Times New Roman" w:hAnsi="Times New Roman"/>
          <w:color w:val="000000" w:themeColor="text1"/>
        </w:rPr>
        <w:instrText>ADDIN CSL_CITATION {"citationItems":[{"id":"ITEM-1","itemData":{"DOI":"10.1016/j.biortech.2013.02.078","ISSN":"09608524","abstract":"The synthesis of fatty acid ethyl esters (FAEEs) by a two-step in situ (reactive) esterification/transesterification from Jatropha curcas L. (JCL) seeds using microwave system has been investigated. Free fatty acid was reduced from 14% to less than 1% in the first step using H2SO4 as acid catalyst after 35min of microwave irradiation heating. The organic phase in the first step was subjected to a second reaction by adding 5N KOH in ethanol as the basic catalyst. Response surface methodology (RSM) based on central composite design (CCD) was utilized to design the experiments and analyze the influence of process variables (particles seed size, time of irradiation, agitation speed and catalyst loading) on conversion of triglycerides (TGs) in the second step. The highest triglycerides conversion to fatty acid ethyl esters (FAEEs) was 97.29% at the optimum conditions:&lt;0.5mm seed size, 12.21min irradiation time, 8.15ml KOH catalyst loading and 331.52rpm agitation speed in the 110W microwave power system.","author":[{"dropping-particle":"","family":"Jaliliannosrati","given":"Hamidreza","non-dropping-particle":"","parse-names":false,"suffix":""},{"dropping-particle":"","family":"Amin","given":"Nor Aishah Saidina","non-dropping-particle":"","parse-names":false,"suffix":""},{"dropping-particle":"","family":"Talebian-Kiakalaieh","given":"Amin","non-dropping-particle":"","parse-names":false,"suffix":""},{"dropping-particle":"","family":"Noshadi","given":"Iman","non-dropping-particle":"","parse-names":false,"suffix":""}],"container-title":"Bioresource Technology","id":"ITEM-1","issued":{"date-parts":[["2013"]]},"page":"565-573","title":"Microwave assisted biodiesel production from Jatropha curcas L. seed by two-step in situ process: Optimization using response surface methodology","type":"article-journal","volume":"136"},"uris":["http://www.mendeley.com/documents/?uuid=c4a7ef17-26fb-3fb4-96f2-2b4926b25f0a","http://www.mendeley.com/documents/?uuid=4cb99ab7-77c3-4841-a4e2-22ae46ca672d"]}],"mendeley":{"formattedCitation":"[26]","plainTextFormattedCitation":"[26]","previouslyFormattedCitation":"[26]"},"properties":{"noteIndex":0},"schema":"https://github.com/citation-style-language/schema/raw/master/csl-citation.json"}</w:instrText>
      </w:r>
      <w:r w:rsidR="0065449C" w:rsidRPr="00AB0336">
        <w:rPr>
          <w:color w:val="000000" w:themeColor="text1"/>
        </w:rPr>
        <w:fldChar w:fldCharType="separate"/>
      </w:r>
      <w:r w:rsidR="002D6134" w:rsidRPr="00AB0336">
        <w:rPr>
          <w:rFonts w:ascii="Times New Roman" w:hAnsi="Times New Roman"/>
          <w:noProof/>
          <w:color w:val="000000" w:themeColor="text1"/>
        </w:rPr>
        <w:t>[26]</w:t>
      </w:r>
      <w:r w:rsidR="0065449C" w:rsidRPr="00AB0336">
        <w:rPr>
          <w:color w:val="000000" w:themeColor="text1"/>
        </w:rPr>
        <w:fldChar w:fldCharType="end"/>
      </w:r>
      <w:r w:rsidR="0065449C" w:rsidRPr="00AB0336">
        <w:rPr>
          <w:rFonts w:ascii="Times New Roman" w:hAnsi="Times New Roman"/>
          <w:color w:val="000000" w:themeColor="text1"/>
        </w:rPr>
        <w:t xml:space="preserve">. The </w:t>
      </w:r>
      <w:r w:rsidR="0065449C" w:rsidRPr="00AB0336">
        <w:rPr>
          <w:rFonts w:ascii="Times New Roman" w:hAnsi="Times New Roman"/>
          <w:noProof/>
          <w:color w:val="000000" w:themeColor="text1"/>
        </w:rPr>
        <w:t>analysed</w:t>
      </w:r>
      <w:r w:rsidR="00AB0336" w:rsidRPr="00AB0336">
        <w:rPr>
          <w:rFonts w:ascii="Times New Roman" w:hAnsi="Times New Roman"/>
          <w:color w:val="000000" w:themeColor="text1"/>
        </w:rPr>
        <w:t xml:space="preserve"> reaction variables </w:t>
      </w:r>
      <w:r w:rsidR="00E41542">
        <w:rPr>
          <w:rFonts w:ascii="Times New Roman" w:hAnsi="Times New Roman"/>
          <w:color w:val="000000" w:themeColor="text1"/>
        </w:rPr>
        <w:t>were</w:t>
      </w:r>
      <w:r w:rsidR="00E41542" w:rsidRPr="00AB0336">
        <w:rPr>
          <w:rFonts w:ascii="Times New Roman" w:hAnsi="Times New Roman"/>
          <w:color w:val="000000" w:themeColor="text1"/>
        </w:rPr>
        <w:t xml:space="preserve"> </w:t>
      </w:r>
      <w:r w:rsidR="0065449C" w:rsidRPr="00AB0336">
        <w:rPr>
          <w:rFonts w:ascii="Times New Roman" w:hAnsi="Times New Roman"/>
          <w:color w:val="000000" w:themeColor="text1"/>
        </w:rPr>
        <w:t>temperature</w:t>
      </w:r>
      <w:r w:rsidRPr="00AB0336">
        <w:rPr>
          <w:rFonts w:ascii="Times New Roman" w:hAnsi="Times New Roman"/>
          <w:color w:val="000000" w:themeColor="text1"/>
        </w:rPr>
        <w:t xml:space="preserve"> (A</w:t>
      </w:r>
      <w:r w:rsidR="0065449C" w:rsidRPr="00AB0336">
        <w:rPr>
          <w:rFonts w:ascii="Times New Roman" w:hAnsi="Times New Roman"/>
          <w:color w:val="000000" w:themeColor="text1"/>
        </w:rPr>
        <w:t xml:space="preserve">, </w:t>
      </w:r>
      <w:r w:rsidR="0065449C" w:rsidRPr="00AB0336">
        <w:rPr>
          <w:rFonts w:ascii="Times New Roman" w:hAnsi="Times New Roman"/>
          <w:noProof/>
          <w:color w:val="000000" w:themeColor="text1"/>
          <w:vertAlign w:val="superscript"/>
        </w:rPr>
        <w:t>o</w:t>
      </w:r>
      <w:r w:rsidR="0065449C" w:rsidRPr="00AB0336">
        <w:rPr>
          <w:rFonts w:ascii="Times New Roman" w:hAnsi="Times New Roman"/>
          <w:noProof/>
          <w:color w:val="000000" w:themeColor="text1"/>
        </w:rPr>
        <w:t>C</w:t>
      </w:r>
      <w:r w:rsidR="0065449C" w:rsidRPr="00AB0336">
        <w:rPr>
          <w:rFonts w:ascii="Times New Roman" w:hAnsi="Times New Roman"/>
          <w:color w:val="000000" w:themeColor="text1"/>
        </w:rPr>
        <w:t>), pressure</w:t>
      </w:r>
      <w:r w:rsidRPr="00AB0336">
        <w:rPr>
          <w:rFonts w:ascii="Times New Roman" w:hAnsi="Times New Roman"/>
          <w:color w:val="000000" w:themeColor="text1"/>
        </w:rPr>
        <w:t xml:space="preserve"> (B</w:t>
      </w:r>
      <w:r w:rsidR="0065449C" w:rsidRPr="00AB0336">
        <w:rPr>
          <w:rFonts w:ascii="Times New Roman" w:hAnsi="Times New Roman"/>
          <w:color w:val="000000" w:themeColor="text1"/>
        </w:rPr>
        <w:t>, bar)</w:t>
      </w:r>
      <w:r w:rsidRPr="00AB0336">
        <w:rPr>
          <w:rFonts w:ascii="Times New Roman" w:hAnsi="Times New Roman"/>
          <w:color w:val="000000" w:themeColor="text1"/>
        </w:rPr>
        <w:t>, catalyst loading (C, w/w)</w:t>
      </w:r>
      <w:r w:rsidR="0065449C" w:rsidRPr="00AB0336">
        <w:rPr>
          <w:rFonts w:ascii="Times New Roman" w:hAnsi="Times New Roman"/>
          <w:color w:val="000000" w:themeColor="text1"/>
        </w:rPr>
        <w:t xml:space="preserve"> and time</w:t>
      </w:r>
      <w:r w:rsidRPr="00AB0336">
        <w:rPr>
          <w:rFonts w:ascii="Times New Roman" w:hAnsi="Times New Roman"/>
          <w:color w:val="000000" w:themeColor="text1"/>
        </w:rPr>
        <w:t xml:space="preserve"> (D, h</w:t>
      </w:r>
      <w:r w:rsidR="0065449C" w:rsidRPr="00AB0336">
        <w:rPr>
          <w:rFonts w:ascii="Times New Roman" w:hAnsi="Times New Roman"/>
          <w:color w:val="000000" w:themeColor="text1"/>
        </w:rPr>
        <w:t>) w</w:t>
      </w:r>
      <w:r w:rsidR="00AB0336" w:rsidRPr="00AB0336">
        <w:rPr>
          <w:rFonts w:ascii="Times New Roman" w:hAnsi="Times New Roman"/>
          <w:color w:val="000000" w:themeColor="text1"/>
        </w:rPr>
        <w:t xml:space="preserve">hile reaction responses </w:t>
      </w:r>
      <w:r w:rsidR="00E41542">
        <w:rPr>
          <w:rFonts w:ascii="Times New Roman" w:hAnsi="Times New Roman"/>
          <w:color w:val="000000" w:themeColor="text1"/>
        </w:rPr>
        <w:t>were</w:t>
      </w:r>
      <w:r w:rsidR="00E41542" w:rsidRPr="00AB0336">
        <w:rPr>
          <w:rFonts w:ascii="Times New Roman" w:hAnsi="Times New Roman"/>
          <w:color w:val="000000" w:themeColor="text1"/>
        </w:rPr>
        <w:t xml:space="preserve"> </w:t>
      </w:r>
      <w:r w:rsidR="003504A1">
        <w:rPr>
          <w:rFonts w:ascii="Times New Roman" w:hAnsi="Times New Roman"/>
          <w:color w:val="000000" w:themeColor="text1"/>
        </w:rPr>
        <w:t>BO</w:t>
      </w:r>
      <w:r w:rsidR="003504A1" w:rsidRPr="00AB0336">
        <w:rPr>
          <w:rFonts w:ascii="Times New Roman" w:hAnsi="Times New Roman"/>
          <w:color w:val="000000" w:themeColor="text1"/>
        </w:rPr>
        <w:t xml:space="preserve"> conversion</w:t>
      </w:r>
      <w:r w:rsidR="0065449C" w:rsidRPr="00AB0336">
        <w:rPr>
          <w:rFonts w:ascii="Times New Roman" w:hAnsi="Times New Roman"/>
          <w:color w:val="000000" w:themeColor="text1"/>
        </w:rPr>
        <w:t xml:space="preserve"> (Y</w:t>
      </w:r>
      <w:r w:rsidR="0065449C" w:rsidRPr="00AB0336">
        <w:rPr>
          <w:rFonts w:ascii="Times New Roman" w:hAnsi="Times New Roman"/>
          <w:color w:val="000000" w:themeColor="text1"/>
          <w:vertAlign w:val="subscript"/>
        </w:rPr>
        <w:t>1</w:t>
      </w:r>
      <w:r w:rsidRPr="00AB0336">
        <w:rPr>
          <w:rFonts w:ascii="Times New Roman" w:hAnsi="Times New Roman"/>
          <w:color w:val="000000" w:themeColor="text1"/>
        </w:rPr>
        <w:t xml:space="preserve">, </w:t>
      </w:r>
      <w:r w:rsidR="0065449C" w:rsidRPr="00AB0336">
        <w:rPr>
          <w:rFonts w:ascii="Times New Roman" w:hAnsi="Times New Roman"/>
          <w:color w:val="000000" w:themeColor="text1"/>
        </w:rPr>
        <w:t>%) and</w:t>
      </w:r>
      <w:r w:rsidR="003504A1" w:rsidRPr="003504A1">
        <w:rPr>
          <w:rFonts w:ascii="Times New Roman" w:hAnsi="Times New Roman"/>
          <w:color w:val="000000" w:themeColor="text1"/>
        </w:rPr>
        <w:t xml:space="preserve"> </w:t>
      </w:r>
      <w:r w:rsidR="003504A1">
        <w:rPr>
          <w:rFonts w:ascii="Times New Roman" w:hAnsi="Times New Roman"/>
          <w:color w:val="000000" w:themeColor="text1"/>
        </w:rPr>
        <w:t>BC</w:t>
      </w:r>
      <w:r w:rsidR="003504A1" w:rsidRPr="00AB0336">
        <w:rPr>
          <w:rFonts w:ascii="Times New Roman" w:hAnsi="Times New Roman"/>
          <w:color w:val="000000" w:themeColor="text1"/>
        </w:rPr>
        <w:t xml:space="preserve"> yield</w:t>
      </w:r>
      <w:r w:rsidR="003504A1">
        <w:rPr>
          <w:rFonts w:ascii="Times New Roman" w:hAnsi="Times New Roman"/>
          <w:color w:val="000000" w:themeColor="text1"/>
        </w:rPr>
        <w:t xml:space="preserve"> </w:t>
      </w:r>
      <w:r w:rsidR="0065449C" w:rsidRPr="00AB0336">
        <w:rPr>
          <w:rFonts w:ascii="Times New Roman" w:hAnsi="Times New Roman"/>
          <w:color w:val="000000" w:themeColor="text1"/>
        </w:rPr>
        <w:t>(Y</w:t>
      </w:r>
      <w:r w:rsidR="0065449C" w:rsidRPr="00AB0336">
        <w:rPr>
          <w:rFonts w:ascii="Times New Roman" w:hAnsi="Times New Roman"/>
          <w:color w:val="000000" w:themeColor="text1"/>
          <w:vertAlign w:val="subscript"/>
        </w:rPr>
        <w:t>2</w:t>
      </w:r>
      <w:r w:rsidR="003D4254" w:rsidRPr="00AB0336">
        <w:rPr>
          <w:rFonts w:ascii="Times New Roman" w:hAnsi="Times New Roman"/>
          <w:color w:val="000000" w:themeColor="text1"/>
        </w:rPr>
        <w:t xml:space="preserve">, </w:t>
      </w:r>
      <w:r w:rsidR="0065449C" w:rsidRPr="00AB0336">
        <w:rPr>
          <w:rFonts w:ascii="Times New Roman" w:hAnsi="Times New Roman"/>
          <w:color w:val="000000" w:themeColor="text1"/>
        </w:rPr>
        <w:t>%).</w:t>
      </w:r>
      <w:r w:rsidRPr="00AB0336">
        <w:rPr>
          <w:rFonts w:ascii="Times New Roman" w:hAnsi="Times New Roman"/>
          <w:color w:val="000000" w:themeColor="text1"/>
        </w:rPr>
        <w:t xml:space="preserve"> The results of the experimental runs </w:t>
      </w:r>
      <w:r w:rsidR="00E41542">
        <w:rPr>
          <w:rFonts w:ascii="Times New Roman" w:hAnsi="Times New Roman"/>
          <w:color w:val="000000" w:themeColor="text1"/>
        </w:rPr>
        <w:t>were</w:t>
      </w:r>
      <w:r w:rsidRPr="00AB0336">
        <w:rPr>
          <w:rFonts w:ascii="Times New Roman" w:hAnsi="Times New Roman"/>
          <w:color w:val="000000" w:themeColor="text1"/>
        </w:rPr>
        <w:t xml:space="preserve"> reported in an uncertai</w:t>
      </w:r>
      <w:r w:rsidR="006213A6" w:rsidRPr="00AB0336">
        <w:rPr>
          <w:rFonts w:ascii="Times New Roman" w:hAnsi="Times New Roman"/>
          <w:color w:val="000000" w:themeColor="text1"/>
        </w:rPr>
        <w:t>nty matrix as shown in Table 3</w:t>
      </w:r>
      <w:r w:rsidR="00F32C30" w:rsidRPr="00AB0336">
        <w:rPr>
          <w:rFonts w:ascii="Times New Roman" w:hAnsi="Times New Roman"/>
          <w:color w:val="000000" w:themeColor="text1"/>
        </w:rPr>
        <w:t>.</w:t>
      </w:r>
      <w:bookmarkStart w:id="3" w:name="OLE_LINK6"/>
    </w:p>
    <w:p w:rsidR="00C83256" w:rsidRPr="00A7055F" w:rsidRDefault="00AB0336">
      <w:pPr>
        <w:pStyle w:val="TAMainText"/>
        <w:spacing w:line="360" w:lineRule="auto"/>
        <w:ind w:firstLine="0"/>
        <w:contextualSpacing/>
        <w:rPr>
          <w:b/>
        </w:rPr>
      </w:pPr>
      <w:r>
        <w:rPr>
          <w:rFonts w:ascii="Times New Roman" w:hAnsi="Times New Roman"/>
          <w:color w:val="000000" w:themeColor="text1"/>
        </w:rPr>
        <w:br w:type="page"/>
      </w:r>
      <w:bookmarkStart w:id="4" w:name="_Toc528474723"/>
      <w:r w:rsidRPr="00B908E2">
        <w:rPr>
          <w:rFonts w:ascii="Times New Roman" w:hAnsi="Times New Roman"/>
          <w:b/>
          <w:color w:val="000000" w:themeColor="text1"/>
        </w:rPr>
        <w:lastRenderedPageBreak/>
        <w:t>T</w:t>
      </w:r>
      <w:r w:rsidR="00A7055F" w:rsidRPr="00B908E2">
        <w:rPr>
          <w:b/>
        </w:rPr>
        <w:t xml:space="preserve">able </w:t>
      </w:r>
      <w:r w:rsidR="00A15295" w:rsidRPr="00B908E2">
        <w:rPr>
          <w:b/>
          <w:noProof/>
        </w:rPr>
        <w:fldChar w:fldCharType="begin"/>
      </w:r>
      <w:r w:rsidR="00A15295" w:rsidRPr="00B908E2">
        <w:rPr>
          <w:b/>
          <w:noProof/>
        </w:rPr>
        <w:instrText xml:space="preserve"> SEQ Table \* ARABIC </w:instrText>
      </w:r>
      <w:r w:rsidR="00A15295" w:rsidRPr="00B908E2">
        <w:rPr>
          <w:b/>
          <w:noProof/>
        </w:rPr>
        <w:fldChar w:fldCharType="separate"/>
      </w:r>
      <w:r w:rsidR="004A2E92">
        <w:rPr>
          <w:b/>
          <w:noProof/>
        </w:rPr>
        <w:t>3</w:t>
      </w:r>
      <w:r w:rsidR="00A15295" w:rsidRPr="00B908E2">
        <w:rPr>
          <w:b/>
          <w:noProof/>
        </w:rPr>
        <w:fldChar w:fldCharType="end"/>
      </w:r>
      <w:r w:rsidR="00C83256" w:rsidRPr="00A7055F">
        <w:t>.</w:t>
      </w:r>
      <w:r w:rsidR="00C83256" w:rsidRPr="00A7055F">
        <w:rPr>
          <w:b/>
        </w:rPr>
        <w:t xml:space="preserve"> </w:t>
      </w:r>
      <w:r w:rsidR="00C83256" w:rsidRPr="00B908E2">
        <w:t xml:space="preserve">Experimental design matrix with the actual and predicted </w:t>
      </w:r>
      <w:r w:rsidR="00593051" w:rsidRPr="00B908E2">
        <w:t>responses</w:t>
      </w:r>
      <w:bookmarkEnd w:id="4"/>
    </w:p>
    <w:tbl>
      <w:tblPr>
        <w:tblStyle w:val="TableGrid"/>
        <w:tblpPr w:leftFromText="180" w:rightFromText="180" w:vertAnchor="page" w:horzAnchor="margin" w:tblpXSpec="center" w:tblpY="2128"/>
        <w:tblW w:w="103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0"/>
        <w:gridCol w:w="1340"/>
        <w:gridCol w:w="982"/>
        <w:gridCol w:w="1519"/>
        <w:gridCol w:w="1072"/>
        <w:gridCol w:w="1250"/>
        <w:gridCol w:w="1429"/>
        <w:gridCol w:w="1072"/>
        <w:gridCol w:w="1093"/>
      </w:tblGrid>
      <w:tr w:rsidR="00F32C30" w:rsidRPr="002D7DA8" w:rsidTr="00942D80">
        <w:trPr>
          <w:trHeight w:val="373"/>
        </w:trPr>
        <w:tc>
          <w:tcPr>
            <w:tcW w:w="620" w:type="dxa"/>
            <w:tcBorders>
              <w:top w:val="single" w:sz="4" w:space="0" w:color="auto"/>
              <w:bottom w:val="single" w:sz="8" w:space="0" w:color="auto"/>
            </w:tcBorders>
            <w:noWrap/>
            <w:hideMark/>
          </w:tcPr>
          <w:bookmarkEnd w:id="3"/>
          <w:p w:rsidR="00C83256" w:rsidRPr="002D7DA8" w:rsidRDefault="00C83256" w:rsidP="00952FC6">
            <w:pPr>
              <w:spacing w:line="276" w:lineRule="auto"/>
              <w:jc w:val="center"/>
              <w:rPr>
                <w:rFonts w:asciiTheme="majorBidi" w:hAnsiTheme="majorBidi" w:cstheme="majorBidi"/>
                <w:color w:val="000000" w:themeColor="text1"/>
                <w:sz w:val="22"/>
              </w:rPr>
            </w:pPr>
            <w:r w:rsidRPr="002D7DA8">
              <w:rPr>
                <w:rFonts w:asciiTheme="majorBidi" w:hAnsiTheme="majorBidi" w:cstheme="majorBidi"/>
                <w:color w:val="000000" w:themeColor="text1"/>
                <w:sz w:val="22"/>
              </w:rPr>
              <w:t xml:space="preserve">Run </w:t>
            </w:r>
          </w:p>
        </w:tc>
        <w:tc>
          <w:tcPr>
            <w:tcW w:w="1340" w:type="dxa"/>
            <w:tcBorders>
              <w:top w:val="single" w:sz="4" w:space="0" w:color="auto"/>
              <w:bottom w:val="single" w:sz="8" w:space="0" w:color="auto"/>
            </w:tcBorders>
            <w:noWrap/>
            <w:hideMark/>
          </w:tcPr>
          <w:p w:rsidR="00C83256" w:rsidRPr="002D7DA8" w:rsidRDefault="00C83256" w:rsidP="00952FC6">
            <w:pPr>
              <w:spacing w:line="276" w:lineRule="auto"/>
              <w:jc w:val="center"/>
              <w:rPr>
                <w:rFonts w:asciiTheme="majorBidi" w:hAnsiTheme="majorBidi" w:cstheme="majorBidi"/>
                <w:color w:val="000000" w:themeColor="text1"/>
                <w:sz w:val="22"/>
              </w:rPr>
            </w:pPr>
            <w:r w:rsidRPr="002D7DA8">
              <w:rPr>
                <w:rFonts w:asciiTheme="majorBidi" w:hAnsiTheme="majorBidi" w:cstheme="majorBidi"/>
                <w:color w:val="000000" w:themeColor="text1"/>
                <w:sz w:val="22"/>
              </w:rPr>
              <w:t>Temperature (</w:t>
            </w:r>
            <w:r w:rsidRPr="002D7DA8">
              <w:rPr>
                <w:rFonts w:asciiTheme="majorBidi" w:hAnsiTheme="majorBidi" w:cstheme="majorBidi"/>
                <w:color w:val="000000" w:themeColor="text1"/>
                <w:sz w:val="22"/>
                <w:vertAlign w:val="superscript"/>
              </w:rPr>
              <w:t>o</w:t>
            </w:r>
            <w:r w:rsidRPr="002D7DA8">
              <w:rPr>
                <w:rFonts w:asciiTheme="majorBidi" w:hAnsiTheme="majorBidi" w:cstheme="majorBidi"/>
                <w:color w:val="000000" w:themeColor="text1"/>
                <w:sz w:val="22"/>
              </w:rPr>
              <w:t>C)  (B)</w:t>
            </w:r>
          </w:p>
        </w:tc>
        <w:tc>
          <w:tcPr>
            <w:tcW w:w="982" w:type="dxa"/>
            <w:tcBorders>
              <w:top w:val="single" w:sz="4" w:space="0" w:color="auto"/>
              <w:bottom w:val="single" w:sz="8" w:space="0" w:color="auto"/>
            </w:tcBorders>
            <w:noWrap/>
          </w:tcPr>
          <w:p w:rsidR="00C83256" w:rsidRPr="002D7DA8" w:rsidRDefault="00C83256" w:rsidP="00952FC6">
            <w:pPr>
              <w:spacing w:line="276" w:lineRule="auto"/>
              <w:jc w:val="center"/>
              <w:rPr>
                <w:rFonts w:asciiTheme="majorBidi" w:hAnsiTheme="majorBidi" w:cstheme="majorBidi"/>
                <w:color w:val="000000" w:themeColor="text1"/>
                <w:sz w:val="22"/>
              </w:rPr>
            </w:pPr>
            <w:r w:rsidRPr="002D7DA8">
              <w:rPr>
                <w:rFonts w:asciiTheme="majorBidi" w:hAnsiTheme="majorBidi" w:cstheme="majorBidi"/>
                <w:color w:val="000000" w:themeColor="text1"/>
                <w:sz w:val="22"/>
              </w:rPr>
              <w:t>Pressure (bar) (C)</w:t>
            </w:r>
          </w:p>
        </w:tc>
        <w:tc>
          <w:tcPr>
            <w:tcW w:w="1519" w:type="dxa"/>
            <w:tcBorders>
              <w:top w:val="single" w:sz="4" w:space="0" w:color="auto"/>
              <w:bottom w:val="single" w:sz="8" w:space="0" w:color="auto"/>
            </w:tcBorders>
            <w:noWrap/>
          </w:tcPr>
          <w:p w:rsidR="00C83256" w:rsidRPr="002D7DA8" w:rsidRDefault="00C83256" w:rsidP="00952FC6">
            <w:pPr>
              <w:spacing w:line="276" w:lineRule="auto"/>
              <w:jc w:val="center"/>
              <w:rPr>
                <w:rFonts w:asciiTheme="majorBidi" w:hAnsiTheme="majorBidi" w:cstheme="majorBidi"/>
                <w:color w:val="000000" w:themeColor="text1"/>
                <w:sz w:val="22"/>
              </w:rPr>
            </w:pPr>
            <w:r w:rsidRPr="002D7DA8">
              <w:rPr>
                <w:rFonts w:asciiTheme="majorBidi" w:hAnsiTheme="majorBidi" w:cstheme="majorBidi"/>
                <w:color w:val="000000" w:themeColor="text1"/>
                <w:sz w:val="22"/>
              </w:rPr>
              <w:t>Catalyst loading (w/w)</w:t>
            </w:r>
          </w:p>
        </w:tc>
        <w:tc>
          <w:tcPr>
            <w:tcW w:w="1072" w:type="dxa"/>
            <w:tcBorders>
              <w:top w:val="single" w:sz="4" w:space="0" w:color="auto"/>
              <w:bottom w:val="single" w:sz="8" w:space="0" w:color="auto"/>
            </w:tcBorders>
            <w:noWrap/>
            <w:hideMark/>
          </w:tcPr>
          <w:p w:rsidR="00C83256" w:rsidRPr="002D7DA8" w:rsidRDefault="00C83256" w:rsidP="00952FC6">
            <w:pPr>
              <w:spacing w:line="276" w:lineRule="auto"/>
              <w:jc w:val="center"/>
              <w:rPr>
                <w:rFonts w:asciiTheme="majorBidi" w:hAnsiTheme="majorBidi" w:cstheme="majorBidi"/>
                <w:color w:val="000000" w:themeColor="text1"/>
                <w:sz w:val="22"/>
              </w:rPr>
            </w:pPr>
            <w:r w:rsidRPr="002D7DA8">
              <w:rPr>
                <w:rFonts w:asciiTheme="majorBidi" w:hAnsiTheme="majorBidi" w:cstheme="majorBidi"/>
                <w:color w:val="000000" w:themeColor="text1"/>
                <w:sz w:val="22"/>
              </w:rPr>
              <w:t>Time (min) (D)</w:t>
            </w:r>
          </w:p>
        </w:tc>
        <w:tc>
          <w:tcPr>
            <w:tcW w:w="1250" w:type="dxa"/>
            <w:tcBorders>
              <w:top w:val="single" w:sz="4" w:space="0" w:color="auto"/>
              <w:bottom w:val="single" w:sz="8" w:space="0" w:color="auto"/>
            </w:tcBorders>
          </w:tcPr>
          <w:p w:rsidR="00C83256" w:rsidRPr="002D7DA8" w:rsidRDefault="00C83256" w:rsidP="00952FC6">
            <w:pPr>
              <w:spacing w:line="276" w:lineRule="auto"/>
              <w:jc w:val="center"/>
              <w:rPr>
                <w:rFonts w:asciiTheme="majorBidi" w:hAnsiTheme="majorBidi" w:cstheme="majorBidi"/>
                <w:color w:val="000000" w:themeColor="text1"/>
                <w:sz w:val="22"/>
              </w:rPr>
            </w:pPr>
            <w:r w:rsidRPr="002D7DA8">
              <w:rPr>
                <w:rFonts w:asciiTheme="majorBidi" w:hAnsiTheme="majorBidi" w:cstheme="majorBidi"/>
                <w:color w:val="000000" w:themeColor="text1"/>
                <w:sz w:val="22"/>
              </w:rPr>
              <w:t>Actual BO Conversion %</w:t>
            </w:r>
          </w:p>
        </w:tc>
        <w:tc>
          <w:tcPr>
            <w:tcW w:w="1429" w:type="dxa"/>
            <w:tcBorders>
              <w:top w:val="single" w:sz="4" w:space="0" w:color="auto"/>
              <w:bottom w:val="single" w:sz="8" w:space="0" w:color="auto"/>
            </w:tcBorders>
          </w:tcPr>
          <w:p w:rsidR="00C83256" w:rsidRPr="002D7DA8" w:rsidRDefault="00C83256" w:rsidP="00952FC6">
            <w:pPr>
              <w:spacing w:line="276" w:lineRule="auto"/>
              <w:jc w:val="center"/>
              <w:rPr>
                <w:rFonts w:asciiTheme="majorBidi" w:hAnsiTheme="majorBidi" w:cstheme="majorBidi"/>
                <w:color w:val="000000" w:themeColor="text1"/>
                <w:sz w:val="22"/>
              </w:rPr>
            </w:pPr>
            <w:r w:rsidRPr="002D7DA8">
              <w:rPr>
                <w:rFonts w:asciiTheme="majorBidi" w:hAnsiTheme="majorBidi" w:cstheme="majorBidi"/>
                <w:color w:val="000000" w:themeColor="text1"/>
                <w:sz w:val="22"/>
              </w:rPr>
              <w:t>Predicted BO Conversion %</w:t>
            </w:r>
          </w:p>
        </w:tc>
        <w:tc>
          <w:tcPr>
            <w:tcW w:w="1072" w:type="dxa"/>
            <w:tcBorders>
              <w:top w:val="single" w:sz="4" w:space="0" w:color="auto"/>
              <w:bottom w:val="single" w:sz="8" w:space="0" w:color="auto"/>
            </w:tcBorders>
            <w:noWrap/>
            <w:hideMark/>
          </w:tcPr>
          <w:p w:rsidR="00C83256" w:rsidRPr="002D7DA8" w:rsidRDefault="00C83256" w:rsidP="00952FC6">
            <w:pPr>
              <w:spacing w:line="276" w:lineRule="auto"/>
              <w:jc w:val="center"/>
              <w:rPr>
                <w:rFonts w:asciiTheme="majorBidi" w:hAnsiTheme="majorBidi" w:cstheme="majorBidi"/>
                <w:color w:val="000000" w:themeColor="text1"/>
                <w:sz w:val="22"/>
              </w:rPr>
            </w:pPr>
            <w:r w:rsidRPr="002D7DA8">
              <w:rPr>
                <w:rFonts w:asciiTheme="majorBidi" w:hAnsiTheme="majorBidi" w:cstheme="majorBidi"/>
                <w:color w:val="000000" w:themeColor="text1"/>
                <w:sz w:val="22"/>
              </w:rPr>
              <w:t>Actual BC Yield %</w:t>
            </w:r>
          </w:p>
        </w:tc>
        <w:tc>
          <w:tcPr>
            <w:tcW w:w="1093" w:type="dxa"/>
            <w:tcBorders>
              <w:top w:val="single" w:sz="4" w:space="0" w:color="auto"/>
              <w:bottom w:val="single" w:sz="8" w:space="0" w:color="auto"/>
            </w:tcBorders>
            <w:noWrap/>
            <w:hideMark/>
          </w:tcPr>
          <w:p w:rsidR="00C83256" w:rsidRPr="002D7DA8" w:rsidRDefault="00C83256" w:rsidP="00952FC6">
            <w:pPr>
              <w:spacing w:line="276" w:lineRule="auto"/>
              <w:jc w:val="center"/>
              <w:rPr>
                <w:rFonts w:asciiTheme="majorBidi" w:hAnsiTheme="majorBidi" w:cstheme="majorBidi"/>
                <w:color w:val="000000" w:themeColor="text1"/>
                <w:sz w:val="22"/>
              </w:rPr>
            </w:pPr>
            <w:r w:rsidRPr="002D7DA8">
              <w:rPr>
                <w:rFonts w:asciiTheme="majorBidi" w:hAnsiTheme="majorBidi" w:cstheme="majorBidi"/>
                <w:color w:val="000000" w:themeColor="text1"/>
                <w:sz w:val="22"/>
              </w:rPr>
              <w:t>Predicted BC Yield %</w:t>
            </w:r>
          </w:p>
        </w:tc>
      </w:tr>
      <w:tr w:rsidR="002D7DA8" w:rsidRPr="002D7DA8" w:rsidTr="000A2167">
        <w:trPr>
          <w:trHeight w:val="373"/>
        </w:trPr>
        <w:tc>
          <w:tcPr>
            <w:tcW w:w="620" w:type="dxa"/>
            <w:tcBorders>
              <w:top w:val="single" w:sz="8" w:space="0" w:color="auto"/>
            </w:tcBorders>
            <w:noWrap/>
            <w:hideMark/>
          </w:tcPr>
          <w:p w:rsidR="002D7DA8" w:rsidRPr="002D7DA8" w:rsidRDefault="002D7DA8" w:rsidP="00952FC6">
            <w:pPr>
              <w:spacing w:line="276" w:lineRule="auto"/>
              <w:jc w:val="center"/>
              <w:rPr>
                <w:rFonts w:asciiTheme="majorBidi" w:hAnsiTheme="majorBidi" w:cstheme="majorBidi"/>
                <w:color w:val="000000" w:themeColor="text1"/>
                <w:sz w:val="22"/>
              </w:rPr>
            </w:pPr>
            <w:r w:rsidRPr="002D7DA8">
              <w:rPr>
                <w:rFonts w:asciiTheme="majorBidi" w:hAnsiTheme="majorBidi" w:cstheme="majorBidi"/>
                <w:color w:val="000000" w:themeColor="text1"/>
                <w:sz w:val="22"/>
              </w:rPr>
              <w:t>1</w:t>
            </w:r>
          </w:p>
        </w:tc>
        <w:tc>
          <w:tcPr>
            <w:tcW w:w="1340" w:type="dxa"/>
            <w:tcBorders>
              <w:top w:val="single" w:sz="8" w:space="0" w:color="auto"/>
            </w:tcBorders>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170</w:t>
            </w:r>
          </w:p>
        </w:tc>
        <w:tc>
          <w:tcPr>
            <w:tcW w:w="982" w:type="dxa"/>
            <w:tcBorders>
              <w:top w:val="single" w:sz="8" w:space="0" w:color="auto"/>
            </w:tcBorders>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75</w:t>
            </w:r>
          </w:p>
        </w:tc>
        <w:tc>
          <w:tcPr>
            <w:tcW w:w="1519" w:type="dxa"/>
            <w:tcBorders>
              <w:top w:val="single" w:sz="8" w:space="0" w:color="auto"/>
            </w:tcBorders>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15</w:t>
            </w:r>
          </w:p>
        </w:tc>
        <w:tc>
          <w:tcPr>
            <w:tcW w:w="1072" w:type="dxa"/>
            <w:tcBorders>
              <w:top w:val="single" w:sz="8" w:space="0" w:color="auto"/>
            </w:tcBorders>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20</w:t>
            </w:r>
          </w:p>
        </w:tc>
        <w:tc>
          <w:tcPr>
            <w:tcW w:w="1250" w:type="dxa"/>
            <w:tcBorders>
              <w:top w:val="single" w:sz="8" w:space="0" w:color="auto"/>
            </w:tcBorders>
            <w:vAlign w:val="center"/>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86</w:t>
            </w:r>
          </w:p>
        </w:tc>
        <w:tc>
          <w:tcPr>
            <w:tcW w:w="1429" w:type="dxa"/>
            <w:tcBorders>
              <w:top w:val="single" w:sz="8" w:space="0" w:color="auto"/>
            </w:tcBorders>
            <w:vAlign w:val="center"/>
          </w:tcPr>
          <w:p w:rsidR="002D7DA8" w:rsidRPr="002D7DA8" w:rsidRDefault="002D7DA8" w:rsidP="00952FC6">
            <w:pPr>
              <w:spacing w:line="240" w:lineRule="auto"/>
              <w:jc w:val="right"/>
              <w:rPr>
                <w:rFonts w:asciiTheme="majorBidi" w:hAnsiTheme="majorBidi" w:cstheme="majorBidi"/>
                <w:color w:val="000000"/>
                <w:sz w:val="22"/>
              </w:rPr>
            </w:pPr>
            <w:r w:rsidRPr="002D7DA8">
              <w:rPr>
                <w:rFonts w:asciiTheme="majorBidi" w:hAnsiTheme="majorBidi" w:cstheme="majorBidi"/>
                <w:color w:val="000000"/>
                <w:sz w:val="22"/>
              </w:rPr>
              <w:t>87.96</w:t>
            </w:r>
          </w:p>
        </w:tc>
        <w:tc>
          <w:tcPr>
            <w:tcW w:w="1072" w:type="dxa"/>
            <w:tcBorders>
              <w:top w:val="single" w:sz="8" w:space="0" w:color="auto"/>
            </w:tcBorders>
            <w:noWrap/>
            <w:vAlign w:val="center"/>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64</w:t>
            </w:r>
          </w:p>
        </w:tc>
        <w:tc>
          <w:tcPr>
            <w:tcW w:w="1093" w:type="dxa"/>
            <w:tcBorders>
              <w:top w:val="single" w:sz="8" w:space="0" w:color="auto"/>
            </w:tcBorders>
            <w:noWrap/>
            <w:vAlign w:val="center"/>
          </w:tcPr>
          <w:p w:rsidR="002D7DA8" w:rsidRPr="002D7DA8" w:rsidRDefault="002D7DA8" w:rsidP="00952FC6">
            <w:pPr>
              <w:spacing w:line="240" w:lineRule="auto"/>
              <w:jc w:val="right"/>
              <w:rPr>
                <w:rFonts w:asciiTheme="majorBidi" w:hAnsiTheme="majorBidi" w:cstheme="majorBidi"/>
                <w:color w:val="000000"/>
                <w:sz w:val="22"/>
              </w:rPr>
            </w:pPr>
            <w:r w:rsidRPr="002D7DA8">
              <w:rPr>
                <w:rFonts w:asciiTheme="majorBidi" w:hAnsiTheme="majorBidi" w:cstheme="majorBidi"/>
                <w:color w:val="000000"/>
                <w:sz w:val="22"/>
              </w:rPr>
              <w:t>64.38</w:t>
            </w:r>
          </w:p>
        </w:tc>
      </w:tr>
      <w:tr w:rsidR="002D7DA8" w:rsidRPr="002D7DA8" w:rsidTr="000A2167">
        <w:trPr>
          <w:trHeight w:val="373"/>
        </w:trPr>
        <w:tc>
          <w:tcPr>
            <w:tcW w:w="620" w:type="dxa"/>
            <w:noWrap/>
            <w:hideMark/>
          </w:tcPr>
          <w:p w:rsidR="002D7DA8" w:rsidRPr="002D7DA8" w:rsidRDefault="002D7DA8" w:rsidP="00952FC6">
            <w:pPr>
              <w:spacing w:line="276" w:lineRule="auto"/>
              <w:jc w:val="center"/>
              <w:rPr>
                <w:rFonts w:asciiTheme="majorBidi" w:hAnsiTheme="majorBidi" w:cstheme="majorBidi"/>
                <w:color w:val="000000" w:themeColor="text1"/>
                <w:sz w:val="22"/>
              </w:rPr>
            </w:pPr>
            <w:r w:rsidRPr="002D7DA8">
              <w:rPr>
                <w:rFonts w:asciiTheme="majorBidi" w:hAnsiTheme="majorBidi" w:cstheme="majorBidi"/>
                <w:color w:val="000000" w:themeColor="text1"/>
                <w:sz w:val="22"/>
              </w:rPr>
              <w:t>2</w:t>
            </w:r>
          </w:p>
        </w:tc>
        <w:tc>
          <w:tcPr>
            <w:tcW w:w="1340"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135</w:t>
            </w:r>
          </w:p>
        </w:tc>
        <w:tc>
          <w:tcPr>
            <w:tcW w:w="98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75</w:t>
            </w:r>
          </w:p>
        </w:tc>
        <w:tc>
          <w:tcPr>
            <w:tcW w:w="1519"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10</w:t>
            </w:r>
          </w:p>
        </w:tc>
        <w:tc>
          <w:tcPr>
            <w:tcW w:w="107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20</w:t>
            </w:r>
          </w:p>
        </w:tc>
        <w:tc>
          <w:tcPr>
            <w:tcW w:w="1250" w:type="dxa"/>
            <w:vAlign w:val="center"/>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84</w:t>
            </w:r>
          </w:p>
        </w:tc>
        <w:tc>
          <w:tcPr>
            <w:tcW w:w="1429" w:type="dxa"/>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84.00</w:t>
            </w:r>
          </w:p>
        </w:tc>
        <w:tc>
          <w:tcPr>
            <w:tcW w:w="1072" w:type="dxa"/>
            <w:noWrap/>
            <w:vAlign w:val="center"/>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64</w:t>
            </w:r>
          </w:p>
        </w:tc>
        <w:tc>
          <w:tcPr>
            <w:tcW w:w="1093" w:type="dxa"/>
            <w:noWrap/>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64.00</w:t>
            </w:r>
          </w:p>
        </w:tc>
      </w:tr>
      <w:tr w:rsidR="002D7DA8" w:rsidRPr="002D7DA8" w:rsidTr="000A2167">
        <w:trPr>
          <w:trHeight w:val="373"/>
        </w:trPr>
        <w:tc>
          <w:tcPr>
            <w:tcW w:w="620" w:type="dxa"/>
            <w:noWrap/>
            <w:hideMark/>
          </w:tcPr>
          <w:p w:rsidR="002D7DA8" w:rsidRPr="002D7DA8" w:rsidRDefault="002D7DA8" w:rsidP="00952FC6">
            <w:pPr>
              <w:spacing w:line="276" w:lineRule="auto"/>
              <w:jc w:val="center"/>
              <w:rPr>
                <w:rFonts w:asciiTheme="majorBidi" w:hAnsiTheme="majorBidi" w:cstheme="majorBidi"/>
                <w:color w:val="000000" w:themeColor="text1"/>
                <w:sz w:val="22"/>
              </w:rPr>
            </w:pPr>
            <w:r w:rsidRPr="002D7DA8">
              <w:rPr>
                <w:rFonts w:asciiTheme="majorBidi" w:hAnsiTheme="majorBidi" w:cstheme="majorBidi"/>
                <w:color w:val="000000" w:themeColor="text1"/>
                <w:sz w:val="22"/>
              </w:rPr>
              <w:t>3</w:t>
            </w:r>
          </w:p>
        </w:tc>
        <w:tc>
          <w:tcPr>
            <w:tcW w:w="1340"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135</w:t>
            </w:r>
          </w:p>
        </w:tc>
        <w:tc>
          <w:tcPr>
            <w:tcW w:w="98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90</w:t>
            </w:r>
          </w:p>
        </w:tc>
        <w:tc>
          <w:tcPr>
            <w:tcW w:w="1519"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10</w:t>
            </w:r>
          </w:p>
        </w:tc>
        <w:tc>
          <w:tcPr>
            <w:tcW w:w="107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24</w:t>
            </w:r>
          </w:p>
        </w:tc>
        <w:tc>
          <w:tcPr>
            <w:tcW w:w="1250" w:type="dxa"/>
            <w:vAlign w:val="center"/>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90</w:t>
            </w:r>
          </w:p>
        </w:tc>
        <w:tc>
          <w:tcPr>
            <w:tcW w:w="1429" w:type="dxa"/>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97.29</w:t>
            </w:r>
          </w:p>
        </w:tc>
        <w:tc>
          <w:tcPr>
            <w:tcW w:w="1072" w:type="dxa"/>
            <w:noWrap/>
            <w:vAlign w:val="center"/>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65</w:t>
            </w:r>
          </w:p>
        </w:tc>
        <w:tc>
          <w:tcPr>
            <w:tcW w:w="1093" w:type="dxa"/>
            <w:noWrap/>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66.04</w:t>
            </w:r>
          </w:p>
        </w:tc>
      </w:tr>
      <w:tr w:rsidR="002D7DA8" w:rsidRPr="002D7DA8" w:rsidTr="000A2167">
        <w:trPr>
          <w:trHeight w:val="373"/>
        </w:trPr>
        <w:tc>
          <w:tcPr>
            <w:tcW w:w="620" w:type="dxa"/>
            <w:noWrap/>
            <w:hideMark/>
          </w:tcPr>
          <w:p w:rsidR="002D7DA8" w:rsidRPr="002D7DA8" w:rsidRDefault="002D7DA8" w:rsidP="00952FC6">
            <w:pPr>
              <w:spacing w:line="276" w:lineRule="auto"/>
              <w:jc w:val="center"/>
              <w:rPr>
                <w:rFonts w:asciiTheme="majorBidi" w:hAnsiTheme="majorBidi" w:cstheme="majorBidi"/>
                <w:color w:val="000000" w:themeColor="text1"/>
                <w:sz w:val="22"/>
              </w:rPr>
            </w:pPr>
            <w:r w:rsidRPr="002D7DA8">
              <w:rPr>
                <w:rFonts w:asciiTheme="majorBidi" w:hAnsiTheme="majorBidi" w:cstheme="majorBidi"/>
                <w:color w:val="000000" w:themeColor="text1"/>
                <w:sz w:val="22"/>
              </w:rPr>
              <w:t>4</w:t>
            </w:r>
          </w:p>
        </w:tc>
        <w:tc>
          <w:tcPr>
            <w:tcW w:w="1340"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135</w:t>
            </w:r>
          </w:p>
        </w:tc>
        <w:tc>
          <w:tcPr>
            <w:tcW w:w="98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75</w:t>
            </w:r>
          </w:p>
        </w:tc>
        <w:tc>
          <w:tcPr>
            <w:tcW w:w="1519"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15</w:t>
            </w:r>
          </w:p>
        </w:tc>
        <w:tc>
          <w:tcPr>
            <w:tcW w:w="107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16</w:t>
            </w:r>
          </w:p>
        </w:tc>
        <w:tc>
          <w:tcPr>
            <w:tcW w:w="1250" w:type="dxa"/>
            <w:vAlign w:val="center"/>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69</w:t>
            </w:r>
          </w:p>
        </w:tc>
        <w:tc>
          <w:tcPr>
            <w:tcW w:w="1429" w:type="dxa"/>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67.83</w:t>
            </w:r>
          </w:p>
        </w:tc>
        <w:tc>
          <w:tcPr>
            <w:tcW w:w="1072" w:type="dxa"/>
            <w:noWrap/>
            <w:vAlign w:val="center"/>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35</w:t>
            </w:r>
          </w:p>
        </w:tc>
        <w:tc>
          <w:tcPr>
            <w:tcW w:w="1093" w:type="dxa"/>
            <w:noWrap/>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35.46</w:t>
            </w:r>
          </w:p>
        </w:tc>
      </w:tr>
      <w:tr w:rsidR="002D7DA8" w:rsidRPr="002D7DA8" w:rsidTr="000A2167">
        <w:trPr>
          <w:trHeight w:val="373"/>
        </w:trPr>
        <w:tc>
          <w:tcPr>
            <w:tcW w:w="620" w:type="dxa"/>
            <w:noWrap/>
            <w:hideMark/>
          </w:tcPr>
          <w:p w:rsidR="002D7DA8" w:rsidRPr="002D7DA8" w:rsidRDefault="002D7DA8" w:rsidP="00952FC6">
            <w:pPr>
              <w:spacing w:line="276" w:lineRule="auto"/>
              <w:jc w:val="center"/>
              <w:rPr>
                <w:rFonts w:asciiTheme="majorBidi" w:hAnsiTheme="majorBidi" w:cstheme="majorBidi"/>
                <w:color w:val="000000" w:themeColor="text1"/>
                <w:sz w:val="22"/>
              </w:rPr>
            </w:pPr>
            <w:r w:rsidRPr="002D7DA8">
              <w:rPr>
                <w:rFonts w:asciiTheme="majorBidi" w:hAnsiTheme="majorBidi" w:cstheme="majorBidi"/>
                <w:color w:val="000000" w:themeColor="text1"/>
                <w:sz w:val="22"/>
              </w:rPr>
              <w:t>5</w:t>
            </w:r>
          </w:p>
        </w:tc>
        <w:tc>
          <w:tcPr>
            <w:tcW w:w="1340"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100</w:t>
            </w:r>
          </w:p>
        </w:tc>
        <w:tc>
          <w:tcPr>
            <w:tcW w:w="98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75</w:t>
            </w:r>
          </w:p>
        </w:tc>
        <w:tc>
          <w:tcPr>
            <w:tcW w:w="1519"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5</w:t>
            </w:r>
          </w:p>
        </w:tc>
        <w:tc>
          <w:tcPr>
            <w:tcW w:w="107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20</w:t>
            </w:r>
          </w:p>
        </w:tc>
        <w:tc>
          <w:tcPr>
            <w:tcW w:w="1250" w:type="dxa"/>
            <w:vAlign w:val="center"/>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54</w:t>
            </w:r>
          </w:p>
        </w:tc>
        <w:tc>
          <w:tcPr>
            <w:tcW w:w="1429" w:type="dxa"/>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55.79</w:t>
            </w:r>
          </w:p>
        </w:tc>
        <w:tc>
          <w:tcPr>
            <w:tcW w:w="1072" w:type="dxa"/>
            <w:noWrap/>
            <w:vAlign w:val="center"/>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23</w:t>
            </w:r>
          </w:p>
        </w:tc>
        <w:tc>
          <w:tcPr>
            <w:tcW w:w="1093" w:type="dxa"/>
            <w:noWrap/>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24.88</w:t>
            </w:r>
          </w:p>
        </w:tc>
      </w:tr>
      <w:tr w:rsidR="002D7DA8" w:rsidRPr="002D7DA8" w:rsidTr="000A2167">
        <w:trPr>
          <w:trHeight w:val="373"/>
        </w:trPr>
        <w:tc>
          <w:tcPr>
            <w:tcW w:w="620" w:type="dxa"/>
            <w:noWrap/>
            <w:hideMark/>
          </w:tcPr>
          <w:p w:rsidR="002D7DA8" w:rsidRPr="002D7DA8" w:rsidRDefault="002D7DA8" w:rsidP="00952FC6">
            <w:pPr>
              <w:spacing w:line="276" w:lineRule="auto"/>
              <w:jc w:val="center"/>
              <w:rPr>
                <w:rFonts w:asciiTheme="majorBidi" w:hAnsiTheme="majorBidi" w:cstheme="majorBidi"/>
                <w:color w:val="000000" w:themeColor="text1"/>
                <w:sz w:val="22"/>
              </w:rPr>
            </w:pPr>
            <w:r w:rsidRPr="002D7DA8">
              <w:rPr>
                <w:rFonts w:asciiTheme="majorBidi" w:hAnsiTheme="majorBidi" w:cstheme="majorBidi"/>
                <w:color w:val="000000" w:themeColor="text1"/>
                <w:sz w:val="22"/>
              </w:rPr>
              <w:t>6</w:t>
            </w:r>
          </w:p>
        </w:tc>
        <w:tc>
          <w:tcPr>
            <w:tcW w:w="1340"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135</w:t>
            </w:r>
          </w:p>
        </w:tc>
        <w:tc>
          <w:tcPr>
            <w:tcW w:w="98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60</w:t>
            </w:r>
          </w:p>
        </w:tc>
        <w:tc>
          <w:tcPr>
            <w:tcW w:w="1519"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10</w:t>
            </w:r>
          </w:p>
        </w:tc>
        <w:tc>
          <w:tcPr>
            <w:tcW w:w="107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24</w:t>
            </w:r>
          </w:p>
        </w:tc>
        <w:tc>
          <w:tcPr>
            <w:tcW w:w="1250" w:type="dxa"/>
            <w:vAlign w:val="center"/>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75</w:t>
            </w:r>
          </w:p>
        </w:tc>
        <w:tc>
          <w:tcPr>
            <w:tcW w:w="1429" w:type="dxa"/>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72.96</w:t>
            </w:r>
          </w:p>
        </w:tc>
        <w:tc>
          <w:tcPr>
            <w:tcW w:w="1072" w:type="dxa"/>
            <w:noWrap/>
            <w:vAlign w:val="center"/>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40</w:t>
            </w:r>
          </w:p>
        </w:tc>
        <w:tc>
          <w:tcPr>
            <w:tcW w:w="1093" w:type="dxa"/>
            <w:noWrap/>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41.04</w:t>
            </w:r>
          </w:p>
        </w:tc>
      </w:tr>
      <w:tr w:rsidR="002D7DA8" w:rsidRPr="002D7DA8" w:rsidTr="000A2167">
        <w:trPr>
          <w:trHeight w:val="373"/>
        </w:trPr>
        <w:tc>
          <w:tcPr>
            <w:tcW w:w="620" w:type="dxa"/>
            <w:noWrap/>
            <w:hideMark/>
          </w:tcPr>
          <w:p w:rsidR="002D7DA8" w:rsidRPr="002D7DA8" w:rsidRDefault="002D7DA8" w:rsidP="00952FC6">
            <w:pPr>
              <w:spacing w:line="276" w:lineRule="auto"/>
              <w:jc w:val="center"/>
              <w:rPr>
                <w:rFonts w:asciiTheme="majorBidi" w:hAnsiTheme="majorBidi" w:cstheme="majorBidi"/>
                <w:color w:val="000000" w:themeColor="text1"/>
                <w:sz w:val="22"/>
              </w:rPr>
            </w:pPr>
            <w:r w:rsidRPr="002D7DA8">
              <w:rPr>
                <w:rFonts w:asciiTheme="majorBidi" w:hAnsiTheme="majorBidi" w:cstheme="majorBidi"/>
                <w:color w:val="000000" w:themeColor="text1"/>
                <w:sz w:val="22"/>
              </w:rPr>
              <w:t>7</w:t>
            </w:r>
          </w:p>
        </w:tc>
        <w:tc>
          <w:tcPr>
            <w:tcW w:w="1340"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135</w:t>
            </w:r>
          </w:p>
        </w:tc>
        <w:tc>
          <w:tcPr>
            <w:tcW w:w="98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90</w:t>
            </w:r>
          </w:p>
        </w:tc>
        <w:tc>
          <w:tcPr>
            <w:tcW w:w="1519"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10</w:t>
            </w:r>
          </w:p>
        </w:tc>
        <w:tc>
          <w:tcPr>
            <w:tcW w:w="107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16</w:t>
            </w:r>
          </w:p>
        </w:tc>
        <w:tc>
          <w:tcPr>
            <w:tcW w:w="1250" w:type="dxa"/>
            <w:vAlign w:val="center"/>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70</w:t>
            </w:r>
          </w:p>
        </w:tc>
        <w:tc>
          <w:tcPr>
            <w:tcW w:w="1429" w:type="dxa"/>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75.79</w:t>
            </w:r>
          </w:p>
        </w:tc>
        <w:tc>
          <w:tcPr>
            <w:tcW w:w="1072" w:type="dxa"/>
            <w:noWrap/>
            <w:vAlign w:val="center"/>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35</w:t>
            </w:r>
          </w:p>
        </w:tc>
        <w:tc>
          <w:tcPr>
            <w:tcW w:w="1093" w:type="dxa"/>
            <w:noWrap/>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36.21</w:t>
            </w:r>
          </w:p>
        </w:tc>
      </w:tr>
      <w:tr w:rsidR="002D7DA8" w:rsidRPr="002D7DA8" w:rsidTr="000A2167">
        <w:trPr>
          <w:trHeight w:val="373"/>
        </w:trPr>
        <w:tc>
          <w:tcPr>
            <w:tcW w:w="620" w:type="dxa"/>
            <w:noWrap/>
            <w:hideMark/>
          </w:tcPr>
          <w:p w:rsidR="002D7DA8" w:rsidRPr="002D7DA8" w:rsidRDefault="002D7DA8" w:rsidP="00952FC6">
            <w:pPr>
              <w:spacing w:line="276" w:lineRule="auto"/>
              <w:jc w:val="center"/>
              <w:rPr>
                <w:rFonts w:asciiTheme="majorBidi" w:hAnsiTheme="majorBidi" w:cstheme="majorBidi"/>
                <w:color w:val="000000" w:themeColor="text1"/>
                <w:sz w:val="22"/>
              </w:rPr>
            </w:pPr>
            <w:r w:rsidRPr="002D7DA8">
              <w:rPr>
                <w:rFonts w:asciiTheme="majorBidi" w:hAnsiTheme="majorBidi" w:cstheme="majorBidi"/>
                <w:color w:val="000000" w:themeColor="text1"/>
                <w:sz w:val="22"/>
              </w:rPr>
              <w:t>8</w:t>
            </w:r>
          </w:p>
        </w:tc>
        <w:tc>
          <w:tcPr>
            <w:tcW w:w="1340"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135</w:t>
            </w:r>
          </w:p>
        </w:tc>
        <w:tc>
          <w:tcPr>
            <w:tcW w:w="98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60</w:t>
            </w:r>
          </w:p>
        </w:tc>
        <w:tc>
          <w:tcPr>
            <w:tcW w:w="1519"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5</w:t>
            </w:r>
          </w:p>
        </w:tc>
        <w:tc>
          <w:tcPr>
            <w:tcW w:w="107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20</w:t>
            </w:r>
          </w:p>
        </w:tc>
        <w:tc>
          <w:tcPr>
            <w:tcW w:w="1250" w:type="dxa"/>
            <w:vAlign w:val="center"/>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66</w:t>
            </w:r>
          </w:p>
        </w:tc>
        <w:tc>
          <w:tcPr>
            <w:tcW w:w="1429" w:type="dxa"/>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58.87</w:t>
            </w:r>
          </w:p>
        </w:tc>
        <w:tc>
          <w:tcPr>
            <w:tcW w:w="1072" w:type="dxa"/>
            <w:noWrap/>
            <w:vAlign w:val="center"/>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37</w:t>
            </w:r>
          </w:p>
        </w:tc>
        <w:tc>
          <w:tcPr>
            <w:tcW w:w="1093" w:type="dxa"/>
            <w:noWrap/>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33.50</w:t>
            </w:r>
          </w:p>
        </w:tc>
      </w:tr>
      <w:tr w:rsidR="002D7DA8" w:rsidRPr="002D7DA8" w:rsidTr="000A2167">
        <w:trPr>
          <w:trHeight w:val="373"/>
        </w:trPr>
        <w:tc>
          <w:tcPr>
            <w:tcW w:w="620" w:type="dxa"/>
            <w:noWrap/>
            <w:hideMark/>
          </w:tcPr>
          <w:p w:rsidR="002D7DA8" w:rsidRPr="002D7DA8" w:rsidRDefault="002D7DA8" w:rsidP="00952FC6">
            <w:pPr>
              <w:spacing w:line="276" w:lineRule="auto"/>
              <w:jc w:val="center"/>
              <w:rPr>
                <w:rFonts w:asciiTheme="majorBidi" w:hAnsiTheme="majorBidi" w:cstheme="majorBidi"/>
                <w:color w:val="000000" w:themeColor="text1"/>
                <w:sz w:val="22"/>
              </w:rPr>
            </w:pPr>
            <w:r w:rsidRPr="002D7DA8">
              <w:rPr>
                <w:rFonts w:asciiTheme="majorBidi" w:hAnsiTheme="majorBidi" w:cstheme="majorBidi"/>
                <w:color w:val="000000" w:themeColor="text1"/>
                <w:sz w:val="22"/>
              </w:rPr>
              <w:t>9</w:t>
            </w:r>
          </w:p>
        </w:tc>
        <w:tc>
          <w:tcPr>
            <w:tcW w:w="1340"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100</w:t>
            </w:r>
          </w:p>
        </w:tc>
        <w:tc>
          <w:tcPr>
            <w:tcW w:w="98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60</w:t>
            </w:r>
          </w:p>
        </w:tc>
        <w:tc>
          <w:tcPr>
            <w:tcW w:w="1519"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10</w:t>
            </w:r>
          </w:p>
        </w:tc>
        <w:tc>
          <w:tcPr>
            <w:tcW w:w="107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20</w:t>
            </w:r>
          </w:p>
        </w:tc>
        <w:tc>
          <w:tcPr>
            <w:tcW w:w="1250" w:type="dxa"/>
            <w:vAlign w:val="center"/>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42</w:t>
            </w:r>
          </w:p>
        </w:tc>
        <w:tc>
          <w:tcPr>
            <w:tcW w:w="1429" w:type="dxa"/>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46.33</w:t>
            </w:r>
          </w:p>
        </w:tc>
        <w:tc>
          <w:tcPr>
            <w:tcW w:w="1072" w:type="dxa"/>
            <w:noWrap/>
            <w:vAlign w:val="center"/>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16</w:t>
            </w:r>
          </w:p>
        </w:tc>
        <w:tc>
          <w:tcPr>
            <w:tcW w:w="1093" w:type="dxa"/>
            <w:noWrap/>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14.62</w:t>
            </w:r>
          </w:p>
        </w:tc>
      </w:tr>
      <w:tr w:rsidR="002D7DA8" w:rsidRPr="002D7DA8" w:rsidTr="000A2167">
        <w:trPr>
          <w:trHeight w:val="373"/>
        </w:trPr>
        <w:tc>
          <w:tcPr>
            <w:tcW w:w="620" w:type="dxa"/>
            <w:noWrap/>
            <w:hideMark/>
          </w:tcPr>
          <w:p w:rsidR="002D7DA8" w:rsidRPr="002D7DA8" w:rsidRDefault="002D7DA8" w:rsidP="00952FC6">
            <w:pPr>
              <w:spacing w:line="276" w:lineRule="auto"/>
              <w:jc w:val="center"/>
              <w:rPr>
                <w:rFonts w:asciiTheme="majorBidi" w:hAnsiTheme="majorBidi" w:cstheme="majorBidi"/>
                <w:color w:val="000000" w:themeColor="text1"/>
                <w:sz w:val="22"/>
              </w:rPr>
            </w:pPr>
            <w:r w:rsidRPr="002D7DA8">
              <w:rPr>
                <w:rFonts w:asciiTheme="majorBidi" w:hAnsiTheme="majorBidi" w:cstheme="majorBidi"/>
                <w:color w:val="000000" w:themeColor="text1"/>
                <w:sz w:val="22"/>
              </w:rPr>
              <w:t>10</w:t>
            </w:r>
          </w:p>
        </w:tc>
        <w:tc>
          <w:tcPr>
            <w:tcW w:w="1340"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135</w:t>
            </w:r>
          </w:p>
        </w:tc>
        <w:tc>
          <w:tcPr>
            <w:tcW w:w="98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60</w:t>
            </w:r>
          </w:p>
        </w:tc>
        <w:tc>
          <w:tcPr>
            <w:tcW w:w="1519"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10</w:t>
            </w:r>
          </w:p>
        </w:tc>
        <w:tc>
          <w:tcPr>
            <w:tcW w:w="107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16</w:t>
            </w:r>
          </w:p>
        </w:tc>
        <w:tc>
          <w:tcPr>
            <w:tcW w:w="1250" w:type="dxa"/>
            <w:vAlign w:val="center"/>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68</w:t>
            </w:r>
          </w:p>
        </w:tc>
        <w:tc>
          <w:tcPr>
            <w:tcW w:w="1429" w:type="dxa"/>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64.46</w:t>
            </w:r>
          </w:p>
        </w:tc>
        <w:tc>
          <w:tcPr>
            <w:tcW w:w="1072" w:type="dxa"/>
            <w:noWrap/>
            <w:vAlign w:val="center"/>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35</w:t>
            </w:r>
          </w:p>
        </w:tc>
        <w:tc>
          <w:tcPr>
            <w:tcW w:w="1093" w:type="dxa"/>
            <w:noWrap/>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36.21</w:t>
            </w:r>
          </w:p>
        </w:tc>
      </w:tr>
      <w:tr w:rsidR="002D7DA8" w:rsidRPr="002D7DA8" w:rsidTr="000A2167">
        <w:trPr>
          <w:trHeight w:val="373"/>
        </w:trPr>
        <w:tc>
          <w:tcPr>
            <w:tcW w:w="620" w:type="dxa"/>
            <w:noWrap/>
            <w:hideMark/>
          </w:tcPr>
          <w:p w:rsidR="002D7DA8" w:rsidRPr="002D7DA8" w:rsidRDefault="002D7DA8" w:rsidP="00952FC6">
            <w:pPr>
              <w:spacing w:line="276" w:lineRule="auto"/>
              <w:jc w:val="center"/>
              <w:rPr>
                <w:rFonts w:asciiTheme="majorBidi" w:hAnsiTheme="majorBidi" w:cstheme="majorBidi"/>
                <w:color w:val="000000" w:themeColor="text1"/>
                <w:sz w:val="22"/>
              </w:rPr>
            </w:pPr>
            <w:r w:rsidRPr="002D7DA8">
              <w:rPr>
                <w:rFonts w:asciiTheme="majorBidi" w:hAnsiTheme="majorBidi" w:cstheme="majorBidi"/>
                <w:color w:val="000000" w:themeColor="text1"/>
                <w:sz w:val="22"/>
              </w:rPr>
              <w:t>11</w:t>
            </w:r>
          </w:p>
        </w:tc>
        <w:tc>
          <w:tcPr>
            <w:tcW w:w="1340"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135</w:t>
            </w:r>
          </w:p>
        </w:tc>
        <w:tc>
          <w:tcPr>
            <w:tcW w:w="98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90</w:t>
            </w:r>
          </w:p>
        </w:tc>
        <w:tc>
          <w:tcPr>
            <w:tcW w:w="1519"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15</w:t>
            </w:r>
          </w:p>
        </w:tc>
        <w:tc>
          <w:tcPr>
            <w:tcW w:w="107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20</w:t>
            </w:r>
          </w:p>
        </w:tc>
        <w:tc>
          <w:tcPr>
            <w:tcW w:w="1250" w:type="dxa"/>
            <w:vAlign w:val="center"/>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88</w:t>
            </w:r>
          </w:p>
        </w:tc>
        <w:tc>
          <w:tcPr>
            <w:tcW w:w="1429" w:type="dxa"/>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91.37</w:t>
            </w:r>
          </w:p>
        </w:tc>
        <w:tc>
          <w:tcPr>
            <w:tcW w:w="1072" w:type="dxa"/>
            <w:noWrap/>
            <w:vAlign w:val="center"/>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65</w:t>
            </w:r>
          </w:p>
        </w:tc>
        <w:tc>
          <w:tcPr>
            <w:tcW w:w="1093" w:type="dxa"/>
            <w:noWrap/>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66.50</w:t>
            </w:r>
          </w:p>
        </w:tc>
      </w:tr>
      <w:tr w:rsidR="002D7DA8" w:rsidRPr="002D7DA8" w:rsidTr="000A2167">
        <w:trPr>
          <w:trHeight w:val="373"/>
        </w:trPr>
        <w:tc>
          <w:tcPr>
            <w:tcW w:w="620" w:type="dxa"/>
            <w:noWrap/>
            <w:hideMark/>
          </w:tcPr>
          <w:p w:rsidR="002D7DA8" w:rsidRPr="002D7DA8" w:rsidRDefault="002D7DA8" w:rsidP="00952FC6">
            <w:pPr>
              <w:spacing w:line="276" w:lineRule="auto"/>
              <w:jc w:val="center"/>
              <w:rPr>
                <w:rFonts w:asciiTheme="majorBidi" w:hAnsiTheme="majorBidi" w:cstheme="majorBidi"/>
                <w:color w:val="000000" w:themeColor="text1"/>
                <w:sz w:val="22"/>
              </w:rPr>
            </w:pPr>
            <w:r w:rsidRPr="002D7DA8">
              <w:rPr>
                <w:rFonts w:asciiTheme="majorBidi" w:hAnsiTheme="majorBidi" w:cstheme="majorBidi"/>
                <w:color w:val="000000" w:themeColor="text1"/>
                <w:sz w:val="22"/>
              </w:rPr>
              <w:t>12</w:t>
            </w:r>
          </w:p>
        </w:tc>
        <w:tc>
          <w:tcPr>
            <w:tcW w:w="1340"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135</w:t>
            </w:r>
          </w:p>
        </w:tc>
        <w:tc>
          <w:tcPr>
            <w:tcW w:w="98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75</w:t>
            </w:r>
          </w:p>
        </w:tc>
        <w:tc>
          <w:tcPr>
            <w:tcW w:w="1519"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5</w:t>
            </w:r>
          </w:p>
        </w:tc>
        <w:tc>
          <w:tcPr>
            <w:tcW w:w="107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24</w:t>
            </w:r>
          </w:p>
        </w:tc>
        <w:tc>
          <w:tcPr>
            <w:tcW w:w="1250" w:type="dxa"/>
            <w:vAlign w:val="center"/>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67</w:t>
            </w:r>
          </w:p>
        </w:tc>
        <w:tc>
          <w:tcPr>
            <w:tcW w:w="1429" w:type="dxa"/>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68.17</w:t>
            </w:r>
          </w:p>
        </w:tc>
        <w:tc>
          <w:tcPr>
            <w:tcW w:w="1072" w:type="dxa"/>
            <w:noWrap/>
            <w:vAlign w:val="center"/>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33</w:t>
            </w:r>
          </w:p>
        </w:tc>
        <w:tc>
          <w:tcPr>
            <w:tcW w:w="1093" w:type="dxa"/>
            <w:noWrap/>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32.29</w:t>
            </w:r>
          </w:p>
        </w:tc>
      </w:tr>
      <w:tr w:rsidR="002D7DA8" w:rsidRPr="002D7DA8" w:rsidTr="000A2167">
        <w:trPr>
          <w:trHeight w:val="373"/>
        </w:trPr>
        <w:tc>
          <w:tcPr>
            <w:tcW w:w="620" w:type="dxa"/>
            <w:noWrap/>
            <w:hideMark/>
          </w:tcPr>
          <w:p w:rsidR="002D7DA8" w:rsidRPr="002D7DA8" w:rsidRDefault="002D7DA8" w:rsidP="00952FC6">
            <w:pPr>
              <w:spacing w:line="276" w:lineRule="auto"/>
              <w:jc w:val="center"/>
              <w:rPr>
                <w:rFonts w:asciiTheme="majorBidi" w:hAnsiTheme="majorBidi" w:cstheme="majorBidi"/>
                <w:color w:val="000000" w:themeColor="text1"/>
                <w:sz w:val="22"/>
              </w:rPr>
            </w:pPr>
            <w:r w:rsidRPr="002D7DA8">
              <w:rPr>
                <w:rFonts w:asciiTheme="majorBidi" w:hAnsiTheme="majorBidi" w:cstheme="majorBidi"/>
                <w:color w:val="000000" w:themeColor="text1"/>
                <w:sz w:val="22"/>
              </w:rPr>
              <w:t>13</w:t>
            </w:r>
          </w:p>
        </w:tc>
        <w:tc>
          <w:tcPr>
            <w:tcW w:w="1340"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135</w:t>
            </w:r>
          </w:p>
        </w:tc>
        <w:tc>
          <w:tcPr>
            <w:tcW w:w="98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90</w:t>
            </w:r>
          </w:p>
        </w:tc>
        <w:tc>
          <w:tcPr>
            <w:tcW w:w="1519"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5</w:t>
            </w:r>
          </w:p>
        </w:tc>
        <w:tc>
          <w:tcPr>
            <w:tcW w:w="107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20</w:t>
            </w:r>
          </w:p>
        </w:tc>
        <w:tc>
          <w:tcPr>
            <w:tcW w:w="1250" w:type="dxa"/>
            <w:vAlign w:val="center"/>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86</w:t>
            </w:r>
          </w:p>
        </w:tc>
        <w:tc>
          <w:tcPr>
            <w:tcW w:w="1429" w:type="dxa"/>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81.21</w:t>
            </w:r>
          </w:p>
        </w:tc>
        <w:tc>
          <w:tcPr>
            <w:tcW w:w="1072" w:type="dxa"/>
            <w:noWrap/>
            <w:vAlign w:val="center"/>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36</w:t>
            </w:r>
          </w:p>
        </w:tc>
        <w:tc>
          <w:tcPr>
            <w:tcW w:w="1093" w:type="dxa"/>
            <w:noWrap/>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35.00</w:t>
            </w:r>
          </w:p>
        </w:tc>
      </w:tr>
      <w:tr w:rsidR="002D7DA8" w:rsidRPr="002D7DA8" w:rsidTr="000A2167">
        <w:trPr>
          <w:trHeight w:val="373"/>
        </w:trPr>
        <w:tc>
          <w:tcPr>
            <w:tcW w:w="620" w:type="dxa"/>
            <w:noWrap/>
            <w:hideMark/>
          </w:tcPr>
          <w:p w:rsidR="002D7DA8" w:rsidRPr="002D7DA8" w:rsidRDefault="002D7DA8" w:rsidP="00952FC6">
            <w:pPr>
              <w:spacing w:line="276" w:lineRule="auto"/>
              <w:jc w:val="center"/>
              <w:rPr>
                <w:rFonts w:asciiTheme="majorBidi" w:hAnsiTheme="majorBidi" w:cstheme="majorBidi"/>
                <w:color w:val="000000" w:themeColor="text1"/>
                <w:sz w:val="22"/>
              </w:rPr>
            </w:pPr>
            <w:r w:rsidRPr="002D7DA8">
              <w:rPr>
                <w:rFonts w:asciiTheme="majorBidi" w:hAnsiTheme="majorBidi" w:cstheme="majorBidi"/>
                <w:color w:val="000000" w:themeColor="text1"/>
                <w:sz w:val="22"/>
              </w:rPr>
              <w:t>14</w:t>
            </w:r>
          </w:p>
        </w:tc>
        <w:tc>
          <w:tcPr>
            <w:tcW w:w="1340"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135</w:t>
            </w:r>
          </w:p>
        </w:tc>
        <w:tc>
          <w:tcPr>
            <w:tcW w:w="98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60</w:t>
            </w:r>
          </w:p>
        </w:tc>
        <w:tc>
          <w:tcPr>
            <w:tcW w:w="1519"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15</w:t>
            </w:r>
          </w:p>
        </w:tc>
        <w:tc>
          <w:tcPr>
            <w:tcW w:w="107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20</w:t>
            </w:r>
          </w:p>
        </w:tc>
        <w:tc>
          <w:tcPr>
            <w:tcW w:w="1250" w:type="dxa"/>
            <w:vAlign w:val="center"/>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77</w:t>
            </w:r>
          </w:p>
        </w:tc>
        <w:tc>
          <w:tcPr>
            <w:tcW w:w="1429" w:type="dxa"/>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78.04</w:t>
            </w:r>
          </w:p>
        </w:tc>
        <w:tc>
          <w:tcPr>
            <w:tcW w:w="1072" w:type="dxa"/>
            <w:noWrap/>
            <w:vAlign w:val="center"/>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44</w:t>
            </w:r>
          </w:p>
        </w:tc>
        <w:tc>
          <w:tcPr>
            <w:tcW w:w="1093" w:type="dxa"/>
            <w:noWrap/>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43.00</w:t>
            </w:r>
          </w:p>
        </w:tc>
      </w:tr>
      <w:tr w:rsidR="002D7DA8" w:rsidRPr="002D7DA8" w:rsidTr="000A2167">
        <w:trPr>
          <w:trHeight w:val="373"/>
        </w:trPr>
        <w:tc>
          <w:tcPr>
            <w:tcW w:w="620" w:type="dxa"/>
            <w:noWrap/>
            <w:hideMark/>
          </w:tcPr>
          <w:p w:rsidR="002D7DA8" w:rsidRPr="002D7DA8" w:rsidRDefault="002D7DA8" w:rsidP="00952FC6">
            <w:pPr>
              <w:spacing w:line="276" w:lineRule="auto"/>
              <w:jc w:val="center"/>
              <w:rPr>
                <w:rFonts w:asciiTheme="majorBidi" w:hAnsiTheme="majorBidi" w:cstheme="majorBidi"/>
                <w:color w:val="000000" w:themeColor="text1"/>
                <w:sz w:val="22"/>
              </w:rPr>
            </w:pPr>
            <w:r w:rsidRPr="002D7DA8">
              <w:rPr>
                <w:rFonts w:asciiTheme="majorBidi" w:hAnsiTheme="majorBidi" w:cstheme="majorBidi"/>
                <w:color w:val="000000" w:themeColor="text1"/>
                <w:sz w:val="22"/>
              </w:rPr>
              <w:t>15</w:t>
            </w:r>
          </w:p>
        </w:tc>
        <w:tc>
          <w:tcPr>
            <w:tcW w:w="1340"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135</w:t>
            </w:r>
          </w:p>
        </w:tc>
        <w:tc>
          <w:tcPr>
            <w:tcW w:w="98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75</w:t>
            </w:r>
          </w:p>
        </w:tc>
        <w:tc>
          <w:tcPr>
            <w:tcW w:w="1519"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10</w:t>
            </w:r>
          </w:p>
        </w:tc>
        <w:tc>
          <w:tcPr>
            <w:tcW w:w="107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20</w:t>
            </w:r>
          </w:p>
        </w:tc>
        <w:tc>
          <w:tcPr>
            <w:tcW w:w="1250" w:type="dxa"/>
            <w:vAlign w:val="center"/>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84</w:t>
            </w:r>
          </w:p>
        </w:tc>
        <w:tc>
          <w:tcPr>
            <w:tcW w:w="1429" w:type="dxa"/>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84.00</w:t>
            </w:r>
          </w:p>
        </w:tc>
        <w:tc>
          <w:tcPr>
            <w:tcW w:w="1072" w:type="dxa"/>
            <w:noWrap/>
            <w:vAlign w:val="center"/>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64</w:t>
            </w:r>
          </w:p>
        </w:tc>
        <w:tc>
          <w:tcPr>
            <w:tcW w:w="1093" w:type="dxa"/>
            <w:noWrap/>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64.00</w:t>
            </w:r>
          </w:p>
        </w:tc>
      </w:tr>
      <w:tr w:rsidR="002D7DA8" w:rsidRPr="002D7DA8" w:rsidTr="000A2167">
        <w:trPr>
          <w:trHeight w:val="373"/>
        </w:trPr>
        <w:tc>
          <w:tcPr>
            <w:tcW w:w="620" w:type="dxa"/>
            <w:noWrap/>
            <w:hideMark/>
          </w:tcPr>
          <w:p w:rsidR="002D7DA8" w:rsidRPr="002D7DA8" w:rsidRDefault="002D7DA8" w:rsidP="00952FC6">
            <w:pPr>
              <w:spacing w:line="276" w:lineRule="auto"/>
              <w:jc w:val="center"/>
              <w:rPr>
                <w:rFonts w:asciiTheme="majorBidi" w:hAnsiTheme="majorBidi" w:cstheme="majorBidi"/>
                <w:color w:val="000000" w:themeColor="text1"/>
                <w:sz w:val="22"/>
              </w:rPr>
            </w:pPr>
            <w:r w:rsidRPr="002D7DA8">
              <w:rPr>
                <w:rFonts w:asciiTheme="majorBidi" w:hAnsiTheme="majorBidi" w:cstheme="majorBidi"/>
                <w:color w:val="000000" w:themeColor="text1"/>
                <w:sz w:val="22"/>
              </w:rPr>
              <w:t>16</w:t>
            </w:r>
          </w:p>
        </w:tc>
        <w:tc>
          <w:tcPr>
            <w:tcW w:w="1340"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170</w:t>
            </w:r>
          </w:p>
        </w:tc>
        <w:tc>
          <w:tcPr>
            <w:tcW w:w="98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90</w:t>
            </w:r>
          </w:p>
        </w:tc>
        <w:tc>
          <w:tcPr>
            <w:tcW w:w="1519"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10</w:t>
            </w:r>
          </w:p>
        </w:tc>
        <w:tc>
          <w:tcPr>
            <w:tcW w:w="107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20</w:t>
            </w:r>
          </w:p>
        </w:tc>
        <w:tc>
          <w:tcPr>
            <w:tcW w:w="1250" w:type="dxa"/>
            <w:vAlign w:val="center"/>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86</w:t>
            </w:r>
          </w:p>
        </w:tc>
        <w:tc>
          <w:tcPr>
            <w:tcW w:w="1429" w:type="dxa"/>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81.67</w:t>
            </w:r>
          </w:p>
        </w:tc>
        <w:tc>
          <w:tcPr>
            <w:tcW w:w="1072" w:type="dxa"/>
            <w:noWrap/>
            <w:vAlign w:val="center"/>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45</w:t>
            </w:r>
          </w:p>
        </w:tc>
        <w:tc>
          <w:tcPr>
            <w:tcW w:w="1093" w:type="dxa"/>
            <w:noWrap/>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46.13</w:t>
            </w:r>
          </w:p>
        </w:tc>
      </w:tr>
      <w:tr w:rsidR="002D7DA8" w:rsidRPr="002D7DA8" w:rsidTr="000A2167">
        <w:trPr>
          <w:trHeight w:val="373"/>
        </w:trPr>
        <w:tc>
          <w:tcPr>
            <w:tcW w:w="620" w:type="dxa"/>
            <w:noWrap/>
            <w:hideMark/>
          </w:tcPr>
          <w:p w:rsidR="002D7DA8" w:rsidRPr="002D7DA8" w:rsidRDefault="002D7DA8" w:rsidP="00952FC6">
            <w:pPr>
              <w:spacing w:line="276" w:lineRule="auto"/>
              <w:jc w:val="center"/>
              <w:rPr>
                <w:rFonts w:asciiTheme="majorBidi" w:hAnsiTheme="majorBidi" w:cstheme="majorBidi"/>
                <w:color w:val="000000" w:themeColor="text1"/>
                <w:sz w:val="22"/>
              </w:rPr>
            </w:pPr>
            <w:r w:rsidRPr="002D7DA8">
              <w:rPr>
                <w:rFonts w:asciiTheme="majorBidi" w:hAnsiTheme="majorBidi" w:cstheme="majorBidi"/>
                <w:color w:val="000000" w:themeColor="text1"/>
                <w:sz w:val="22"/>
              </w:rPr>
              <w:t>17</w:t>
            </w:r>
          </w:p>
        </w:tc>
        <w:tc>
          <w:tcPr>
            <w:tcW w:w="1340"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135</w:t>
            </w:r>
          </w:p>
        </w:tc>
        <w:tc>
          <w:tcPr>
            <w:tcW w:w="98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75</w:t>
            </w:r>
          </w:p>
        </w:tc>
        <w:tc>
          <w:tcPr>
            <w:tcW w:w="1519"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15</w:t>
            </w:r>
          </w:p>
        </w:tc>
        <w:tc>
          <w:tcPr>
            <w:tcW w:w="107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24</w:t>
            </w:r>
          </w:p>
        </w:tc>
        <w:tc>
          <w:tcPr>
            <w:tcW w:w="1250" w:type="dxa"/>
            <w:vAlign w:val="center"/>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89</w:t>
            </w:r>
          </w:p>
        </w:tc>
        <w:tc>
          <w:tcPr>
            <w:tcW w:w="1429" w:type="dxa"/>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85.33</w:t>
            </w:r>
          </w:p>
        </w:tc>
        <w:tc>
          <w:tcPr>
            <w:tcW w:w="1072" w:type="dxa"/>
            <w:noWrap/>
            <w:vAlign w:val="center"/>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65</w:t>
            </w:r>
          </w:p>
        </w:tc>
        <w:tc>
          <w:tcPr>
            <w:tcW w:w="1093" w:type="dxa"/>
            <w:noWrap/>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64.29</w:t>
            </w:r>
          </w:p>
        </w:tc>
      </w:tr>
      <w:tr w:rsidR="002D7DA8" w:rsidRPr="002D7DA8" w:rsidTr="000A2167">
        <w:trPr>
          <w:trHeight w:val="373"/>
        </w:trPr>
        <w:tc>
          <w:tcPr>
            <w:tcW w:w="620" w:type="dxa"/>
            <w:noWrap/>
            <w:hideMark/>
          </w:tcPr>
          <w:p w:rsidR="002D7DA8" w:rsidRPr="002D7DA8" w:rsidRDefault="002D7DA8" w:rsidP="00952FC6">
            <w:pPr>
              <w:spacing w:line="276" w:lineRule="auto"/>
              <w:jc w:val="center"/>
              <w:rPr>
                <w:rFonts w:asciiTheme="majorBidi" w:hAnsiTheme="majorBidi" w:cstheme="majorBidi"/>
                <w:color w:val="000000" w:themeColor="text1"/>
                <w:sz w:val="22"/>
              </w:rPr>
            </w:pPr>
            <w:r w:rsidRPr="002D7DA8">
              <w:rPr>
                <w:rFonts w:asciiTheme="majorBidi" w:hAnsiTheme="majorBidi" w:cstheme="majorBidi"/>
                <w:color w:val="000000" w:themeColor="text1"/>
                <w:sz w:val="22"/>
              </w:rPr>
              <w:t>18</w:t>
            </w:r>
          </w:p>
        </w:tc>
        <w:tc>
          <w:tcPr>
            <w:tcW w:w="1340"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170</w:t>
            </w:r>
          </w:p>
        </w:tc>
        <w:tc>
          <w:tcPr>
            <w:tcW w:w="98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75</w:t>
            </w:r>
          </w:p>
        </w:tc>
        <w:tc>
          <w:tcPr>
            <w:tcW w:w="1519"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5</w:t>
            </w:r>
          </w:p>
        </w:tc>
        <w:tc>
          <w:tcPr>
            <w:tcW w:w="107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20</w:t>
            </w:r>
          </w:p>
        </w:tc>
        <w:tc>
          <w:tcPr>
            <w:tcW w:w="1250" w:type="dxa"/>
            <w:vAlign w:val="center"/>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54</w:t>
            </w:r>
          </w:p>
        </w:tc>
        <w:tc>
          <w:tcPr>
            <w:tcW w:w="1429" w:type="dxa"/>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59.29</w:t>
            </w:r>
          </w:p>
        </w:tc>
        <w:tc>
          <w:tcPr>
            <w:tcW w:w="1072" w:type="dxa"/>
            <w:noWrap/>
            <w:vAlign w:val="center"/>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26</w:t>
            </w:r>
          </w:p>
        </w:tc>
        <w:tc>
          <w:tcPr>
            <w:tcW w:w="1093" w:type="dxa"/>
            <w:noWrap/>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28.88</w:t>
            </w:r>
          </w:p>
        </w:tc>
      </w:tr>
      <w:tr w:rsidR="002D7DA8" w:rsidRPr="002D7DA8" w:rsidTr="000A2167">
        <w:trPr>
          <w:trHeight w:val="373"/>
        </w:trPr>
        <w:tc>
          <w:tcPr>
            <w:tcW w:w="620" w:type="dxa"/>
            <w:noWrap/>
            <w:hideMark/>
          </w:tcPr>
          <w:p w:rsidR="002D7DA8" w:rsidRPr="002D7DA8" w:rsidRDefault="002D7DA8" w:rsidP="00952FC6">
            <w:pPr>
              <w:spacing w:line="276" w:lineRule="auto"/>
              <w:jc w:val="center"/>
              <w:rPr>
                <w:rFonts w:asciiTheme="majorBidi" w:hAnsiTheme="majorBidi" w:cstheme="majorBidi"/>
                <w:color w:val="000000" w:themeColor="text1"/>
                <w:sz w:val="22"/>
              </w:rPr>
            </w:pPr>
            <w:r w:rsidRPr="002D7DA8">
              <w:rPr>
                <w:rFonts w:asciiTheme="majorBidi" w:hAnsiTheme="majorBidi" w:cstheme="majorBidi"/>
                <w:color w:val="000000" w:themeColor="text1"/>
                <w:sz w:val="22"/>
              </w:rPr>
              <w:t>19</w:t>
            </w:r>
          </w:p>
        </w:tc>
        <w:tc>
          <w:tcPr>
            <w:tcW w:w="1340"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170</w:t>
            </w:r>
          </w:p>
        </w:tc>
        <w:tc>
          <w:tcPr>
            <w:tcW w:w="98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75</w:t>
            </w:r>
          </w:p>
        </w:tc>
        <w:tc>
          <w:tcPr>
            <w:tcW w:w="1519"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10</w:t>
            </w:r>
          </w:p>
        </w:tc>
        <w:tc>
          <w:tcPr>
            <w:tcW w:w="107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16</w:t>
            </w:r>
          </w:p>
        </w:tc>
        <w:tc>
          <w:tcPr>
            <w:tcW w:w="1250" w:type="dxa"/>
            <w:vAlign w:val="center"/>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68</w:t>
            </w:r>
          </w:p>
        </w:tc>
        <w:tc>
          <w:tcPr>
            <w:tcW w:w="1429" w:type="dxa"/>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62.38</w:t>
            </w:r>
          </w:p>
        </w:tc>
        <w:tc>
          <w:tcPr>
            <w:tcW w:w="1072" w:type="dxa"/>
            <w:noWrap/>
            <w:vAlign w:val="center"/>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38</w:t>
            </w:r>
          </w:p>
        </w:tc>
        <w:tc>
          <w:tcPr>
            <w:tcW w:w="1093" w:type="dxa"/>
            <w:noWrap/>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33.33</w:t>
            </w:r>
          </w:p>
        </w:tc>
      </w:tr>
      <w:tr w:rsidR="002D7DA8" w:rsidRPr="002D7DA8" w:rsidTr="000A2167">
        <w:trPr>
          <w:trHeight w:val="373"/>
        </w:trPr>
        <w:tc>
          <w:tcPr>
            <w:tcW w:w="620" w:type="dxa"/>
            <w:noWrap/>
            <w:hideMark/>
          </w:tcPr>
          <w:p w:rsidR="002D7DA8" w:rsidRPr="002D7DA8" w:rsidRDefault="002D7DA8" w:rsidP="00952FC6">
            <w:pPr>
              <w:spacing w:line="276" w:lineRule="auto"/>
              <w:jc w:val="center"/>
              <w:rPr>
                <w:rFonts w:asciiTheme="majorBidi" w:hAnsiTheme="majorBidi" w:cstheme="majorBidi"/>
                <w:color w:val="000000" w:themeColor="text1"/>
                <w:sz w:val="22"/>
              </w:rPr>
            </w:pPr>
            <w:r w:rsidRPr="002D7DA8">
              <w:rPr>
                <w:rFonts w:asciiTheme="majorBidi" w:hAnsiTheme="majorBidi" w:cstheme="majorBidi"/>
                <w:color w:val="000000" w:themeColor="text1"/>
                <w:sz w:val="22"/>
              </w:rPr>
              <w:t>20</w:t>
            </w:r>
          </w:p>
        </w:tc>
        <w:tc>
          <w:tcPr>
            <w:tcW w:w="1340"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100</w:t>
            </w:r>
          </w:p>
        </w:tc>
        <w:tc>
          <w:tcPr>
            <w:tcW w:w="98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75</w:t>
            </w:r>
          </w:p>
        </w:tc>
        <w:tc>
          <w:tcPr>
            <w:tcW w:w="1519"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15</w:t>
            </w:r>
          </w:p>
        </w:tc>
        <w:tc>
          <w:tcPr>
            <w:tcW w:w="107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20</w:t>
            </w:r>
          </w:p>
        </w:tc>
        <w:tc>
          <w:tcPr>
            <w:tcW w:w="1250" w:type="dxa"/>
            <w:vAlign w:val="center"/>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58</w:t>
            </w:r>
          </w:p>
        </w:tc>
        <w:tc>
          <w:tcPr>
            <w:tcW w:w="1429" w:type="dxa"/>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56.46</w:t>
            </w:r>
          </w:p>
        </w:tc>
        <w:tc>
          <w:tcPr>
            <w:tcW w:w="1072" w:type="dxa"/>
            <w:noWrap/>
            <w:vAlign w:val="center"/>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31</w:t>
            </w:r>
          </w:p>
        </w:tc>
        <w:tc>
          <w:tcPr>
            <w:tcW w:w="1093" w:type="dxa"/>
            <w:noWrap/>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30.38</w:t>
            </w:r>
          </w:p>
        </w:tc>
      </w:tr>
      <w:tr w:rsidR="002D7DA8" w:rsidRPr="002D7DA8" w:rsidTr="000A2167">
        <w:trPr>
          <w:trHeight w:val="373"/>
        </w:trPr>
        <w:tc>
          <w:tcPr>
            <w:tcW w:w="620" w:type="dxa"/>
            <w:noWrap/>
            <w:hideMark/>
          </w:tcPr>
          <w:p w:rsidR="002D7DA8" w:rsidRPr="002D7DA8" w:rsidRDefault="002D7DA8" w:rsidP="00952FC6">
            <w:pPr>
              <w:spacing w:line="276" w:lineRule="auto"/>
              <w:jc w:val="center"/>
              <w:rPr>
                <w:rFonts w:asciiTheme="majorBidi" w:hAnsiTheme="majorBidi" w:cstheme="majorBidi"/>
                <w:color w:val="000000" w:themeColor="text1"/>
                <w:sz w:val="22"/>
              </w:rPr>
            </w:pPr>
            <w:r w:rsidRPr="002D7DA8">
              <w:rPr>
                <w:rFonts w:asciiTheme="majorBidi" w:hAnsiTheme="majorBidi" w:cstheme="majorBidi"/>
                <w:color w:val="000000" w:themeColor="text1"/>
                <w:sz w:val="22"/>
              </w:rPr>
              <w:t>21</w:t>
            </w:r>
          </w:p>
        </w:tc>
        <w:tc>
          <w:tcPr>
            <w:tcW w:w="1340"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100</w:t>
            </w:r>
          </w:p>
        </w:tc>
        <w:tc>
          <w:tcPr>
            <w:tcW w:w="98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75</w:t>
            </w:r>
          </w:p>
        </w:tc>
        <w:tc>
          <w:tcPr>
            <w:tcW w:w="1519"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10</w:t>
            </w:r>
          </w:p>
        </w:tc>
        <w:tc>
          <w:tcPr>
            <w:tcW w:w="107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16</w:t>
            </w:r>
          </w:p>
        </w:tc>
        <w:tc>
          <w:tcPr>
            <w:tcW w:w="1250" w:type="dxa"/>
            <w:vAlign w:val="center"/>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52</w:t>
            </w:r>
          </w:p>
        </w:tc>
        <w:tc>
          <w:tcPr>
            <w:tcW w:w="1429" w:type="dxa"/>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52.88</w:t>
            </w:r>
          </w:p>
        </w:tc>
        <w:tc>
          <w:tcPr>
            <w:tcW w:w="1072" w:type="dxa"/>
            <w:noWrap/>
            <w:vAlign w:val="center"/>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23</w:t>
            </w:r>
          </w:p>
        </w:tc>
        <w:tc>
          <w:tcPr>
            <w:tcW w:w="1093" w:type="dxa"/>
            <w:noWrap/>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24.33</w:t>
            </w:r>
          </w:p>
        </w:tc>
      </w:tr>
      <w:tr w:rsidR="002D7DA8" w:rsidRPr="002D7DA8" w:rsidTr="000A2167">
        <w:trPr>
          <w:trHeight w:val="373"/>
        </w:trPr>
        <w:tc>
          <w:tcPr>
            <w:tcW w:w="620" w:type="dxa"/>
            <w:noWrap/>
            <w:hideMark/>
          </w:tcPr>
          <w:p w:rsidR="002D7DA8" w:rsidRPr="002D7DA8" w:rsidRDefault="002D7DA8" w:rsidP="00952FC6">
            <w:pPr>
              <w:spacing w:line="276" w:lineRule="auto"/>
              <w:jc w:val="center"/>
              <w:rPr>
                <w:rFonts w:asciiTheme="majorBidi" w:hAnsiTheme="majorBidi" w:cstheme="majorBidi"/>
                <w:color w:val="000000" w:themeColor="text1"/>
                <w:sz w:val="22"/>
              </w:rPr>
            </w:pPr>
            <w:r w:rsidRPr="002D7DA8">
              <w:rPr>
                <w:rFonts w:asciiTheme="majorBidi" w:hAnsiTheme="majorBidi" w:cstheme="majorBidi"/>
                <w:color w:val="000000" w:themeColor="text1"/>
                <w:sz w:val="22"/>
              </w:rPr>
              <w:t>22</w:t>
            </w:r>
          </w:p>
        </w:tc>
        <w:tc>
          <w:tcPr>
            <w:tcW w:w="1340"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170</w:t>
            </w:r>
          </w:p>
        </w:tc>
        <w:tc>
          <w:tcPr>
            <w:tcW w:w="98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75</w:t>
            </w:r>
          </w:p>
        </w:tc>
        <w:tc>
          <w:tcPr>
            <w:tcW w:w="1519"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10</w:t>
            </w:r>
          </w:p>
        </w:tc>
        <w:tc>
          <w:tcPr>
            <w:tcW w:w="107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24</w:t>
            </w:r>
          </w:p>
        </w:tc>
        <w:tc>
          <w:tcPr>
            <w:tcW w:w="1250" w:type="dxa"/>
            <w:vAlign w:val="center"/>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90</w:t>
            </w:r>
          </w:p>
        </w:tc>
        <w:tc>
          <w:tcPr>
            <w:tcW w:w="1429" w:type="dxa"/>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85.38</w:t>
            </w:r>
          </w:p>
        </w:tc>
        <w:tc>
          <w:tcPr>
            <w:tcW w:w="1072" w:type="dxa"/>
            <w:noWrap/>
            <w:vAlign w:val="center"/>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64</w:t>
            </w:r>
          </w:p>
        </w:tc>
        <w:tc>
          <w:tcPr>
            <w:tcW w:w="1093" w:type="dxa"/>
            <w:noWrap/>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60.67</w:t>
            </w:r>
          </w:p>
        </w:tc>
      </w:tr>
      <w:tr w:rsidR="002D7DA8" w:rsidRPr="002D7DA8" w:rsidTr="000A2167">
        <w:trPr>
          <w:trHeight w:val="373"/>
        </w:trPr>
        <w:tc>
          <w:tcPr>
            <w:tcW w:w="620" w:type="dxa"/>
            <w:noWrap/>
            <w:hideMark/>
          </w:tcPr>
          <w:p w:rsidR="002D7DA8" w:rsidRPr="002D7DA8" w:rsidRDefault="002D7DA8" w:rsidP="00952FC6">
            <w:pPr>
              <w:spacing w:line="276" w:lineRule="auto"/>
              <w:jc w:val="center"/>
              <w:rPr>
                <w:rFonts w:asciiTheme="majorBidi" w:hAnsiTheme="majorBidi" w:cstheme="majorBidi"/>
                <w:color w:val="000000" w:themeColor="text1"/>
                <w:sz w:val="22"/>
              </w:rPr>
            </w:pPr>
            <w:r w:rsidRPr="002D7DA8">
              <w:rPr>
                <w:rFonts w:asciiTheme="majorBidi" w:hAnsiTheme="majorBidi" w:cstheme="majorBidi"/>
                <w:color w:val="000000" w:themeColor="text1"/>
                <w:sz w:val="22"/>
              </w:rPr>
              <w:t>23</w:t>
            </w:r>
          </w:p>
        </w:tc>
        <w:tc>
          <w:tcPr>
            <w:tcW w:w="1340"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135</w:t>
            </w:r>
          </w:p>
        </w:tc>
        <w:tc>
          <w:tcPr>
            <w:tcW w:w="98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75</w:t>
            </w:r>
          </w:p>
        </w:tc>
        <w:tc>
          <w:tcPr>
            <w:tcW w:w="1519"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10</w:t>
            </w:r>
          </w:p>
        </w:tc>
        <w:tc>
          <w:tcPr>
            <w:tcW w:w="107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20</w:t>
            </w:r>
          </w:p>
        </w:tc>
        <w:tc>
          <w:tcPr>
            <w:tcW w:w="1250" w:type="dxa"/>
            <w:vAlign w:val="center"/>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84</w:t>
            </w:r>
          </w:p>
        </w:tc>
        <w:tc>
          <w:tcPr>
            <w:tcW w:w="1429" w:type="dxa"/>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84.00</w:t>
            </w:r>
          </w:p>
        </w:tc>
        <w:tc>
          <w:tcPr>
            <w:tcW w:w="1072" w:type="dxa"/>
            <w:noWrap/>
            <w:vAlign w:val="center"/>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64</w:t>
            </w:r>
          </w:p>
        </w:tc>
        <w:tc>
          <w:tcPr>
            <w:tcW w:w="1093" w:type="dxa"/>
            <w:noWrap/>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64.00</w:t>
            </w:r>
          </w:p>
        </w:tc>
      </w:tr>
      <w:tr w:rsidR="002D7DA8" w:rsidRPr="002D7DA8" w:rsidTr="000A2167">
        <w:trPr>
          <w:trHeight w:val="373"/>
        </w:trPr>
        <w:tc>
          <w:tcPr>
            <w:tcW w:w="620" w:type="dxa"/>
            <w:noWrap/>
            <w:hideMark/>
          </w:tcPr>
          <w:p w:rsidR="002D7DA8" w:rsidRPr="002D7DA8" w:rsidRDefault="002D7DA8" w:rsidP="00952FC6">
            <w:pPr>
              <w:spacing w:line="276" w:lineRule="auto"/>
              <w:jc w:val="center"/>
              <w:rPr>
                <w:rFonts w:asciiTheme="majorBidi" w:hAnsiTheme="majorBidi" w:cstheme="majorBidi"/>
                <w:color w:val="000000" w:themeColor="text1"/>
                <w:sz w:val="22"/>
              </w:rPr>
            </w:pPr>
            <w:r w:rsidRPr="002D7DA8">
              <w:rPr>
                <w:rFonts w:asciiTheme="majorBidi" w:hAnsiTheme="majorBidi" w:cstheme="majorBidi"/>
                <w:color w:val="000000" w:themeColor="text1"/>
                <w:sz w:val="22"/>
              </w:rPr>
              <w:t>24</w:t>
            </w:r>
          </w:p>
        </w:tc>
        <w:tc>
          <w:tcPr>
            <w:tcW w:w="1340"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100</w:t>
            </w:r>
          </w:p>
        </w:tc>
        <w:tc>
          <w:tcPr>
            <w:tcW w:w="98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75</w:t>
            </w:r>
          </w:p>
        </w:tc>
        <w:tc>
          <w:tcPr>
            <w:tcW w:w="1519"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10</w:t>
            </w:r>
          </w:p>
        </w:tc>
        <w:tc>
          <w:tcPr>
            <w:tcW w:w="107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24</w:t>
            </w:r>
          </w:p>
        </w:tc>
        <w:tc>
          <w:tcPr>
            <w:tcW w:w="1250" w:type="dxa"/>
            <w:vAlign w:val="center"/>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58</w:t>
            </w:r>
          </w:p>
        </w:tc>
        <w:tc>
          <w:tcPr>
            <w:tcW w:w="1429" w:type="dxa"/>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59.88</w:t>
            </w:r>
          </w:p>
        </w:tc>
        <w:tc>
          <w:tcPr>
            <w:tcW w:w="1072" w:type="dxa"/>
            <w:noWrap/>
            <w:vAlign w:val="center"/>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29</w:t>
            </w:r>
          </w:p>
        </w:tc>
        <w:tc>
          <w:tcPr>
            <w:tcW w:w="1093" w:type="dxa"/>
            <w:noWrap/>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31.67</w:t>
            </w:r>
          </w:p>
        </w:tc>
      </w:tr>
      <w:tr w:rsidR="002D7DA8" w:rsidRPr="002D7DA8" w:rsidTr="000A2167">
        <w:trPr>
          <w:trHeight w:val="373"/>
        </w:trPr>
        <w:tc>
          <w:tcPr>
            <w:tcW w:w="620" w:type="dxa"/>
            <w:noWrap/>
            <w:hideMark/>
          </w:tcPr>
          <w:p w:rsidR="002D7DA8" w:rsidRPr="002D7DA8" w:rsidRDefault="002D7DA8" w:rsidP="00952FC6">
            <w:pPr>
              <w:spacing w:line="276" w:lineRule="auto"/>
              <w:jc w:val="center"/>
              <w:rPr>
                <w:rFonts w:asciiTheme="majorBidi" w:hAnsiTheme="majorBidi" w:cstheme="majorBidi"/>
                <w:color w:val="000000" w:themeColor="text1"/>
                <w:sz w:val="22"/>
              </w:rPr>
            </w:pPr>
            <w:r w:rsidRPr="002D7DA8">
              <w:rPr>
                <w:rFonts w:asciiTheme="majorBidi" w:hAnsiTheme="majorBidi" w:cstheme="majorBidi"/>
                <w:color w:val="000000" w:themeColor="text1"/>
                <w:sz w:val="22"/>
              </w:rPr>
              <w:t>25</w:t>
            </w:r>
          </w:p>
        </w:tc>
        <w:tc>
          <w:tcPr>
            <w:tcW w:w="1340"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100</w:t>
            </w:r>
          </w:p>
        </w:tc>
        <w:tc>
          <w:tcPr>
            <w:tcW w:w="98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90</w:t>
            </w:r>
          </w:p>
        </w:tc>
        <w:tc>
          <w:tcPr>
            <w:tcW w:w="1519"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10</w:t>
            </w:r>
          </w:p>
        </w:tc>
        <w:tc>
          <w:tcPr>
            <w:tcW w:w="107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20</w:t>
            </w:r>
          </w:p>
        </w:tc>
        <w:tc>
          <w:tcPr>
            <w:tcW w:w="1250" w:type="dxa"/>
            <w:vAlign w:val="center"/>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90</w:t>
            </w:r>
          </w:p>
        </w:tc>
        <w:tc>
          <w:tcPr>
            <w:tcW w:w="1429" w:type="dxa"/>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82.67</w:t>
            </w:r>
          </w:p>
        </w:tc>
        <w:tc>
          <w:tcPr>
            <w:tcW w:w="1072" w:type="dxa"/>
            <w:noWrap/>
            <w:vAlign w:val="center"/>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55</w:t>
            </w:r>
          </w:p>
        </w:tc>
        <w:tc>
          <w:tcPr>
            <w:tcW w:w="1093" w:type="dxa"/>
            <w:noWrap/>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51.13</w:t>
            </w:r>
          </w:p>
        </w:tc>
      </w:tr>
      <w:tr w:rsidR="002D7DA8" w:rsidRPr="002D7DA8" w:rsidTr="000A2167">
        <w:trPr>
          <w:trHeight w:val="373"/>
        </w:trPr>
        <w:tc>
          <w:tcPr>
            <w:tcW w:w="620" w:type="dxa"/>
            <w:noWrap/>
            <w:hideMark/>
          </w:tcPr>
          <w:p w:rsidR="002D7DA8" w:rsidRPr="002D7DA8" w:rsidRDefault="002D7DA8" w:rsidP="00952FC6">
            <w:pPr>
              <w:spacing w:line="276" w:lineRule="auto"/>
              <w:jc w:val="center"/>
              <w:rPr>
                <w:rFonts w:asciiTheme="majorBidi" w:hAnsiTheme="majorBidi" w:cstheme="majorBidi"/>
                <w:color w:val="000000" w:themeColor="text1"/>
                <w:sz w:val="22"/>
              </w:rPr>
            </w:pPr>
            <w:r w:rsidRPr="002D7DA8">
              <w:rPr>
                <w:rFonts w:asciiTheme="majorBidi" w:hAnsiTheme="majorBidi" w:cstheme="majorBidi"/>
                <w:color w:val="000000" w:themeColor="text1"/>
                <w:sz w:val="22"/>
              </w:rPr>
              <w:t>26</w:t>
            </w:r>
          </w:p>
        </w:tc>
        <w:tc>
          <w:tcPr>
            <w:tcW w:w="1340"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135</w:t>
            </w:r>
          </w:p>
        </w:tc>
        <w:tc>
          <w:tcPr>
            <w:tcW w:w="98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75</w:t>
            </w:r>
          </w:p>
        </w:tc>
        <w:tc>
          <w:tcPr>
            <w:tcW w:w="1519"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10</w:t>
            </w:r>
          </w:p>
        </w:tc>
        <w:tc>
          <w:tcPr>
            <w:tcW w:w="107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20</w:t>
            </w:r>
          </w:p>
        </w:tc>
        <w:tc>
          <w:tcPr>
            <w:tcW w:w="1250" w:type="dxa"/>
            <w:vAlign w:val="center"/>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84</w:t>
            </w:r>
          </w:p>
        </w:tc>
        <w:tc>
          <w:tcPr>
            <w:tcW w:w="1429" w:type="dxa"/>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84.00</w:t>
            </w:r>
          </w:p>
        </w:tc>
        <w:tc>
          <w:tcPr>
            <w:tcW w:w="1072" w:type="dxa"/>
            <w:noWrap/>
            <w:vAlign w:val="center"/>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64</w:t>
            </w:r>
          </w:p>
        </w:tc>
        <w:tc>
          <w:tcPr>
            <w:tcW w:w="1093" w:type="dxa"/>
            <w:noWrap/>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64.00</w:t>
            </w:r>
          </w:p>
        </w:tc>
      </w:tr>
      <w:tr w:rsidR="002D7DA8" w:rsidRPr="002D7DA8" w:rsidTr="000A2167">
        <w:trPr>
          <w:trHeight w:val="373"/>
        </w:trPr>
        <w:tc>
          <w:tcPr>
            <w:tcW w:w="620" w:type="dxa"/>
            <w:noWrap/>
            <w:hideMark/>
          </w:tcPr>
          <w:p w:rsidR="002D7DA8" w:rsidRPr="002D7DA8" w:rsidRDefault="002D7DA8" w:rsidP="00952FC6">
            <w:pPr>
              <w:spacing w:line="276" w:lineRule="auto"/>
              <w:jc w:val="center"/>
              <w:rPr>
                <w:rFonts w:asciiTheme="majorBidi" w:hAnsiTheme="majorBidi" w:cstheme="majorBidi"/>
                <w:color w:val="000000" w:themeColor="text1"/>
                <w:sz w:val="22"/>
              </w:rPr>
            </w:pPr>
            <w:r w:rsidRPr="002D7DA8">
              <w:rPr>
                <w:rFonts w:asciiTheme="majorBidi" w:hAnsiTheme="majorBidi" w:cstheme="majorBidi"/>
                <w:color w:val="000000" w:themeColor="text1"/>
                <w:sz w:val="22"/>
              </w:rPr>
              <w:t>27</w:t>
            </w:r>
          </w:p>
        </w:tc>
        <w:tc>
          <w:tcPr>
            <w:tcW w:w="1340"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170</w:t>
            </w:r>
          </w:p>
        </w:tc>
        <w:tc>
          <w:tcPr>
            <w:tcW w:w="98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60</w:t>
            </w:r>
          </w:p>
        </w:tc>
        <w:tc>
          <w:tcPr>
            <w:tcW w:w="1519"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10</w:t>
            </w:r>
          </w:p>
        </w:tc>
        <w:tc>
          <w:tcPr>
            <w:tcW w:w="107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20</w:t>
            </w:r>
          </w:p>
        </w:tc>
        <w:tc>
          <w:tcPr>
            <w:tcW w:w="1250" w:type="dxa"/>
            <w:vAlign w:val="center"/>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75</w:t>
            </w:r>
          </w:p>
        </w:tc>
        <w:tc>
          <w:tcPr>
            <w:tcW w:w="1429" w:type="dxa"/>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82.33</w:t>
            </w:r>
          </w:p>
        </w:tc>
        <w:tc>
          <w:tcPr>
            <w:tcW w:w="1072" w:type="dxa"/>
            <w:noWrap/>
            <w:vAlign w:val="center"/>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54</w:t>
            </w:r>
          </w:p>
        </w:tc>
        <w:tc>
          <w:tcPr>
            <w:tcW w:w="1093" w:type="dxa"/>
            <w:noWrap/>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57.63</w:t>
            </w:r>
          </w:p>
        </w:tc>
      </w:tr>
      <w:tr w:rsidR="002D7DA8" w:rsidRPr="002D7DA8" w:rsidTr="000A2167">
        <w:trPr>
          <w:trHeight w:val="373"/>
        </w:trPr>
        <w:tc>
          <w:tcPr>
            <w:tcW w:w="620" w:type="dxa"/>
            <w:noWrap/>
            <w:hideMark/>
          </w:tcPr>
          <w:p w:rsidR="002D7DA8" w:rsidRPr="002D7DA8" w:rsidRDefault="002D7DA8" w:rsidP="00952FC6">
            <w:pPr>
              <w:spacing w:line="276" w:lineRule="auto"/>
              <w:jc w:val="center"/>
              <w:rPr>
                <w:rFonts w:asciiTheme="majorBidi" w:hAnsiTheme="majorBidi" w:cstheme="majorBidi"/>
                <w:color w:val="000000" w:themeColor="text1"/>
                <w:sz w:val="22"/>
              </w:rPr>
            </w:pPr>
            <w:r w:rsidRPr="002D7DA8">
              <w:rPr>
                <w:rFonts w:asciiTheme="majorBidi" w:hAnsiTheme="majorBidi" w:cstheme="majorBidi"/>
                <w:color w:val="000000" w:themeColor="text1"/>
                <w:sz w:val="22"/>
              </w:rPr>
              <w:t>28</w:t>
            </w:r>
          </w:p>
        </w:tc>
        <w:tc>
          <w:tcPr>
            <w:tcW w:w="1340"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135</w:t>
            </w:r>
          </w:p>
        </w:tc>
        <w:tc>
          <w:tcPr>
            <w:tcW w:w="98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75</w:t>
            </w:r>
          </w:p>
        </w:tc>
        <w:tc>
          <w:tcPr>
            <w:tcW w:w="1519"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10</w:t>
            </w:r>
          </w:p>
        </w:tc>
        <w:tc>
          <w:tcPr>
            <w:tcW w:w="1072" w:type="dxa"/>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20</w:t>
            </w:r>
          </w:p>
        </w:tc>
        <w:tc>
          <w:tcPr>
            <w:tcW w:w="1250" w:type="dxa"/>
            <w:vAlign w:val="center"/>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84</w:t>
            </w:r>
          </w:p>
        </w:tc>
        <w:tc>
          <w:tcPr>
            <w:tcW w:w="1429" w:type="dxa"/>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84.00</w:t>
            </w:r>
          </w:p>
        </w:tc>
        <w:tc>
          <w:tcPr>
            <w:tcW w:w="1072" w:type="dxa"/>
            <w:noWrap/>
            <w:vAlign w:val="center"/>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64</w:t>
            </w:r>
          </w:p>
        </w:tc>
        <w:tc>
          <w:tcPr>
            <w:tcW w:w="1093" w:type="dxa"/>
            <w:noWrap/>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64.00</w:t>
            </w:r>
          </w:p>
        </w:tc>
      </w:tr>
      <w:tr w:rsidR="002D7DA8" w:rsidRPr="002D7DA8" w:rsidTr="000A2167">
        <w:trPr>
          <w:trHeight w:val="373"/>
        </w:trPr>
        <w:tc>
          <w:tcPr>
            <w:tcW w:w="620" w:type="dxa"/>
            <w:tcBorders>
              <w:bottom w:val="single" w:sz="8" w:space="0" w:color="auto"/>
            </w:tcBorders>
            <w:noWrap/>
            <w:hideMark/>
          </w:tcPr>
          <w:p w:rsidR="002D7DA8" w:rsidRPr="002D7DA8" w:rsidRDefault="002D7DA8" w:rsidP="00952FC6">
            <w:pPr>
              <w:spacing w:line="276" w:lineRule="auto"/>
              <w:jc w:val="center"/>
              <w:rPr>
                <w:rFonts w:asciiTheme="majorBidi" w:hAnsiTheme="majorBidi" w:cstheme="majorBidi"/>
                <w:color w:val="000000" w:themeColor="text1"/>
                <w:sz w:val="22"/>
              </w:rPr>
            </w:pPr>
            <w:r w:rsidRPr="002D7DA8">
              <w:rPr>
                <w:rFonts w:asciiTheme="majorBidi" w:hAnsiTheme="majorBidi" w:cstheme="majorBidi"/>
                <w:color w:val="000000" w:themeColor="text1"/>
                <w:sz w:val="22"/>
              </w:rPr>
              <w:t>29</w:t>
            </w:r>
          </w:p>
        </w:tc>
        <w:tc>
          <w:tcPr>
            <w:tcW w:w="1340" w:type="dxa"/>
            <w:tcBorders>
              <w:bottom w:val="single" w:sz="8" w:space="0" w:color="auto"/>
            </w:tcBorders>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135</w:t>
            </w:r>
          </w:p>
        </w:tc>
        <w:tc>
          <w:tcPr>
            <w:tcW w:w="982" w:type="dxa"/>
            <w:tcBorders>
              <w:bottom w:val="single" w:sz="8" w:space="0" w:color="auto"/>
            </w:tcBorders>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75</w:t>
            </w:r>
          </w:p>
        </w:tc>
        <w:tc>
          <w:tcPr>
            <w:tcW w:w="1519" w:type="dxa"/>
            <w:tcBorders>
              <w:bottom w:val="single" w:sz="8" w:space="0" w:color="auto"/>
            </w:tcBorders>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5</w:t>
            </w:r>
          </w:p>
        </w:tc>
        <w:tc>
          <w:tcPr>
            <w:tcW w:w="1072" w:type="dxa"/>
            <w:tcBorders>
              <w:bottom w:val="single" w:sz="8" w:space="0" w:color="auto"/>
            </w:tcBorders>
            <w:noWrap/>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16</w:t>
            </w:r>
          </w:p>
        </w:tc>
        <w:tc>
          <w:tcPr>
            <w:tcW w:w="1250" w:type="dxa"/>
            <w:tcBorders>
              <w:bottom w:val="single" w:sz="8" w:space="0" w:color="auto"/>
            </w:tcBorders>
            <w:vAlign w:val="center"/>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52</w:t>
            </w:r>
          </w:p>
        </w:tc>
        <w:tc>
          <w:tcPr>
            <w:tcW w:w="1429" w:type="dxa"/>
            <w:tcBorders>
              <w:bottom w:val="single" w:sz="8" w:space="0" w:color="auto"/>
            </w:tcBorders>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55.67</w:t>
            </w:r>
          </w:p>
        </w:tc>
        <w:tc>
          <w:tcPr>
            <w:tcW w:w="1072" w:type="dxa"/>
            <w:tcBorders>
              <w:bottom w:val="single" w:sz="8" w:space="0" w:color="auto"/>
            </w:tcBorders>
            <w:noWrap/>
            <w:vAlign w:val="center"/>
            <w:hideMark/>
          </w:tcPr>
          <w:p w:rsidR="002D7DA8" w:rsidRPr="002D7DA8" w:rsidRDefault="002D7DA8" w:rsidP="00952FC6">
            <w:pPr>
              <w:spacing w:line="276" w:lineRule="auto"/>
              <w:jc w:val="right"/>
              <w:rPr>
                <w:rFonts w:asciiTheme="majorBidi" w:hAnsiTheme="majorBidi" w:cstheme="majorBidi"/>
                <w:color w:val="000000"/>
                <w:sz w:val="22"/>
              </w:rPr>
            </w:pPr>
            <w:r w:rsidRPr="002D7DA8">
              <w:rPr>
                <w:rFonts w:asciiTheme="majorBidi" w:hAnsiTheme="majorBidi" w:cstheme="majorBidi"/>
                <w:color w:val="000000"/>
                <w:sz w:val="22"/>
              </w:rPr>
              <w:t>26</w:t>
            </w:r>
          </w:p>
        </w:tc>
        <w:tc>
          <w:tcPr>
            <w:tcW w:w="1093" w:type="dxa"/>
            <w:tcBorders>
              <w:bottom w:val="single" w:sz="8" w:space="0" w:color="auto"/>
            </w:tcBorders>
            <w:noWrap/>
            <w:vAlign w:val="center"/>
          </w:tcPr>
          <w:p w:rsidR="002D7DA8" w:rsidRPr="002D7DA8" w:rsidRDefault="002D7DA8" w:rsidP="00952FC6">
            <w:pPr>
              <w:jc w:val="right"/>
              <w:rPr>
                <w:rFonts w:asciiTheme="majorBidi" w:hAnsiTheme="majorBidi" w:cstheme="majorBidi"/>
                <w:color w:val="000000"/>
                <w:sz w:val="22"/>
              </w:rPr>
            </w:pPr>
            <w:r w:rsidRPr="002D7DA8">
              <w:rPr>
                <w:rFonts w:asciiTheme="majorBidi" w:hAnsiTheme="majorBidi" w:cstheme="majorBidi"/>
                <w:color w:val="000000"/>
                <w:sz w:val="22"/>
              </w:rPr>
              <w:t>26.46</w:t>
            </w:r>
          </w:p>
        </w:tc>
      </w:tr>
    </w:tbl>
    <w:p w:rsidR="003504A1" w:rsidRDefault="003504A1"/>
    <w:p w:rsidR="003504A1" w:rsidRDefault="003504A1">
      <w:pPr>
        <w:spacing w:after="200" w:line="276" w:lineRule="auto"/>
        <w:rPr>
          <w:rFonts w:ascii="Times" w:eastAsia="Times New Roman" w:hAnsi="Times"/>
          <w:b/>
          <w:szCs w:val="20"/>
        </w:rPr>
      </w:pPr>
      <w:r>
        <w:br w:type="page"/>
      </w:r>
    </w:p>
    <w:p w:rsidR="00133C55" w:rsidRDefault="00133C55" w:rsidP="00FB6D14">
      <w:pPr>
        <w:pStyle w:val="Heading2"/>
      </w:pPr>
      <w:r w:rsidRPr="00B6778D">
        <w:lastRenderedPageBreak/>
        <w:t>2.4 Statistical Analysis</w:t>
      </w:r>
    </w:p>
    <w:p w:rsidR="00DC12C9" w:rsidRDefault="00DC12C9">
      <w:pPr>
        <w:pStyle w:val="TAMainText"/>
        <w:spacing w:line="360" w:lineRule="auto"/>
        <w:ind w:firstLine="0"/>
        <w:contextualSpacing/>
        <w:rPr>
          <w:rFonts w:ascii="Times New Roman" w:hAnsi="Times New Roman"/>
          <w:color w:val="000000" w:themeColor="text1"/>
        </w:rPr>
      </w:pPr>
      <w:r>
        <w:rPr>
          <w:rFonts w:ascii="Times New Roman" w:hAnsi="Times New Roman"/>
          <w:color w:val="000000" w:themeColor="text1"/>
        </w:rPr>
        <w:t xml:space="preserve">The mathematical model was defined </w:t>
      </w:r>
      <w:r w:rsidR="003504A1" w:rsidRPr="00B908E2">
        <w:rPr>
          <w:rFonts w:ascii="Times New Roman" w:hAnsi="Times New Roman"/>
          <w:i/>
          <w:iCs/>
          <w:color w:val="000000" w:themeColor="text1"/>
        </w:rPr>
        <w:t>via</w:t>
      </w:r>
      <w:r w:rsidR="003504A1">
        <w:rPr>
          <w:rFonts w:ascii="Times New Roman" w:hAnsi="Times New Roman"/>
          <w:color w:val="000000" w:themeColor="text1"/>
        </w:rPr>
        <w:t xml:space="preserve"> </w:t>
      </w:r>
      <w:r>
        <w:rPr>
          <w:rFonts w:ascii="Times New Roman" w:hAnsi="Times New Roman"/>
          <w:color w:val="000000" w:themeColor="text1"/>
        </w:rPr>
        <w:t>multiple regression analysis using the general quadratic model as shown in Equation (1).</w:t>
      </w:r>
    </w:p>
    <w:p w:rsidR="003D4254" w:rsidRDefault="003D4254" w:rsidP="003D4254">
      <w:pPr>
        <w:jc w:val="both"/>
        <w:rPr>
          <w:color w:val="000000" w:themeColor="text1"/>
        </w:rPr>
      </w:pPr>
      <m:oMath>
        <m:r>
          <w:rPr>
            <w:rFonts w:ascii="Cambria Math" w:hAnsi="Cambria Math"/>
            <w:color w:val="000000" w:themeColor="text1"/>
          </w:rPr>
          <m:t>Y</m:t>
        </m:r>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b</m:t>
            </m:r>
          </m:e>
          <m:sub>
            <m:r>
              <w:rPr>
                <w:rFonts w:ascii="Cambria Math" w:hAnsi="Cambria Math"/>
                <w:color w:val="000000" w:themeColor="text1"/>
              </w:rPr>
              <m:t>o</m:t>
            </m:r>
          </m:sub>
        </m:sSub>
        <m:r>
          <m:rPr>
            <m:sty m:val="p"/>
          </m:rPr>
          <w:rPr>
            <w:rFonts w:ascii="Cambria Math" w:hAnsi="Cambria Math"/>
            <w:color w:val="000000" w:themeColor="text1"/>
          </w:rPr>
          <m:t>+</m:t>
        </m:r>
        <m:nary>
          <m:naryPr>
            <m:chr m:val="∑"/>
            <m:limLoc m:val="undOvr"/>
            <m:ctrlPr>
              <w:rPr>
                <w:rFonts w:ascii="Cambria Math" w:hAnsi="Cambria Math"/>
                <w:color w:val="000000" w:themeColor="text1"/>
              </w:rPr>
            </m:ctrlPr>
          </m:naryPr>
          <m:sub>
            <m:r>
              <w:rPr>
                <w:rFonts w:ascii="Cambria Math" w:hAnsi="Cambria Math"/>
                <w:color w:val="000000" w:themeColor="text1"/>
              </w:rPr>
              <m:t>i</m:t>
            </m:r>
            <m:r>
              <m:rPr>
                <m:sty m:val="p"/>
              </m:rPr>
              <w:rPr>
                <w:rFonts w:ascii="Cambria Math" w:hAnsi="Cambria Math"/>
                <w:color w:val="000000" w:themeColor="text1"/>
              </w:rPr>
              <m:t>=1</m:t>
            </m:r>
          </m:sub>
          <m:sup>
            <m:r>
              <w:rPr>
                <w:rFonts w:ascii="Cambria Math" w:hAnsi="Cambria Math"/>
                <w:color w:val="000000" w:themeColor="text1"/>
              </w:rPr>
              <m:t>n</m:t>
            </m:r>
          </m:sup>
          <m:e>
            <m:sSub>
              <m:sSubPr>
                <m:ctrlPr>
                  <w:rPr>
                    <w:rFonts w:ascii="Cambria Math" w:hAnsi="Cambria Math"/>
                    <w:color w:val="000000" w:themeColor="text1"/>
                  </w:rPr>
                </m:ctrlPr>
              </m:sSubPr>
              <m:e>
                <m:r>
                  <w:rPr>
                    <w:rFonts w:ascii="Cambria Math" w:hAnsi="Cambria Math"/>
                    <w:color w:val="000000" w:themeColor="text1"/>
                  </w:rPr>
                  <m:t>b</m:t>
                </m:r>
              </m:e>
              <m:sub>
                <m:r>
                  <w:rPr>
                    <w:rFonts w:ascii="Cambria Math" w:hAnsi="Cambria Math"/>
                    <w:color w:val="000000" w:themeColor="text1"/>
                  </w:rPr>
                  <m:t>i</m:t>
                </m:r>
              </m:sub>
            </m:sSub>
            <m:sSub>
              <m:sSubPr>
                <m:ctrlPr>
                  <w:rPr>
                    <w:rFonts w:ascii="Cambria Math" w:hAnsi="Cambria Math"/>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e>
        </m:nary>
        <m:r>
          <m:rPr>
            <m:sty m:val="p"/>
          </m:rPr>
          <w:rPr>
            <w:rFonts w:ascii="Cambria Math" w:hAnsi="Cambria Math"/>
            <w:color w:val="000000" w:themeColor="text1"/>
          </w:rPr>
          <m:t>+</m:t>
        </m:r>
        <m:nary>
          <m:naryPr>
            <m:chr m:val="∑"/>
            <m:limLoc m:val="undOvr"/>
            <m:ctrlPr>
              <w:rPr>
                <w:rFonts w:ascii="Cambria Math" w:hAnsi="Cambria Math"/>
                <w:color w:val="000000" w:themeColor="text1"/>
              </w:rPr>
            </m:ctrlPr>
          </m:naryPr>
          <m:sub>
            <m:r>
              <w:rPr>
                <w:rFonts w:ascii="Cambria Math" w:hAnsi="Cambria Math"/>
                <w:color w:val="000000" w:themeColor="text1"/>
              </w:rPr>
              <m:t>i</m:t>
            </m:r>
            <m:r>
              <m:rPr>
                <m:sty m:val="p"/>
              </m:rPr>
              <w:rPr>
                <w:rFonts w:ascii="Cambria Math" w:hAnsi="Cambria Math"/>
                <w:color w:val="000000" w:themeColor="text1"/>
              </w:rPr>
              <m:t>=1</m:t>
            </m:r>
          </m:sub>
          <m:sup>
            <m:r>
              <w:rPr>
                <w:rFonts w:ascii="Cambria Math" w:hAnsi="Cambria Math"/>
                <w:color w:val="000000" w:themeColor="text1"/>
              </w:rPr>
              <m:t>n</m:t>
            </m:r>
          </m:sup>
          <m:e>
            <m:sSub>
              <m:sSubPr>
                <m:ctrlPr>
                  <w:rPr>
                    <w:rFonts w:ascii="Cambria Math" w:hAnsi="Cambria Math"/>
                    <w:color w:val="000000" w:themeColor="text1"/>
                  </w:rPr>
                </m:ctrlPr>
              </m:sSubPr>
              <m:e>
                <m:r>
                  <w:rPr>
                    <w:rFonts w:ascii="Cambria Math" w:hAnsi="Cambria Math"/>
                    <w:color w:val="000000" w:themeColor="text1"/>
                  </w:rPr>
                  <m:t>b</m:t>
                </m:r>
              </m:e>
              <m:sub>
                <m:r>
                  <w:rPr>
                    <w:rFonts w:ascii="Cambria Math" w:hAnsi="Cambria Math"/>
                    <w:color w:val="000000" w:themeColor="text1"/>
                  </w:rPr>
                  <m:t>ii</m:t>
                </m:r>
              </m:sub>
            </m:sSub>
            <m:sSubSup>
              <m:sSubSupPr>
                <m:ctrlPr>
                  <w:rPr>
                    <w:rFonts w:ascii="Cambria Math" w:hAnsi="Cambria Math"/>
                    <w:color w:val="000000" w:themeColor="text1"/>
                  </w:rPr>
                </m:ctrlPr>
              </m:sSubSupPr>
              <m:e>
                <m:r>
                  <w:rPr>
                    <w:rFonts w:ascii="Cambria Math" w:hAnsi="Cambria Math"/>
                    <w:color w:val="000000" w:themeColor="text1"/>
                  </w:rPr>
                  <m:t>x</m:t>
                </m:r>
              </m:e>
              <m:sub>
                <m:r>
                  <w:rPr>
                    <w:rFonts w:ascii="Cambria Math" w:hAnsi="Cambria Math"/>
                    <w:color w:val="000000" w:themeColor="text1"/>
                  </w:rPr>
                  <m:t>i</m:t>
                </m:r>
              </m:sub>
              <m:sup>
                <m:r>
                  <m:rPr>
                    <m:sty m:val="p"/>
                  </m:rPr>
                  <w:rPr>
                    <w:rFonts w:ascii="Cambria Math" w:hAnsi="Cambria Math"/>
                    <w:color w:val="000000" w:themeColor="text1"/>
                  </w:rPr>
                  <m:t>2</m:t>
                </m:r>
              </m:sup>
            </m:sSubSup>
          </m:e>
        </m:nary>
        <m:r>
          <m:rPr>
            <m:sty m:val="p"/>
          </m:rPr>
          <w:rPr>
            <w:rFonts w:ascii="Cambria Math" w:hAnsi="Cambria Math"/>
            <w:color w:val="000000" w:themeColor="text1"/>
          </w:rPr>
          <m:t>+</m:t>
        </m:r>
        <m:nary>
          <m:naryPr>
            <m:chr m:val="∑"/>
            <m:limLoc m:val="undOvr"/>
            <m:ctrlPr>
              <w:rPr>
                <w:rFonts w:ascii="Cambria Math" w:hAnsi="Cambria Math"/>
                <w:color w:val="000000" w:themeColor="text1"/>
              </w:rPr>
            </m:ctrlPr>
          </m:naryPr>
          <m:sub>
            <m:r>
              <w:rPr>
                <w:rFonts w:ascii="Cambria Math" w:hAnsi="Cambria Math"/>
                <w:color w:val="000000" w:themeColor="text1"/>
              </w:rPr>
              <m:t>i</m:t>
            </m:r>
            <m:r>
              <m:rPr>
                <m:sty m:val="p"/>
              </m:rPr>
              <w:rPr>
                <w:rFonts w:ascii="Cambria Math" w:hAnsi="Cambria Math"/>
                <w:color w:val="000000" w:themeColor="text1"/>
              </w:rPr>
              <m:t>=1</m:t>
            </m:r>
          </m:sub>
          <m:sup>
            <m:r>
              <w:rPr>
                <w:rFonts w:ascii="Cambria Math" w:hAnsi="Cambria Math"/>
                <w:color w:val="000000" w:themeColor="text1"/>
              </w:rPr>
              <m:t>n</m:t>
            </m:r>
            <m:r>
              <m:rPr>
                <m:sty m:val="p"/>
              </m:rPr>
              <w:rPr>
                <w:rFonts w:ascii="Cambria Math" w:hAnsi="Cambria Math"/>
                <w:color w:val="000000" w:themeColor="text1"/>
              </w:rPr>
              <m:t>-1</m:t>
            </m:r>
          </m:sup>
          <m:e>
            <m:nary>
              <m:naryPr>
                <m:chr m:val="∑"/>
                <m:limLoc m:val="undOvr"/>
                <m:ctrlPr>
                  <w:rPr>
                    <w:rFonts w:ascii="Cambria Math" w:hAnsi="Cambria Math"/>
                    <w:color w:val="000000" w:themeColor="text1"/>
                  </w:rPr>
                </m:ctrlPr>
              </m:naryPr>
              <m:sub>
                <m:r>
                  <w:rPr>
                    <w:rFonts w:ascii="Cambria Math" w:hAnsi="Cambria Math"/>
                    <w:color w:val="000000" w:themeColor="text1"/>
                  </w:rPr>
                  <m:t>j</m:t>
                </m:r>
                <m:r>
                  <m:rPr>
                    <m:sty m:val="p"/>
                  </m:rPr>
                  <w:rPr>
                    <w:rFonts w:ascii="Cambria Math" w:hAnsi="Cambria Math"/>
                    <w:color w:val="000000" w:themeColor="text1"/>
                  </w:rPr>
                  <m:t>&gt;1</m:t>
                </m:r>
              </m:sub>
              <m:sup>
                <m:r>
                  <w:rPr>
                    <w:rFonts w:ascii="Cambria Math" w:hAnsi="Cambria Math"/>
                    <w:color w:val="000000" w:themeColor="text1"/>
                  </w:rPr>
                  <m:t>n</m:t>
                </m:r>
              </m:sup>
              <m:e>
                <m:sSub>
                  <m:sSubPr>
                    <m:ctrlPr>
                      <w:rPr>
                        <w:rFonts w:ascii="Cambria Math" w:hAnsi="Cambria Math"/>
                        <w:color w:val="000000" w:themeColor="text1"/>
                      </w:rPr>
                    </m:ctrlPr>
                  </m:sSubPr>
                  <m:e>
                    <m:r>
                      <w:rPr>
                        <w:rFonts w:ascii="Cambria Math" w:hAnsi="Cambria Math"/>
                        <w:color w:val="000000" w:themeColor="text1"/>
                      </w:rPr>
                      <m:t>b</m:t>
                    </m:r>
                  </m:e>
                  <m:sub>
                    <m:r>
                      <w:rPr>
                        <w:rFonts w:ascii="Cambria Math" w:hAnsi="Cambria Math"/>
                        <w:color w:val="000000" w:themeColor="text1"/>
                      </w:rPr>
                      <m:t>ij</m:t>
                    </m:r>
                  </m:sub>
                </m:sSub>
              </m:e>
            </m:nary>
            <m:sSub>
              <m:sSubPr>
                <m:ctrlPr>
                  <w:rPr>
                    <w:rFonts w:ascii="Cambria Math" w:hAnsi="Cambria Math"/>
                    <w:color w:val="000000" w:themeColor="text1"/>
                  </w:rPr>
                </m:ctrlPr>
              </m:sSubPr>
              <m:e>
                <m:r>
                  <w:rPr>
                    <w:rFonts w:ascii="Cambria Math" w:hAnsi="Cambria Math"/>
                    <w:color w:val="000000" w:themeColor="text1"/>
                  </w:rPr>
                  <m:t>x</m:t>
                </m:r>
              </m:e>
              <m:sub>
                <m:r>
                  <w:rPr>
                    <w:rFonts w:ascii="Cambria Math" w:hAnsi="Cambria Math"/>
                    <w:color w:val="000000" w:themeColor="text1"/>
                  </w:rPr>
                  <m:t>i</m:t>
                </m:r>
              </m:sub>
            </m:sSub>
            <m:sSub>
              <m:sSubPr>
                <m:ctrlPr>
                  <w:rPr>
                    <w:rFonts w:ascii="Cambria Math" w:hAnsi="Cambria Math"/>
                    <w:color w:val="000000" w:themeColor="text1"/>
                  </w:rPr>
                </m:ctrlPr>
              </m:sSubPr>
              <m:e>
                <m:r>
                  <w:rPr>
                    <w:rFonts w:ascii="Cambria Math" w:hAnsi="Cambria Math"/>
                    <w:color w:val="000000" w:themeColor="text1"/>
                  </w:rPr>
                  <m:t>x</m:t>
                </m:r>
              </m:e>
              <m:sub>
                <m:r>
                  <w:rPr>
                    <w:rFonts w:ascii="Cambria Math" w:hAnsi="Cambria Math"/>
                    <w:color w:val="000000" w:themeColor="text1"/>
                  </w:rPr>
                  <m:t>j</m:t>
                </m:r>
              </m:sub>
            </m:sSub>
          </m:e>
        </m:nary>
        <m:r>
          <m:rPr>
            <m:sty m:val="p"/>
          </m:rPr>
          <w:rPr>
            <w:rFonts w:ascii="Cambria Math" w:hAnsi="Cambria Math"/>
            <w:color w:val="000000" w:themeColor="text1"/>
          </w:rPr>
          <m:t>+ ℇ</m:t>
        </m:r>
      </m:oMath>
      <w:r w:rsidR="00DC12C9">
        <w:rPr>
          <w:color w:val="000000" w:themeColor="text1"/>
        </w:rPr>
        <w:t xml:space="preserve"> </w:t>
      </w:r>
      <w:r w:rsidR="00DC12C9">
        <w:rPr>
          <w:color w:val="000000" w:themeColor="text1"/>
        </w:rPr>
        <w:tab/>
      </w:r>
      <w:r w:rsidR="00DC12C9">
        <w:rPr>
          <w:color w:val="000000" w:themeColor="text1"/>
        </w:rPr>
        <w:tab/>
      </w:r>
      <w:r w:rsidR="00DC12C9">
        <w:rPr>
          <w:color w:val="000000" w:themeColor="text1"/>
        </w:rPr>
        <w:tab/>
        <w:t xml:space="preserve">          (1</w:t>
      </w:r>
      <w:r>
        <w:rPr>
          <w:color w:val="000000" w:themeColor="text1"/>
        </w:rPr>
        <w:t>)</w:t>
      </w:r>
    </w:p>
    <w:p w:rsidR="003D4254" w:rsidRDefault="003D4254" w:rsidP="00DC12C9">
      <w:pPr>
        <w:jc w:val="both"/>
        <w:rPr>
          <w:color w:val="000000" w:themeColor="text1"/>
        </w:rPr>
      </w:pPr>
      <w:r>
        <w:rPr>
          <w:color w:val="000000" w:themeColor="text1"/>
        </w:rPr>
        <w:t>w</w:t>
      </w:r>
      <w:r w:rsidRPr="00857AB7">
        <w:rPr>
          <w:color w:val="000000" w:themeColor="text1"/>
        </w:rPr>
        <w:t xml:space="preserve">here </w:t>
      </w:r>
      <w:r w:rsidRPr="004A74E4">
        <w:rPr>
          <w:i/>
          <w:color w:val="000000" w:themeColor="text1"/>
        </w:rPr>
        <w:t>Y</w:t>
      </w:r>
      <w:r w:rsidRPr="00857AB7">
        <w:rPr>
          <w:color w:val="000000" w:themeColor="text1"/>
        </w:rPr>
        <w:t xml:space="preserve"> is the </w:t>
      </w:r>
      <w:r>
        <w:rPr>
          <w:color w:val="000000" w:themeColor="text1"/>
        </w:rPr>
        <w:t>predicted</w:t>
      </w:r>
      <w:r w:rsidRPr="00857AB7">
        <w:rPr>
          <w:color w:val="000000" w:themeColor="text1"/>
        </w:rPr>
        <w:t xml:space="preserve"> response</w:t>
      </w:r>
      <w:r>
        <w:rPr>
          <w:color w:val="000000" w:themeColor="text1"/>
        </w:rPr>
        <w:t xml:space="preserve"> (i.e. </w:t>
      </w:r>
      <w:r w:rsidR="00DC12C9">
        <w:rPr>
          <w:color w:val="000000" w:themeColor="text1"/>
        </w:rPr>
        <w:t>BO conversion and BC yield</w:t>
      </w:r>
      <w:r>
        <w:rPr>
          <w:color w:val="000000" w:themeColor="text1"/>
        </w:rPr>
        <w:t>)</w:t>
      </w:r>
      <w:r w:rsidRPr="00857AB7">
        <w:rPr>
          <w:color w:val="000000" w:themeColor="text1"/>
        </w:rPr>
        <w:t xml:space="preserve">, </w:t>
      </w:r>
      <w:r w:rsidRPr="002C025E">
        <w:rPr>
          <w:i/>
          <w:iCs/>
          <w:color w:val="000000" w:themeColor="text1"/>
        </w:rPr>
        <w:t>b</w:t>
      </w:r>
      <w:r w:rsidRPr="002C025E">
        <w:rPr>
          <w:i/>
          <w:iCs/>
          <w:color w:val="000000" w:themeColor="text1"/>
          <w:vertAlign w:val="subscript"/>
        </w:rPr>
        <w:t>o</w:t>
      </w:r>
      <w:r w:rsidRPr="00857AB7">
        <w:rPr>
          <w:color w:val="000000" w:themeColor="text1"/>
        </w:rPr>
        <w:t xml:space="preserve"> is the model coefficient constant, </w:t>
      </w:r>
      <w:r w:rsidRPr="002C025E">
        <w:rPr>
          <w:i/>
          <w:iCs/>
          <w:color w:val="000000" w:themeColor="text1"/>
        </w:rPr>
        <w:t>b</w:t>
      </w:r>
      <w:r w:rsidRPr="002C025E">
        <w:rPr>
          <w:i/>
          <w:iCs/>
          <w:color w:val="000000" w:themeColor="text1"/>
          <w:vertAlign w:val="subscript"/>
        </w:rPr>
        <w:t>i</w:t>
      </w:r>
      <w:r w:rsidRPr="00857AB7">
        <w:rPr>
          <w:color w:val="000000" w:themeColor="text1"/>
        </w:rPr>
        <w:t xml:space="preserve">, </w:t>
      </w:r>
      <w:r w:rsidRPr="00E2546C">
        <w:rPr>
          <w:i/>
          <w:iCs/>
          <w:noProof/>
          <w:color w:val="000000" w:themeColor="text1"/>
        </w:rPr>
        <w:t>b</w:t>
      </w:r>
      <w:r w:rsidRPr="00E2546C">
        <w:rPr>
          <w:i/>
          <w:iCs/>
          <w:noProof/>
          <w:color w:val="000000" w:themeColor="text1"/>
          <w:vertAlign w:val="subscript"/>
        </w:rPr>
        <w:t>ii</w:t>
      </w:r>
      <w:r w:rsidRPr="00857AB7">
        <w:rPr>
          <w:color w:val="000000" w:themeColor="text1"/>
        </w:rPr>
        <w:t xml:space="preserve">, </w:t>
      </w:r>
      <w:r w:rsidRPr="00E2546C">
        <w:rPr>
          <w:i/>
          <w:iCs/>
          <w:noProof/>
          <w:color w:val="000000" w:themeColor="text1"/>
        </w:rPr>
        <w:t>b</w:t>
      </w:r>
      <w:r w:rsidRPr="00E2546C">
        <w:rPr>
          <w:i/>
          <w:iCs/>
          <w:noProof/>
          <w:color w:val="000000" w:themeColor="text1"/>
          <w:vertAlign w:val="subscript"/>
        </w:rPr>
        <w:t>ij</w:t>
      </w:r>
      <w:r w:rsidRPr="00857AB7">
        <w:rPr>
          <w:color w:val="000000" w:themeColor="text1"/>
        </w:rPr>
        <w:t xml:space="preserve">, are coefficients for intercept of linear, quadratic, interactive terms respectively, while </w:t>
      </w:r>
      <w:r w:rsidRPr="00E2546C">
        <w:rPr>
          <w:i/>
          <w:iCs/>
          <w:noProof/>
          <w:color w:val="000000" w:themeColor="text1"/>
        </w:rPr>
        <w:t>x</w:t>
      </w:r>
      <w:r w:rsidRPr="00E2546C">
        <w:rPr>
          <w:i/>
          <w:iCs/>
          <w:noProof/>
          <w:color w:val="000000" w:themeColor="text1"/>
          <w:vertAlign w:val="subscript"/>
        </w:rPr>
        <w:t>i</w:t>
      </w:r>
      <w:r w:rsidRPr="002C025E">
        <w:rPr>
          <w:i/>
          <w:iCs/>
          <w:color w:val="000000" w:themeColor="text1"/>
        </w:rPr>
        <w:t xml:space="preserve">, </w:t>
      </w:r>
      <w:r>
        <w:rPr>
          <w:i/>
          <w:iCs/>
          <w:color w:val="000000" w:themeColor="text1"/>
        </w:rPr>
        <w:t>x</w:t>
      </w:r>
      <w:r w:rsidRPr="002C025E">
        <w:rPr>
          <w:i/>
          <w:iCs/>
          <w:color w:val="000000" w:themeColor="text1"/>
          <w:vertAlign w:val="subscript"/>
        </w:rPr>
        <w:t>i</w:t>
      </w:r>
      <w:r w:rsidRPr="00857AB7">
        <w:rPr>
          <w:color w:val="000000" w:themeColor="text1"/>
        </w:rPr>
        <w:t xml:space="preserve"> are independent variables </w:t>
      </w:r>
      <w:r w:rsidRPr="004A74E4">
        <w:rPr>
          <w:color w:val="000000" w:themeColor="text1"/>
        </w:rPr>
        <w:t>(</w:t>
      </w:r>
      <w:r w:rsidRPr="002C025E">
        <w:rPr>
          <w:i/>
          <w:iCs/>
          <w:color w:val="000000" w:themeColor="text1"/>
        </w:rPr>
        <w:t>i≠j</w:t>
      </w:r>
      <w:r w:rsidRPr="004A74E4">
        <w:rPr>
          <w:color w:val="000000" w:themeColor="text1"/>
        </w:rPr>
        <w:t>)</w:t>
      </w:r>
      <w:r w:rsidRPr="002C025E">
        <w:rPr>
          <w:i/>
          <w:iCs/>
          <w:color w:val="000000" w:themeColor="text1"/>
        </w:rPr>
        <w:t>.</w:t>
      </w:r>
      <w:r w:rsidRPr="00857AB7">
        <w:rPr>
          <w:color w:val="000000" w:themeColor="text1"/>
        </w:rPr>
        <w:t xml:space="preserve"> </w:t>
      </w:r>
      <w:r w:rsidRPr="002C025E">
        <w:rPr>
          <w:i/>
          <w:iCs/>
          <w:color w:val="000000" w:themeColor="text1"/>
        </w:rPr>
        <w:t>n</w:t>
      </w:r>
      <w:r>
        <w:rPr>
          <w:color w:val="000000" w:themeColor="text1"/>
        </w:rPr>
        <w:t xml:space="preserve"> is </w:t>
      </w:r>
      <w:r w:rsidRPr="00E2546C">
        <w:rPr>
          <w:noProof/>
          <w:color w:val="000000" w:themeColor="text1"/>
        </w:rPr>
        <w:t>number</w:t>
      </w:r>
      <w:r>
        <w:rPr>
          <w:color w:val="000000" w:themeColor="text1"/>
        </w:rPr>
        <w:t xml:space="preserve"> of independent variables and </w:t>
      </w:r>
      <w:r w:rsidRPr="002C025E">
        <w:rPr>
          <w:i/>
          <w:iCs/>
          <w:color w:val="000000" w:themeColor="text1"/>
        </w:rPr>
        <w:t>ɛ</w:t>
      </w:r>
      <w:r>
        <w:rPr>
          <w:color w:val="000000" w:themeColor="text1"/>
        </w:rPr>
        <w:t xml:space="preserve"> is the random error.</w:t>
      </w:r>
    </w:p>
    <w:p w:rsidR="00DC12C9" w:rsidRDefault="00DC12C9">
      <w:pPr>
        <w:jc w:val="both"/>
        <w:rPr>
          <w:color w:val="000000" w:themeColor="text1"/>
        </w:rPr>
      </w:pPr>
      <w:r>
        <w:rPr>
          <w:color w:val="000000" w:themeColor="text1"/>
        </w:rPr>
        <w:t xml:space="preserve">The adequacy of the predicted models </w:t>
      </w:r>
      <w:r w:rsidRPr="00EA15FA">
        <w:rPr>
          <w:noProof/>
          <w:color w:val="000000" w:themeColor="text1"/>
        </w:rPr>
        <w:t>w</w:t>
      </w:r>
      <w:r w:rsidR="00EA15FA">
        <w:rPr>
          <w:noProof/>
          <w:color w:val="000000" w:themeColor="text1"/>
        </w:rPr>
        <w:t>as</w:t>
      </w:r>
      <w:r>
        <w:rPr>
          <w:color w:val="000000" w:themeColor="text1"/>
        </w:rPr>
        <w:t xml:space="preserve"> checked by several statistical validations including </w:t>
      </w:r>
      <w:r w:rsidRPr="00857AB7">
        <w:rPr>
          <w:color w:val="000000" w:themeColor="text1"/>
        </w:rPr>
        <w:t>coefficient of correlation (R</w:t>
      </w:r>
      <w:r w:rsidRPr="00857AB7">
        <w:rPr>
          <w:color w:val="000000" w:themeColor="text1"/>
          <w:vertAlign w:val="superscript"/>
        </w:rPr>
        <w:t>2</w:t>
      </w:r>
      <w:r w:rsidRPr="00857AB7">
        <w:rPr>
          <w:color w:val="000000" w:themeColor="text1"/>
        </w:rPr>
        <w:t>), adjusted coefficient of determination (R</w:t>
      </w:r>
      <w:r w:rsidRPr="00857AB7">
        <w:rPr>
          <w:color w:val="000000" w:themeColor="text1"/>
          <w:vertAlign w:val="superscript"/>
        </w:rPr>
        <w:t>2</w:t>
      </w:r>
      <w:r w:rsidRPr="00857AB7">
        <w:rPr>
          <w:color w:val="000000" w:themeColor="text1"/>
          <w:vertAlign w:val="subscript"/>
        </w:rPr>
        <w:t>adj</w:t>
      </w:r>
      <w:r w:rsidRPr="00857AB7">
        <w:rPr>
          <w:color w:val="000000" w:themeColor="text1"/>
        </w:rPr>
        <w:t>) and the predicted coefficient of determination (R</w:t>
      </w:r>
      <w:r w:rsidRPr="00857AB7">
        <w:rPr>
          <w:color w:val="000000" w:themeColor="text1"/>
          <w:vertAlign w:val="superscript"/>
        </w:rPr>
        <w:t>2</w:t>
      </w:r>
      <w:r w:rsidRPr="00857AB7">
        <w:rPr>
          <w:color w:val="000000" w:themeColor="text1"/>
          <w:vertAlign w:val="subscript"/>
        </w:rPr>
        <w:t>pred</w:t>
      </w:r>
      <w:r w:rsidRPr="00857AB7">
        <w:rPr>
          <w:color w:val="000000" w:themeColor="text1"/>
        </w:rPr>
        <w:t>)</w:t>
      </w:r>
      <w:r>
        <w:rPr>
          <w:color w:val="000000" w:themeColor="text1"/>
        </w:rPr>
        <w:t xml:space="preserve">. The statistical significance of the predicted models </w:t>
      </w:r>
      <w:r w:rsidRPr="00EA15FA">
        <w:rPr>
          <w:noProof/>
          <w:color w:val="000000" w:themeColor="text1"/>
        </w:rPr>
        <w:t>w</w:t>
      </w:r>
      <w:r w:rsidR="00EA15FA">
        <w:rPr>
          <w:noProof/>
          <w:color w:val="000000" w:themeColor="text1"/>
        </w:rPr>
        <w:t>as</w:t>
      </w:r>
      <w:r>
        <w:rPr>
          <w:color w:val="000000" w:themeColor="text1"/>
        </w:rPr>
        <w:t xml:space="preserve"> </w:t>
      </w:r>
      <w:r w:rsidRPr="00E2546C">
        <w:rPr>
          <w:noProof/>
          <w:color w:val="000000" w:themeColor="text1"/>
        </w:rPr>
        <w:t>analysed</w:t>
      </w:r>
      <w:r>
        <w:rPr>
          <w:color w:val="000000" w:themeColor="text1"/>
        </w:rPr>
        <w:t xml:space="preserve"> </w:t>
      </w:r>
      <w:r w:rsidR="003504A1">
        <w:rPr>
          <w:color w:val="000000" w:themeColor="text1"/>
        </w:rPr>
        <w:t xml:space="preserve">by </w:t>
      </w:r>
      <w:r>
        <w:rPr>
          <w:color w:val="000000" w:themeColor="text1"/>
        </w:rPr>
        <w:t xml:space="preserve">ANOVA using Fisher’s test, i.e. F-value and p-value, at </w:t>
      </w:r>
      <w:r w:rsidRPr="00857AB7">
        <w:rPr>
          <w:color w:val="000000" w:themeColor="text1"/>
        </w:rPr>
        <w:t>95% confiden</w:t>
      </w:r>
      <w:r>
        <w:rPr>
          <w:color w:val="000000" w:themeColor="text1"/>
        </w:rPr>
        <w:t>ce</w:t>
      </w:r>
      <w:r w:rsidRPr="00857AB7">
        <w:rPr>
          <w:color w:val="000000" w:themeColor="text1"/>
        </w:rPr>
        <w:t xml:space="preserve"> </w:t>
      </w:r>
      <w:r>
        <w:rPr>
          <w:color w:val="000000" w:themeColor="text1"/>
        </w:rPr>
        <w:t xml:space="preserve">interval. </w:t>
      </w:r>
      <w:r w:rsidRPr="00857AB7">
        <w:rPr>
          <w:color w:val="000000" w:themeColor="text1"/>
        </w:rPr>
        <w:t>Design Expert</w:t>
      </w:r>
      <w:r>
        <w:rPr>
          <w:color w:val="000000" w:themeColor="text1"/>
        </w:rPr>
        <w:t xml:space="preserve"> 11</w:t>
      </w:r>
      <w:r w:rsidRPr="00857AB7">
        <w:rPr>
          <w:color w:val="000000" w:themeColor="text1"/>
        </w:rPr>
        <w:t xml:space="preserve"> software (Stat-Ease Inc., Minneapolis, MN, USA)</w:t>
      </w:r>
      <w:r>
        <w:rPr>
          <w:color w:val="000000" w:themeColor="text1"/>
        </w:rPr>
        <w:t xml:space="preserve"> was used to perform the initial experimental design, model prediction, statistical analysis </w:t>
      </w:r>
      <w:r w:rsidRPr="00E2546C">
        <w:rPr>
          <w:noProof/>
          <w:color w:val="000000" w:themeColor="text1"/>
        </w:rPr>
        <w:t>and</w:t>
      </w:r>
      <w:r>
        <w:rPr>
          <w:color w:val="000000" w:themeColor="text1"/>
        </w:rPr>
        <w:t xml:space="preserve"> </w:t>
      </w:r>
      <w:r w:rsidRPr="00E2546C">
        <w:rPr>
          <w:noProof/>
          <w:color w:val="000000" w:themeColor="text1"/>
        </w:rPr>
        <w:t>optimisation</w:t>
      </w:r>
      <w:r>
        <w:rPr>
          <w:color w:val="000000" w:themeColor="text1"/>
        </w:rPr>
        <w:t xml:space="preserve">. </w:t>
      </w:r>
    </w:p>
    <w:p w:rsidR="007472B3" w:rsidRDefault="007472B3" w:rsidP="007472B3"/>
    <w:p w:rsidR="003D2DAC" w:rsidRPr="00B6778D" w:rsidRDefault="00133C55" w:rsidP="00FB6D14">
      <w:pPr>
        <w:pStyle w:val="Heading2"/>
      </w:pPr>
      <w:r w:rsidRPr="00B6778D">
        <w:t>2.5 Experimental Procedure</w:t>
      </w:r>
    </w:p>
    <w:p w:rsidR="003D2DAC" w:rsidRPr="00B6778D" w:rsidRDefault="00B156F0">
      <w:pPr>
        <w:jc w:val="both"/>
      </w:pPr>
      <w:r>
        <w:t>The synthesis of BC was conducted in a</w:t>
      </w:r>
      <w:r w:rsidR="005863D2" w:rsidRPr="00B6778D">
        <w:t>n autoclave of 25 mL stainless steel high pressure equipp</w:t>
      </w:r>
      <w:r w:rsidR="005B1B51" w:rsidRPr="00B6778D">
        <w:t xml:space="preserve">ed with </w:t>
      </w:r>
      <w:r w:rsidR="00E41542">
        <w:t xml:space="preserve">mechanical </w:t>
      </w:r>
      <w:r w:rsidR="005B1B51" w:rsidRPr="00B6778D">
        <w:t>stirrer, thermocouple,</w:t>
      </w:r>
      <w:r w:rsidR="005863D2" w:rsidRPr="00B6778D">
        <w:t xml:space="preserve"> heating mantle </w:t>
      </w:r>
      <w:r w:rsidR="005863D2" w:rsidRPr="00E2546C">
        <w:rPr>
          <w:noProof/>
        </w:rPr>
        <w:t>and</w:t>
      </w:r>
      <w:r w:rsidR="005863D2" w:rsidRPr="00B6778D">
        <w:t xml:space="preserve"> controller</w:t>
      </w:r>
      <w:r w:rsidR="006C36C3">
        <w:t xml:space="preserve"> as shown in Figure 1</w:t>
      </w:r>
      <w:r w:rsidR="005863D2" w:rsidRPr="00B6778D">
        <w:t>.</w:t>
      </w:r>
      <w:r w:rsidR="003D2DAC" w:rsidRPr="00B6778D">
        <w:t xml:space="preserve"> The required amount of BO and catalyst</w:t>
      </w:r>
      <w:r w:rsidR="005B1B51" w:rsidRPr="00B6778D">
        <w:t xml:space="preserve"> were</w:t>
      </w:r>
      <w:r w:rsidR="005863D2" w:rsidRPr="00B6778D">
        <w:t xml:space="preserve"> placed in </w:t>
      </w:r>
      <w:r w:rsidR="006307A1" w:rsidRPr="00B6778D">
        <w:t xml:space="preserve">the </w:t>
      </w:r>
      <w:r w:rsidR="005B1B51" w:rsidRPr="00B6778D">
        <w:rPr>
          <w:noProof/>
        </w:rPr>
        <w:t>high-</w:t>
      </w:r>
      <w:r w:rsidR="005863D2" w:rsidRPr="00B6778D">
        <w:rPr>
          <w:noProof/>
        </w:rPr>
        <w:t>pressure</w:t>
      </w:r>
      <w:r w:rsidR="005863D2" w:rsidRPr="00B6778D">
        <w:t xml:space="preserve"> reactor</w:t>
      </w:r>
      <w:r w:rsidR="003D2DAC" w:rsidRPr="00B6778D">
        <w:t xml:space="preserve">. The reactor was heated </w:t>
      </w:r>
      <w:r w:rsidR="005863D2" w:rsidRPr="00B6778D">
        <w:t xml:space="preserve">and stirred continuously </w:t>
      </w:r>
      <w:r w:rsidR="00E41542">
        <w:t>at</w:t>
      </w:r>
      <w:r w:rsidR="00E41542" w:rsidRPr="00B6778D">
        <w:t xml:space="preserve"> </w:t>
      </w:r>
      <w:r w:rsidR="005863D2" w:rsidRPr="00B6778D">
        <w:t>a</w:t>
      </w:r>
      <w:r w:rsidR="003D2DAC" w:rsidRPr="00B6778D">
        <w:t xml:space="preserve"> </w:t>
      </w:r>
      <w:r w:rsidR="003504A1">
        <w:t>specified</w:t>
      </w:r>
      <w:r w:rsidR="003504A1" w:rsidRPr="00B6778D">
        <w:t xml:space="preserve"> </w:t>
      </w:r>
      <w:r w:rsidR="005B1B51" w:rsidRPr="00B6778D">
        <w:t xml:space="preserve">reaction </w:t>
      </w:r>
      <w:r w:rsidR="005863D2" w:rsidRPr="00B6778D">
        <w:t>temperature and stirring speed</w:t>
      </w:r>
      <w:r w:rsidR="003D2DAC" w:rsidRPr="00B6778D">
        <w:t xml:space="preserve">. </w:t>
      </w:r>
      <w:r w:rsidR="005B1B51" w:rsidRPr="00B6778D">
        <w:t xml:space="preserve">At a steady desired reaction </w:t>
      </w:r>
      <w:r w:rsidR="005B1B51" w:rsidRPr="00B6778D">
        <w:rPr>
          <w:noProof/>
        </w:rPr>
        <w:t>temperature</w:t>
      </w:r>
      <w:r w:rsidR="005B1B51" w:rsidRPr="00B6778D">
        <w:t xml:space="preserve"> and stirring </w:t>
      </w:r>
      <w:r w:rsidR="005B1B51" w:rsidRPr="00B6778D">
        <w:rPr>
          <w:noProof/>
        </w:rPr>
        <w:t>speed, supercritical CO</w:t>
      </w:r>
      <w:r w:rsidR="005B1B51" w:rsidRPr="00B6778D">
        <w:rPr>
          <w:noProof/>
          <w:vertAlign w:val="subscript"/>
        </w:rPr>
        <w:t>2</w:t>
      </w:r>
      <w:r w:rsidR="005B1B51" w:rsidRPr="00B6778D">
        <w:rPr>
          <w:noProof/>
        </w:rPr>
        <w:t xml:space="preserve"> at a known pressure was pumped from the cylinder using t</w:t>
      </w:r>
      <w:r w:rsidR="003D2DAC" w:rsidRPr="00B6778D">
        <w:rPr>
          <w:noProof/>
        </w:rPr>
        <w:t>he</w:t>
      </w:r>
      <w:r w:rsidR="003D2DAC" w:rsidRPr="00B6778D">
        <w:t xml:space="preserve"> supercritical fluid pump</w:t>
      </w:r>
      <w:r w:rsidR="006307A1" w:rsidRPr="00B6778D">
        <w:t xml:space="preserve"> into the reactor</w:t>
      </w:r>
      <w:r w:rsidR="005B1B51" w:rsidRPr="00B6778D">
        <w:t xml:space="preserve"> and left </w:t>
      </w:r>
      <w:r w:rsidR="005B1B51" w:rsidRPr="00B6778D">
        <w:rPr>
          <w:noProof/>
        </w:rPr>
        <w:t>for a certain reaction time</w:t>
      </w:r>
      <w:r w:rsidR="003D2DAC" w:rsidRPr="00B6778D">
        <w:t>. The time at which the liquid CO</w:t>
      </w:r>
      <w:r w:rsidR="003D2DAC" w:rsidRPr="00B6778D">
        <w:rPr>
          <w:vertAlign w:val="subscript"/>
        </w:rPr>
        <w:t>2</w:t>
      </w:r>
      <w:r w:rsidR="003D2DAC" w:rsidRPr="00B6778D">
        <w:t xml:space="preserve"> was charged into the reactor was </w:t>
      </w:r>
      <w:r w:rsidR="003504A1">
        <w:t>considered</w:t>
      </w:r>
      <w:r w:rsidR="003504A1" w:rsidRPr="00B6778D">
        <w:t xml:space="preserve"> </w:t>
      </w:r>
      <w:r w:rsidR="003D2DAC" w:rsidRPr="00B6778D">
        <w:t>as the starting t</w:t>
      </w:r>
      <w:r w:rsidR="005B1B51" w:rsidRPr="00B6778D">
        <w:t xml:space="preserve">ime (t=0). After the reaction, </w:t>
      </w:r>
      <w:r w:rsidR="003504A1">
        <w:t>the</w:t>
      </w:r>
      <w:r w:rsidR="003504A1" w:rsidRPr="00B6778D">
        <w:t xml:space="preserve"> </w:t>
      </w:r>
      <w:r w:rsidR="005B1B51" w:rsidRPr="00B6778D">
        <w:rPr>
          <w:noProof/>
        </w:rPr>
        <w:t>autoclave</w:t>
      </w:r>
      <w:r w:rsidR="003D2DAC" w:rsidRPr="00B6778D">
        <w:t xml:space="preserve"> reactor was </w:t>
      </w:r>
      <w:r w:rsidR="003504A1">
        <w:t>quenched using an ice bath to stop the reaction.</w:t>
      </w:r>
    </w:p>
    <w:p w:rsidR="003D2DAC" w:rsidRPr="00B6778D" w:rsidRDefault="003D2DAC">
      <w:pPr>
        <w:jc w:val="both"/>
      </w:pPr>
      <w:r w:rsidRPr="00B6778D">
        <w:t xml:space="preserve">The reactor was </w:t>
      </w:r>
      <w:r w:rsidR="00E41542" w:rsidRPr="00B6778D">
        <w:t>depressuri</w:t>
      </w:r>
      <w:r w:rsidR="00E41542">
        <w:t>s</w:t>
      </w:r>
      <w:r w:rsidR="00E41542" w:rsidRPr="00B6778D">
        <w:t xml:space="preserve">ed </w:t>
      </w:r>
      <w:r w:rsidRPr="00B6778D">
        <w:t xml:space="preserve">and the reaction mixture was filtered. The recovered catalyst was washed with acetone and dried in an oven while the products were </w:t>
      </w:r>
      <w:r w:rsidRPr="00E2546C">
        <w:rPr>
          <w:noProof/>
        </w:rPr>
        <w:t>analysed</w:t>
      </w:r>
      <w:r w:rsidRPr="00B6778D">
        <w:rPr>
          <w:noProof/>
        </w:rPr>
        <w:t xml:space="preserve"> us</w:t>
      </w:r>
      <w:r w:rsidRPr="00B6778D">
        <w:t xml:space="preserve">ing a gas chromatography (GC) equipped with a flame ionization detector (FID) with a capillary column using octane as an internal standard. The effect </w:t>
      </w:r>
      <w:r w:rsidRPr="00B6778D">
        <w:rPr>
          <w:noProof/>
        </w:rPr>
        <w:t>of</w:t>
      </w:r>
      <w:r w:rsidR="006307A1" w:rsidRPr="00B6778D">
        <w:rPr>
          <w:noProof/>
        </w:rPr>
        <w:t xml:space="preserve"> process variables and their interaction</w:t>
      </w:r>
      <w:r w:rsidRPr="00B6778D">
        <w:t xml:space="preserve"> such as </w:t>
      </w:r>
      <w:r w:rsidRPr="00783CD8">
        <w:t>catalyst types,</w:t>
      </w:r>
      <w:r w:rsidRPr="00B6778D">
        <w:t xml:space="preserve"> CO</w:t>
      </w:r>
      <w:r w:rsidRPr="00752DC3">
        <w:rPr>
          <w:vertAlign w:val="subscript"/>
        </w:rPr>
        <w:t>2</w:t>
      </w:r>
      <w:r w:rsidRPr="00B6778D">
        <w:t xml:space="preserve"> pressure, reaction temperature</w:t>
      </w:r>
      <w:r w:rsidR="006307A1" w:rsidRPr="00B6778D">
        <w:t xml:space="preserve">, </w:t>
      </w:r>
      <w:r w:rsidR="00752DC3">
        <w:t xml:space="preserve">catalyst loading </w:t>
      </w:r>
      <w:r w:rsidRPr="00B6778D">
        <w:t>and reaction time w</w:t>
      </w:r>
      <w:r w:rsidR="003504A1">
        <w:t>ere</w:t>
      </w:r>
      <w:r w:rsidRPr="00B6778D">
        <w:t xml:space="preserve"> studied for the optimi</w:t>
      </w:r>
      <w:r w:rsidR="003504A1">
        <w:t>s</w:t>
      </w:r>
      <w:r w:rsidRPr="00B6778D">
        <w:t xml:space="preserve">ation of the reaction conditions. </w:t>
      </w:r>
      <w:r w:rsidR="006307A1" w:rsidRPr="00B6778D">
        <w:t>The</w:t>
      </w:r>
      <w:r w:rsidRPr="00B6778D">
        <w:t xml:space="preserve"> reusability </w:t>
      </w:r>
      <w:r w:rsidR="006307A1" w:rsidRPr="00B6778D">
        <w:t xml:space="preserve">of the catalyst </w:t>
      </w:r>
      <w:r w:rsidRPr="00B6778D">
        <w:t xml:space="preserve">studies </w:t>
      </w:r>
      <w:r w:rsidRPr="00B6778D">
        <w:rPr>
          <w:noProof/>
        </w:rPr>
        <w:t>w</w:t>
      </w:r>
      <w:r w:rsidR="006307A1" w:rsidRPr="00B6778D">
        <w:rPr>
          <w:noProof/>
        </w:rPr>
        <w:t>as</w:t>
      </w:r>
      <w:r w:rsidRPr="00B6778D">
        <w:t xml:space="preserve"> also conducted to </w:t>
      </w:r>
      <w:r w:rsidR="006307A1" w:rsidRPr="00B6778D">
        <w:t>evaluate</w:t>
      </w:r>
      <w:r w:rsidRPr="00B6778D">
        <w:t xml:space="preserve"> the stability of the catalyst</w:t>
      </w:r>
      <w:r w:rsidR="006307A1" w:rsidRPr="00B6778D">
        <w:t>.</w:t>
      </w:r>
      <w:r w:rsidRPr="00B6778D">
        <w:t xml:space="preserve"> </w:t>
      </w:r>
    </w:p>
    <w:p w:rsidR="00D54B9C" w:rsidRPr="00B6778D" w:rsidRDefault="00E2546C" w:rsidP="00752DC3">
      <w:pPr>
        <w:jc w:val="center"/>
      </w:pPr>
      <w:r>
        <w:rPr>
          <w:noProof/>
          <w:lang w:eastAsia="en-GB"/>
        </w:rPr>
        <w:lastRenderedPageBreak/>
        <w:drawing>
          <wp:inline distT="0" distB="0" distL="0" distR="0" wp14:anchorId="1A332781" wp14:editId="377F3FEE">
            <wp:extent cx="5731510" cy="3787775"/>
            <wp:effectExtent l="0" t="0" r="2540" b="3175"/>
            <wp:docPr id="9" name="Picture 3"/>
            <wp:cNvGraphicFramePr/>
            <a:graphic xmlns:a="http://schemas.openxmlformats.org/drawingml/2006/main">
              <a:graphicData uri="http://schemas.openxmlformats.org/drawingml/2006/picture">
                <pic:pic xmlns:pic="http://schemas.openxmlformats.org/drawingml/2006/picture">
                  <pic:nvPicPr>
                    <pic:cNvPr id="9" name="Picture 3"/>
                    <pic:cNvPicPr/>
                  </pic:nvPicPr>
                  <pic:blipFill rotWithShape="1">
                    <a:blip r:embed="rId12"/>
                    <a:srcRect t="16804" r="1153" b="8073"/>
                    <a:stretch/>
                  </pic:blipFill>
                  <pic:spPr>
                    <a:xfrm>
                      <a:off x="0" y="0"/>
                      <a:ext cx="5731510" cy="3787775"/>
                    </a:xfrm>
                    <a:prstGeom prst="rect">
                      <a:avLst/>
                    </a:prstGeom>
                  </pic:spPr>
                </pic:pic>
              </a:graphicData>
            </a:graphic>
          </wp:inline>
        </w:drawing>
      </w:r>
    </w:p>
    <w:p w:rsidR="00F42A43" w:rsidRPr="00B6778D" w:rsidRDefault="00DD7E98" w:rsidP="00E2546C">
      <w:pPr>
        <w:pStyle w:val="Caption"/>
        <w:rPr>
          <w:b w:val="0"/>
          <w:color w:val="auto"/>
          <w:sz w:val="24"/>
        </w:rPr>
      </w:pPr>
      <w:bookmarkStart w:id="5" w:name="_Toc528474665"/>
      <w:r w:rsidRPr="0049408C">
        <w:rPr>
          <w:bCs w:val="0"/>
          <w:color w:val="auto"/>
          <w:sz w:val="24"/>
        </w:rPr>
        <w:t xml:space="preserve">Figure </w:t>
      </w:r>
      <w:r w:rsidRPr="0049408C">
        <w:rPr>
          <w:bCs w:val="0"/>
          <w:color w:val="auto"/>
          <w:sz w:val="24"/>
        </w:rPr>
        <w:fldChar w:fldCharType="begin"/>
      </w:r>
      <w:r w:rsidRPr="0049408C">
        <w:rPr>
          <w:bCs w:val="0"/>
          <w:color w:val="auto"/>
          <w:sz w:val="24"/>
        </w:rPr>
        <w:instrText xml:space="preserve"> SEQ Figure \* ARABIC </w:instrText>
      </w:r>
      <w:r w:rsidRPr="0049408C">
        <w:rPr>
          <w:bCs w:val="0"/>
          <w:color w:val="auto"/>
          <w:sz w:val="24"/>
        </w:rPr>
        <w:fldChar w:fldCharType="separate"/>
      </w:r>
      <w:r w:rsidR="004A2E92" w:rsidRPr="0049408C">
        <w:rPr>
          <w:bCs w:val="0"/>
          <w:noProof/>
          <w:color w:val="auto"/>
          <w:sz w:val="24"/>
        </w:rPr>
        <w:t>1</w:t>
      </w:r>
      <w:r w:rsidRPr="0049408C">
        <w:rPr>
          <w:bCs w:val="0"/>
          <w:color w:val="auto"/>
          <w:sz w:val="24"/>
        </w:rPr>
        <w:fldChar w:fldCharType="end"/>
      </w:r>
      <w:r w:rsidR="00C3556D">
        <w:rPr>
          <w:b w:val="0"/>
          <w:noProof/>
          <w:color w:val="auto"/>
          <w:sz w:val="24"/>
        </w:rPr>
        <w:t>.</w:t>
      </w:r>
      <w:r w:rsidRPr="00B6778D">
        <w:rPr>
          <w:b w:val="0"/>
          <w:noProof/>
          <w:color w:val="auto"/>
          <w:sz w:val="24"/>
        </w:rPr>
        <w:t xml:space="preserve"> </w:t>
      </w:r>
      <w:r w:rsidR="00E2546C" w:rsidRPr="00E2546C">
        <w:rPr>
          <w:b w:val="0"/>
          <w:noProof/>
          <w:color w:val="auto"/>
          <w:sz w:val="24"/>
        </w:rPr>
        <w:t>Schematic representation of the experimental set-up for the synthesis of styrene carbonate using a high-pressure reactor (Autoclave reactor). Key: RC, reactor controller; IV, inlet valve; TC, thermocouple; PG, pressure gauge; SM, stirring motor; GOV, gas outlet valve; GIV, gas inlet valve; SV, sampling valve; SCFP, supercritical fluid pump; CIV, CO2 inlet valve; CC, CO2 cylinder.</w:t>
      </w:r>
      <w:bookmarkEnd w:id="5"/>
    </w:p>
    <w:p w:rsidR="006307A1" w:rsidRPr="00B6778D" w:rsidRDefault="006307A1" w:rsidP="003D2DAC">
      <w:pPr>
        <w:jc w:val="both"/>
      </w:pPr>
    </w:p>
    <w:p w:rsidR="006307A1" w:rsidRPr="00B6778D" w:rsidRDefault="00133C55" w:rsidP="00FB6D14">
      <w:pPr>
        <w:pStyle w:val="Heading2"/>
      </w:pPr>
      <w:r w:rsidRPr="00B6778D">
        <w:t xml:space="preserve">2.6 </w:t>
      </w:r>
      <w:r w:rsidRPr="00B6778D">
        <w:rPr>
          <w:noProof/>
        </w:rPr>
        <w:t>M</w:t>
      </w:r>
      <w:r w:rsidR="006307A1" w:rsidRPr="00B6778D">
        <w:rPr>
          <w:noProof/>
        </w:rPr>
        <w:t>ethod</w:t>
      </w:r>
      <w:r w:rsidR="006307A1" w:rsidRPr="00B6778D">
        <w:t xml:space="preserve"> of Analysis </w:t>
      </w:r>
    </w:p>
    <w:p w:rsidR="006307A1" w:rsidRPr="00B6778D" w:rsidRDefault="00E2546C">
      <w:pPr>
        <w:jc w:val="both"/>
        <w:rPr>
          <w:rFonts w:eastAsia="Times New Roman"/>
          <w:szCs w:val="24"/>
        </w:rPr>
      </w:pPr>
      <w:r>
        <w:t xml:space="preserve">A </w:t>
      </w:r>
      <w:r w:rsidRPr="00E2546C">
        <w:rPr>
          <w:noProof/>
        </w:rPr>
        <w:t>s</w:t>
      </w:r>
      <w:r w:rsidR="006307A1" w:rsidRPr="00E2546C">
        <w:rPr>
          <w:noProof/>
        </w:rPr>
        <w:t>himadzu</w:t>
      </w:r>
      <w:r w:rsidR="006307A1" w:rsidRPr="00B6778D">
        <w:t xml:space="preserve"> </w:t>
      </w:r>
      <w:r w:rsidR="00752DC3">
        <w:t>GC</w:t>
      </w:r>
      <w:r w:rsidR="00F000F5" w:rsidRPr="00B6778D">
        <w:t xml:space="preserve"> was used for </w:t>
      </w:r>
      <w:r w:rsidR="00B12DF0">
        <w:t>characterisation</w:t>
      </w:r>
      <w:r w:rsidR="00B12DF0" w:rsidRPr="00B6778D">
        <w:t xml:space="preserve"> </w:t>
      </w:r>
      <w:r w:rsidR="00F000F5" w:rsidRPr="00B6778D">
        <w:t>and identification of experimental samples</w:t>
      </w:r>
      <w:r w:rsidR="006307A1" w:rsidRPr="00B6778D">
        <w:t>.</w:t>
      </w:r>
      <w:r w:rsidR="00F000F5" w:rsidRPr="00B6778D">
        <w:t xml:space="preserve"> The GC </w:t>
      </w:r>
      <w:r w:rsidR="00F000F5" w:rsidRPr="00B6778D">
        <w:rPr>
          <w:noProof/>
        </w:rPr>
        <w:t>consists</w:t>
      </w:r>
      <w:r w:rsidR="00F000F5" w:rsidRPr="00B6778D">
        <w:t xml:space="preserve"> of the </w:t>
      </w:r>
      <w:r w:rsidR="006307A1" w:rsidRPr="00B6778D">
        <w:t>capillary column of dimension (30</w:t>
      </w:r>
      <w:r w:rsidR="00A74EE8">
        <w:t xml:space="preserve"> </w:t>
      </w:r>
      <w:r w:rsidR="006307A1" w:rsidRPr="00B6778D">
        <w:t>m x 320</w:t>
      </w:r>
      <w:r w:rsidR="00A74EE8">
        <w:t xml:space="preserve"> </w:t>
      </w:r>
      <w:r w:rsidR="006307A1" w:rsidRPr="00B6778D">
        <w:t xml:space="preserve">µm x 0.25 µm) and the </w:t>
      </w:r>
      <w:r w:rsidR="003504A1">
        <w:t xml:space="preserve">FID </w:t>
      </w:r>
      <w:r w:rsidR="006307A1" w:rsidRPr="00B6778D">
        <w:t>detector</w:t>
      </w:r>
      <w:r w:rsidR="003504A1">
        <w:t xml:space="preserve">. </w:t>
      </w:r>
      <w:r w:rsidR="006307A1" w:rsidRPr="00B6778D">
        <w:t xml:space="preserve">A ramp method was used to </w:t>
      </w:r>
      <w:r w:rsidR="00F000F5" w:rsidRPr="00B6778D">
        <w:t>distinguish</w:t>
      </w:r>
      <w:r w:rsidR="006307A1" w:rsidRPr="00B6778D">
        <w:t xml:space="preserve"> all the components </w:t>
      </w:r>
      <w:r w:rsidR="00F000F5" w:rsidRPr="00B6778D">
        <w:t>existing</w:t>
      </w:r>
      <w:r w:rsidR="006307A1" w:rsidRPr="00B6778D">
        <w:t xml:space="preserve"> in the sample mixture and the initial temperature was set at 323 K.</w:t>
      </w:r>
      <w:r w:rsidR="00F000F5" w:rsidRPr="00B6778D">
        <w:t xml:space="preserve"> The injection and detector temperatures were sustained isothermally at 553 K with a split ratio of 50:1 while the injection volume of 0.5 µL </w:t>
      </w:r>
      <w:r w:rsidR="00F000F5" w:rsidRPr="00B6778D">
        <w:rPr>
          <w:noProof/>
        </w:rPr>
        <w:t>was</w:t>
      </w:r>
      <w:r w:rsidR="00F000F5" w:rsidRPr="00B6778D">
        <w:t xml:space="preserve"> chosen as a part of the GC method.</w:t>
      </w:r>
      <w:r w:rsidR="006307A1" w:rsidRPr="00B6778D">
        <w:t xml:space="preserve"> </w:t>
      </w:r>
      <w:r w:rsidR="00F000F5" w:rsidRPr="00B6778D">
        <w:t>The</w:t>
      </w:r>
      <w:r w:rsidR="00F000F5" w:rsidRPr="00B6778D">
        <w:rPr>
          <w:noProof/>
        </w:rPr>
        <w:t xml:space="preserve"> </w:t>
      </w:r>
      <w:r w:rsidR="006307A1" w:rsidRPr="00B6778D">
        <w:rPr>
          <w:noProof/>
        </w:rPr>
        <w:t>sample</w:t>
      </w:r>
      <w:r w:rsidR="006307A1" w:rsidRPr="00B6778D">
        <w:t xml:space="preserve"> for analysis</w:t>
      </w:r>
      <w:r w:rsidR="00F000F5" w:rsidRPr="00B6778D">
        <w:t xml:space="preserve"> was injected </w:t>
      </w:r>
      <w:r w:rsidR="00F000F5" w:rsidRPr="00B6778D">
        <w:rPr>
          <w:i/>
        </w:rPr>
        <w:t>via</w:t>
      </w:r>
      <w:r w:rsidR="00F000F5" w:rsidRPr="00B6778D">
        <w:t xml:space="preserve"> an </w:t>
      </w:r>
      <w:r w:rsidR="00F000F5" w:rsidRPr="00B6778D">
        <w:rPr>
          <w:noProof/>
        </w:rPr>
        <w:t>auto-injector</w:t>
      </w:r>
      <w:r w:rsidR="00F000F5" w:rsidRPr="00B6778D">
        <w:t xml:space="preserve">. The </w:t>
      </w:r>
      <w:r w:rsidR="006307A1" w:rsidRPr="00B6778D">
        <w:t>temperature</w:t>
      </w:r>
      <w:r w:rsidR="00F000F5" w:rsidRPr="00B6778D">
        <w:t xml:space="preserve"> of the oven</w:t>
      </w:r>
      <w:r w:rsidR="006307A1" w:rsidRPr="00B6778D">
        <w:t xml:space="preserve"> was set at 323 K for 5 min after </w:t>
      </w:r>
      <w:r w:rsidR="00F000F5" w:rsidRPr="00B6778D">
        <w:rPr>
          <w:noProof/>
        </w:rPr>
        <w:t>which</w:t>
      </w:r>
      <w:r w:rsidR="00F000F5" w:rsidRPr="00B6778D">
        <w:t xml:space="preserve"> t</w:t>
      </w:r>
      <w:r w:rsidR="004D20D8" w:rsidRPr="00B6778D">
        <w:t xml:space="preserve">he sample injected was </w:t>
      </w:r>
      <w:r w:rsidR="006307A1" w:rsidRPr="00B6778D">
        <w:t>ramped to 553 K at the rate of 25 K/min. The total run time for each sample was</w:t>
      </w:r>
      <w:r>
        <w:t xml:space="preserve"> </w:t>
      </w:r>
      <w:r w:rsidR="006307A1" w:rsidRPr="00B6778D">
        <w:t xml:space="preserve"> ̴ 14min. </w:t>
      </w:r>
      <w:r w:rsidR="004D20D8" w:rsidRPr="00B6778D">
        <w:t xml:space="preserve">After each run, the </w:t>
      </w:r>
      <w:r w:rsidR="006307A1" w:rsidRPr="00B6778D">
        <w:t>temperature</w:t>
      </w:r>
      <w:r w:rsidR="004D20D8" w:rsidRPr="00B6778D">
        <w:t xml:space="preserve"> of the oven</w:t>
      </w:r>
      <w:r w:rsidR="006307A1" w:rsidRPr="00B6778D">
        <w:t xml:space="preserve"> was cooled down to 323 K for </w:t>
      </w:r>
      <w:r w:rsidR="004D20D8" w:rsidRPr="00B6778D">
        <w:t>consecutive</w:t>
      </w:r>
      <w:r w:rsidR="006307A1" w:rsidRPr="00B6778D">
        <w:t xml:space="preserve"> sample runs. </w:t>
      </w:r>
      <w:r w:rsidR="004D20D8" w:rsidRPr="00B6778D">
        <w:t>The</w:t>
      </w:r>
      <w:r w:rsidR="006307A1" w:rsidRPr="00B6778D">
        <w:t xml:space="preserve"> internal standard</w:t>
      </w:r>
      <w:r w:rsidR="004D20D8" w:rsidRPr="00B6778D">
        <w:t xml:space="preserve"> used was octane</w:t>
      </w:r>
      <w:r w:rsidR="006307A1" w:rsidRPr="00B6778D">
        <w:t xml:space="preserve">. A chromatograph of sample mixture analysed using GC revealed </w:t>
      </w:r>
      <w:r w:rsidR="004D20D8" w:rsidRPr="00B6778D">
        <w:t>the residence times of ̴ 4, ̴7 and  ̴12</w:t>
      </w:r>
      <w:r>
        <w:t xml:space="preserve"> min</w:t>
      </w:r>
      <w:r w:rsidR="004D20D8" w:rsidRPr="00B6778D">
        <w:t xml:space="preserve"> for </w:t>
      </w:r>
      <w:r w:rsidR="006307A1" w:rsidRPr="00B6778D">
        <w:t>octane, BO and BC peak respectively</w:t>
      </w:r>
      <w:r w:rsidR="006307A1" w:rsidRPr="00B6778D">
        <w:rPr>
          <w:rFonts w:eastAsia="Times New Roman"/>
          <w:szCs w:val="24"/>
        </w:rPr>
        <w:t>.</w:t>
      </w:r>
    </w:p>
    <w:p w:rsidR="00DD7E98" w:rsidRPr="00B6778D" w:rsidRDefault="00DD7E98" w:rsidP="006307A1">
      <w:pPr>
        <w:jc w:val="both"/>
        <w:rPr>
          <w:rFonts w:eastAsia="Times New Roman"/>
          <w:szCs w:val="24"/>
        </w:rPr>
      </w:pPr>
    </w:p>
    <w:p w:rsidR="00133C55" w:rsidRPr="00B6778D" w:rsidRDefault="00133C55" w:rsidP="00B908E2">
      <w:pPr>
        <w:pStyle w:val="Heading1"/>
        <w:rPr>
          <w:i/>
        </w:rPr>
      </w:pPr>
      <w:r w:rsidRPr="00B6778D">
        <w:lastRenderedPageBreak/>
        <w:t>3. Results and Discussion</w:t>
      </w:r>
    </w:p>
    <w:p w:rsidR="00133C55" w:rsidRPr="00B6778D" w:rsidRDefault="00133C55" w:rsidP="00FB6D14">
      <w:pPr>
        <w:pStyle w:val="Heading2"/>
      </w:pPr>
      <w:r w:rsidRPr="00B6778D">
        <w:t xml:space="preserve">3.1 Proposed </w:t>
      </w:r>
      <w:r w:rsidR="00E2546C">
        <w:t>R</w:t>
      </w:r>
      <w:r w:rsidRPr="00B6778D">
        <w:t xml:space="preserve">eaction </w:t>
      </w:r>
      <w:r w:rsidR="00E2546C">
        <w:t>M</w:t>
      </w:r>
      <w:r w:rsidRPr="00B6778D">
        <w:t>echanism</w:t>
      </w:r>
    </w:p>
    <w:p w:rsidR="00BA1179" w:rsidRPr="00B6778D" w:rsidRDefault="00B209F1">
      <w:pPr>
        <w:jc w:val="both"/>
        <w:rPr>
          <w:rFonts w:ascii="Times" w:eastAsia="Times New Roman" w:hAnsi="Times"/>
          <w:szCs w:val="20"/>
        </w:rPr>
      </w:pPr>
      <w:r w:rsidRPr="00B6778D">
        <w:t>The cycloaddition reaction of BO and CO</w:t>
      </w:r>
      <w:r w:rsidRPr="00B6778D">
        <w:rPr>
          <w:vertAlign w:val="subscript"/>
        </w:rPr>
        <w:t>2</w:t>
      </w:r>
      <w:r w:rsidRPr="00B6778D">
        <w:t xml:space="preserve"> to the </w:t>
      </w:r>
      <w:r w:rsidRPr="00B6778D">
        <w:rPr>
          <w:noProof/>
        </w:rPr>
        <w:t>formation</w:t>
      </w:r>
      <w:r w:rsidR="00823049" w:rsidRPr="00B6778D">
        <w:rPr>
          <w:noProof/>
        </w:rPr>
        <w:t xml:space="preserve"> of</w:t>
      </w:r>
      <w:r w:rsidRPr="00B6778D">
        <w:t xml:space="preserve"> BC in the presence of Ce-La</w:t>
      </w:r>
      <w:r w:rsidR="004A2B84" w:rsidRPr="00B6778D">
        <w:t>-Zr/GO catalyst can be seen in F</w:t>
      </w:r>
      <w:r w:rsidRPr="00B6778D">
        <w:t xml:space="preserve">igure </w:t>
      </w:r>
      <w:r w:rsidR="006C36C3">
        <w:t>2</w:t>
      </w:r>
      <w:r w:rsidRPr="00B6778D">
        <w:rPr>
          <w:noProof/>
        </w:rPr>
        <w:t>.</w:t>
      </w:r>
      <w:r w:rsidR="00823049" w:rsidRPr="00B6778D">
        <w:rPr>
          <w:noProof/>
        </w:rPr>
        <w:t xml:space="preserve"> </w:t>
      </w:r>
      <w:r w:rsidR="00BA1179" w:rsidRPr="00B6778D">
        <w:rPr>
          <w:noProof/>
        </w:rPr>
        <w:t>The</w:t>
      </w:r>
      <w:r w:rsidR="00BA1179" w:rsidRPr="00B6778D">
        <w:t xml:space="preserve"> proposed reaction mechanism </w:t>
      </w:r>
      <w:r w:rsidR="006C36C3">
        <w:t>has been</w:t>
      </w:r>
      <w:r w:rsidR="006C36C3" w:rsidRPr="00B6778D">
        <w:t xml:space="preserve"> </w:t>
      </w:r>
      <w:r w:rsidR="00BA1179" w:rsidRPr="00B6778D">
        <w:t>initiated by adsorption of CO</w:t>
      </w:r>
      <w:r w:rsidR="00BA1179" w:rsidRPr="00B6778D">
        <w:rPr>
          <w:vertAlign w:val="subscript"/>
        </w:rPr>
        <w:t>2</w:t>
      </w:r>
      <w:r w:rsidR="00BA1179" w:rsidRPr="00B6778D">
        <w:t xml:space="preserve"> through the cycloaddition reaction of </w:t>
      </w:r>
      <w:r w:rsidR="003504A1">
        <w:t>BC</w:t>
      </w:r>
      <w:r w:rsidR="00BA1179" w:rsidRPr="00B6778D">
        <w:t xml:space="preserve"> on the basic site of mixed metal oxide catalyst to produce a carboxylate anion and BO was </w:t>
      </w:r>
      <w:r w:rsidR="00BA1179" w:rsidRPr="00B6778D">
        <w:rPr>
          <w:noProof/>
        </w:rPr>
        <w:t>lik</w:t>
      </w:r>
      <w:r w:rsidR="00823049" w:rsidRPr="00B6778D">
        <w:rPr>
          <w:noProof/>
        </w:rPr>
        <w:t>e</w:t>
      </w:r>
      <w:r w:rsidR="00BA1179" w:rsidRPr="00B6778D">
        <w:rPr>
          <w:noProof/>
        </w:rPr>
        <w:t>wise</w:t>
      </w:r>
      <w:r w:rsidR="00BA1179" w:rsidRPr="00B6778D">
        <w:t xml:space="preserve"> activated by desorption on the acidic site.</w:t>
      </w:r>
      <w:r w:rsidR="00031521" w:rsidRPr="00B6778D">
        <w:t xml:space="preserve"> The use of high temperature and supercritical pressure along with mixed metal oxide catalyst </w:t>
      </w:r>
      <w:r w:rsidR="006C36C3">
        <w:t xml:space="preserve">has </w:t>
      </w:r>
      <w:r w:rsidR="00031521" w:rsidRPr="00B6778D">
        <w:t xml:space="preserve">aided in ring </w:t>
      </w:r>
      <w:r w:rsidR="00031521" w:rsidRPr="00B6778D">
        <w:rPr>
          <w:noProof/>
        </w:rPr>
        <w:t>opening</w:t>
      </w:r>
      <w:r w:rsidR="00031521" w:rsidRPr="00B6778D">
        <w:t xml:space="preserve"> of </w:t>
      </w:r>
      <w:r w:rsidR="006C36C3">
        <w:t>BO</w:t>
      </w:r>
      <w:r w:rsidR="00031521" w:rsidRPr="00B6778D">
        <w:t xml:space="preserve"> through the carboxylate </w:t>
      </w:r>
      <w:r w:rsidR="00031521" w:rsidRPr="00B6778D">
        <w:rPr>
          <w:noProof/>
        </w:rPr>
        <w:t>anions leads</w:t>
      </w:r>
      <w:r w:rsidR="00031521" w:rsidRPr="00B6778D">
        <w:t xml:space="preserve"> to the formation of oxyanion species.  The dissociation of Ce-La-Zr/GO from</w:t>
      </w:r>
      <w:r w:rsidRPr="00B6778D">
        <w:t xml:space="preserve"> oxyanion species </w:t>
      </w:r>
      <w:r w:rsidRPr="00B6778D">
        <w:rPr>
          <w:noProof/>
        </w:rPr>
        <w:t>inte</w:t>
      </w:r>
      <w:r w:rsidR="00823049" w:rsidRPr="00B6778D">
        <w:rPr>
          <w:noProof/>
        </w:rPr>
        <w:t>ns</w:t>
      </w:r>
      <w:r w:rsidRPr="00B6778D">
        <w:rPr>
          <w:noProof/>
        </w:rPr>
        <w:t>ifies</w:t>
      </w:r>
      <w:r w:rsidRPr="00B6778D">
        <w:t xml:space="preserve"> the closure of the ring and desorption of BC as a product formed. The side products formed from BC synthesis are well below</w:t>
      </w:r>
      <w:r w:rsidRPr="00B6778D">
        <w:rPr>
          <w:rFonts w:ascii="Times" w:eastAsia="Times New Roman" w:hAnsi="Times"/>
          <w:szCs w:val="20"/>
        </w:rPr>
        <w:t xml:space="preserve"> the </w:t>
      </w:r>
      <w:r w:rsidR="00E2546C">
        <w:rPr>
          <w:rFonts w:ascii="Times" w:eastAsia="Times New Roman" w:hAnsi="Times"/>
          <w:szCs w:val="20"/>
        </w:rPr>
        <w:t xml:space="preserve">detection </w:t>
      </w:r>
      <w:r w:rsidRPr="00B6778D">
        <w:rPr>
          <w:rFonts w:ascii="Times" w:eastAsia="Times New Roman" w:hAnsi="Times"/>
          <w:szCs w:val="20"/>
        </w:rPr>
        <w:t>limit of the GC-FID used in the analysis</w:t>
      </w:r>
      <w:r w:rsidR="004A2B84" w:rsidRPr="00B6778D">
        <w:rPr>
          <w:rFonts w:ascii="Times" w:eastAsia="Times New Roman" w:hAnsi="Times"/>
          <w:szCs w:val="20"/>
        </w:rPr>
        <w:t>.</w:t>
      </w:r>
    </w:p>
    <w:p w:rsidR="004A2B84" w:rsidRPr="00B6778D" w:rsidRDefault="00DD7E98" w:rsidP="00C3556D">
      <w:pPr>
        <w:jc w:val="center"/>
      </w:pPr>
      <w:r w:rsidRPr="00B6778D">
        <w:rPr>
          <w:noProof/>
          <w:lang w:eastAsia="en-GB"/>
        </w:rPr>
        <w:drawing>
          <wp:inline distT="0" distB="0" distL="0" distR="0" wp14:anchorId="27C44C8D" wp14:editId="30B994D1">
            <wp:extent cx="5685790" cy="2992632"/>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09690" cy="3005211"/>
                    </a:xfrm>
                    <a:prstGeom prst="rect">
                      <a:avLst/>
                    </a:prstGeom>
                    <a:noFill/>
                  </pic:spPr>
                </pic:pic>
              </a:graphicData>
            </a:graphic>
          </wp:inline>
        </w:drawing>
      </w:r>
    </w:p>
    <w:p w:rsidR="00DD7E98" w:rsidRPr="00B6778D" w:rsidRDefault="00FF4357" w:rsidP="00FA2670">
      <w:pPr>
        <w:pStyle w:val="Caption"/>
        <w:rPr>
          <w:b w:val="0"/>
          <w:color w:val="auto"/>
          <w:sz w:val="24"/>
        </w:rPr>
      </w:pPr>
      <w:bookmarkStart w:id="6" w:name="_Toc528474666"/>
      <w:r w:rsidRPr="0049408C">
        <w:rPr>
          <w:bCs w:val="0"/>
          <w:color w:val="auto"/>
          <w:sz w:val="24"/>
        </w:rPr>
        <w:t xml:space="preserve">Figure </w:t>
      </w:r>
      <w:r w:rsidRPr="0049408C">
        <w:rPr>
          <w:bCs w:val="0"/>
          <w:color w:val="auto"/>
          <w:sz w:val="24"/>
        </w:rPr>
        <w:fldChar w:fldCharType="begin"/>
      </w:r>
      <w:r w:rsidRPr="0049408C">
        <w:rPr>
          <w:bCs w:val="0"/>
          <w:color w:val="auto"/>
          <w:sz w:val="24"/>
        </w:rPr>
        <w:instrText xml:space="preserve"> SEQ Figure \* ARABIC </w:instrText>
      </w:r>
      <w:r w:rsidRPr="0049408C">
        <w:rPr>
          <w:bCs w:val="0"/>
          <w:color w:val="auto"/>
          <w:sz w:val="24"/>
        </w:rPr>
        <w:fldChar w:fldCharType="separate"/>
      </w:r>
      <w:r w:rsidR="004A2E92" w:rsidRPr="0049408C">
        <w:rPr>
          <w:bCs w:val="0"/>
          <w:noProof/>
          <w:color w:val="auto"/>
          <w:sz w:val="24"/>
        </w:rPr>
        <w:t>2</w:t>
      </w:r>
      <w:r w:rsidRPr="0049408C">
        <w:rPr>
          <w:bCs w:val="0"/>
          <w:color w:val="auto"/>
          <w:sz w:val="24"/>
        </w:rPr>
        <w:fldChar w:fldCharType="end"/>
      </w:r>
      <w:r w:rsidRPr="0049408C">
        <w:rPr>
          <w:bCs w:val="0"/>
          <w:color w:val="auto"/>
          <w:sz w:val="24"/>
        </w:rPr>
        <w:t>.</w:t>
      </w:r>
      <w:r w:rsidRPr="00B6778D">
        <w:rPr>
          <w:b w:val="0"/>
          <w:color w:val="auto"/>
          <w:sz w:val="24"/>
        </w:rPr>
        <w:t xml:space="preserve"> Synthesis of butylene carbonate (BC) using a Ce-La-Zr/GO catalyst. (a) Reaction scheme and (b) Plausible reaction mechanism.</w:t>
      </w:r>
      <w:bookmarkEnd w:id="6"/>
    </w:p>
    <w:p w:rsidR="006213A6" w:rsidRPr="006213A6" w:rsidRDefault="00133C55" w:rsidP="00FB6D14">
      <w:pPr>
        <w:pStyle w:val="Heading2"/>
      </w:pPr>
      <w:r w:rsidRPr="00B6778D">
        <w:t>3.</w:t>
      </w:r>
      <w:r w:rsidR="00FB6D14">
        <w:t>2</w:t>
      </w:r>
      <w:r w:rsidRPr="00B6778D">
        <w:t xml:space="preserve"> Development of </w:t>
      </w:r>
      <w:r w:rsidR="00E2546C">
        <w:t>R</w:t>
      </w:r>
      <w:r w:rsidRPr="00B6778D">
        <w:t xml:space="preserve">egression </w:t>
      </w:r>
      <w:r w:rsidR="00E2546C">
        <w:t>M</w:t>
      </w:r>
      <w:r w:rsidRPr="00B6778D">
        <w:t xml:space="preserve">odel </w:t>
      </w:r>
    </w:p>
    <w:p w:rsidR="00F900CE" w:rsidRDefault="006213A6">
      <w:pPr>
        <w:jc w:val="both"/>
      </w:pPr>
      <w:r>
        <w:t xml:space="preserve">The responses for </w:t>
      </w:r>
      <w:r w:rsidRPr="00E2546C">
        <w:rPr>
          <w:noProof/>
        </w:rPr>
        <w:t>randomis</w:t>
      </w:r>
      <w:r w:rsidR="008E3F94" w:rsidRPr="00E2546C">
        <w:rPr>
          <w:noProof/>
        </w:rPr>
        <w:t>ed</w:t>
      </w:r>
      <w:r w:rsidR="008E3F94" w:rsidRPr="00B6778D">
        <w:t xml:space="preserve"> experiments in terms of BO conversion and BC yield have been reported </w:t>
      </w:r>
      <w:r>
        <w:t xml:space="preserve">as shown </w:t>
      </w:r>
      <w:r w:rsidR="008E3F94" w:rsidRPr="00B6778D">
        <w:t xml:space="preserve">in Table </w:t>
      </w:r>
      <w:r w:rsidR="002065B7">
        <w:t>3</w:t>
      </w:r>
      <w:r w:rsidR="008E3F94" w:rsidRPr="00B6778D">
        <w:t xml:space="preserve">. It has been observed from the experimental </w:t>
      </w:r>
      <w:r>
        <w:t>results</w:t>
      </w:r>
      <w:r w:rsidR="008E3F94" w:rsidRPr="00B6778D">
        <w:t xml:space="preserve"> that BO conversion ranges from 42 to 90%</w:t>
      </w:r>
      <w:r w:rsidR="00E2546C">
        <w:t>,</w:t>
      </w:r>
      <w:r w:rsidR="008E3F94" w:rsidRPr="00B6778D">
        <w:t xml:space="preserve"> while BC yield ranges from 16 to 65%. Multiple regression anal</w:t>
      </w:r>
      <w:r w:rsidR="00E2546C">
        <w:t>ysis of the experimental data</w:t>
      </w:r>
      <w:r w:rsidR="008E3F94" w:rsidRPr="00B6778D">
        <w:t xml:space="preserve"> has been performed using Design Expert software. </w:t>
      </w:r>
      <w:r w:rsidR="00F80E6E">
        <w:t xml:space="preserve">The software has fitted four models for each response i.e. </w:t>
      </w:r>
      <w:r w:rsidR="00F80E6E">
        <w:rPr>
          <w:bCs/>
          <w:color w:val="000000" w:themeColor="text1"/>
        </w:rPr>
        <w:t xml:space="preserve">linear, two factors interactions (2FI), quadratic and cubic polynomials. Amongst the predicted fitted models for each response, the model with highest fitting has been chosen based on several statistical </w:t>
      </w:r>
      <w:r w:rsidR="00F80E6E">
        <w:rPr>
          <w:bCs/>
          <w:color w:val="000000" w:themeColor="text1"/>
        </w:rPr>
        <w:lastRenderedPageBreak/>
        <w:t xml:space="preserve">validations. It has been observed that the experimental data of both responses are highly fitting with the quadratic polynomial models. Accordingly, </w:t>
      </w:r>
      <w:r w:rsidR="00CD79FF">
        <w:rPr>
          <w:bCs/>
          <w:color w:val="000000" w:themeColor="text1"/>
        </w:rPr>
        <w:t>two</w:t>
      </w:r>
      <w:r w:rsidR="00F80E6E">
        <w:rPr>
          <w:bCs/>
          <w:color w:val="000000" w:themeColor="text1"/>
        </w:rPr>
        <w:t xml:space="preserve"> quadratic models have been developed representing </w:t>
      </w:r>
      <w:r w:rsidR="00F12D89">
        <w:rPr>
          <w:bCs/>
          <w:color w:val="000000" w:themeColor="text1"/>
        </w:rPr>
        <w:t xml:space="preserve">the </w:t>
      </w:r>
      <w:r w:rsidR="00F80E6E" w:rsidRPr="00F12D89">
        <w:rPr>
          <w:bCs/>
          <w:noProof/>
          <w:color w:val="000000" w:themeColor="text1"/>
        </w:rPr>
        <w:t>empirical</w:t>
      </w:r>
      <w:r w:rsidR="00F80E6E">
        <w:rPr>
          <w:bCs/>
          <w:color w:val="000000" w:themeColor="text1"/>
        </w:rPr>
        <w:t xml:space="preserve"> relationship between process responses </w:t>
      </w:r>
      <w:r w:rsidR="00CD79FF">
        <w:rPr>
          <w:bCs/>
          <w:color w:val="000000" w:themeColor="text1"/>
        </w:rPr>
        <w:t xml:space="preserve">(BC yield and BO conversion) </w:t>
      </w:r>
      <w:r w:rsidR="00F80E6E">
        <w:rPr>
          <w:bCs/>
          <w:color w:val="000000" w:themeColor="text1"/>
        </w:rPr>
        <w:t xml:space="preserve">and reaction variables as shown in </w:t>
      </w:r>
      <w:r w:rsidR="00CD79FF">
        <w:rPr>
          <w:bCs/>
          <w:color w:val="000000" w:themeColor="text1"/>
        </w:rPr>
        <w:t>Equations</w:t>
      </w:r>
      <w:r w:rsidR="00DC75B6">
        <w:rPr>
          <w:bCs/>
          <w:color w:val="000000" w:themeColor="text1"/>
        </w:rPr>
        <w:t xml:space="preserve"> 2 and 3.</w:t>
      </w:r>
    </w:p>
    <w:p w:rsidR="00632C31" w:rsidRDefault="00632C31" w:rsidP="00CD79FF">
      <w:pPr>
        <w:pStyle w:val="TAMainText"/>
        <w:spacing w:line="276" w:lineRule="auto"/>
        <w:ind w:firstLine="0"/>
        <w:contextualSpacing/>
        <w:rPr>
          <w:rFonts w:ascii="Times New Roman" w:eastAsiaTheme="minorHAnsi" w:hAnsi="Times New Roman"/>
          <w:i/>
          <w:iCs/>
          <w:color w:val="000000" w:themeColor="text1"/>
          <w:szCs w:val="24"/>
        </w:rPr>
      </w:pPr>
    </w:p>
    <w:p w:rsidR="00CD79FF" w:rsidRDefault="00CD79FF" w:rsidP="00CD79FF">
      <w:pPr>
        <w:pStyle w:val="TAMainText"/>
        <w:spacing w:line="276" w:lineRule="auto"/>
        <w:ind w:firstLine="0"/>
        <w:contextualSpacing/>
        <w:rPr>
          <w:rFonts w:ascii="Times New Roman" w:hAnsi="Times New Roman"/>
          <w:bCs/>
          <w:color w:val="000000" w:themeColor="text1"/>
        </w:rPr>
      </w:pPr>
      <w:r w:rsidRPr="00857AB7">
        <w:rPr>
          <w:rFonts w:ascii="Times New Roman" w:eastAsiaTheme="minorHAnsi" w:hAnsi="Times New Roman"/>
          <w:i/>
          <w:iCs/>
          <w:color w:val="000000" w:themeColor="text1"/>
          <w:szCs w:val="24"/>
        </w:rPr>
        <w:t>Y</w:t>
      </w:r>
      <w:r w:rsidRPr="00CD79FF">
        <w:rPr>
          <w:rFonts w:ascii="Times New Roman" w:eastAsiaTheme="minorHAnsi" w:hAnsi="Times New Roman"/>
          <w:i/>
          <w:iCs/>
          <w:color w:val="000000" w:themeColor="text1"/>
          <w:szCs w:val="24"/>
          <w:vertAlign w:val="subscript"/>
        </w:rPr>
        <w:t>1</w:t>
      </w:r>
      <w:r>
        <w:rPr>
          <w:rFonts w:ascii="Times New Roman" w:eastAsiaTheme="minorHAnsi" w:hAnsi="Times New Roman"/>
          <w:i/>
          <w:iCs/>
          <w:color w:val="000000" w:themeColor="text1"/>
          <w:szCs w:val="24"/>
        </w:rPr>
        <w:t xml:space="preserve"> = 84.00 + 8.75 A + 8.92 B + 7.33 C + 7.50</w:t>
      </w:r>
      <w:r w:rsidRPr="00857AB7">
        <w:rPr>
          <w:rFonts w:ascii="Times New Roman" w:eastAsiaTheme="minorHAnsi" w:hAnsi="Times New Roman"/>
          <w:i/>
          <w:iCs/>
          <w:color w:val="000000" w:themeColor="text1"/>
          <w:szCs w:val="24"/>
        </w:rPr>
        <w:t xml:space="preserve"> D -</w:t>
      </w:r>
      <w:r>
        <w:rPr>
          <w:rFonts w:ascii="Times New Roman" w:eastAsiaTheme="minorHAnsi" w:hAnsi="Times New Roman"/>
          <w:i/>
          <w:iCs/>
          <w:color w:val="000000" w:themeColor="text1"/>
          <w:szCs w:val="24"/>
        </w:rPr>
        <w:t xml:space="preserve"> 9.25 AB</w:t>
      </w:r>
      <w:r w:rsidRPr="00857AB7">
        <w:rPr>
          <w:rFonts w:ascii="Times New Roman" w:eastAsiaTheme="minorHAnsi" w:hAnsi="Times New Roman"/>
          <w:i/>
          <w:iCs/>
          <w:color w:val="000000" w:themeColor="text1"/>
          <w:szCs w:val="24"/>
        </w:rPr>
        <w:t xml:space="preserve"> </w:t>
      </w:r>
      <w:r>
        <w:rPr>
          <w:rFonts w:ascii="Times New Roman" w:eastAsiaTheme="minorHAnsi" w:hAnsi="Times New Roman"/>
          <w:i/>
          <w:iCs/>
          <w:color w:val="000000" w:themeColor="text1"/>
          <w:szCs w:val="24"/>
        </w:rPr>
        <w:t>+ 7.00</w:t>
      </w:r>
      <w:r w:rsidRPr="00857AB7">
        <w:rPr>
          <w:rFonts w:ascii="Times New Roman" w:eastAsiaTheme="minorHAnsi" w:hAnsi="Times New Roman"/>
          <w:i/>
          <w:iCs/>
          <w:color w:val="000000" w:themeColor="text1"/>
          <w:szCs w:val="24"/>
        </w:rPr>
        <w:t xml:space="preserve"> AC </w:t>
      </w:r>
      <w:r>
        <w:rPr>
          <w:rFonts w:ascii="Times New Roman" w:eastAsiaTheme="minorHAnsi" w:hAnsi="Times New Roman"/>
          <w:i/>
          <w:iCs/>
          <w:color w:val="000000" w:themeColor="text1"/>
          <w:szCs w:val="24"/>
        </w:rPr>
        <w:t>+ 4.00 AD</w:t>
      </w:r>
      <w:r w:rsidRPr="00857AB7">
        <w:rPr>
          <w:rFonts w:ascii="Times New Roman" w:eastAsiaTheme="minorHAnsi" w:hAnsi="Times New Roman"/>
          <w:i/>
          <w:iCs/>
          <w:color w:val="000000" w:themeColor="text1"/>
          <w:szCs w:val="24"/>
        </w:rPr>
        <w:t xml:space="preserve"> -</w:t>
      </w:r>
      <w:r>
        <w:rPr>
          <w:rFonts w:ascii="Times New Roman" w:eastAsiaTheme="minorHAnsi" w:hAnsi="Times New Roman"/>
          <w:i/>
          <w:iCs/>
          <w:color w:val="000000" w:themeColor="text1"/>
          <w:szCs w:val="24"/>
        </w:rPr>
        <w:t xml:space="preserve"> 2.25 B</w:t>
      </w:r>
      <w:r w:rsidRPr="00857AB7">
        <w:rPr>
          <w:rFonts w:ascii="Times New Roman" w:eastAsiaTheme="minorHAnsi" w:hAnsi="Times New Roman"/>
          <w:i/>
          <w:iCs/>
          <w:color w:val="000000" w:themeColor="text1"/>
          <w:szCs w:val="24"/>
        </w:rPr>
        <w:t xml:space="preserve">C </w:t>
      </w:r>
      <w:r>
        <w:rPr>
          <w:rFonts w:ascii="Times New Roman" w:eastAsiaTheme="minorHAnsi" w:hAnsi="Times New Roman"/>
          <w:i/>
          <w:iCs/>
          <w:color w:val="000000" w:themeColor="text1"/>
          <w:szCs w:val="24"/>
        </w:rPr>
        <w:br/>
        <w:t>+ 2.25 BD</w:t>
      </w:r>
      <w:r w:rsidRPr="00857AB7">
        <w:rPr>
          <w:rFonts w:ascii="Times New Roman" w:eastAsiaTheme="minorHAnsi" w:hAnsi="Times New Roman"/>
          <w:i/>
          <w:iCs/>
          <w:color w:val="000000" w:themeColor="text1"/>
          <w:szCs w:val="24"/>
        </w:rPr>
        <w:t xml:space="preserve"> </w:t>
      </w:r>
      <w:r>
        <w:rPr>
          <w:rFonts w:ascii="Times New Roman" w:eastAsiaTheme="minorHAnsi" w:hAnsi="Times New Roman"/>
          <w:i/>
          <w:iCs/>
          <w:color w:val="000000" w:themeColor="text1"/>
          <w:szCs w:val="24"/>
        </w:rPr>
        <w:t xml:space="preserve">+ 1.25 </w:t>
      </w:r>
      <w:r w:rsidRPr="00857AB7">
        <w:rPr>
          <w:rFonts w:ascii="Times New Roman" w:eastAsiaTheme="minorHAnsi" w:hAnsi="Times New Roman"/>
          <w:i/>
          <w:iCs/>
          <w:color w:val="000000" w:themeColor="text1"/>
          <w:szCs w:val="24"/>
        </w:rPr>
        <w:t>C</w:t>
      </w:r>
      <w:r>
        <w:rPr>
          <w:rFonts w:ascii="Times New Roman" w:eastAsiaTheme="minorHAnsi" w:hAnsi="Times New Roman"/>
          <w:i/>
          <w:iCs/>
          <w:color w:val="000000" w:themeColor="text1"/>
          <w:szCs w:val="24"/>
        </w:rPr>
        <w:t>D</w:t>
      </w:r>
      <w:r w:rsidRPr="00857AB7">
        <w:rPr>
          <w:rFonts w:ascii="Times New Roman" w:eastAsiaTheme="minorHAnsi" w:hAnsi="Times New Roman"/>
          <w:i/>
          <w:iCs/>
          <w:color w:val="000000" w:themeColor="text1"/>
          <w:szCs w:val="24"/>
        </w:rPr>
        <w:t xml:space="preserve"> </w:t>
      </w:r>
      <w:r>
        <w:rPr>
          <w:rFonts w:ascii="Times New Roman" w:eastAsiaTheme="minorHAnsi" w:hAnsi="Times New Roman"/>
          <w:i/>
          <w:iCs/>
          <w:color w:val="000000" w:themeColor="text1"/>
          <w:szCs w:val="24"/>
        </w:rPr>
        <w:t xml:space="preserve">– 11.63 </w:t>
      </w:r>
      <w:r w:rsidRPr="00857AB7">
        <w:rPr>
          <w:rFonts w:ascii="Times New Roman" w:eastAsiaTheme="minorHAnsi" w:hAnsi="Times New Roman"/>
          <w:i/>
          <w:iCs/>
          <w:color w:val="000000" w:themeColor="text1"/>
          <w:szCs w:val="24"/>
        </w:rPr>
        <w:t>A</w:t>
      </w:r>
      <w:r w:rsidRPr="00CD79FF">
        <w:rPr>
          <w:rFonts w:ascii="Times New Roman" w:eastAsiaTheme="minorHAnsi" w:hAnsi="Times New Roman"/>
          <w:i/>
          <w:iCs/>
          <w:color w:val="000000" w:themeColor="text1"/>
          <w:szCs w:val="24"/>
          <w:vertAlign w:val="superscript"/>
        </w:rPr>
        <w:t>2</w:t>
      </w:r>
      <w:r>
        <w:rPr>
          <w:rFonts w:ascii="Times New Roman" w:eastAsiaTheme="minorHAnsi" w:hAnsi="Times New Roman"/>
          <w:i/>
          <w:iCs/>
          <w:color w:val="000000" w:themeColor="text1"/>
          <w:szCs w:val="24"/>
        </w:rPr>
        <w:t xml:space="preserve"> + 0.87</w:t>
      </w:r>
      <w:r w:rsidRPr="00857AB7">
        <w:rPr>
          <w:rFonts w:ascii="Times New Roman" w:eastAsiaTheme="minorHAnsi" w:hAnsi="Times New Roman"/>
          <w:i/>
          <w:iCs/>
          <w:color w:val="000000" w:themeColor="text1"/>
          <w:szCs w:val="24"/>
        </w:rPr>
        <w:t xml:space="preserve"> B</w:t>
      </w:r>
      <w:r w:rsidRPr="00CD79FF">
        <w:rPr>
          <w:rFonts w:ascii="Times New Roman" w:eastAsiaTheme="minorHAnsi" w:hAnsi="Times New Roman"/>
          <w:i/>
          <w:iCs/>
          <w:color w:val="000000" w:themeColor="text1"/>
          <w:szCs w:val="24"/>
          <w:vertAlign w:val="superscript"/>
        </w:rPr>
        <w:t>2</w:t>
      </w:r>
      <w:r w:rsidRPr="00857AB7">
        <w:rPr>
          <w:rFonts w:ascii="Times New Roman" w:eastAsiaTheme="minorHAnsi" w:hAnsi="Times New Roman"/>
          <w:i/>
          <w:iCs/>
          <w:color w:val="000000" w:themeColor="text1"/>
          <w:szCs w:val="24"/>
        </w:rPr>
        <w:t xml:space="preserve"> </w:t>
      </w:r>
      <w:r>
        <w:rPr>
          <w:rFonts w:ascii="Times New Roman" w:eastAsiaTheme="minorHAnsi" w:hAnsi="Times New Roman"/>
          <w:i/>
          <w:iCs/>
          <w:color w:val="000000" w:themeColor="text1"/>
          <w:szCs w:val="24"/>
        </w:rPr>
        <w:t>– 7.50</w:t>
      </w:r>
      <w:r w:rsidRPr="00857AB7">
        <w:rPr>
          <w:rFonts w:ascii="Times New Roman" w:eastAsiaTheme="minorHAnsi" w:hAnsi="Times New Roman"/>
          <w:i/>
          <w:iCs/>
          <w:color w:val="000000" w:themeColor="text1"/>
          <w:szCs w:val="24"/>
        </w:rPr>
        <w:t xml:space="preserve"> C</w:t>
      </w:r>
      <w:r w:rsidRPr="00CD79FF">
        <w:rPr>
          <w:rFonts w:ascii="Times New Roman" w:eastAsiaTheme="minorHAnsi" w:hAnsi="Times New Roman"/>
          <w:i/>
          <w:iCs/>
          <w:color w:val="000000" w:themeColor="text1"/>
          <w:szCs w:val="24"/>
          <w:vertAlign w:val="superscript"/>
        </w:rPr>
        <w:t>2</w:t>
      </w:r>
      <w:r>
        <w:rPr>
          <w:rFonts w:ascii="Times New Roman" w:eastAsiaTheme="minorHAnsi" w:hAnsi="Times New Roman"/>
          <w:i/>
          <w:iCs/>
          <w:color w:val="000000" w:themeColor="text1"/>
          <w:szCs w:val="24"/>
        </w:rPr>
        <w:t xml:space="preserve"> – 7.25</w:t>
      </w:r>
      <w:r w:rsidRPr="00857AB7">
        <w:rPr>
          <w:rFonts w:ascii="Times New Roman" w:eastAsiaTheme="minorHAnsi" w:hAnsi="Times New Roman"/>
          <w:i/>
          <w:iCs/>
          <w:color w:val="000000" w:themeColor="text1"/>
          <w:szCs w:val="24"/>
        </w:rPr>
        <w:t xml:space="preserve"> D</w:t>
      </w:r>
      <w:r w:rsidRPr="00CD79FF">
        <w:rPr>
          <w:rFonts w:ascii="Times New Roman" w:eastAsiaTheme="minorHAnsi" w:hAnsi="Times New Roman"/>
          <w:i/>
          <w:iCs/>
          <w:color w:val="000000" w:themeColor="text1"/>
          <w:szCs w:val="24"/>
          <w:vertAlign w:val="superscript"/>
        </w:rPr>
        <w:t>2</w:t>
      </w:r>
      <w:r w:rsidRPr="00CD79FF">
        <w:rPr>
          <w:rFonts w:ascii="Times New Roman" w:eastAsiaTheme="minorHAnsi" w:hAnsi="Times New Roman"/>
          <w:i/>
          <w:iCs/>
          <w:color w:val="000000" w:themeColor="text1"/>
          <w:szCs w:val="24"/>
        </w:rPr>
        <w:t xml:space="preserve"> </w:t>
      </w:r>
      <w:r w:rsidRPr="00CD79FF">
        <w:rPr>
          <w:rFonts w:ascii="Times New Roman" w:eastAsiaTheme="minorHAnsi" w:hAnsi="Times New Roman"/>
          <w:i/>
          <w:iCs/>
          <w:color w:val="000000" w:themeColor="text1"/>
          <w:szCs w:val="24"/>
        </w:rPr>
        <w:tab/>
      </w:r>
      <w:r>
        <w:rPr>
          <w:rFonts w:ascii="Times New Roman" w:hAnsi="Times New Roman"/>
          <w:bCs/>
          <w:color w:val="000000" w:themeColor="text1"/>
        </w:rPr>
        <w:tab/>
      </w:r>
      <w:r>
        <w:rPr>
          <w:rFonts w:ascii="Times New Roman" w:hAnsi="Times New Roman"/>
          <w:bCs/>
          <w:color w:val="000000" w:themeColor="text1"/>
        </w:rPr>
        <w:tab/>
        <w:t xml:space="preserve">             (2)</w:t>
      </w:r>
    </w:p>
    <w:p w:rsidR="00CD79FF" w:rsidRDefault="00CD79FF" w:rsidP="00CD79FF">
      <w:pPr>
        <w:pStyle w:val="TAMainText"/>
        <w:spacing w:line="276" w:lineRule="auto"/>
        <w:ind w:firstLine="0"/>
        <w:contextualSpacing/>
        <w:rPr>
          <w:rFonts w:ascii="Times New Roman" w:hAnsi="Times New Roman"/>
          <w:bCs/>
          <w:color w:val="000000" w:themeColor="text1"/>
        </w:rPr>
      </w:pPr>
    </w:p>
    <w:p w:rsidR="00E2546C" w:rsidRDefault="00CD79FF" w:rsidP="00E2546C">
      <w:pPr>
        <w:pStyle w:val="TAMainText"/>
        <w:spacing w:line="276" w:lineRule="auto"/>
        <w:ind w:firstLine="0"/>
        <w:contextualSpacing/>
        <w:rPr>
          <w:rFonts w:ascii="Times New Roman" w:hAnsi="Times New Roman"/>
          <w:bCs/>
          <w:color w:val="000000" w:themeColor="text1"/>
        </w:rPr>
      </w:pPr>
      <w:r w:rsidRPr="00857AB7">
        <w:rPr>
          <w:rFonts w:ascii="Times New Roman" w:eastAsiaTheme="minorHAnsi" w:hAnsi="Times New Roman"/>
          <w:i/>
          <w:iCs/>
          <w:color w:val="000000" w:themeColor="text1"/>
          <w:szCs w:val="24"/>
        </w:rPr>
        <w:t>Y</w:t>
      </w:r>
      <w:r>
        <w:rPr>
          <w:rFonts w:ascii="Times New Roman" w:eastAsiaTheme="minorHAnsi" w:hAnsi="Times New Roman"/>
          <w:i/>
          <w:iCs/>
          <w:color w:val="000000" w:themeColor="text1"/>
          <w:szCs w:val="24"/>
          <w:vertAlign w:val="subscript"/>
        </w:rPr>
        <w:t>2</w:t>
      </w:r>
      <w:r>
        <w:rPr>
          <w:rFonts w:ascii="Times New Roman" w:eastAsiaTheme="minorHAnsi" w:hAnsi="Times New Roman"/>
          <w:i/>
          <w:iCs/>
          <w:color w:val="000000" w:themeColor="text1"/>
          <w:szCs w:val="24"/>
        </w:rPr>
        <w:t xml:space="preserve"> = 64.00 + 9.50 A + 6.25 B + 10.25 C + 8.67</w:t>
      </w:r>
      <w:r w:rsidRPr="00857AB7">
        <w:rPr>
          <w:rFonts w:ascii="Times New Roman" w:eastAsiaTheme="minorHAnsi" w:hAnsi="Times New Roman"/>
          <w:i/>
          <w:iCs/>
          <w:color w:val="000000" w:themeColor="text1"/>
          <w:szCs w:val="24"/>
        </w:rPr>
        <w:t xml:space="preserve"> D </w:t>
      </w:r>
      <w:r>
        <w:rPr>
          <w:rFonts w:ascii="Times New Roman" w:eastAsiaTheme="minorHAnsi" w:hAnsi="Times New Roman"/>
          <w:i/>
          <w:iCs/>
          <w:color w:val="000000" w:themeColor="text1"/>
          <w:szCs w:val="24"/>
        </w:rPr>
        <w:t>– 12.00 AB</w:t>
      </w:r>
      <w:r w:rsidRPr="00857AB7">
        <w:rPr>
          <w:rFonts w:ascii="Times New Roman" w:eastAsiaTheme="minorHAnsi" w:hAnsi="Times New Roman"/>
          <w:i/>
          <w:iCs/>
          <w:color w:val="000000" w:themeColor="text1"/>
          <w:szCs w:val="24"/>
        </w:rPr>
        <w:t xml:space="preserve"> </w:t>
      </w:r>
      <w:r>
        <w:rPr>
          <w:rFonts w:ascii="Times New Roman" w:eastAsiaTheme="minorHAnsi" w:hAnsi="Times New Roman"/>
          <w:i/>
          <w:iCs/>
          <w:color w:val="000000" w:themeColor="text1"/>
          <w:szCs w:val="24"/>
        </w:rPr>
        <w:t>+ 7.50</w:t>
      </w:r>
      <w:r w:rsidRPr="00857AB7">
        <w:rPr>
          <w:rFonts w:ascii="Times New Roman" w:eastAsiaTheme="minorHAnsi" w:hAnsi="Times New Roman"/>
          <w:i/>
          <w:iCs/>
          <w:color w:val="000000" w:themeColor="text1"/>
          <w:szCs w:val="24"/>
        </w:rPr>
        <w:t xml:space="preserve"> AC </w:t>
      </w:r>
      <w:r>
        <w:rPr>
          <w:rFonts w:ascii="Times New Roman" w:eastAsiaTheme="minorHAnsi" w:hAnsi="Times New Roman"/>
          <w:i/>
          <w:iCs/>
          <w:color w:val="000000" w:themeColor="text1"/>
          <w:szCs w:val="24"/>
        </w:rPr>
        <w:t>+ 5.00 AD</w:t>
      </w:r>
      <w:r w:rsidRPr="00857AB7">
        <w:rPr>
          <w:rFonts w:ascii="Times New Roman" w:eastAsiaTheme="minorHAnsi" w:hAnsi="Times New Roman"/>
          <w:i/>
          <w:iCs/>
          <w:color w:val="000000" w:themeColor="text1"/>
          <w:szCs w:val="24"/>
        </w:rPr>
        <w:t xml:space="preserve"> </w:t>
      </w:r>
      <w:r>
        <w:rPr>
          <w:rFonts w:ascii="Times New Roman" w:eastAsiaTheme="minorHAnsi" w:hAnsi="Times New Roman"/>
          <w:i/>
          <w:iCs/>
          <w:color w:val="000000" w:themeColor="text1"/>
          <w:szCs w:val="24"/>
        </w:rPr>
        <w:br/>
        <w:t>+ 5.50 B</w:t>
      </w:r>
      <w:r w:rsidRPr="00857AB7">
        <w:rPr>
          <w:rFonts w:ascii="Times New Roman" w:eastAsiaTheme="minorHAnsi" w:hAnsi="Times New Roman"/>
          <w:i/>
          <w:iCs/>
          <w:color w:val="000000" w:themeColor="text1"/>
          <w:szCs w:val="24"/>
        </w:rPr>
        <w:t xml:space="preserve">C </w:t>
      </w:r>
      <w:r>
        <w:rPr>
          <w:rFonts w:ascii="Times New Roman" w:eastAsiaTheme="minorHAnsi" w:hAnsi="Times New Roman"/>
          <w:i/>
          <w:iCs/>
          <w:color w:val="000000" w:themeColor="text1"/>
          <w:szCs w:val="24"/>
        </w:rPr>
        <w:t>+ 6.25 BD</w:t>
      </w:r>
      <w:r w:rsidRPr="00857AB7">
        <w:rPr>
          <w:rFonts w:ascii="Times New Roman" w:eastAsiaTheme="minorHAnsi" w:hAnsi="Times New Roman"/>
          <w:i/>
          <w:iCs/>
          <w:color w:val="000000" w:themeColor="text1"/>
          <w:szCs w:val="24"/>
        </w:rPr>
        <w:t xml:space="preserve"> </w:t>
      </w:r>
      <w:r>
        <w:rPr>
          <w:rFonts w:ascii="Times New Roman" w:eastAsiaTheme="minorHAnsi" w:hAnsi="Times New Roman"/>
          <w:i/>
          <w:iCs/>
          <w:color w:val="000000" w:themeColor="text1"/>
          <w:szCs w:val="24"/>
        </w:rPr>
        <w:t xml:space="preserve">+ 5.75 </w:t>
      </w:r>
      <w:r w:rsidRPr="00857AB7">
        <w:rPr>
          <w:rFonts w:ascii="Times New Roman" w:eastAsiaTheme="minorHAnsi" w:hAnsi="Times New Roman"/>
          <w:i/>
          <w:iCs/>
          <w:color w:val="000000" w:themeColor="text1"/>
          <w:szCs w:val="24"/>
        </w:rPr>
        <w:t>C</w:t>
      </w:r>
      <w:r>
        <w:rPr>
          <w:rFonts w:ascii="Times New Roman" w:eastAsiaTheme="minorHAnsi" w:hAnsi="Times New Roman"/>
          <w:i/>
          <w:iCs/>
          <w:color w:val="000000" w:themeColor="text1"/>
          <w:szCs w:val="24"/>
        </w:rPr>
        <w:t>D</w:t>
      </w:r>
      <w:r w:rsidRPr="00857AB7">
        <w:rPr>
          <w:rFonts w:ascii="Times New Roman" w:eastAsiaTheme="minorHAnsi" w:hAnsi="Times New Roman"/>
          <w:i/>
          <w:iCs/>
          <w:color w:val="000000" w:themeColor="text1"/>
          <w:szCs w:val="24"/>
        </w:rPr>
        <w:t xml:space="preserve"> </w:t>
      </w:r>
      <w:r>
        <w:rPr>
          <w:rFonts w:ascii="Times New Roman" w:eastAsiaTheme="minorHAnsi" w:hAnsi="Times New Roman"/>
          <w:i/>
          <w:iCs/>
          <w:color w:val="000000" w:themeColor="text1"/>
          <w:szCs w:val="24"/>
        </w:rPr>
        <w:t xml:space="preserve">– 14.50 </w:t>
      </w:r>
      <w:r w:rsidRPr="00857AB7">
        <w:rPr>
          <w:rFonts w:ascii="Times New Roman" w:eastAsiaTheme="minorHAnsi" w:hAnsi="Times New Roman"/>
          <w:i/>
          <w:iCs/>
          <w:color w:val="000000" w:themeColor="text1"/>
          <w:szCs w:val="24"/>
        </w:rPr>
        <w:t>A</w:t>
      </w:r>
      <w:r w:rsidRPr="00CD79FF">
        <w:rPr>
          <w:rFonts w:ascii="Times New Roman" w:eastAsiaTheme="minorHAnsi" w:hAnsi="Times New Roman"/>
          <w:i/>
          <w:iCs/>
          <w:color w:val="000000" w:themeColor="text1"/>
          <w:szCs w:val="24"/>
          <w:vertAlign w:val="superscript"/>
        </w:rPr>
        <w:t>2</w:t>
      </w:r>
      <w:r>
        <w:rPr>
          <w:rFonts w:ascii="Times New Roman" w:eastAsiaTheme="minorHAnsi" w:hAnsi="Times New Roman"/>
          <w:i/>
          <w:iCs/>
          <w:color w:val="000000" w:themeColor="text1"/>
          <w:szCs w:val="24"/>
        </w:rPr>
        <w:t xml:space="preserve"> – 7.13</w:t>
      </w:r>
      <w:r w:rsidRPr="00857AB7">
        <w:rPr>
          <w:rFonts w:ascii="Times New Roman" w:eastAsiaTheme="minorHAnsi" w:hAnsi="Times New Roman"/>
          <w:i/>
          <w:iCs/>
          <w:color w:val="000000" w:themeColor="text1"/>
          <w:szCs w:val="24"/>
        </w:rPr>
        <w:t xml:space="preserve"> B</w:t>
      </w:r>
      <w:r w:rsidRPr="00CD79FF">
        <w:rPr>
          <w:rFonts w:ascii="Times New Roman" w:eastAsiaTheme="minorHAnsi" w:hAnsi="Times New Roman"/>
          <w:i/>
          <w:iCs/>
          <w:color w:val="000000" w:themeColor="text1"/>
          <w:szCs w:val="24"/>
          <w:vertAlign w:val="superscript"/>
        </w:rPr>
        <w:t>2</w:t>
      </w:r>
      <w:r w:rsidRPr="00857AB7">
        <w:rPr>
          <w:rFonts w:ascii="Times New Roman" w:eastAsiaTheme="minorHAnsi" w:hAnsi="Times New Roman"/>
          <w:i/>
          <w:iCs/>
          <w:color w:val="000000" w:themeColor="text1"/>
          <w:szCs w:val="24"/>
        </w:rPr>
        <w:t xml:space="preserve"> </w:t>
      </w:r>
      <w:r>
        <w:rPr>
          <w:rFonts w:ascii="Times New Roman" w:eastAsiaTheme="minorHAnsi" w:hAnsi="Times New Roman"/>
          <w:i/>
          <w:iCs/>
          <w:color w:val="000000" w:themeColor="text1"/>
          <w:szCs w:val="24"/>
        </w:rPr>
        <w:t>– 12.38</w:t>
      </w:r>
      <w:r w:rsidRPr="00857AB7">
        <w:rPr>
          <w:rFonts w:ascii="Times New Roman" w:eastAsiaTheme="minorHAnsi" w:hAnsi="Times New Roman"/>
          <w:i/>
          <w:iCs/>
          <w:color w:val="000000" w:themeColor="text1"/>
          <w:szCs w:val="24"/>
        </w:rPr>
        <w:t xml:space="preserve"> C</w:t>
      </w:r>
      <w:r w:rsidRPr="00CD79FF">
        <w:rPr>
          <w:rFonts w:ascii="Times New Roman" w:eastAsiaTheme="minorHAnsi" w:hAnsi="Times New Roman"/>
          <w:i/>
          <w:iCs/>
          <w:color w:val="000000" w:themeColor="text1"/>
          <w:szCs w:val="24"/>
          <w:vertAlign w:val="superscript"/>
        </w:rPr>
        <w:t>2</w:t>
      </w:r>
      <w:r>
        <w:rPr>
          <w:rFonts w:ascii="Times New Roman" w:eastAsiaTheme="minorHAnsi" w:hAnsi="Times New Roman"/>
          <w:i/>
          <w:iCs/>
          <w:color w:val="000000" w:themeColor="text1"/>
          <w:szCs w:val="24"/>
        </w:rPr>
        <w:t xml:space="preserve"> – 12.00</w:t>
      </w:r>
      <w:r w:rsidRPr="00857AB7">
        <w:rPr>
          <w:rFonts w:ascii="Times New Roman" w:eastAsiaTheme="minorHAnsi" w:hAnsi="Times New Roman"/>
          <w:i/>
          <w:iCs/>
          <w:color w:val="000000" w:themeColor="text1"/>
          <w:szCs w:val="24"/>
        </w:rPr>
        <w:t xml:space="preserve"> D</w:t>
      </w:r>
      <w:r w:rsidRPr="00CD79FF">
        <w:rPr>
          <w:rFonts w:ascii="Times New Roman" w:eastAsiaTheme="minorHAnsi" w:hAnsi="Times New Roman"/>
          <w:i/>
          <w:iCs/>
          <w:color w:val="000000" w:themeColor="text1"/>
          <w:szCs w:val="24"/>
          <w:vertAlign w:val="superscript"/>
        </w:rPr>
        <w:t>2</w:t>
      </w:r>
      <w:r w:rsidRPr="00CD79FF">
        <w:rPr>
          <w:rFonts w:ascii="Times New Roman" w:eastAsiaTheme="minorHAnsi" w:hAnsi="Times New Roman"/>
          <w:i/>
          <w:iCs/>
          <w:color w:val="000000" w:themeColor="text1"/>
          <w:szCs w:val="24"/>
        </w:rPr>
        <w:t xml:space="preserve"> </w:t>
      </w:r>
      <w:r w:rsidRPr="00CD79FF">
        <w:rPr>
          <w:rFonts w:ascii="Times New Roman" w:eastAsiaTheme="minorHAnsi" w:hAnsi="Times New Roman"/>
          <w:i/>
          <w:iCs/>
          <w:color w:val="000000" w:themeColor="text1"/>
          <w:szCs w:val="24"/>
        </w:rPr>
        <w:tab/>
      </w:r>
      <w:r>
        <w:rPr>
          <w:rFonts w:ascii="Times New Roman" w:hAnsi="Times New Roman"/>
          <w:bCs/>
          <w:color w:val="000000" w:themeColor="text1"/>
        </w:rPr>
        <w:t xml:space="preserve">             (3)</w:t>
      </w:r>
    </w:p>
    <w:p w:rsidR="00E2546C" w:rsidRDefault="00E2546C" w:rsidP="00E2546C">
      <w:pPr>
        <w:pStyle w:val="TAMainText"/>
        <w:spacing w:line="276" w:lineRule="auto"/>
        <w:ind w:firstLine="0"/>
        <w:contextualSpacing/>
        <w:rPr>
          <w:rFonts w:ascii="Times New Roman" w:hAnsi="Times New Roman"/>
          <w:bCs/>
          <w:color w:val="000000" w:themeColor="text1"/>
        </w:rPr>
      </w:pPr>
    </w:p>
    <w:p w:rsidR="006A5329" w:rsidRPr="00FA2670" w:rsidRDefault="008E3F94" w:rsidP="00FA2670">
      <w:pPr>
        <w:pStyle w:val="TAMainText"/>
        <w:spacing w:line="360" w:lineRule="auto"/>
        <w:ind w:firstLine="0"/>
        <w:contextualSpacing/>
        <w:rPr>
          <w:color w:val="000000" w:themeColor="text1"/>
          <w:szCs w:val="24"/>
        </w:rPr>
      </w:pPr>
      <w:r w:rsidRPr="00B6778D">
        <w:t xml:space="preserve">Where, </w:t>
      </w:r>
      <w:r w:rsidRPr="00F900CE">
        <w:rPr>
          <w:i/>
          <w:iCs/>
        </w:rPr>
        <w:t>Y</w:t>
      </w:r>
      <w:r w:rsidRPr="00F900CE">
        <w:rPr>
          <w:i/>
          <w:iCs/>
          <w:vertAlign w:val="subscript"/>
        </w:rPr>
        <w:t>1</w:t>
      </w:r>
      <w:r w:rsidR="00F900CE">
        <w:rPr>
          <w:i/>
          <w:iCs/>
        </w:rPr>
        <w:t xml:space="preserve"> </w:t>
      </w:r>
      <w:r w:rsidR="00F900CE" w:rsidRPr="00F900CE">
        <w:t>and</w:t>
      </w:r>
      <w:r w:rsidRPr="00F900CE">
        <w:rPr>
          <w:i/>
          <w:iCs/>
        </w:rPr>
        <w:t xml:space="preserve"> Y</w:t>
      </w:r>
      <w:r w:rsidRPr="00F900CE">
        <w:rPr>
          <w:i/>
          <w:iCs/>
          <w:vertAlign w:val="subscript"/>
        </w:rPr>
        <w:t>2</w:t>
      </w:r>
      <w:r w:rsidRPr="00B6778D">
        <w:t xml:space="preserve"> represent response variables including BO conversion and BC yield, respectively. </w:t>
      </w:r>
      <w:r w:rsidR="00E2546C">
        <w:t>While</w:t>
      </w:r>
      <w:r w:rsidR="00F900CE">
        <w:t xml:space="preserve"> </w:t>
      </w:r>
      <w:r w:rsidRPr="00F900CE">
        <w:rPr>
          <w:i/>
          <w:iCs/>
        </w:rPr>
        <w:t>A, B, C, and D</w:t>
      </w:r>
      <w:r w:rsidRPr="00B6778D">
        <w:t xml:space="preserve"> represent </w:t>
      </w:r>
      <w:r w:rsidR="00F900CE">
        <w:t>the independent variables i.e.</w:t>
      </w:r>
      <w:r w:rsidRPr="00B6778D">
        <w:t xml:space="preserve"> temperature, pressure, catalyst loading and time, respectively. </w:t>
      </w:r>
      <w:r w:rsidR="00DC75B6">
        <w:t xml:space="preserve">Further, </w:t>
      </w:r>
      <w:r w:rsidR="00DC75B6" w:rsidRPr="00DC75B6">
        <w:rPr>
          <w:i/>
          <w:iCs/>
        </w:rPr>
        <w:t xml:space="preserve">AB, AC, AD, BC, BD </w:t>
      </w:r>
      <w:r w:rsidR="00DC75B6" w:rsidRPr="00084A1C">
        <w:rPr>
          <w:noProof/>
        </w:rPr>
        <w:t>and</w:t>
      </w:r>
      <w:r w:rsidR="00DC75B6" w:rsidRPr="00DC75B6">
        <w:rPr>
          <w:i/>
          <w:iCs/>
        </w:rPr>
        <w:t xml:space="preserve"> CD</w:t>
      </w:r>
      <w:r w:rsidR="00DC75B6">
        <w:t xml:space="preserve"> represent the interaction between independent variables. Finally, </w:t>
      </w:r>
      <w:r w:rsidR="00DC75B6" w:rsidRPr="00857AB7">
        <w:rPr>
          <w:i/>
          <w:iCs/>
          <w:color w:val="000000" w:themeColor="text1"/>
          <w:szCs w:val="24"/>
        </w:rPr>
        <w:t>A</w:t>
      </w:r>
      <w:r w:rsidR="00DC75B6" w:rsidRPr="00CD79FF">
        <w:rPr>
          <w:i/>
          <w:iCs/>
          <w:color w:val="000000" w:themeColor="text1"/>
          <w:szCs w:val="24"/>
          <w:vertAlign w:val="superscript"/>
        </w:rPr>
        <w:t>2</w:t>
      </w:r>
      <w:r w:rsidR="00DC75B6">
        <w:rPr>
          <w:i/>
          <w:iCs/>
          <w:color w:val="000000" w:themeColor="text1"/>
          <w:szCs w:val="24"/>
        </w:rPr>
        <w:t xml:space="preserve">, </w:t>
      </w:r>
      <w:r w:rsidR="00DC75B6" w:rsidRPr="00857AB7">
        <w:rPr>
          <w:i/>
          <w:iCs/>
          <w:color w:val="000000" w:themeColor="text1"/>
          <w:szCs w:val="24"/>
        </w:rPr>
        <w:t>B</w:t>
      </w:r>
      <w:r w:rsidR="00DC75B6" w:rsidRPr="00CD79FF">
        <w:rPr>
          <w:i/>
          <w:iCs/>
          <w:color w:val="000000" w:themeColor="text1"/>
          <w:szCs w:val="24"/>
          <w:vertAlign w:val="superscript"/>
        </w:rPr>
        <w:t>2</w:t>
      </w:r>
      <w:r w:rsidR="00DC75B6">
        <w:rPr>
          <w:i/>
          <w:iCs/>
          <w:color w:val="000000" w:themeColor="text1"/>
          <w:szCs w:val="24"/>
        </w:rPr>
        <w:t xml:space="preserve">, </w:t>
      </w:r>
      <w:r w:rsidR="00DC75B6" w:rsidRPr="00857AB7">
        <w:rPr>
          <w:i/>
          <w:iCs/>
          <w:color w:val="000000" w:themeColor="text1"/>
          <w:szCs w:val="24"/>
        </w:rPr>
        <w:t>C</w:t>
      </w:r>
      <w:r w:rsidR="00DC75B6" w:rsidRPr="00CD79FF">
        <w:rPr>
          <w:i/>
          <w:iCs/>
          <w:color w:val="000000" w:themeColor="text1"/>
          <w:szCs w:val="24"/>
          <w:vertAlign w:val="superscript"/>
        </w:rPr>
        <w:t>2</w:t>
      </w:r>
      <w:r w:rsidR="00DC75B6">
        <w:rPr>
          <w:i/>
          <w:iCs/>
          <w:color w:val="000000" w:themeColor="text1"/>
          <w:szCs w:val="24"/>
          <w:vertAlign w:val="superscript"/>
        </w:rPr>
        <w:t xml:space="preserve"> </w:t>
      </w:r>
      <w:r w:rsidR="00DC75B6" w:rsidRPr="00084A1C">
        <w:rPr>
          <w:i/>
          <w:iCs/>
          <w:noProof/>
          <w:color w:val="000000" w:themeColor="text1"/>
          <w:szCs w:val="24"/>
        </w:rPr>
        <w:t>and</w:t>
      </w:r>
      <w:r w:rsidR="00DC75B6">
        <w:rPr>
          <w:i/>
          <w:iCs/>
          <w:color w:val="000000" w:themeColor="text1"/>
          <w:szCs w:val="24"/>
        </w:rPr>
        <w:t xml:space="preserve"> D</w:t>
      </w:r>
      <w:r w:rsidR="00DC75B6" w:rsidRPr="00CD79FF">
        <w:rPr>
          <w:i/>
          <w:iCs/>
          <w:color w:val="000000" w:themeColor="text1"/>
          <w:szCs w:val="24"/>
          <w:vertAlign w:val="superscript"/>
        </w:rPr>
        <w:t>2</w:t>
      </w:r>
      <w:r w:rsidR="00DC75B6">
        <w:rPr>
          <w:i/>
          <w:iCs/>
          <w:color w:val="000000" w:themeColor="text1"/>
          <w:szCs w:val="24"/>
          <w:vertAlign w:val="superscript"/>
        </w:rPr>
        <w:t xml:space="preserve"> </w:t>
      </w:r>
      <w:r w:rsidR="00DC75B6">
        <w:rPr>
          <w:color w:val="000000" w:themeColor="text1"/>
          <w:szCs w:val="24"/>
        </w:rPr>
        <w:t>represent the excess of each independent variable.</w:t>
      </w:r>
    </w:p>
    <w:p w:rsidR="00DC75B6" w:rsidRDefault="00DC75B6" w:rsidP="00DC75B6">
      <w:pPr>
        <w:jc w:val="both"/>
        <w:rPr>
          <w:rFonts w:asciiTheme="majorBidi" w:hAnsiTheme="majorBidi" w:cstheme="majorBidi"/>
          <w:bCs/>
          <w:color w:val="000000" w:themeColor="text1"/>
          <w:szCs w:val="24"/>
        </w:rPr>
      </w:pPr>
      <w:r>
        <w:rPr>
          <w:color w:val="000000" w:themeColor="text1"/>
          <w:szCs w:val="24"/>
        </w:rPr>
        <w:t>The developed models have demonstrated the effect of each independent variable, variables interactions and excess of each variable on the response</w:t>
      </w:r>
      <w:r w:rsidR="00F900CE" w:rsidRPr="00270385">
        <w:rPr>
          <w:rFonts w:asciiTheme="majorBidi" w:hAnsiTheme="majorBidi" w:cstheme="majorBidi"/>
          <w:bCs/>
          <w:color w:val="000000" w:themeColor="text1"/>
          <w:szCs w:val="24"/>
        </w:rPr>
        <w:t xml:space="preserve">. The positive sign of each </w:t>
      </w:r>
      <w:r>
        <w:rPr>
          <w:rFonts w:asciiTheme="majorBidi" w:hAnsiTheme="majorBidi" w:cstheme="majorBidi"/>
          <w:bCs/>
          <w:color w:val="000000" w:themeColor="text1"/>
          <w:szCs w:val="24"/>
        </w:rPr>
        <w:t xml:space="preserve">variable </w:t>
      </w:r>
      <w:r w:rsidRPr="00DC75B6">
        <w:rPr>
          <w:rFonts w:asciiTheme="majorBidi" w:hAnsiTheme="majorBidi" w:cstheme="majorBidi"/>
          <w:bCs/>
          <w:color w:val="000000" w:themeColor="text1"/>
          <w:szCs w:val="24"/>
        </w:rPr>
        <w:t xml:space="preserve">coefficient </w:t>
      </w:r>
      <w:r w:rsidRPr="00EA15FA">
        <w:rPr>
          <w:rFonts w:asciiTheme="majorBidi" w:hAnsiTheme="majorBidi" w:cstheme="majorBidi"/>
          <w:bCs/>
          <w:noProof/>
          <w:color w:val="000000" w:themeColor="text1"/>
          <w:szCs w:val="24"/>
        </w:rPr>
        <w:t>represent</w:t>
      </w:r>
      <w:r w:rsidR="00EA15FA">
        <w:rPr>
          <w:rFonts w:asciiTheme="majorBidi" w:hAnsiTheme="majorBidi" w:cstheme="majorBidi"/>
          <w:bCs/>
          <w:noProof/>
          <w:color w:val="000000" w:themeColor="text1"/>
          <w:szCs w:val="24"/>
        </w:rPr>
        <w:t>s</w:t>
      </w:r>
      <w:r>
        <w:rPr>
          <w:rFonts w:asciiTheme="majorBidi" w:hAnsiTheme="majorBidi" w:cstheme="majorBidi"/>
          <w:bCs/>
          <w:color w:val="000000" w:themeColor="text1"/>
          <w:szCs w:val="24"/>
        </w:rPr>
        <w:t xml:space="preserve"> the </w:t>
      </w:r>
      <w:r w:rsidRPr="00270385">
        <w:rPr>
          <w:rFonts w:asciiTheme="majorBidi" w:hAnsiTheme="majorBidi" w:cstheme="majorBidi"/>
          <w:bCs/>
          <w:color w:val="000000" w:themeColor="text1"/>
          <w:szCs w:val="24"/>
        </w:rPr>
        <w:t>synergetic</w:t>
      </w:r>
      <w:r>
        <w:rPr>
          <w:rFonts w:asciiTheme="majorBidi" w:hAnsiTheme="majorBidi" w:cstheme="majorBidi"/>
          <w:bCs/>
          <w:color w:val="000000" w:themeColor="text1"/>
          <w:szCs w:val="24"/>
        </w:rPr>
        <w:t xml:space="preserve"> effect of the variable on the response, </w:t>
      </w:r>
      <w:r w:rsidRPr="00EA15FA">
        <w:rPr>
          <w:rFonts w:asciiTheme="majorBidi" w:hAnsiTheme="majorBidi" w:cstheme="majorBidi"/>
          <w:bCs/>
          <w:noProof/>
          <w:color w:val="000000" w:themeColor="text1"/>
          <w:szCs w:val="24"/>
        </w:rPr>
        <w:t>however</w:t>
      </w:r>
      <w:r w:rsidR="00EA15FA">
        <w:rPr>
          <w:rFonts w:asciiTheme="majorBidi" w:hAnsiTheme="majorBidi" w:cstheme="majorBidi"/>
          <w:bCs/>
          <w:noProof/>
          <w:color w:val="000000" w:themeColor="text1"/>
          <w:szCs w:val="24"/>
        </w:rPr>
        <w:t>,</w:t>
      </w:r>
      <w:r>
        <w:rPr>
          <w:rFonts w:asciiTheme="majorBidi" w:hAnsiTheme="majorBidi" w:cstheme="majorBidi"/>
          <w:bCs/>
          <w:color w:val="000000" w:themeColor="text1"/>
          <w:szCs w:val="24"/>
        </w:rPr>
        <w:t xml:space="preserve"> the negative sign </w:t>
      </w:r>
      <w:r w:rsidRPr="00F12D89">
        <w:rPr>
          <w:rFonts w:asciiTheme="majorBidi" w:hAnsiTheme="majorBidi" w:cstheme="majorBidi"/>
          <w:bCs/>
          <w:noProof/>
          <w:color w:val="000000" w:themeColor="text1"/>
          <w:szCs w:val="24"/>
        </w:rPr>
        <w:t>represent</w:t>
      </w:r>
      <w:r w:rsidR="00F12D89">
        <w:rPr>
          <w:rFonts w:asciiTheme="majorBidi" w:hAnsiTheme="majorBidi" w:cstheme="majorBidi"/>
          <w:bCs/>
          <w:noProof/>
          <w:color w:val="000000" w:themeColor="text1"/>
          <w:szCs w:val="24"/>
        </w:rPr>
        <w:t>s</w:t>
      </w:r>
      <w:r>
        <w:rPr>
          <w:rFonts w:asciiTheme="majorBidi" w:hAnsiTheme="majorBidi" w:cstheme="majorBidi"/>
          <w:bCs/>
          <w:color w:val="000000" w:themeColor="text1"/>
          <w:szCs w:val="24"/>
        </w:rPr>
        <w:t xml:space="preserve"> the </w:t>
      </w:r>
      <w:r w:rsidRPr="00270385">
        <w:rPr>
          <w:rFonts w:asciiTheme="majorBidi" w:hAnsiTheme="majorBidi" w:cstheme="majorBidi"/>
          <w:bCs/>
          <w:color w:val="000000" w:themeColor="text1"/>
          <w:szCs w:val="24"/>
        </w:rPr>
        <w:t>antagonistic</w:t>
      </w:r>
      <w:r>
        <w:rPr>
          <w:rFonts w:asciiTheme="majorBidi" w:hAnsiTheme="majorBidi" w:cstheme="majorBidi"/>
          <w:bCs/>
          <w:color w:val="000000" w:themeColor="text1"/>
          <w:szCs w:val="24"/>
        </w:rPr>
        <w:t xml:space="preserve"> effect on the response.</w:t>
      </w:r>
    </w:p>
    <w:p w:rsidR="00F900CE" w:rsidRDefault="00F900CE" w:rsidP="00152545">
      <w:pPr>
        <w:jc w:val="both"/>
        <w:rPr>
          <w:rFonts w:asciiTheme="majorBidi" w:hAnsiTheme="majorBidi" w:cstheme="majorBidi"/>
          <w:bCs/>
          <w:color w:val="000000" w:themeColor="text1"/>
          <w:szCs w:val="24"/>
        </w:rPr>
      </w:pPr>
    </w:p>
    <w:p w:rsidR="00DC75B6" w:rsidRPr="006213A6" w:rsidRDefault="00DC75B6" w:rsidP="00FB6D14">
      <w:pPr>
        <w:pStyle w:val="Heading2"/>
      </w:pPr>
      <w:r>
        <w:t>3.</w:t>
      </w:r>
      <w:r w:rsidR="00FB6D14">
        <w:t>3</w:t>
      </w:r>
      <w:r w:rsidRPr="00B6778D">
        <w:t xml:space="preserve"> </w:t>
      </w:r>
      <w:r>
        <w:t xml:space="preserve">Models Adequacy </w:t>
      </w:r>
      <w:r w:rsidR="00E2546C">
        <w:t>C</w:t>
      </w:r>
      <w:r>
        <w:t xml:space="preserve">hecking </w:t>
      </w:r>
    </w:p>
    <w:p w:rsidR="00DC75B6" w:rsidRDefault="00661225">
      <w:pPr>
        <w:jc w:val="both"/>
      </w:pPr>
      <w:r>
        <w:t>The models have been examined for adequacy to inspect the fi</w:t>
      </w:r>
      <w:r w:rsidR="00273412">
        <w:t xml:space="preserve">tting accuracy of the predicted results with the experimental results. </w:t>
      </w:r>
      <w:r w:rsidR="00187E46">
        <w:t xml:space="preserve">Different </w:t>
      </w:r>
      <w:r w:rsidR="008315C3">
        <w:t xml:space="preserve">statistical validation </w:t>
      </w:r>
      <w:r w:rsidR="00187E46">
        <w:t xml:space="preserve">techniques have been applied to investigate the accuracy of the predicted models. The significance of the predicted models and the independent variables have been examined </w:t>
      </w:r>
      <w:r w:rsidR="008315C3">
        <w:t>using ANOVA at 95% confidence</w:t>
      </w:r>
      <w:r w:rsidR="00187E46">
        <w:t xml:space="preserve"> level as shown in Tables 3 and 4.</w:t>
      </w:r>
      <w:r w:rsidR="00F26149">
        <w:t xml:space="preserve"> The main test that </w:t>
      </w:r>
      <w:r w:rsidR="001F614A">
        <w:t xml:space="preserve">has been used to </w:t>
      </w:r>
      <w:r w:rsidR="00F26149">
        <w:t>examine the significance of the model and the variables is the p-value, where the value smaller than 0.05 of this test indicates the significance of the examined parameter.</w:t>
      </w:r>
    </w:p>
    <w:p w:rsidR="00187E46" w:rsidRDefault="00187E46" w:rsidP="00187E46">
      <w:pPr>
        <w:jc w:val="both"/>
      </w:pPr>
    </w:p>
    <w:p w:rsidR="00187E46" w:rsidRDefault="00187E46">
      <w:pPr>
        <w:spacing w:after="200" w:line="276" w:lineRule="auto"/>
        <w:rPr>
          <w:rFonts w:eastAsia="Times New Roman"/>
          <w:color w:val="000000" w:themeColor="text1"/>
          <w:sz w:val="20"/>
          <w:szCs w:val="16"/>
        </w:rPr>
      </w:pPr>
      <w:r>
        <w:rPr>
          <w:color w:val="000000" w:themeColor="text1"/>
          <w:sz w:val="20"/>
          <w:szCs w:val="16"/>
        </w:rPr>
        <w:br w:type="page"/>
      </w:r>
    </w:p>
    <w:p w:rsidR="00187E46" w:rsidRPr="00A7055F" w:rsidRDefault="00A7055F" w:rsidP="00A7055F">
      <w:pPr>
        <w:pStyle w:val="Caption"/>
        <w:rPr>
          <w:color w:val="auto"/>
          <w:sz w:val="24"/>
          <w:szCs w:val="24"/>
        </w:rPr>
      </w:pPr>
      <w:bookmarkStart w:id="7" w:name="_Toc528474724"/>
      <w:r w:rsidRPr="00B908E2">
        <w:rPr>
          <w:color w:val="auto"/>
          <w:sz w:val="24"/>
          <w:szCs w:val="24"/>
        </w:rPr>
        <w:lastRenderedPageBreak/>
        <w:t xml:space="preserve">Table </w:t>
      </w:r>
      <w:r w:rsidRPr="00FA2670">
        <w:rPr>
          <w:color w:val="auto"/>
          <w:sz w:val="24"/>
          <w:szCs w:val="24"/>
        </w:rPr>
        <w:fldChar w:fldCharType="begin"/>
      </w:r>
      <w:r w:rsidRPr="00FA2670">
        <w:rPr>
          <w:color w:val="auto"/>
          <w:sz w:val="24"/>
          <w:szCs w:val="24"/>
        </w:rPr>
        <w:instrText xml:space="preserve"> SEQ Table \* ARABIC </w:instrText>
      </w:r>
      <w:r w:rsidRPr="00FA2670">
        <w:rPr>
          <w:color w:val="auto"/>
          <w:sz w:val="24"/>
          <w:szCs w:val="24"/>
        </w:rPr>
        <w:fldChar w:fldCharType="separate"/>
      </w:r>
      <w:r w:rsidR="004A2E92">
        <w:rPr>
          <w:noProof/>
          <w:color w:val="auto"/>
          <w:sz w:val="24"/>
          <w:szCs w:val="24"/>
        </w:rPr>
        <w:t>4</w:t>
      </w:r>
      <w:r w:rsidRPr="00FA2670">
        <w:rPr>
          <w:color w:val="auto"/>
          <w:sz w:val="24"/>
          <w:szCs w:val="24"/>
        </w:rPr>
        <w:fldChar w:fldCharType="end"/>
      </w:r>
      <w:r w:rsidR="00187E46" w:rsidRPr="00A7055F">
        <w:rPr>
          <w:color w:val="auto"/>
          <w:sz w:val="24"/>
          <w:szCs w:val="24"/>
        </w:rPr>
        <w:t xml:space="preserve">. </w:t>
      </w:r>
      <w:r w:rsidR="00187E46" w:rsidRPr="00A7055F">
        <w:rPr>
          <w:b w:val="0"/>
          <w:color w:val="auto"/>
          <w:sz w:val="24"/>
          <w:szCs w:val="24"/>
        </w:rPr>
        <w:t xml:space="preserve">Analysis of variance </w:t>
      </w:r>
      <w:r w:rsidR="00F26149" w:rsidRPr="00A7055F">
        <w:rPr>
          <w:b w:val="0"/>
          <w:color w:val="auto"/>
          <w:sz w:val="24"/>
          <w:szCs w:val="24"/>
        </w:rPr>
        <w:t>of</w:t>
      </w:r>
      <w:r w:rsidR="00187E46" w:rsidRPr="00A7055F">
        <w:rPr>
          <w:b w:val="0"/>
          <w:color w:val="auto"/>
          <w:sz w:val="24"/>
          <w:szCs w:val="24"/>
        </w:rPr>
        <w:t xml:space="preserve"> developed model for BO conversion</w:t>
      </w:r>
      <w:bookmarkEnd w:id="7"/>
    </w:p>
    <w:p w:rsidR="00952FC6" w:rsidRPr="00952FC6" w:rsidRDefault="00952FC6" w:rsidP="00952FC6">
      <w:pPr>
        <w:pStyle w:val="TAMainText"/>
        <w:spacing w:line="276" w:lineRule="auto"/>
        <w:ind w:firstLine="0"/>
        <w:contextualSpacing/>
        <w:jc w:val="left"/>
        <w:rPr>
          <w:rFonts w:ascii="Times New Roman" w:hAnsi="Times New Roman"/>
          <w:color w:val="000000" w:themeColor="text1"/>
          <w:szCs w:val="16"/>
        </w:rPr>
      </w:pPr>
    </w:p>
    <w:tbl>
      <w:tblPr>
        <w:tblW w:w="8859" w:type="dxa"/>
        <w:jc w:val="center"/>
        <w:tblLook w:val="04A0" w:firstRow="1" w:lastRow="0" w:firstColumn="1" w:lastColumn="0" w:noHBand="0" w:noVBand="1"/>
      </w:tblPr>
      <w:tblGrid>
        <w:gridCol w:w="2136"/>
        <w:gridCol w:w="1321"/>
        <w:gridCol w:w="615"/>
        <w:gridCol w:w="1090"/>
        <w:gridCol w:w="1090"/>
        <w:gridCol w:w="1205"/>
        <w:gridCol w:w="1402"/>
      </w:tblGrid>
      <w:tr w:rsidR="00F26149" w:rsidRPr="00F26149" w:rsidTr="0049408C">
        <w:trPr>
          <w:trHeight w:val="282"/>
          <w:jc w:val="center"/>
        </w:trPr>
        <w:tc>
          <w:tcPr>
            <w:tcW w:w="2136" w:type="dxa"/>
            <w:tcBorders>
              <w:top w:val="single" w:sz="4" w:space="0" w:color="auto"/>
              <w:bottom w:val="single" w:sz="8" w:space="0" w:color="auto"/>
            </w:tcBorders>
            <w:shd w:val="clear" w:color="auto" w:fill="auto"/>
            <w:noWrap/>
            <w:vAlign w:val="bottom"/>
            <w:hideMark/>
          </w:tcPr>
          <w:p w:rsidR="00187E46" w:rsidRPr="00F26149" w:rsidRDefault="00187E46" w:rsidP="00F26149">
            <w:pPr>
              <w:spacing w:line="240" w:lineRule="auto"/>
              <w:jc w:val="center"/>
              <w:rPr>
                <w:color w:val="000000" w:themeColor="text1"/>
              </w:rPr>
            </w:pPr>
          </w:p>
        </w:tc>
        <w:tc>
          <w:tcPr>
            <w:tcW w:w="1321" w:type="dxa"/>
            <w:tcBorders>
              <w:top w:val="single" w:sz="4" w:space="0" w:color="auto"/>
              <w:bottom w:val="single" w:sz="8" w:space="0" w:color="auto"/>
            </w:tcBorders>
            <w:shd w:val="clear" w:color="auto" w:fill="auto"/>
            <w:noWrap/>
            <w:vAlign w:val="bottom"/>
            <w:hideMark/>
          </w:tcPr>
          <w:p w:rsidR="00187E46" w:rsidRPr="00F26149" w:rsidRDefault="00187E46" w:rsidP="00F26149">
            <w:pPr>
              <w:spacing w:line="240" w:lineRule="auto"/>
              <w:jc w:val="center"/>
              <w:rPr>
                <w:color w:val="000000" w:themeColor="text1"/>
              </w:rPr>
            </w:pPr>
            <w:r w:rsidRPr="00F26149">
              <w:rPr>
                <w:color w:val="000000" w:themeColor="text1"/>
                <w:sz w:val="22"/>
              </w:rPr>
              <w:t>Sum of square</w:t>
            </w:r>
          </w:p>
        </w:tc>
        <w:tc>
          <w:tcPr>
            <w:tcW w:w="615" w:type="dxa"/>
            <w:tcBorders>
              <w:top w:val="single" w:sz="4" w:space="0" w:color="auto"/>
              <w:bottom w:val="single" w:sz="8" w:space="0" w:color="auto"/>
            </w:tcBorders>
            <w:shd w:val="clear" w:color="auto" w:fill="auto"/>
            <w:noWrap/>
            <w:vAlign w:val="bottom"/>
            <w:hideMark/>
          </w:tcPr>
          <w:p w:rsidR="00187E46" w:rsidRPr="00F26149" w:rsidRDefault="00187E46" w:rsidP="00F26149">
            <w:pPr>
              <w:spacing w:line="240" w:lineRule="auto"/>
              <w:jc w:val="center"/>
              <w:rPr>
                <w:color w:val="000000" w:themeColor="text1"/>
              </w:rPr>
            </w:pPr>
            <w:r w:rsidRPr="00F26149">
              <w:rPr>
                <w:color w:val="000000" w:themeColor="text1"/>
                <w:sz w:val="22"/>
              </w:rPr>
              <w:t>df</w:t>
            </w:r>
          </w:p>
        </w:tc>
        <w:tc>
          <w:tcPr>
            <w:tcW w:w="1090" w:type="dxa"/>
            <w:tcBorders>
              <w:top w:val="single" w:sz="4" w:space="0" w:color="auto"/>
              <w:bottom w:val="single" w:sz="8" w:space="0" w:color="auto"/>
            </w:tcBorders>
            <w:shd w:val="clear" w:color="auto" w:fill="auto"/>
            <w:noWrap/>
            <w:vAlign w:val="bottom"/>
            <w:hideMark/>
          </w:tcPr>
          <w:p w:rsidR="00187E46" w:rsidRPr="00F26149" w:rsidRDefault="00187E46" w:rsidP="00F26149">
            <w:pPr>
              <w:spacing w:line="240" w:lineRule="auto"/>
              <w:jc w:val="center"/>
              <w:rPr>
                <w:color w:val="000000" w:themeColor="text1"/>
              </w:rPr>
            </w:pPr>
            <w:r w:rsidRPr="00F26149">
              <w:rPr>
                <w:color w:val="000000" w:themeColor="text1"/>
                <w:sz w:val="22"/>
              </w:rPr>
              <w:t>Mean Square</w:t>
            </w:r>
          </w:p>
        </w:tc>
        <w:tc>
          <w:tcPr>
            <w:tcW w:w="1090" w:type="dxa"/>
            <w:tcBorders>
              <w:top w:val="single" w:sz="4" w:space="0" w:color="auto"/>
              <w:bottom w:val="single" w:sz="8" w:space="0" w:color="auto"/>
            </w:tcBorders>
            <w:shd w:val="clear" w:color="auto" w:fill="auto"/>
            <w:noWrap/>
            <w:vAlign w:val="bottom"/>
            <w:hideMark/>
          </w:tcPr>
          <w:p w:rsidR="00187E46" w:rsidRPr="00F26149" w:rsidRDefault="00187E46" w:rsidP="00F26149">
            <w:pPr>
              <w:spacing w:line="240" w:lineRule="auto"/>
              <w:jc w:val="center"/>
              <w:rPr>
                <w:color w:val="000000" w:themeColor="text1"/>
              </w:rPr>
            </w:pPr>
            <w:r w:rsidRPr="00F26149">
              <w:rPr>
                <w:color w:val="000000" w:themeColor="text1"/>
                <w:sz w:val="22"/>
              </w:rPr>
              <w:t>F Value</w:t>
            </w:r>
          </w:p>
        </w:tc>
        <w:tc>
          <w:tcPr>
            <w:tcW w:w="1205" w:type="dxa"/>
            <w:tcBorders>
              <w:top w:val="single" w:sz="4" w:space="0" w:color="auto"/>
              <w:bottom w:val="single" w:sz="8" w:space="0" w:color="auto"/>
            </w:tcBorders>
            <w:shd w:val="clear" w:color="auto" w:fill="auto"/>
            <w:noWrap/>
            <w:vAlign w:val="bottom"/>
            <w:hideMark/>
          </w:tcPr>
          <w:p w:rsidR="00187E46" w:rsidRPr="00F26149" w:rsidRDefault="00187E46" w:rsidP="00F26149">
            <w:pPr>
              <w:spacing w:line="240" w:lineRule="auto"/>
              <w:jc w:val="center"/>
              <w:rPr>
                <w:color w:val="000000" w:themeColor="text1"/>
              </w:rPr>
            </w:pPr>
            <w:r w:rsidRPr="00F26149">
              <w:rPr>
                <w:color w:val="000000" w:themeColor="text1"/>
                <w:sz w:val="22"/>
              </w:rPr>
              <w:t>p-value</w:t>
            </w:r>
          </w:p>
        </w:tc>
        <w:tc>
          <w:tcPr>
            <w:tcW w:w="1402" w:type="dxa"/>
            <w:tcBorders>
              <w:top w:val="single" w:sz="4" w:space="0" w:color="auto"/>
              <w:bottom w:val="single" w:sz="8" w:space="0" w:color="auto"/>
            </w:tcBorders>
            <w:shd w:val="clear" w:color="auto" w:fill="auto"/>
            <w:noWrap/>
            <w:vAlign w:val="bottom"/>
            <w:hideMark/>
          </w:tcPr>
          <w:p w:rsidR="00187E46" w:rsidRPr="00F26149" w:rsidRDefault="00187E46" w:rsidP="00F26149">
            <w:pPr>
              <w:spacing w:line="240" w:lineRule="auto"/>
              <w:jc w:val="center"/>
              <w:rPr>
                <w:color w:val="000000" w:themeColor="text1"/>
              </w:rPr>
            </w:pPr>
            <w:r w:rsidRPr="00F26149">
              <w:rPr>
                <w:color w:val="000000" w:themeColor="text1"/>
                <w:sz w:val="22"/>
              </w:rPr>
              <w:t>Significance</w:t>
            </w:r>
          </w:p>
        </w:tc>
      </w:tr>
      <w:tr w:rsidR="00F26149" w:rsidRPr="00F26149" w:rsidTr="000A2167">
        <w:trPr>
          <w:trHeight w:val="282"/>
          <w:jc w:val="center"/>
        </w:trPr>
        <w:tc>
          <w:tcPr>
            <w:tcW w:w="2136" w:type="dxa"/>
            <w:tcBorders>
              <w:top w:val="single" w:sz="8" w:space="0" w:color="auto"/>
            </w:tcBorders>
            <w:shd w:val="clear" w:color="auto" w:fill="auto"/>
            <w:noWrap/>
            <w:vAlign w:val="bottom"/>
            <w:hideMark/>
          </w:tcPr>
          <w:p w:rsidR="00187E46" w:rsidRPr="00F26149" w:rsidRDefault="00187E46" w:rsidP="00F26149">
            <w:pPr>
              <w:spacing w:line="240" w:lineRule="auto"/>
              <w:jc w:val="center"/>
              <w:rPr>
                <w:color w:val="000000" w:themeColor="text1"/>
              </w:rPr>
            </w:pPr>
            <w:r w:rsidRPr="00F26149">
              <w:rPr>
                <w:color w:val="000000" w:themeColor="text1"/>
                <w:sz w:val="22"/>
              </w:rPr>
              <w:t>Model</w:t>
            </w:r>
          </w:p>
        </w:tc>
        <w:tc>
          <w:tcPr>
            <w:tcW w:w="1321" w:type="dxa"/>
            <w:tcBorders>
              <w:top w:val="single" w:sz="8" w:space="0" w:color="auto"/>
            </w:tcBorders>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5194.09</w:t>
            </w:r>
          </w:p>
        </w:tc>
        <w:tc>
          <w:tcPr>
            <w:tcW w:w="615" w:type="dxa"/>
            <w:tcBorders>
              <w:top w:val="single" w:sz="8" w:space="0" w:color="auto"/>
            </w:tcBorders>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14</w:t>
            </w:r>
          </w:p>
        </w:tc>
        <w:tc>
          <w:tcPr>
            <w:tcW w:w="1090" w:type="dxa"/>
            <w:tcBorders>
              <w:top w:val="single" w:sz="8" w:space="0" w:color="auto"/>
            </w:tcBorders>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371.01</w:t>
            </w:r>
          </w:p>
        </w:tc>
        <w:tc>
          <w:tcPr>
            <w:tcW w:w="1090" w:type="dxa"/>
            <w:tcBorders>
              <w:top w:val="single" w:sz="8" w:space="0" w:color="auto"/>
            </w:tcBorders>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11.31</w:t>
            </w:r>
          </w:p>
        </w:tc>
        <w:tc>
          <w:tcPr>
            <w:tcW w:w="1205" w:type="dxa"/>
            <w:tcBorders>
              <w:top w:val="single" w:sz="8" w:space="0" w:color="auto"/>
            </w:tcBorders>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&lt; 0.0001</w:t>
            </w:r>
          </w:p>
        </w:tc>
        <w:tc>
          <w:tcPr>
            <w:tcW w:w="1402" w:type="dxa"/>
            <w:tcBorders>
              <w:top w:val="single" w:sz="8" w:space="0" w:color="auto"/>
            </w:tcBorders>
            <w:shd w:val="clear" w:color="auto" w:fill="auto"/>
            <w:noWrap/>
            <w:vAlign w:val="bottom"/>
            <w:hideMark/>
          </w:tcPr>
          <w:p w:rsidR="00187E46" w:rsidRPr="00F26149" w:rsidRDefault="00187E46" w:rsidP="00F26149">
            <w:pPr>
              <w:spacing w:line="240" w:lineRule="auto"/>
              <w:jc w:val="center"/>
              <w:rPr>
                <w:color w:val="000000" w:themeColor="text1"/>
              </w:rPr>
            </w:pPr>
            <w:r w:rsidRPr="00F26149">
              <w:rPr>
                <w:color w:val="000000" w:themeColor="text1"/>
                <w:sz w:val="22"/>
              </w:rPr>
              <w:t>HS</w:t>
            </w:r>
          </w:p>
        </w:tc>
      </w:tr>
      <w:tr w:rsidR="00F26149" w:rsidRPr="00F26149" w:rsidTr="000A2167">
        <w:trPr>
          <w:trHeight w:val="282"/>
          <w:jc w:val="center"/>
        </w:trPr>
        <w:tc>
          <w:tcPr>
            <w:tcW w:w="2136" w:type="dxa"/>
            <w:shd w:val="clear" w:color="auto" w:fill="auto"/>
            <w:noWrap/>
            <w:vAlign w:val="bottom"/>
            <w:hideMark/>
          </w:tcPr>
          <w:p w:rsidR="00187E46" w:rsidRPr="00F26149" w:rsidRDefault="00187E46" w:rsidP="00F26149">
            <w:pPr>
              <w:spacing w:line="240" w:lineRule="auto"/>
              <w:jc w:val="center"/>
              <w:rPr>
                <w:color w:val="000000" w:themeColor="text1"/>
              </w:rPr>
            </w:pPr>
            <w:r w:rsidRPr="00F26149">
              <w:rPr>
                <w:color w:val="000000" w:themeColor="text1"/>
                <w:sz w:val="22"/>
              </w:rPr>
              <w:t>A-Temperature</w:t>
            </w:r>
          </w:p>
        </w:tc>
        <w:tc>
          <w:tcPr>
            <w:tcW w:w="1321"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918.75</w:t>
            </w:r>
          </w:p>
        </w:tc>
        <w:tc>
          <w:tcPr>
            <w:tcW w:w="615"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1</w:t>
            </w:r>
          </w:p>
        </w:tc>
        <w:tc>
          <w:tcPr>
            <w:tcW w:w="1090"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918.75</w:t>
            </w:r>
          </w:p>
        </w:tc>
        <w:tc>
          <w:tcPr>
            <w:tcW w:w="1090"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28.02</w:t>
            </w:r>
          </w:p>
        </w:tc>
        <w:tc>
          <w:tcPr>
            <w:tcW w:w="1205"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0.0001</w:t>
            </w:r>
          </w:p>
        </w:tc>
        <w:tc>
          <w:tcPr>
            <w:tcW w:w="1402" w:type="dxa"/>
            <w:shd w:val="clear" w:color="auto" w:fill="auto"/>
            <w:noWrap/>
            <w:vAlign w:val="bottom"/>
            <w:hideMark/>
          </w:tcPr>
          <w:p w:rsidR="00187E46" w:rsidRPr="00F26149" w:rsidRDefault="00187E46" w:rsidP="00F26149">
            <w:pPr>
              <w:spacing w:line="240" w:lineRule="auto"/>
              <w:jc w:val="center"/>
              <w:rPr>
                <w:color w:val="000000" w:themeColor="text1"/>
              </w:rPr>
            </w:pPr>
            <w:r w:rsidRPr="00F26149">
              <w:rPr>
                <w:color w:val="000000" w:themeColor="text1"/>
                <w:sz w:val="22"/>
              </w:rPr>
              <w:t>HS</w:t>
            </w:r>
          </w:p>
        </w:tc>
      </w:tr>
      <w:tr w:rsidR="00F26149" w:rsidRPr="00F26149" w:rsidTr="000A2167">
        <w:trPr>
          <w:trHeight w:val="282"/>
          <w:jc w:val="center"/>
        </w:trPr>
        <w:tc>
          <w:tcPr>
            <w:tcW w:w="2136" w:type="dxa"/>
            <w:shd w:val="clear" w:color="auto" w:fill="auto"/>
            <w:noWrap/>
            <w:vAlign w:val="bottom"/>
            <w:hideMark/>
          </w:tcPr>
          <w:p w:rsidR="00187E46" w:rsidRPr="00F26149" w:rsidRDefault="00187E46" w:rsidP="00F26149">
            <w:pPr>
              <w:spacing w:line="240" w:lineRule="auto"/>
              <w:jc w:val="center"/>
              <w:rPr>
                <w:color w:val="000000" w:themeColor="text1"/>
              </w:rPr>
            </w:pPr>
            <w:r w:rsidRPr="00F26149">
              <w:rPr>
                <w:color w:val="000000" w:themeColor="text1"/>
                <w:sz w:val="22"/>
              </w:rPr>
              <w:t>C-Pressure</w:t>
            </w:r>
          </w:p>
        </w:tc>
        <w:tc>
          <w:tcPr>
            <w:tcW w:w="1321"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954.08</w:t>
            </w:r>
          </w:p>
        </w:tc>
        <w:tc>
          <w:tcPr>
            <w:tcW w:w="615"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1</w:t>
            </w:r>
          </w:p>
        </w:tc>
        <w:tc>
          <w:tcPr>
            <w:tcW w:w="1090"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954.08</w:t>
            </w:r>
          </w:p>
        </w:tc>
        <w:tc>
          <w:tcPr>
            <w:tcW w:w="1090"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29.10</w:t>
            </w:r>
          </w:p>
        </w:tc>
        <w:tc>
          <w:tcPr>
            <w:tcW w:w="1205"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&lt; 0.0001</w:t>
            </w:r>
          </w:p>
        </w:tc>
        <w:tc>
          <w:tcPr>
            <w:tcW w:w="1402" w:type="dxa"/>
            <w:shd w:val="clear" w:color="auto" w:fill="auto"/>
            <w:noWrap/>
            <w:vAlign w:val="bottom"/>
            <w:hideMark/>
          </w:tcPr>
          <w:p w:rsidR="00187E46" w:rsidRPr="00F26149" w:rsidRDefault="00187E46" w:rsidP="00F26149">
            <w:pPr>
              <w:spacing w:line="240" w:lineRule="auto"/>
              <w:jc w:val="center"/>
              <w:rPr>
                <w:color w:val="000000" w:themeColor="text1"/>
              </w:rPr>
            </w:pPr>
            <w:r w:rsidRPr="00F26149">
              <w:rPr>
                <w:color w:val="000000" w:themeColor="text1"/>
                <w:sz w:val="22"/>
              </w:rPr>
              <w:t>HS</w:t>
            </w:r>
          </w:p>
        </w:tc>
      </w:tr>
      <w:tr w:rsidR="00F26149" w:rsidRPr="00F26149" w:rsidTr="000A2167">
        <w:trPr>
          <w:trHeight w:val="282"/>
          <w:jc w:val="center"/>
        </w:trPr>
        <w:tc>
          <w:tcPr>
            <w:tcW w:w="2136" w:type="dxa"/>
            <w:shd w:val="clear" w:color="auto" w:fill="auto"/>
            <w:noWrap/>
            <w:vAlign w:val="bottom"/>
            <w:hideMark/>
          </w:tcPr>
          <w:p w:rsidR="00187E46" w:rsidRPr="00F26149" w:rsidRDefault="00187E46" w:rsidP="00F26149">
            <w:pPr>
              <w:spacing w:line="240" w:lineRule="auto"/>
              <w:jc w:val="center"/>
              <w:rPr>
                <w:color w:val="000000" w:themeColor="text1"/>
              </w:rPr>
            </w:pPr>
            <w:r w:rsidRPr="00F26149">
              <w:rPr>
                <w:color w:val="000000" w:themeColor="text1"/>
                <w:sz w:val="22"/>
              </w:rPr>
              <w:t>C-Catalyst Loading</w:t>
            </w:r>
          </w:p>
        </w:tc>
        <w:tc>
          <w:tcPr>
            <w:tcW w:w="1321"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645.33</w:t>
            </w:r>
          </w:p>
        </w:tc>
        <w:tc>
          <w:tcPr>
            <w:tcW w:w="615"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1</w:t>
            </w:r>
          </w:p>
        </w:tc>
        <w:tc>
          <w:tcPr>
            <w:tcW w:w="1090"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645.33</w:t>
            </w:r>
          </w:p>
        </w:tc>
        <w:tc>
          <w:tcPr>
            <w:tcW w:w="1090"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19.68</w:t>
            </w:r>
          </w:p>
        </w:tc>
        <w:tc>
          <w:tcPr>
            <w:tcW w:w="1205"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0.0006</w:t>
            </w:r>
          </w:p>
        </w:tc>
        <w:tc>
          <w:tcPr>
            <w:tcW w:w="1402" w:type="dxa"/>
            <w:shd w:val="clear" w:color="auto" w:fill="auto"/>
            <w:noWrap/>
            <w:vAlign w:val="bottom"/>
            <w:hideMark/>
          </w:tcPr>
          <w:p w:rsidR="00187E46" w:rsidRPr="00F26149" w:rsidRDefault="00187E46" w:rsidP="00F26149">
            <w:pPr>
              <w:spacing w:line="240" w:lineRule="auto"/>
              <w:jc w:val="center"/>
              <w:rPr>
                <w:color w:val="000000" w:themeColor="text1"/>
              </w:rPr>
            </w:pPr>
            <w:r w:rsidRPr="00F26149">
              <w:rPr>
                <w:color w:val="000000" w:themeColor="text1"/>
                <w:sz w:val="22"/>
              </w:rPr>
              <w:t>HS</w:t>
            </w:r>
          </w:p>
        </w:tc>
      </w:tr>
      <w:tr w:rsidR="00F26149" w:rsidRPr="00F26149" w:rsidTr="000A2167">
        <w:trPr>
          <w:trHeight w:val="282"/>
          <w:jc w:val="center"/>
        </w:trPr>
        <w:tc>
          <w:tcPr>
            <w:tcW w:w="2136" w:type="dxa"/>
            <w:shd w:val="clear" w:color="auto" w:fill="auto"/>
            <w:noWrap/>
            <w:vAlign w:val="bottom"/>
            <w:hideMark/>
          </w:tcPr>
          <w:p w:rsidR="00187E46" w:rsidRPr="00F26149" w:rsidRDefault="00187E46" w:rsidP="00F26149">
            <w:pPr>
              <w:spacing w:line="240" w:lineRule="auto"/>
              <w:jc w:val="center"/>
              <w:rPr>
                <w:color w:val="000000" w:themeColor="text1"/>
              </w:rPr>
            </w:pPr>
            <w:r w:rsidRPr="00F26149">
              <w:rPr>
                <w:color w:val="000000" w:themeColor="text1"/>
                <w:sz w:val="22"/>
              </w:rPr>
              <w:t>D-Time</w:t>
            </w:r>
          </w:p>
        </w:tc>
        <w:tc>
          <w:tcPr>
            <w:tcW w:w="1321"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675.00</w:t>
            </w:r>
          </w:p>
        </w:tc>
        <w:tc>
          <w:tcPr>
            <w:tcW w:w="615"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1</w:t>
            </w:r>
          </w:p>
        </w:tc>
        <w:tc>
          <w:tcPr>
            <w:tcW w:w="1090"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675.00</w:t>
            </w:r>
          </w:p>
        </w:tc>
        <w:tc>
          <w:tcPr>
            <w:tcW w:w="1090"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20.58</w:t>
            </w:r>
          </w:p>
        </w:tc>
        <w:tc>
          <w:tcPr>
            <w:tcW w:w="1205"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0.0005</w:t>
            </w:r>
          </w:p>
        </w:tc>
        <w:tc>
          <w:tcPr>
            <w:tcW w:w="1402" w:type="dxa"/>
            <w:shd w:val="clear" w:color="auto" w:fill="auto"/>
            <w:noWrap/>
            <w:vAlign w:val="bottom"/>
            <w:hideMark/>
          </w:tcPr>
          <w:p w:rsidR="00187E46" w:rsidRPr="00F26149" w:rsidRDefault="00187E46" w:rsidP="00F26149">
            <w:pPr>
              <w:spacing w:line="240" w:lineRule="auto"/>
              <w:jc w:val="center"/>
              <w:rPr>
                <w:color w:val="000000" w:themeColor="text1"/>
              </w:rPr>
            </w:pPr>
            <w:r w:rsidRPr="00F26149">
              <w:rPr>
                <w:color w:val="000000" w:themeColor="text1"/>
                <w:sz w:val="22"/>
              </w:rPr>
              <w:t>HS</w:t>
            </w:r>
          </w:p>
        </w:tc>
      </w:tr>
      <w:tr w:rsidR="00F26149" w:rsidRPr="00F26149" w:rsidTr="000A2167">
        <w:trPr>
          <w:trHeight w:val="282"/>
          <w:jc w:val="center"/>
        </w:trPr>
        <w:tc>
          <w:tcPr>
            <w:tcW w:w="2136" w:type="dxa"/>
            <w:shd w:val="clear" w:color="auto" w:fill="auto"/>
            <w:noWrap/>
            <w:vAlign w:val="bottom"/>
            <w:hideMark/>
          </w:tcPr>
          <w:p w:rsidR="00187E46" w:rsidRPr="00F26149" w:rsidRDefault="00187E46" w:rsidP="00F26149">
            <w:pPr>
              <w:spacing w:line="240" w:lineRule="auto"/>
              <w:jc w:val="center"/>
              <w:rPr>
                <w:color w:val="000000" w:themeColor="text1"/>
              </w:rPr>
            </w:pPr>
            <w:r w:rsidRPr="00F26149">
              <w:rPr>
                <w:color w:val="000000" w:themeColor="text1"/>
                <w:sz w:val="22"/>
              </w:rPr>
              <w:t>AB</w:t>
            </w:r>
          </w:p>
        </w:tc>
        <w:tc>
          <w:tcPr>
            <w:tcW w:w="1321"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342.25</w:t>
            </w:r>
          </w:p>
        </w:tc>
        <w:tc>
          <w:tcPr>
            <w:tcW w:w="615"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1</w:t>
            </w:r>
          </w:p>
        </w:tc>
        <w:tc>
          <w:tcPr>
            <w:tcW w:w="1090"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342.25</w:t>
            </w:r>
          </w:p>
        </w:tc>
        <w:tc>
          <w:tcPr>
            <w:tcW w:w="1090"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10.44</w:t>
            </w:r>
          </w:p>
        </w:tc>
        <w:tc>
          <w:tcPr>
            <w:tcW w:w="1205"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0.0060</w:t>
            </w:r>
          </w:p>
        </w:tc>
        <w:tc>
          <w:tcPr>
            <w:tcW w:w="1402" w:type="dxa"/>
            <w:shd w:val="clear" w:color="auto" w:fill="auto"/>
            <w:noWrap/>
            <w:vAlign w:val="bottom"/>
            <w:hideMark/>
          </w:tcPr>
          <w:p w:rsidR="00187E46" w:rsidRPr="00F26149" w:rsidRDefault="00187E46" w:rsidP="00F26149">
            <w:pPr>
              <w:spacing w:line="240" w:lineRule="auto"/>
              <w:jc w:val="center"/>
              <w:rPr>
                <w:color w:val="000000" w:themeColor="text1"/>
              </w:rPr>
            </w:pPr>
            <w:r w:rsidRPr="00F26149">
              <w:rPr>
                <w:color w:val="000000" w:themeColor="text1"/>
                <w:sz w:val="22"/>
              </w:rPr>
              <w:t>HS</w:t>
            </w:r>
          </w:p>
        </w:tc>
      </w:tr>
      <w:tr w:rsidR="00F26149" w:rsidRPr="00F26149" w:rsidTr="000A2167">
        <w:trPr>
          <w:trHeight w:val="282"/>
          <w:jc w:val="center"/>
        </w:trPr>
        <w:tc>
          <w:tcPr>
            <w:tcW w:w="2136" w:type="dxa"/>
            <w:shd w:val="clear" w:color="auto" w:fill="auto"/>
            <w:noWrap/>
            <w:vAlign w:val="bottom"/>
            <w:hideMark/>
          </w:tcPr>
          <w:p w:rsidR="00187E46" w:rsidRPr="00F26149" w:rsidRDefault="00187E46" w:rsidP="00F26149">
            <w:pPr>
              <w:spacing w:line="240" w:lineRule="auto"/>
              <w:jc w:val="center"/>
              <w:rPr>
                <w:color w:val="000000" w:themeColor="text1"/>
              </w:rPr>
            </w:pPr>
            <w:r w:rsidRPr="00F26149">
              <w:rPr>
                <w:color w:val="000000" w:themeColor="text1"/>
                <w:sz w:val="22"/>
              </w:rPr>
              <w:t>AC</w:t>
            </w:r>
          </w:p>
        </w:tc>
        <w:tc>
          <w:tcPr>
            <w:tcW w:w="1321"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196.00</w:t>
            </w:r>
          </w:p>
        </w:tc>
        <w:tc>
          <w:tcPr>
            <w:tcW w:w="615"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1</w:t>
            </w:r>
          </w:p>
        </w:tc>
        <w:tc>
          <w:tcPr>
            <w:tcW w:w="1090"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196.00</w:t>
            </w:r>
          </w:p>
        </w:tc>
        <w:tc>
          <w:tcPr>
            <w:tcW w:w="1090"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5.98</w:t>
            </w:r>
          </w:p>
        </w:tc>
        <w:tc>
          <w:tcPr>
            <w:tcW w:w="1205"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0.0283</w:t>
            </w:r>
          </w:p>
        </w:tc>
        <w:tc>
          <w:tcPr>
            <w:tcW w:w="1402" w:type="dxa"/>
            <w:shd w:val="clear" w:color="auto" w:fill="auto"/>
            <w:noWrap/>
            <w:vAlign w:val="bottom"/>
            <w:hideMark/>
          </w:tcPr>
          <w:p w:rsidR="00187E46" w:rsidRPr="00F26149" w:rsidRDefault="00187E46" w:rsidP="00F26149">
            <w:pPr>
              <w:spacing w:line="240" w:lineRule="auto"/>
              <w:jc w:val="center"/>
              <w:rPr>
                <w:color w:val="000000" w:themeColor="text1"/>
              </w:rPr>
            </w:pPr>
            <w:r w:rsidRPr="00F26149">
              <w:rPr>
                <w:color w:val="000000" w:themeColor="text1"/>
                <w:sz w:val="22"/>
              </w:rPr>
              <w:t>S</w:t>
            </w:r>
          </w:p>
        </w:tc>
      </w:tr>
      <w:tr w:rsidR="00F26149" w:rsidRPr="00F26149" w:rsidTr="000A2167">
        <w:trPr>
          <w:trHeight w:val="282"/>
          <w:jc w:val="center"/>
        </w:trPr>
        <w:tc>
          <w:tcPr>
            <w:tcW w:w="2136" w:type="dxa"/>
            <w:shd w:val="clear" w:color="auto" w:fill="auto"/>
            <w:noWrap/>
            <w:vAlign w:val="bottom"/>
            <w:hideMark/>
          </w:tcPr>
          <w:p w:rsidR="00187E46" w:rsidRPr="00F26149" w:rsidRDefault="00187E46" w:rsidP="00F26149">
            <w:pPr>
              <w:spacing w:line="240" w:lineRule="auto"/>
              <w:jc w:val="center"/>
              <w:rPr>
                <w:color w:val="000000" w:themeColor="text1"/>
              </w:rPr>
            </w:pPr>
            <w:r w:rsidRPr="00F26149">
              <w:rPr>
                <w:color w:val="000000" w:themeColor="text1"/>
                <w:sz w:val="22"/>
              </w:rPr>
              <w:t>AD</w:t>
            </w:r>
          </w:p>
        </w:tc>
        <w:tc>
          <w:tcPr>
            <w:tcW w:w="1321"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64.00</w:t>
            </w:r>
          </w:p>
        </w:tc>
        <w:tc>
          <w:tcPr>
            <w:tcW w:w="615"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1</w:t>
            </w:r>
          </w:p>
        </w:tc>
        <w:tc>
          <w:tcPr>
            <w:tcW w:w="1090"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64.00</w:t>
            </w:r>
          </w:p>
        </w:tc>
        <w:tc>
          <w:tcPr>
            <w:tcW w:w="1090"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1.95</w:t>
            </w:r>
          </w:p>
        </w:tc>
        <w:tc>
          <w:tcPr>
            <w:tcW w:w="1205"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0.1842</w:t>
            </w:r>
          </w:p>
        </w:tc>
        <w:tc>
          <w:tcPr>
            <w:tcW w:w="1402" w:type="dxa"/>
            <w:shd w:val="clear" w:color="auto" w:fill="auto"/>
            <w:noWrap/>
            <w:vAlign w:val="bottom"/>
            <w:hideMark/>
          </w:tcPr>
          <w:p w:rsidR="00187E46" w:rsidRPr="00F26149" w:rsidRDefault="00187E46" w:rsidP="00F26149">
            <w:pPr>
              <w:spacing w:line="240" w:lineRule="auto"/>
              <w:jc w:val="center"/>
              <w:rPr>
                <w:color w:val="000000" w:themeColor="text1"/>
              </w:rPr>
            </w:pPr>
            <w:r w:rsidRPr="00F26149">
              <w:rPr>
                <w:color w:val="000000" w:themeColor="text1"/>
                <w:sz w:val="22"/>
              </w:rPr>
              <w:t>NS</w:t>
            </w:r>
          </w:p>
        </w:tc>
      </w:tr>
      <w:tr w:rsidR="00F26149" w:rsidRPr="00F26149" w:rsidTr="000A2167">
        <w:trPr>
          <w:trHeight w:val="282"/>
          <w:jc w:val="center"/>
        </w:trPr>
        <w:tc>
          <w:tcPr>
            <w:tcW w:w="2136" w:type="dxa"/>
            <w:shd w:val="clear" w:color="auto" w:fill="auto"/>
            <w:noWrap/>
            <w:vAlign w:val="bottom"/>
            <w:hideMark/>
          </w:tcPr>
          <w:p w:rsidR="00187E46" w:rsidRPr="00F26149" w:rsidRDefault="00187E46" w:rsidP="00F26149">
            <w:pPr>
              <w:spacing w:line="240" w:lineRule="auto"/>
              <w:jc w:val="center"/>
              <w:rPr>
                <w:color w:val="000000" w:themeColor="text1"/>
              </w:rPr>
            </w:pPr>
            <w:r w:rsidRPr="00F26149">
              <w:rPr>
                <w:color w:val="000000" w:themeColor="text1"/>
                <w:sz w:val="22"/>
              </w:rPr>
              <w:t>BC</w:t>
            </w:r>
          </w:p>
        </w:tc>
        <w:tc>
          <w:tcPr>
            <w:tcW w:w="1321"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20.25</w:t>
            </w:r>
          </w:p>
        </w:tc>
        <w:tc>
          <w:tcPr>
            <w:tcW w:w="615"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1</w:t>
            </w:r>
          </w:p>
        </w:tc>
        <w:tc>
          <w:tcPr>
            <w:tcW w:w="1090"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20.25</w:t>
            </w:r>
          </w:p>
        </w:tc>
        <w:tc>
          <w:tcPr>
            <w:tcW w:w="1090"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0.62</w:t>
            </w:r>
          </w:p>
        </w:tc>
        <w:tc>
          <w:tcPr>
            <w:tcW w:w="1205"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0.4451</w:t>
            </w:r>
          </w:p>
        </w:tc>
        <w:tc>
          <w:tcPr>
            <w:tcW w:w="1402" w:type="dxa"/>
            <w:shd w:val="clear" w:color="auto" w:fill="auto"/>
            <w:noWrap/>
            <w:vAlign w:val="bottom"/>
            <w:hideMark/>
          </w:tcPr>
          <w:p w:rsidR="00187E46" w:rsidRPr="00F26149" w:rsidRDefault="00187E46" w:rsidP="00F26149">
            <w:pPr>
              <w:spacing w:line="240" w:lineRule="auto"/>
              <w:jc w:val="center"/>
              <w:rPr>
                <w:color w:val="000000" w:themeColor="text1"/>
              </w:rPr>
            </w:pPr>
            <w:r w:rsidRPr="00F26149">
              <w:rPr>
                <w:color w:val="000000" w:themeColor="text1"/>
                <w:sz w:val="22"/>
              </w:rPr>
              <w:t>NS</w:t>
            </w:r>
          </w:p>
        </w:tc>
      </w:tr>
      <w:tr w:rsidR="00F26149" w:rsidRPr="00F26149" w:rsidTr="000A2167">
        <w:trPr>
          <w:trHeight w:val="282"/>
          <w:jc w:val="center"/>
        </w:trPr>
        <w:tc>
          <w:tcPr>
            <w:tcW w:w="2136" w:type="dxa"/>
            <w:shd w:val="clear" w:color="auto" w:fill="auto"/>
            <w:noWrap/>
            <w:vAlign w:val="bottom"/>
            <w:hideMark/>
          </w:tcPr>
          <w:p w:rsidR="00187E46" w:rsidRPr="00F26149" w:rsidRDefault="00187E46" w:rsidP="00F26149">
            <w:pPr>
              <w:spacing w:line="240" w:lineRule="auto"/>
              <w:jc w:val="center"/>
              <w:rPr>
                <w:color w:val="000000" w:themeColor="text1"/>
              </w:rPr>
            </w:pPr>
            <w:r w:rsidRPr="00F26149">
              <w:rPr>
                <w:color w:val="000000" w:themeColor="text1"/>
                <w:sz w:val="22"/>
              </w:rPr>
              <w:t>BD</w:t>
            </w:r>
          </w:p>
        </w:tc>
        <w:tc>
          <w:tcPr>
            <w:tcW w:w="1321"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42.25</w:t>
            </w:r>
          </w:p>
        </w:tc>
        <w:tc>
          <w:tcPr>
            <w:tcW w:w="615"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1</w:t>
            </w:r>
          </w:p>
        </w:tc>
        <w:tc>
          <w:tcPr>
            <w:tcW w:w="1090"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42.25</w:t>
            </w:r>
          </w:p>
        </w:tc>
        <w:tc>
          <w:tcPr>
            <w:tcW w:w="1090"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1.29</w:t>
            </w:r>
          </w:p>
        </w:tc>
        <w:tc>
          <w:tcPr>
            <w:tcW w:w="1205"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0.2754</w:t>
            </w:r>
          </w:p>
        </w:tc>
        <w:tc>
          <w:tcPr>
            <w:tcW w:w="1402" w:type="dxa"/>
            <w:shd w:val="clear" w:color="auto" w:fill="auto"/>
            <w:noWrap/>
            <w:vAlign w:val="bottom"/>
            <w:hideMark/>
          </w:tcPr>
          <w:p w:rsidR="00187E46" w:rsidRPr="00F26149" w:rsidRDefault="00187E46" w:rsidP="00F26149">
            <w:pPr>
              <w:spacing w:line="240" w:lineRule="auto"/>
              <w:jc w:val="center"/>
              <w:rPr>
                <w:color w:val="000000" w:themeColor="text1"/>
              </w:rPr>
            </w:pPr>
            <w:r w:rsidRPr="00F26149">
              <w:rPr>
                <w:color w:val="000000" w:themeColor="text1"/>
                <w:sz w:val="22"/>
              </w:rPr>
              <w:t>NS</w:t>
            </w:r>
          </w:p>
        </w:tc>
      </w:tr>
      <w:tr w:rsidR="00F26149" w:rsidRPr="00F26149" w:rsidTr="000A2167">
        <w:trPr>
          <w:trHeight w:val="282"/>
          <w:jc w:val="center"/>
        </w:trPr>
        <w:tc>
          <w:tcPr>
            <w:tcW w:w="2136" w:type="dxa"/>
            <w:shd w:val="clear" w:color="auto" w:fill="auto"/>
            <w:noWrap/>
            <w:vAlign w:val="bottom"/>
            <w:hideMark/>
          </w:tcPr>
          <w:p w:rsidR="00187E46" w:rsidRPr="00F26149" w:rsidRDefault="00187E46" w:rsidP="00F26149">
            <w:pPr>
              <w:spacing w:line="240" w:lineRule="auto"/>
              <w:jc w:val="center"/>
              <w:rPr>
                <w:color w:val="000000" w:themeColor="text1"/>
              </w:rPr>
            </w:pPr>
            <w:r w:rsidRPr="00F26149">
              <w:rPr>
                <w:color w:val="000000" w:themeColor="text1"/>
                <w:sz w:val="22"/>
              </w:rPr>
              <w:t>CD</w:t>
            </w:r>
          </w:p>
        </w:tc>
        <w:tc>
          <w:tcPr>
            <w:tcW w:w="1321"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6.25</w:t>
            </w:r>
          </w:p>
        </w:tc>
        <w:tc>
          <w:tcPr>
            <w:tcW w:w="615"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1</w:t>
            </w:r>
          </w:p>
        </w:tc>
        <w:tc>
          <w:tcPr>
            <w:tcW w:w="1090"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6.25</w:t>
            </w:r>
          </w:p>
        </w:tc>
        <w:tc>
          <w:tcPr>
            <w:tcW w:w="1090"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0.19</w:t>
            </w:r>
          </w:p>
        </w:tc>
        <w:tc>
          <w:tcPr>
            <w:tcW w:w="1205"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0.6691</w:t>
            </w:r>
          </w:p>
        </w:tc>
        <w:tc>
          <w:tcPr>
            <w:tcW w:w="1402" w:type="dxa"/>
            <w:shd w:val="clear" w:color="auto" w:fill="auto"/>
            <w:noWrap/>
            <w:vAlign w:val="bottom"/>
            <w:hideMark/>
          </w:tcPr>
          <w:p w:rsidR="00187E46" w:rsidRPr="00F26149" w:rsidRDefault="00187E46" w:rsidP="00F26149">
            <w:pPr>
              <w:spacing w:line="240" w:lineRule="auto"/>
              <w:jc w:val="center"/>
              <w:rPr>
                <w:color w:val="000000" w:themeColor="text1"/>
              </w:rPr>
            </w:pPr>
            <w:r w:rsidRPr="00F26149">
              <w:rPr>
                <w:color w:val="000000" w:themeColor="text1"/>
                <w:sz w:val="22"/>
              </w:rPr>
              <w:t>NS</w:t>
            </w:r>
          </w:p>
        </w:tc>
      </w:tr>
      <w:tr w:rsidR="00F26149" w:rsidRPr="00F26149" w:rsidTr="000A2167">
        <w:trPr>
          <w:trHeight w:val="282"/>
          <w:jc w:val="center"/>
        </w:trPr>
        <w:tc>
          <w:tcPr>
            <w:tcW w:w="2136" w:type="dxa"/>
            <w:shd w:val="clear" w:color="auto" w:fill="auto"/>
            <w:noWrap/>
            <w:vAlign w:val="bottom"/>
            <w:hideMark/>
          </w:tcPr>
          <w:p w:rsidR="00187E46" w:rsidRPr="00F26149" w:rsidRDefault="00187E46" w:rsidP="00F26149">
            <w:pPr>
              <w:spacing w:line="240" w:lineRule="auto"/>
              <w:jc w:val="center"/>
              <w:rPr>
                <w:color w:val="000000" w:themeColor="text1"/>
                <w:vertAlign w:val="superscript"/>
              </w:rPr>
            </w:pPr>
            <w:r w:rsidRPr="00F26149">
              <w:rPr>
                <w:color w:val="000000" w:themeColor="text1"/>
                <w:sz w:val="22"/>
              </w:rPr>
              <w:t>A</w:t>
            </w:r>
            <w:r w:rsidRPr="00F26149">
              <w:rPr>
                <w:color w:val="000000" w:themeColor="text1"/>
                <w:sz w:val="22"/>
                <w:vertAlign w:val="superscript"/>
              </w:rPr>
              <w:t>2</w:t>
            </w:r>
          </w:p>
        </w:tc>
        <w:tc>
          <w:tcPr>
            <w:tcW w:w="1321"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876.59</w:t>
            </w:r>
          </w:p>
        </w:tc>
        <w:tc>
          <w:tcPr>
            <w:tcW w:w="615"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1</w:t>
            </w:r>
          </w:p>
        </w:tc>
        <w:tc>
          <w:tcPr>
            <w:tcW w:w="1090"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876.59</w:t>
            </w:r>
          </w:p>
        </w:tc>
        <w:tc>
          <w:tcPr>
            <w:tcW w:w="1090"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26.73</w:t>
            </w:r>
          </w:p>
        </w:tc>
        <w:tc>
          <w:tcPr>
            <w:tcW w:w="1205"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0.0001</w:t>
            </w:r>
          </w:p>
        </w:tc>
        <w:tc>
          <w:tcPr>
            <w:tcW w:w="1402" w:type="dxa"/>
            <w:shd w:val="clear" w:color="auto" w:fill="auto"/>
            <w:noWrap/>
            <w:vAlign w:val="bottom"/>
            <w:hideMark/>
          </w:tcPr>
          <w:p w:rsidR="00187E46" w:rsidRPr="00F26149" w:rsidRDefault="00187E46" w:rsidP="00F26149">
            <w:pPr>
              <w:spacing w:line="240" w:lineRule="auto"/>
              <w:jc w:val="center"/>
              <w:rPr>
                <w:color w:val="000000" w:themeColor="text1"/>
              </w:rPr>
            </w:pPr>
            <w:r w:rsidRPr="00F26149">
              <w:rPr>
                <w:color w:val="000000" w:themeColor="text1"/>
                <w:sz w:val="22"/>
              </w:rPr>
              <w:t>HS</w:t>
            </w:r>
          </w:p>
        </w:tc>
      </w:tr>
      <w:tr w:rsidR="00F26149" w:rsidRPr="00F26149" w:rsidTr="000A2167">
        <w:trPr>
          <w:trHeight w:val="282"/>
          <w:jc w:val="center"/>
        </w:trPr>
        <w:tc>
          <w:tcPr>
            <w:tcW w:w="2136" w:type="dxa"/>
            <w:shd w:val="clear" w:color="auto" w:fill="auto"/>
            <w:noWrap/>
            <w:vAlign w:val="bottom"/>
            <w:hideMark/>
          </w:tcPr>
          <w:p w:rsidR="00187E46" w:rsidRPr="00F26149" w:rsidRDefault="00187E46" w:rsidP="00F26149">
            <w:pPr>
              <w:spacing w:line="240" w:lineRule="auto"/>
              <w:jc w:val="center"/>
              <w:rPr>
                <w:color w:val="000000" w:themeColor="text1"/>
              </w:rPr>
            </w:pPr>
            <w:r w:rsidRPr="00F26149">
              <w:rPr>
                <w:color w:val="000000" w:themeColor="text1"/>
                <w:sz w:val="22"/>
              </w:rPr>
              <w:t>B</w:t>
            </w:r>
            <w:r w:rsidRPr="00F26149">
              <w:rPr>
                <w:color w:val="000000" w:themeColor="text1"/>
                <w:sz w:val="22"/>
                <w:vertAlign w:val="superscript"/>
              </w:rPr>
              <w:t>2</w:t>
            </w:r>
          </w:p>
        </w:tc>
        <w:tc>
          <w:tcPr>
            <w:tcW w:w="1321"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4.97</w:t>
            </w:r>
          </w:p>
        </w:tc>
        <w:tc>
          <w:tcPr>
            <w:tcW w:w="615"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1</w:t>
            </w:r>
          </w:p>
        </w:tc>
        <w:tc>
          <w:tcPr>
            <w:tcW w:w="1090"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4.97</w:t>
            </w:r>
          </w:p>
        </w:tc>
        <w:tc>
          <w:tcPr>
            <w:tcW w:w="1090"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0.15</w:t>
            </w:r>
          </w:p>
        </w:tc>
        <w:tc>
          <w:tcPr>
            <w:tcW w:w="1205"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0.7030</w:t>
            </w:r>
          </w:p>
        </w:tc>
        <w:tc>
          <w:tcPr>
            <w:tcW w:w="1402" w:type="dxa"/>
            <w:shd w:val="clear" w:color="auto" w:fill="auto"/>
            <w:noWrap/>
            <w:vAlign w:val="bottom"/>
            <w:hideMark/>
          </w:tcPr>
          <w:p w:rsidR="00187E46" w:rsidRPr="00F26149" w:rsidRDefault="00187E46" w:rsidP="00F26149">
            <w:pPr>
              <w:spacing w:line="240" w:lineRule="auto"/>
              <w:jc w:val="center"/>
              <w:rPr>
                <w:color w:val="000000" w:themeColor="text1"/>
              </w:rPr>
            </w:pPr>
            <w:r w:rsidRPr="00F26149">
              <w:rPr>
                <w:color w:val="000000" w:themeColor="text1"/>
                <w:sz w:val="22"/>
              </w:rPr>
              <w:t>NS</w:t>
            </w:r>
          </w:p>
        </w:tc>
      </w:tr>
      <w:tr w:rsidR="00F26149" w:rsidRPr="00F26149" w:rsidTr="000A2167">
        <w:trPr>
          <w:trHeight w:val="282"/>
          <w:jc w:val="center"/>
        </w:trPr>
        <w:tc>
          <w:tcPr>
            <w:tcW w:w="2136" w:type="dxa"/>
            <w:shd w:val="clear" w:color="auto" w:fill="auto"/>
            <w:noWrap/>
            <w:vAlign w:val="bottom"/>
            <w:hideMark/>
          </w:tcPr>
          <w:p w:rsidR="00187E46" w:rsidRPr="00F26149" w:rsidRDefault="00187E46" w:rsidP="00F26149">
            <w:pPr>
              <w:spacing w:line="240" w:lineRule="auto"/>
              <w:jc w:val="center"/>
              <w:rPr>
                <w:color w:val="000000" w:themeColor="text1"/>
              </w:rPr>
            </w:pPr>
            <w:r w:rsidRPr="00F26149">
              <w:rPr>
                <w:color w:val="000000" w:themeColor="text1"/>
                <w:sz w:val="22"/>
              </w:rPr>
              <w:t>C</w:t>
            </w:r>
            <w:r w:rsidRPr="00F26149">
              <w:rPr>
                <w:color w:val="000000" w:themeColor="text1"/>
                <w:sz w:val="22"/>
                <w:vertAlign w:val="superscript"/>
              </w:rPr>
              <w:t>2</w:t>
            </w:r>
          </w:p>
        </w:tc>
        <w:tc>
          <w:tcPr>
            <w:tcW w:w="1321"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364.86</w:t>
            </w:r>
          </w:p>
        </w:tc>
        <w:tc>
          <w:tcPr>
            <w:tcW w:w="615"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1</w:t>
            </w:r>
          </w:p>
        </w:tc>
        <w:tc>
          <w:tcPr>
            <w:tcW w:w="1090"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364.86</w:t>
            </w:r>
          </w:p>
        </w:tc>
        <w:tc>
          <w:tcPr>
            <w:tcW w:w="1090"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11.13</w:t>
            </w:r>
          </w:p>
        </w:tc>
        <w:tc>
          <w:tcPr>
            <w:tcW w:w="1205"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0.0049</w:t>
            </w:r>
          </w:p>
        </w:tc>
        <w:tc>
          <w:tcPr>
            <w:tcW w:w="1402" w:type="dxa"/>
            <w:shd w:val="clear" w:color="auto" w:fill="auto"/>
            <w:noWrap/>
            <w:vAlign w:val="bottom"/>
            <w:hideMark/>
          </w:tcPr>
          <w:p w:rsidR="00187E46" w:rsidRPr="00F26149" w:rsidRDefault="00187E46" w:rsidP="00F26149">
            <w:pPr>
              <w:spacing w:line="240" w:lineRule="auto"/>
              <w:jc w:val="center"/>
              <w:rPr>
                <w:color w:val="000000" w:themeColor="text1"/>
              </w:rPr>
            </w:pPr>
            <w:r w:rsidRPr="00F26149">
              <w:rPr>
                <w:color w:val="000000" w:themeColor="text1"/>
                <w:sz w:val="22"/>
              </w:rPr>
              <w:t>S</w:t>
            </w:r>
          </w:p>
        </w:tc>
      </w:tr>
      <w:tr w:rsidR="00F26149" w:rsidRPr="00F26149" w:rsidTr="000A2167">
        <w:trPr>
          <w:trHeight w:val="282"/>
          <w:jc w:val="center"/>
        </w:trPr>
        <w:tc>
          <w:tcPr>
            <w:tcW w:w="2136" w:type="dxa"/>
            <w:shd w:val="clear" w:color="auto" w:fill="auto"/>
            <w:noWrap/>
            <w:vAlign w:val="bottom"/>
            <w:hideMark/>
          </w:tcPr>
          <w:p w:rsidR="00187E46" w:rsidRPr="00F26149" w:rsidRDefault="00187E46" w:rsidP="00F26149">
            <w:pPr>
              <w:spacing w:line="240" w:lineRule="auto"/>
              <w:jc w:val="center"/>
              <w:rPr>
                <w:color w:val="000000" w:themeColor="text1"/>
              </w:rPr>
            </w:pPr>
            <w:r w:rsidRPr="00F26149">
              <w:rPr>
                <w:color w:val="000000" w:themeColor="text1"/>
                <w:sz w:val="22"/>
              </w:rPr>
              <w:t>D</w:t>
            </w:r>
            <w:r w:rsidRPr="00F26149">
              <w:rPr>
                <w:color w:val="000000" w:themeColor="text1"/>
                <w:sz w:val="22"/>
                <w:vertAlign w:val="superscript"/>
              </w:rPr>
              <w:t>2</w:t>
            </w:r>
          </w:p>
        </w:tc>
        <w:tc>
          <w:tcPr>
            <w:tcW w:w="1321"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340.95</w:t>
            </w:r>
          </w:p>
        </w:tc>
        <w:tc>
          <w:tcPr>
            <w:tcW w:w="615"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1</w:t>
            </w:r>
          </w:p>
        </w:tc>
        <w:tc>
          <w:tcPr>
            <w:tcW w:w="1090"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340.95</w:t>
            </w:r>
          </w:p>
        </w:tc>
        <w:tc>
          <w:tcPr>
            <w:tcW w:w="1090"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10.40</w:t>
            </w:r>
          </w:p>
        </w:tc>
        <w:tc>
          <w:tcPr>
            <w:tcW w:w="1205"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0.0061</w:t>
            </w:r>
          </w:p>
        </w:tc>
        <w:tc>
          <w:tcPr>
            <w:tcW w:w="1402" w:type="dxa"/>
            <w:shd w:val="clear" w:color="auto" w:fill="auto"/>
            <w:noWrap/>
            <w:vAlign w:val="bottom"/>
            <w:hideMark/>
          </w:tcPr>
          <w:p w:rsidR="00187E46" w:rsidRPr="00F26149" w:rsidRDefault="00187E46" w:rsidP="00F26149">
            <w:pPr>
              <w:spacing w:line="240" w:lineRule="auto"/>
              <w:jc w:val="center"/>
              <w:rPr>
                <w:color w:val="000000" w:themeColor="text1"/>
              </w:rPr>
            </w:pPr>
            <w:r w:rsidRPr="00F26149">
              <w:rPr>
                <w:color w:val="000000" w:themeColor="text1"/>
                <w:sz w:val="22"/>
              </w:rPr>
              <w:t>S</w:t>
            </w:r>
          </w:p>
        </w:tc>
      </w:tr>
      <w:tr w:rsidR="00F26149" w:rsidRPr="00F26149" w:rsidTr="000A2167">
        <w:trPr>
          <w:trHeight w:val="282"/>
          <w:jc w:val="center"/>
        </w:trPr>
        <w:tc>
          <w:tcPr>
            <w:tcW w:w="2136" w:type="dxa"/>
            <w:shd w:val="clear" w:color="auto" w:fill="auto"/>
            <w:noWrap/>
            <w:vAlign w:val="bottom"/>
            <w:hideMark/>
          </w:tcPr>
          <w:p w:rsidR="00187E46" w:rsidRPr="00F26149" w:rsidRDefault="00187E46" w:rsidP="00F26149">
            <w:pPr>
              <w:spacing w:line="240" w:lineRule="auto"/>
              <w:jc w:val="center"/>
              <w:rPr>
                <w:color w:val="000000" w:themeColor="text1"/>
              </w:rPr>
            </w:pPr>
            <w:r w:rsidRPr="00F26149">
              <w:rPr>
                <w:color w:val="000000" w:themeColor="text1"/>
                <w:sz w:val="22"/>
              </w:rPr>
              <w:t>Residual</w:t>
            </w:r>
          </w:p>
        </w:tc>
        <w:tc>
          <w:tcPr>
            <w:tcW w:w="1321"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459.08</w:t>
            </w:r>
          </w:p>
        </w:tc>
        <w:tc>
          <w:tcPr>
            <w:tcW w:w="615"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14</w:t>
            </w:r>
          </w:p>
        </w:tc>
        <w:tc>
          <w:tcPr>
            <w:tcW w:w="1090"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32.79</w:t>
            </w:r>
          </w:p>
        </w:tc>
        <w:tc>
          <w:tcPr>
            <w:tcW w:w="1090" w:type="dxa"/>
            <w:shd w:val="clear" w:color="auto" w:fill="auto"/>
            <w:noWrap/>
            <w:vAlign w:val="center"/>
          </w:tcPr>
          <w:p w:rsidR="00187E46" w:rsidRPr="00F26149" w:rsidRDefault="00187E46" w:rsidP="00F26149">
            <w:pPr>
              <w:spacing w:line="240" w:lineRule="auto"/>
              <w:jc w:val="right"/>
              <w:rPr>
                <w:color w:val="000000"/>
              </w:rPr>
            </w:pPr>
          </w:p>
        </w:tc>
        <w:tc>
          <w:tcPr>
            <w:tcW w:w="1205" w:type="dxa"/>
            <w:shd w:val="clear" w:color="auto" w:fill="auto"/>
            <w:noWrap/>
            <w:vAlign w:val="center"/>
          </w:tcPr>
          <w:p w:rsidR="00187E46" w:rsidRPr="00F26149" w:rsidRDefault="00187E46" w:rsidP="00F26149">
            <w:pPr>
              <w:spacing w:line="240" w:lineRule="auto"/>
              <w:jc w:val="right"/>
              <w:rPr>
                <w:color w:val="000000"/>
              </w:rPr>
            </w:pPr>
          </w:p>
        </w:tc>
        <w:tc>
          <w:tcPr>
            <w:tcW w:w="1402" w:type="dxa"/>
            <w:shd w:val="clear" w:color="auto" w:fill="auto"/>
            <w:noWrap/>
            <w:vAlign w:val="bottom"/>
            <w:hideMark/>
          </w:tcPr>
          <w:p w:rsidR="00187E46" w:rsidRPr="00F26149" w:rsidRDefault="00187E46" w:rsidP="00F26149">
            <w:pPr>
              <w:spacing w:line="240" w:lineRule="auto"/>
              <w:jc w:val="center"/>
              <w:rPr>
                <w:color w:val="000000" w:themeColor="text1"/>
              </w:rPr>
            </w:pPr>
          </w:p>
        </w:tc>
      </w:tr>
      <w:tr w:rsidR="00F26149" w:rsidRPr="00F26149" w:rsidTr="000A2167">
        <w:trPr>
          <w:trHeight w:val="282"/>
          <w:jc w:val="center"/>
        </w:trPr>
        <w:tc>
          <w:tcPr>
            <w:tcW w:w="2136" w:type="dxa"/>
            <w:shd w:val="clear" w:color="auto" w:fill="auto"/>
            <w:noWrap/>
            <w:vAlign w:val="bottom"/>
            <w:hideMark/>
          </w:tcPr>
          <w:p w:rsidR="00187E46" w:rsidRPr="00F26149" w:rsidRDefault="00187E46" w:rsidP="00F26149">
            <w:pPr>
              <w:spacing w:line="240" w:lineRule="auto"/>
              <w:jc w:val="center"/>
              <w:rPr>
                <w:color w:val="000000" w:themeColor="text1"/>
              </w:rPr>
            </w:pPr>
            <w:r w:rsidRPr="00F26149">
              <w:rPr>
                <w:color w:val="000000" w:themeColor="text1"/>
                <w:sz w:val="22"/>
              </w:rPr>
              <w:t>Lack of Fit</w:t>
            </w:r>
          </w:p>
        </w:tc>
        <w:tc>
          <w:tcPr>
            <w:tcW w:w="1321"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459.08</w:t>
            </w:r>
          </w:p>
        </w:tc>
        <w:tc>
          <w:tcPr>
            <w:tcW w:w="615"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10</w:t>
            </w:r>
          </w:p>
        </w:tc>
        <w:tc>
          <w:tcPr>
            <w:tcW w:w="1090"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45.91</w:t>
            </w:r>
          </w:p>
        </w:tc>
        <w:tc>
          <w:tcPr>
            <w:tcW w:w="1090" w:type="dxa"/>
            <w:shd w:val="clear" w:color="auto" w:fill="auto"/>
            <w:noWrap/>
            <w:vAlign w:val="center"/>
          </w:tcPr>
          <w:p w:rsidR="00187E46" w:rsidRPr="00F26149" w:rsidRDefault="0056497E" w:rsidP="00F26149">
            <w:pPr>
              <w:spacing w:line="240" w:lineRule="auto"/>
              <w:jc w:val="right"/>
              <w:rPr>
                <w:color w:val="000000"/>
              </w:rPr>
            </w:pPr>
            <w:r>
              <w:rPr>
                <w:color w:val="000000"/>
              </w:rPr>
              <w:t>0.44</w:t>
            </w:r>
          </w:p>
        </w:tc>
        <w:tc>
          <w:tcPr>
            <w:tcW w:w="1205" w:type="dxa"/>
            <w:shd w:val="clear" w:color="auto" w:fill="auto"/>
            <w:noWrap/>
            <w:vAlign w:val="center"/>
          </w:tcPr>
          <w:p w:rsidR="00187E46" w:rsidRPr="00F26149" w:rsidRDefault="0056497E" w:rsidP="00F26149">
            <w:pPr>
              <w:spacing w:line="240" w:lineRule="auto"/>
              <w:jc w:val="right"/>
              <w:rPr>
                <w:color w:val="000000"/>
              </w:rPr>
            </w:pPr>
            <w:r>
              <w:rPr>
                <w:color w:val="000000"/>
              </w:rPr>
              <w:t>0.56</w:t>
            </w:r>
          </w:p>
        </w:tc>
        <w:tc>
          <w:tcPr>
            <w:tcW w:w="1402" w:type="dxa"/>
            <w:shd w:val="clear" w:color="auto" w:fill="auto"/>
            <w:noWrap/>
            <w:vAlign w:val="bottom"/>
            <w:hideMark/>
          </w:tcPr>
          <w:p w:rsidR="00187E46" w:rsidRPr="00F26149" w:rsidRDefault="00187E46" w:rsidP="00F26149">
            <w:pPr>
              <w:spacing w:line="240" w:lineRule="auto"/>
              <w:jc w:val="center"/>
              <w:rPr>
                <w:color w:val="000000" w:themeColor="text1"/>
              </w:rPr>
            </w:pPr>
            <w:r w:rsidRPr="00F26149">
              <w:rPr>
                <w:color w:val="000000" w:themeColor="text1"/>
                <w:sz w:val="22"/>
              </w:rPr>
              <w:t>NS</w:t>
            </w:r>
          </w:p>
        </w:tc>
      </w:tr>
      <w:tr w:rsidR="00F26149" w:rsidRPr="00F26149" w:rsidTr="000A2167">
        <w:trPr>
          <w:trHeight w:val="282"/>
          <w:jc w:val="center"/>
        </w:trPr>
        <w:tc>
          <w:tcPr>
            <w:tcW w:w="2136" w:type="dxa"/>
            <w:shd w:val="clear" w:color="auto" w:fill="auto"/>
            <w:noWrap/>
            <w:vAlign w:val="bottom"/>
            <w:hideMark/>
          </w:tcPr>
          <w:p w:rsidR="00187E46" w:rsidRPr="00F26149" w:rsidRDefault="00187E46" w:rsidP="00F26149">
            <w:pPr>
              <w:spacing w:line="240" w:lineRule="auto"/>
              <w:jc w:val="center"/>
              <w:rPr>
                <w:color w:val="000000" w:themeColor="text1"/>
              </w:rPr>
            </w:pPr>
            <w:r w:rsidRPr="00F26149">
              <w:rPr>
                <w:color w:val="000000" w:themeColor="text1"/>
                <w:sz w:val="22"/>
              </w:rPr>
              <w:t>Pure Error</w:t>
            </w:r>
          </w:p>
        </w:tc>
        <w:tc>
          <w:tcPr>
            <w:tcW w:w="1321"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0.000</w:t>
            </w:r>
          </w:p>
        </w:tc>
        <w:tc>
          <w:tcPr>
            <w:tcW w:w="615"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4</w:t>
            </w:r>
          </w:p>
        </w:tc>
        <w:tc>
          <w:tcPr>
            <w:tcW w:w="1090" w:type="dxa"/>
            <w:shd w:val="clear" w:color="auto" w:fill="auto"/>
            <w:noWrap/>
            <w:vAlign w:val="center"/>
            <w:hideMark/>
          </w:tcPr>
          <w:p w:rsidR="00187E46" w:rsidRPr="00F26149" w:rsidRDefault="00187E46" w:rsidP="00F26149">
            <w:pPr>
              <w:spacing w:line="240" w:lineRule="auto"/>
              <w:jc w:val="right"/>
              <w:rPr>
                <w:color w:val="000000"/>
              </w:rPr>
            </w:pPr>
            <w:r w:rsidRPr="00F26149">
              <w:rPr>
                <w:color w:val="000000"/>
              </w:rPr>
              <w:t>0.000</w:t>
            </w:r>
          </w:p>
        </w:tc>
        <w:tc>
          <w:tcPr>
            <w:tcW w:w="1090" w:type="dxa"/>
            <w:shd w:val="clear" w:color="auto" w:fill="auto"/>
            <w:noWrap/>
            <w:vAlign w:val="center"/>
          </w:tcPr>
          <w:p w:rsidR="00187E46" w:rsidRPr="00F26149" w:rsidRDefault="00187E46" w:rsidP="00F26149">
            <w:pPr>
              <w:spacing w:line="240" w:lineRule="auto"/>
              <w:jc w:val="right"/>
              <w:rPr>
                <w:color w:val="000000"/>
              </w:rPr>
            </w:pPr>
          </w:p>
        </w:tc>
        <w:tc>
          <w:tcPr>
            <w:tcW w:w="1205" w:type="dxa"/>
            <w:shd w:val="clear" w:color="auto" w:fill="auto"/>
            <w:noWrap/>
            <w:vAlign w:val="center"/>
          </w:tcPr>
          <w:p w:rsidR="00187E46" w:rsidRPr="00F26149" w:rsidRDefault="00187E46" w:rsidP="00F26149">
            <w:pPr>
              <w:spacing w:line="240" w:lineRule="auto"/>
              <w:jc w:val="right"/>
              <w:rPr>
                <w:color w:val="000000"/>
              </w:rPr>
            </w:pPr>
          </w:p>
        </w:tc>
        <w:tc>
          <w:tcPr>
            <w:tcW w:w="1402" w:type="dxa"/>
            <w:shd w:val="clear" w:color="auto" w:fill="auto"/>
            <w:noWrap/>
            <w:vAlign w:val="bottom"/>
            <w:hideMark/>
          </w:tcPr>
          <w:p w:rsidR="00187E46" w:rsidRPr="00F26149" w:rsidRDefault="00187E46" w:rsidP="00F26149">
            <w:pPr>
              <w:spacing w:line="240" w:lineRule="auto"/>
              <w:jc w:val="center"/>
              <w:rPr>
                <w:color w:val="000000" w:themeColor="text1"/>
              </w:rPr>
            </w:pPr>
          </w:p>
        </w:tc>
      </w:tr>
      <w:tr w:rsidR="00187E46" w:rsidRPr="00F26149" w:rsidTr="000A2167">
        <w:trPr>
          <w:trHeight w:val="282"/>
          <w:jc w:val="center"/>
        </w:trPr>
        <w:tc>
          <w:tcPr>
            <w:tcW w:w="2136" w:type="dxa"/>
            <w:tcBorders>
              <w:bottom w:val="single" w:sz="8" w:space="0" w:color="auto"/>
            </w:tcBorders>
            <w:shd w:val="clear" w:color="auto" w:fill="auto"/>
            <w:noWrap/>
            <w:vAlign w:val="bottom"/>
          </w:tcPr>
          <w:p w:rsidR="00187E46" w:rsidRPr="00F26149" w:rsidRDefault="00187E46" w:rsidP="00F26149">
            <w:pPr>
              <w:spacing w:line="240" w:lineRule="auto"/>
              <w:jc w:val="center"/>
              <w:rPr>
                <w:color w:val="000000" w:themeColor="text1"/>
                <w:sz w:val="22"/>
              </w:rPr>
            </w:pPr>
            <w:r w:rsidRPr="00F26149">
              <w:rPr>
                <w:color w:val="000000" w:themeColor="text1"/>
                <w:sz w:val="22"/>
              </w:rPr>
              <w:t>Cor Total</w:t>
            </w:r>
          </w:p>
        </w:tc>
        <w:tc>
          <w:tcPr>
            <w:tcW w:w="1321" w:type="dxa"/>
            <w:tcBorders>
              <w:bottom w:val="single" w:sz="8" w:space="0" w:color="auto"/>
            </w:tcBorders>
            <w:shd w:val="clear" w:color="auto" w:fill="auto"/>
            <w:noWrap/>
            <w:vAlign w:val="center"/>
          </w:tcPr>
          <w:p w:rsidR="00187E46" w:rsidRPr="00F26149" w:rsidRDefault="00187E46" w:rsidP="00F26149">
            <w:pPr>
              <w:spacing w:line="240" w:lineRule="auto"/>
              <w:jc w:val="right"/>
              <w:rPr>
                <w:color w:val="000000"/>
              </w:rPr>
            </w:pPr>
            <w:r w:rsidRPr="00F26149">
              <w:rPr>
                <w:color w:val="000000"/>
              </w:rPr>
              <w:t>5653.17</w:t>
            </w:r>
          </w:p>
        </w:tc>
        <w:tc>
          <w:tcPr>
            <w:tcW w:w="615" w:type="dxa"/>
            <w:tcBorders>
              <w:bottom w:val="single" w:sz="8" w:space="0" w:color="auto"/>
            </w:tcBorders>
            <w:shd w:val="clear" w:color="auto" w:fill="auto"/>
            <w:noWrap/>
            <w:vAlign w:val="center"/>
          </w:tcPr>
          <w:p w:rsidR="00187E46" w:rsidRPr="00F26149" w:rsidRDefault="00187E46" w:rsidP="00F26149">
            <w:pPr>
              <w:spacing w:line="240" w:lineRule="auto"/>
              <w:jc w:val="right"/>
              <w:rPr>
                <w:color w:val="000000"/>
              </w:rPr>
            </w:pPr>
            <w:r w:rsidRPr="00F26149">
              <w:rPr>
                <w:color w:val="000000"/>
              </w:rPr>
              <w:t>28</w:t>
            </w:r>
          </w:p>
        </w:tc>
        <w:tc>
          <w:tcPr>
            <w:tcW w:w="1090" w:type="dxa"/>
            <w:tcBorders>
              <w:bottom w:val="single" w:sz="8" w:space="0" w:color="auto"/>
            </w:tcBorders>
            <w:shd w:val="clear" w:color="auto" w:fill="auto"/>
            <w:noWrap/>
            <w:vAlign w:val="center"/>
          </w:tcPr>
          <w:p w:rsidR="00187E46" w:rsidRPr="00F26149" w:rsidRDefault="00187E46" w:rsidP="00F26149">
            <w:pPr>
              <w:spacing w:line="240" w:lineRule="auto"/>
              <w:jc w:val="right"/>
              <w:rPr>
                <w:color w:val="000000"/>
              </w:rPr>
            </w:pPr>
          </w:p>
        </w:tc>
        <w:tc>
          <w:tcPr>
            <w:tcW w:w="1090" w:type="dxa"/>
            <w:tcBorders>
              <w:bottom w:val="single" w:sz="8" w:space="0" w:color="auto"/>
            </w:tcBorders>
            <w:shd w:val="clear" w:color="auto" w:fill="auto"/>
            <w:noWrap/>
            <w:vAlign w:val="center"/>
          </w:tcPr>
          <w:p w:rsidR="00187E46" w:rsidRPr="00F26149" w:rsidRDefault="00187E46" w:rsidP="00F26149">
            <w:pPr>
              <w:spacing w:line="240" w:lineRule="auto"/>
              <w:jc w:val="right"/>
              <w:rPr>
                <w:color w:val="000000"/>
              </w:rPr>
            </w:pPr>
          </w:p>
        </w:tc>
        <w:tc>
          <w:tcPr>
            <w:tcW w:w="1205" w:type="dxa"/>
            <w:tcBorders>
              <w:bottom w:val="single" w:sz="8" w:space="0" w:color="auto"/>
            </w:tcBorders>
            <w:shd w:val="clear" w:color="auto" w:fill="auto"/>
            <w:noWrap/>
            <w:vAlign w:val="center"/>
          </w:tcPr>
          <w:p w:rsidR="00187E46" w:rsidRPr="00F26149" w:rsidRDefault="00187E46" w:rsidP="00F26149">
            <w:pPr>
              <w:spacing w:line="240" w:lineRule="auto"/>
              <w:jc w:val="right"/>
              <w:rPr>
                <w:color w:val="000000"/>
              </w:rPr>
            </w:pPr>
          </w:p>
        </w:tc>
        <w:tc>
          <w:tcPr>
            <w:tcW w:w="1402" w:type="dxa"/>
            <w:tcBorders>
              <w:bottom w:val="single" w:sz="8" w:space="0" w:color="auto"/>
            </w:tcBorders>
            <w:shd w:val="clear" w:color="auto" w:fill="auto"/>
            <w:noWrap/>
            <w:vAlign w:val="bottom"/>
          </w:tcPr>
          <w:p w:rsidR="00187E46" w:rsidRPr="00F26149" w:rsidRDefault="00187E46" w:rsidP="00F26149">
            <w:pPr>
              <w:spacing w:line="240" w:lineRule="auto"/>
              <w:jc w:val="center"/>
              <w:rPr>
                <w:color w:val="000000" w:themeColor="text1"/>
              </w:rPr>
            </w:pPr>
          </w:p>
        </w:tc>
      </w:tr>
    </w:tbl>
    <w:p w:rsidR="00952FC6" w:rsidRDefault="00952FC6" w:rsidP="00952FC6">
      <w:pPr>
        <w:pStyle w:val="TAMainText"/>
        <w:spacing w:line="276" w:lineRule="auto"/>
        <w:ind w:firstLine="0"/>
        <w:contextualSpacing/>
        <w:jc w:val="left"/>
        <w:rPr>
          <w:rFonts w:ascii="Times New Roman" w:hAnsi="Times New Roman"/>
          <w:color w:val="000000" w:themeColor="text1"/>
          <w:szCs w:val="16"/>
        </w:rPr>
      </w:pPr>
    </w:p>
    <w:p w:rsidR="00187E46" w:rsidRPr="00A7055F" w:rsidRDefault="00A7055F" w:rsidP="00A7055F">
      <w:pPr>
        <w:pStyle w:val="Caption"/>
        <w:rPr>
          <w:b w:val="0"/>
          <w:color w:val="auto"/>
          <w:sz w:val="24"/>
          <w:szCs w:val="16"/>
        </w:rPr>
      </w:pPr>
      <w:bookmarkStart w:id="8" w:name="_Toc528474725"/>
      <w:r w:rsidRPr="00B908E2">
        <w:rPr>
          <w:color w:val="auto"/>
          <w:sz w:val="24"/>
        </w:rPr>
        <w:t xml:space="preserve">Table </w:t>
      </w:r>
      <w:r w:rsidRPr="00FA2670">
        <w:rPr>
          <w:color w:val="auto"/>
          <w:sz w:val="24"/>
        </w:rPr>
        <w:fldChar w:fldCharType="begin"/>
      </w:r>
      <w:r w:rsidRPr="00FA2670">
        <w:rPr>
          <w:color w:val="auto"/>
          <w:sz w:val="24"/>
        </w:rPr>
        <w:instrText xml:space="preserve"> SEQ Table \* ARABIC </w:instrText>
      </w:r>
      <w:r w:rsidRPr="00FA2670">
        <w:rPr>
          <w:color w:val="auto"/>
          <w:sz w:val="24"/>
        </w:rPr>
        <w:fldChar w:fldCharType="separate"/>
      </w:r>
      <w:r w:rsidR="004A2E92">
        <w:rPr>
          <w:noProof/>
          <w:color w:val="auto"/>
          <w:sz w:val="24"/>
        </w:rPr>
        <w:t>5</w:t>
      </w:r>
      <w:r w:rsidRPr="00FA2670">
        <w:rPr>
          <w:color w:val="auto"/>
          <w:sz w:val="24"/>
        </w:rPr>
        <w:fldChar w:fldCharType="end"/>
      </w:r>
      <w:r w:rsidR="00187E46" w:rsidRPr="00A7055F">
        <w:rPr>
          <w:color w:val="auto"/>
          <w:sz w:val="24"/>
          <w:szCs w:val="16"/>
        </w:rPr>
        <w:t xml:space="preserve">. </w:t>
      </w:r>
      <w:r w:rsidR="00187E46" w:rsidRPr="00A7055F">
        <w:rPr>
          <w:b w:val="0"/>
          <w:color w:val="auto"/>
          <w:sz w:val="24"/>
          <w:szCs w:val="16"/>
        </w:rPr>
        <w:t xml:space="preserve">Analysis of variance </w:t>
      </w:r>
      <w:r w:rsidR="00F26149" w:rsidRPr="00A7055F">
        <w:rPr>
          <w:b w:val="0"/>
          <w:color w:val="auto"/>
          <w:sz w:val="24"/>
          <w:szCs w:val="16"/>
        </w:rPr>
        <w:t>of</w:t>
      </w:r>
      <w:r w:rsidR="00187E46" w:rsidRPr="00A7055F">
        <w:rPr>
          <w:b w:val="0"/>
          <w:color w:val="auto"/>
          <w:sz w:val="24"/>
          <w:szCs w:val="16"/>
        </w:rPr>
        <w:t xml:space="preserve"> developed model for BC yield</w:t>
      </w:r>
      <w:bookmarkEnd w:id="8"/>
    </w:p>
    <w:p w:rsidR="00952FC6" w:rsidRPr="00952FC6" w:rsidRDefault="00952FC6" w:rsidP="00952FC6">
      <w:pPr>
        <w:pStyle w:val="TAMainText"/>
        <w:spacing w:line="276" w:lineRule="auto"/>
        <w:ind w:firstLine="0"/>
        <w:contextualSpacing/>
        <w:jc w:val="left"/>
        <w:rPr>
          <w:rFonts w:ascii="Times New Roman" w:hAnsi="Times New Roman"/>
          <w:color w:val="000000" w:themeColor="text1"/>
          <w:szCs w:val="16"/>
        </w:rPr>
      </w:pPr>
    </w:p>
    <w:tbl>
      <w:tblPr>
        <w:tblW w:w="8974" w:type="dxa"/>
        <w:jc w:val="center"/>
        <w:tblLook w:val="04A0" w:firstRow="1" w:lastRow="0" w:firstColumn="1" w:lastColumn="0" w:noHBand="0" w:noVBand="1"/>
      </w:tblPr>
      <w:tblGrid>
        <w:gridCol w:w="2090"/>
        <w:gridCol w:w="1353"/>
        <w:gridCol w:w="630"/>
        <w:gridCol w:w="1116"/>
        <w:gridCol w:w="1116"/>
        <w:gridCol w:w="1235"/>
        <w:gridCol w:w="1434"/>
      </w:tblGrid>
      <w:tr w:rsidR="00F26149" w:rsidRPr="00F26149" w:rsidTr="0049408C">
        <w:trPr>
          <w:trHeight w:val="290"/>
          <w:jc w:val="center"/>
        </w:trPr>
        <w:tc>
          <w:tcPr>
            <w:tcW w:w="2090" w:type="dxa"/>
            <w:tcBorders>
              <w:top w:val="single" w:sz="4" w:space="0" w:color="auto"/>
              <w:bottom w:val="single" w:sz="8" w:space="0" w:color="auto"/>
            </w:tcBorders>
            <w:shd w:val="clear" w:color="auto" w:fill="auto"/>
            <w:noWrap/>
            <w:vAlign w:val="bottom"/>
            <w:hideMark/>
          </w:tcPr>
          <w:p w:rsidR="00187E46" w:rsidRPr="00F26149" w:rsidRDefault="00187E46" w:rsidP="00F26149">
            <w:pPr>
              <w:spacing w:line="240" w:lineRule="auto"/>
              <w:jc w:val="center"/>
              <w:rPr>
                <w:color w:val="000000" w:themeColor="text1"/>
              </w:rPr>
            </w:pPr>
          </w:p>
        </w:tc>
        <w:tc>
          <w:tcPr>
            <w:tcW w:w="1353" w:type="dxa"/>
            <w:tcBorders>
              <w:top w:val="single" w:sz="4" w:space="0" w:color="auto"/>
              <w:bottom w:val="single" w:sz="8" w:space="0" w:color="auto"/>
            </w:tcBorders>
            <w:shd w:val="clear" w:color="auto" w:fill="auto"/>
            <w:noWrap/>
            <w:vAlign w:val="bottom"/>
            <w:hideMark/>
          </w:tcPr>
          <w:p w:rsidR="00187E46" w:rsidRPr="00F26149" w:rsidRDefault="00187E46" w:rsidP="00F26149">
            <w:pPr>
              <w:spacing w:line="240" w:lineRule="auto"/>
              <w:jc w:val="center"/>
              <w:rPr>
                <w:color w:val="000000" w:themeColor="text1"/>
              </w:rPr>
            </w:pPr>
            <w:r w:rsidRPr="00F26149">
              <w:rPr>
                <w:color w:val="000000" w:themeColor="text1"/>
                <w:sz w:val="22"/>
              </w:rPr>
              <w:t>Sum of square</w:t>
            </w:r>
          </w:p>
        </w:tc>
        <w:tc>
          <w:tcPr>
            <w:tcW w:w="630" w:type="dxa"/>
            <w:tcBorders>
              <w:top w:val="single" w:sz="4" w:space="0" w:color="auto"/>
              <w:bottom w:val="single" w:sz="8" w:space="0" w:color="auto"/>
            </w:tcBorders>
            <w:shd w:val="clear" w:color="auto" w:fill="auto"/>
            <w:noWrap/>
            <w:vAlign w:val="bottom"/>
            <w:hideMark/>
          </w:tcPr>
          <w:p w:rsidR="00187E46" w:rsidRPr="00F26149" w:rsidRDefault="00187E46" w:rsidP="00F26149">
            <w:pPr>
              <w:spacing w:line="240" w:lineRule="auto"/>
              <w:jc w:val="center"/>
              <w:rPr>
                <w:color w:val="000000" w:themeColor="text1"/>
              </w:rPr>
            </w:pPr>
            <w:r w:rsidRPr="00F26149">
              <w:rPr>
                <w:color w:val="000000" w:themeColor="text1"/>
                <w:sz w:val="22"/>
              </w:rPr>
              <w:t>df</w:t>
            </w:r>
          </w:p>
        </w:tc>
        <w:tc>
          <w:tcPr>
            <w:tcW w:w="1116" w:type="dxa"/>
            <w:tcBorders>
              <w:top w:val="single" w:sz="4" w:space="0" w:color="auto"/>
              <w:bottom w:val="single" w:sz="8" w:space="0" w:color="auto"/>
            </w:tcBorders>
            <w:shd w:val="clear" w:color="auto" w:fill="auto"/>
            <w:noWrap/>
            <w:vAlign w:val="bottom"/>
            <w:hideMark/>
          </w:tcPr>
          <w:p w:rsidR="00187E46" w:rsidRPr="00F26149" w:rsidRDefault="00187E46" w:rsidP="00F26149">
            <w:pPr>
              <w:spacing w:line="240" w:lineRule="auto"/>
              <w:jc w:val="center"/>
              <w:rPr>
                <w:color w:val="000000" w:themeColor="text1"/>
              </w:rPr>
            </w:pPr>
            <w:r w:rsidRPr="00F26149">
              <w:rPr>
                <w:color w:val="000000" w:themeColor="text1"/>
                <w:sz w:val="22"/>
              </w:rPr>
              <w:t>Mean Square</w:t>
            </w:r>
          </w:p>
        </w:tc>
        <w:tc>
          <w:tcPr>
            <w:tcW w:w="1116" w:type="dxa"/>
            <w:tcBorders>
              <w:top w:val="single" w:sz="4" w:space="0" w:color="auto"/>
              <w:bottom w:val="single" w:sz="8" w:space="0" w:color="auto"/>
            </w:tcBorders>
            <w:shd w:val="clear" w:color="auto" w:fill="auto"/>
            <w:noWrap/>
            <w:vAlign w:val="bottom"/>
            <w:hideMark/>
          </w:tcPr>
          <w:p w:rsidR="00187E46" w:rsidRPr="00F26149" w:rsidRDefault="00187E46" w:rsidP="00F26149">
            <w:pPr>
              <w:spacing w:line="240" w:lineRule="auto"/>
              <w:jc w:val="center"/>
              <w:rPr>
                <w:color w:val="000000" w:themeColor="text1"/>
              </w:rPr>
            </w:pPr>
            <w:r w:rsidRPr="00F26149">
              <w:rPr>
                <w:color w:val="000000" w:themeColor="text1"/>
                <w:sz w:val="22"/>
              </w:rPr>
              <w:t>F Value</w:t>
            </w:r>
          </w:p>
        </w:tc>
        <w:tc>
          <w:tcPr>
            <w:tcW w:w="1235" w:type="dxa"/>
            <w:tcBorders>
              <w:top w:val="single" w:sz="4" w:space="0" w:color="auto"/>
              <w:bottom w:val="single" w:sz="8" w:space="0" w:color="auto"/>
            </w:tcBorders>
            <w:shd w:val="clear" w:color="auto" w:fill="auto"/>
            <w:noWrap/>
            <w:vAlign w:val="bottom"/>
            <w:hideMark/>
          </w:tcPr>
          <w:p w:rsidR="00187E46" w:rsidRPr="00F26149" w:rsidRDefault="00187E46" w:rsidP="00F26149">
            <w:pPr>
              <w:spacing w:line="240" w:lineRule="auto"/>
              <w:jc w:val="center"/>
              <w:rPr>
                <w:color w:val="000000" w:themeColor="text1"/>
              </w:rPr>
            </w:pPr>
            <w:r w:rsidRPr="00F26149">
              <w:rPr>
                <w:color w:val="000000" w:themeColor="text1"/>
                <w:sz w:val="22"/>
              </w:rPr>
              <w:t>p-value</w:t>
            </w:r>
          </w:p>
        </w:tc>
        <w:tc>
          <w:tcPr>
            <w:tcW w:w="1434" w:type="dxa"/>
            <w:tcBorders>
              <w:top w:val="single" w:sz="4" w:space="0" w:color="auto"/>
              <w:bottom w:val="single" w:sz="8" w:space="0" w:color="auto"/>
            </w:tcBorders>
            <w:shd w:val="clear" w:color="auto" w:fill="auto"/>
            <w:noWrap/>
            <w:vAlign w:val="bottom"/>
            <w:hideMark/>
          </w:tcPr>
          <w:p w:rsidR="00187E46" w:rsidRPr="00F26149" w:rsidRDefault="00187E46" w:rsidP="00F26149">
            <w:pPr>
              <w:spacing w:line="240" w:lineRule="auto"/>
              <w:jc w:val="center"/>
              <w:rPr>
                <w:color w:val="000000" w:themeColor="text1"/>
              </w:rPr>
            </w:pPr>
            <w:r w:rsidRPr="00F26149">
              <w:rPr>
                <w:color w:val="000000" w:themeColor="text1"/>
                <w:sz w:val="22"/>
              </w:rPr>
              <w:t>Significance</w:t>
            </w:r>
          </w:p>
        </w:tc>
      </w:tr>
      <w:tr w:rsidR="00F26149" w:rsidRPr="00F26149" w:rsidTr="000A2167">
        <w:trPr>
          <w:trHeight w:val="290"/>
          <w:jc w:val="center"/>
        </w:trPr>
        <w:tc>
          <w:tcPr>
            <w:tcW w:w="2090" w:type="dxa"/>
            <w:tcBorders>
              <w:top w:val="single" w:sz="8" w:space="0" w:color="auto"/>
            </w:tcBorders>
            <w:shd w:val="clear" w:color="auto" w:fill="auto"/>
            <w:noWrap/>
            <w:vAlign w:val="bottom"/>
            <w:hideMark/>
          </w:tcPr>
          <w:p w:rsidR="00F26149" w:rsidRPr="00F26149" w:rsidRDefault="00F26149" w:rsidP="00F26149">
            <w:pPr>
              <w:spacing w:line="240" w:lineRule="auto"/>
              <w:jc w:val="center"/>
              <w:rPr>
                <w:color w:val="000000" w:themeColor="text1"/>
              </w:rPr>
            </w:pPr>
            <w:r w:rsidRPr="00F26149">
              <w:rPr>
                <w:color w:val="000000" w:themeColor="text1"/>
                <w:sz w:val="22"/>
              </w:rPr>
              <w:t>Model</w:t>
            </w:r>
          </w:p>
        </w:tc>
        <w:tc>
          <w:tcPr>
            <w:tcW w:w="1353" w:type="dxa"/>
            <w:tcBorders>
              <w:top w:val="single" w:sz="8" w:space="0" w:color="auto"/>
            </w:tcBorders>
            <w:shd w:val="clear" w:color="auto" w:fill="auto"/>
            <w:noWrap/>
            <w:vAlign w:val="center"/>
            <w:hideMark/>
          </w:tcPr>
          <w:p w:rsidR="00F26149" w:rsidRPr="00F26149" w:rsidRDefault="00F26149" w:rsidP="00F26149">
            <w:pPr>
              <w:spacing w:line="240" w:lineRule="auto"/>
              <w:jc w:val="right"/>
              <w:rPr>
                <w:color w:val="000000"/>
              </w:rPr>
            </w:pPr>
            <w:r w:rsidRPr="00F26149">
              <w:rPr>
                <w:color w:val="000000"/>
              </w:rPr>
              <w:t>7446.55</w:t>
            </w:r>
          </w:p>
        </w:tc>
        <w:tc>
          <w:tcPr>
            <w:tcW w:w="630" w:type="dxa"/>
            <w:tcBorders>
              <w:top w:val="single" w:sz="8" w:space="0" w:color="auto"/>
            </w:tcBorders>
            <w:shd w:val="clear" w:color="auto" w:fill="auto"/>
            <w:noWrap/>
            <w:vAlign w:val="center"/>
            <w:hideMark/>
          </w:tcPr>
          <w:p w:rsidR="00F26149" w:rsidRPr="00F26149" w:rsidRDefault="00F26149" w:rsidP="00F26149">
            <w:pPr>
              <w:spacing w:line="240" w:lineRule="auto"/>
              <w:jc w:val="right"/>
              <w:rPr>
                <w:color w:val="000000"/>
              </w:rPr>
            </w:pPr>
            <w:r w:rsidRPr="00F26149">
              <w:rPr>
                <w:color w:val="000000"/>
              </w:rPr>
              <w:t>14</w:t>
            </w:r>
          </w:p>
        </w:tc>
        <w:tc>
          <w:tcPr>
            <w:tcW w:w="1116" w:type="dxa"/>
            <w:tcBorders>
              <w:top w:val="single" w:sz="8" w:space="0" w:color="auto"/>
            </w:tcBorders>
            <w:shd w:val="clear" w:color="auto" w:fill="auto"/>
            <w:noWrap/>
            <w:vAlign w:val="center"/>
          </w:tcPr>
          <w:p w:rsidR="00F26149" w:rsidRPr="00F26149" w:rsidRDefault="00F26149" w:rsidP="00F26149">
            <w:pPr>
              <w:spacing w:line="240" w:lineRule="auto"/>
              <w:jc w:val="right"/>
              <w:rPr>
                <w:color w:val="000000"/>
              </w:rPr>
            </w:pPr>
            <w:r w:rsidRPr="00F26149">
              <w:rPr>
                <w:color w:val="000000"/>
              </w:rPr>
              <w:t>531.90</w:t>
            </w:r>
          </w:p>
        </w:tc>
        <w:tc>
          <w:tcPr>
            <w:tcW w:w="1116" w:type="dxa"/>
            <w:tcBorders>
              <w:top w:val="single" w:sz="8" w:space="0" w:color="auto"/>
            </w:tcBorders>
            <w:shd w:val="clear" w:color="auto" w:fill="auto"/>
            <w:noWrap/>
            <w:vAlign w:val="center"/>
          </w:tcPr>
          <w:p w:rsidR="00F26149" w:rsidRPr="00F26149" w:rsidRDefault="00F26149" w:rsidP="00F26149">
            <w:pPr>
              <w:spacing w:line="240" w:lineRule="auto"/>
              <w:jc w:val="right"/>
              <w:rPr>
                <w:color w:val="000000"/>
              </w:rPr>
            </w:pPr>
            <w:r w:rsidRPr="00F26149">
              <w:rPr>
                <w:color w:val="000000"/>
              </w:rPr>
              <w:t>68.68</w:t>
            </w:r>
          </w:p>
        </w:tc>
        <w:tc>
          <w:tcPr>
            <w:tcW w:w="1235" w:type="dxa"/>
            <w:tcBorders>
              <w:top w:val="single" w:sz="8" w:space="0" w:color="auto"/>
            </w:tcBorders>
            <w:shd w:val="clear" w:color="auto" w:fill="auto"/>
            <w:noWrap/>
            <w:vAlign w:val="center"/>
          </w:tcPr>
          <w:p w:rsidR="00F26149" w:rsidRPr="00F26149" w:rsidRDefault="00F26149" w:rsidP="00F26149">
            <w:pPr>
              <w:spacing w:line="240" w:lineRule="auto"/>
              <w:jc w:val="right"/>
              <w:rPr>
                <w:color w:val="000000"/>
              </w:rPr>
            </w:pPr>
            <w:r w:rsidRPr="00F26149">
              <w:rPr>
                <w:color w:val="000000"/>
              </w:rPr>
              <w:t>&lt; 0.0001</w:t>
            </w:r>
          </w:p>
        </w:tc>
        <w:tc>
          <w:tcPr>
            <w:tcW w:w="1434" w:type="dxa"/>
            <w:tcBorders>
              <w:top w:val="single" w:sz="8" w:space="0" w:color="auto"/>
            </w:tcBorders>
            <w:shd w:val="clear" w:color="auto" w:fill="auto"/>
            <w:noWrap/>
            <w:vAlign w:val="bottom"/>
            <w:hideMark/>
          </w:tcPr>
          <w:p w:rsidR="00F26149" w:rsidRPr="00F26149" w:rsidRDefault="00F26149" w:rsidP="00F26149">
            <w:pPr>
              <w:spacing w:line="240" w:lineRule="auto"/>
              <w:jc w:val="center"/>
              <w:rPr>
                <w:color w:val="000000" w:themeColor="text1"/>
              </w:rPr>
            </w:pPr>
            <w:r w:rsidRPr="00F26149">
              <w:rPr>
                <w:color w:val="000000" w:themeColor="text1"/>
                <w:sz w:val="22"/>
              </w:rPr>
              <w:t>HS</w:t>
            </w:r>
          </w:p>
        </w:tc>
      </w:tr>
      <w:tr w:rsidR="00F26149" w:rsidRPr="00F26149" w:rsidTr="000A2167">
        <w:trPr>
          <w:trHeight w:val="290"/>
          <w:jc w:val="center"/>
        </w:trPr>
        <w:tc>
          <w:tcPr>
            <w:tcW w:w="2090" w:type="dxa"/>
            <w:shd w:val="clear" w:color="auto" w:fill="auto"/>
            <w:noWrap/>
            <w:vAlign w:val="bottom"/>
            <w:hideMark/>
          </w:tcPr>
          <w:p w:rsidR="00F26149" w:rsidRPr="00F26149" w:rsidRDefault="00F26149" w:rsidP="00F26149">
            <w:pPr>
              <w:spacing w:line="240" w:lineRule="auto"/>
              <w:jc w:val="center"/>
              <w:rPr>
                <w:color w:val="000000" w:themeColor="text1"/>
              </w:rPr>
            </w:pPr>
            <w:r w:rsidRPr="00F26149">
              <w:rPr>
                <w:color w:val="000000" w:themeColor="text1"/>
                <w:sz w:val="22"/>
              </w:rPr>
              <w:t>A-Temperature</w:t>
            </w:r>
          </w:p>
        </w:tc>
        <w:tc>
          <w:tcPr>
            <w:tcW w:w="1353" w:type="dxa"/>
            <w:shd w:val="clear" w:color="auto" w:fill="auto"/>
            <w:noWrap/>
            <w:vAlign w:val="center"/>
            <w:hideMark/>
          </w:tcPr>
          <w:p w:rsidR="00F26149" w:rsidRPr="00F26149" w:rsidRDefault="00F26149" w:rsidP="00F26149">
            <w:pPr>
              <w:spacing w:line="240" w:lineRule="auto"/>
              <w:jc w:val="right"/>
              <w:rPr>
                <w:color w:val="000000"/>
              </w:rPr>
            </w:pPr>
            <w:r w:rsidRPr="00F26149">
              <w:rPr>
                <w:color w:val="000000"/>
              </w:rPr>
              <w:t>1083.00</w:t>
            </w:r>
          </w:p>
        </w:tc>
        <w:tc>
          <w:tcPr>
            <w:tcW w:w="630" w:type="dxa"/>
            <w:shd w:val="clear" w:color="auto" w:fill="auto"/>
            <w:noWrap/>
            <w:vAlign w:val="center"/>
            <w:hideMark/>
          </w:tcPr>
          <w:p w:rsidR="00F26149" w:rsidRPr="00F26149" w:rsidRDefault="00F26149" w:rsidP="00F26149">
            <w:pPr>
              <w:spacing w:line="240" w:lineRule="auto"/>
              <w:jc w:val="right"/>
              <w:rPr>
                <w:color w:val="000000"/>
              </w:rPr>
            </w:pPr>
            <w:r w:rsidRPr="00F26149">
              <w:rPr>
                <w:color w:val="000000"/>
              </w:rPr>
              <w:t>1</w:t>
            </w:r>
          </w:p>
        </w:tc>
        <w:tc>
          <w:tcPr>
            <w:tcW w:w="1116" w:type="dxa"/>
            <w:shd w:val="clear" w:color="auto" w:fill="auto"/>
            <w:noWrap/>
            <w:vAlign w:val="center"/>
          </w:tcPr>
          <w:p w:rsidR="00F26149" w:rsidRPr="00F26149" w:rsidRDefault="00F26149" w:rsidP="00F26149">
            <w:pPr>
              <w:spacing w:line="240" w:lineRule="auto"/>
              <w:jc w:val="right"/>
              <w:rPr>
                <w:color w:val="000000"/>
              </w:rPr>
            </w:pPr>
            <w:r w:rsidRPr="00F26149">
              <w:rPr>
                <w:color w:val="000000"/>
              </w:rPr>
              <w:t>1083.00</w:t>
            </w:r>
          </w:p>
        </w:tc>
        <w:tc>
          <w:tcPr>
            <w:tcW w:w="1116" w:type="dxa"/>
            <w:shd w:val="clear" w:color="auto" w:fill="auto"/>
            <w:noWrap/>
            <w:vAlign w:val="center"/>
          </w:tcPr>
          <w:p w:rsidR="00F26149" w:rsidRPr="00F26149" w:rsidRDefault="00F26149" w:rsidP="00F26149">
            <w:pPr>
              <w:spacing w:line="240" w:lineRule="auto"/>
              <w:jc w:val="right"/>
              <w:rPr>
                <w:color w:val="000000"/>
              </w:rPr>
            </w:pPr>
            <w:r w:rsidRPr="00F26149">
              <w:rPr>
                <w:color w:val="000000"/>
              </w:rPr>
              <w:t>139.85</w:t>
            </w:r>
          </w:p>
        </w:tc>
        <w:tc>
          <w:tcPr>
            <w:tcW w:w="1235" w:type="dxa"/>
            <w:shd w:val="clear" w:color="auto" w:fill="auto"/>
            <w:noWrap/>
            <w:vAlign w:val="center"/>
          </w:tcPr>
          <w:p w:rsidR="00F26149" w:rsidRPr="00F26149" w:rsidRDefault="00F26149" w:rsidP="00F26149">
            <w:pPr>
              <w:spacing w:line="240" w:lineRule="auto"/>
              <w:jc w:val="right"/>
              <w:rPr>
                <w:color w:val="000000"/>
              </w:rPr>
            </w:pPr>
            <w:r w:rsidRPr="00F26149">
              <w:rPr>
                <w:color w:val="000000"/>
              </w:rPr>
              <w:t>&lt; 0.0001</w:t>
            </w:r>
          </w:p>
        </w:tc>
        <w:tc>
          <w:tcPr>
            <w:tcW w:w="1434" w:type="dxa"/>
            <w:shd w:val="clear" w:color="auto" w:fill="auto"/>
            <w:noWrap/>
            <w:vAlign w:val="bottom"/>
            <w:hideMark/>
          </w:tcPr>
          <w:p w:rsidR="00F26149" w:rsidRPr="00F26149" w:rsidRDefault="00F26149" w:rsidP="00F26149">
            <w:pPr>
              <w:spacing w:line="240" w:lineRule="auto"/>
              <w:jc w:val="center"/>
              <w:rPr>
                <w:color w:val="000000" w:themeColor="text1"/>
              </w:rPr>
            </w:pPr>
            <w:r w:rsidRPr="00F26149">
              <w:rPr>
                <w:color w:val="000000" w:themeColor="text1"/>
                <w:sz w:val="22"/>
              </w:rPr>
              <w:t>HS</w:t>
            </w:r>
          </w:p>
        </w:tc>
      </w:tr>
      <w:tr w:rsidR="00F26149" w:rsidRPr="00F26149" w:rsidTr="000A2167">
        <w:trPr>
          <w:trHeight w:val="290"/>
          <w:jc w:val="center"/>
        </w:trPr>
        <w:tc>
          <w:tcPr>
            <w:tcW w:w="2090" w:type="dxa"/>
            <w:shd w:val="clear" w:color="auto" w:fill="auto"/>
            <w:noWrap/>
            <w:vAlign w:val="bottom"/>
            <w:hideMark/>
          </w:tcPr>
          <w:p w:rsidR="00F26149" w:rsidRPr="00F26149" w:rsidRDefault="00F26149" w:rsidP="00F26149">
            <w:pPr>
              <w:spacing w:line="240" w:lineRule="auto"/>
              <w:jc w:val="center"/>
              <w:rPr>
                <w:color w:val="000000" w:themeColor="text1"/>
              </w:rPr>
            </w:pPr>
            <w:r w:rsidRPr="00F26149">
              <w:rPr>
                <w:color w:val="000000" w:themeColor="text1"/>
                <w:sz w:val="22"/>
              </w:rPr>
              <w:t>C-Pressure</w:t>
            </w:r>
          </w:p>
        </w:tc>
        <w:tc>
          <w:tcPr>
            <w:tcW w:w="1353" w:type="dxa"/>
            <w:shd w:val="clear" w:color="auto" w:fill="auto"/>
            <w:noWrap/>
            <w:vAlign w:val="center"/>
            <w:hideMark/>
          </w:tcPr>
          <w:p w:rsidR="00F26149" w:rsidRPr="00F26149" w:rsidRDefault="00F26149" w:rsidP="00F26149">
            <w:pPr>
              <w:spacing w:line="240" w:lineRule="auto"/>
              <w:jc w:val="right"/>
              <w:rPr>
                <w:color w:val="000000"/>
              </w:rPr>
            </w:pPr>
            <w:r w:rsidRPr="00F26149">
              <w:rPr>
                <w:color w:val="000000"/>
              </w:rPr>
              <w:t>468.75</w:t>
            </w:r>
          </w:p>
        </w:tc>
        <w:tc>
          <w:tcPr>
            <w:tcW w:w="630" w:type="dxa"/>
            <w:shd w:val="clear" w:color="auto" w:fill="auto"/>
            <w:noWrap/>
            <w:vAlign w:val="center"/>
            <w:hideMark/>
          </w:tcPr>
          <w:p w:rsidR="00F26149" w:rsidRPr="00F26149" w:rsidRDefault="00F26149" w:rsidP="00F26149">
            <w:pPr>
              <w:spacing w:line="240" w:lineRule="auto"/>
              <w:jc w:val="right"/>
              <w:rPr>
                <w:color w:val="000000"/>
              </w:rPr>
            </w:pPr>
            <w:r w:rsidRPr="00F26149">
              <w:rPr>
                <w:color w:val="000000"/>
              </w:rPr>
              <w:t>1</w:t>
            </w:r>
          </w:p>
        </w:tc>
        <w:tc>
          <w:tcPr>
            <w:tcW w:w="1116" w:type="dxa"/>
            <w:shd w:val="clear" w:color="auto" w:fill="auto"/>
            <w:noWrap/>
            <w:vAlign w:val="center"/>
          </w:tcPr>
          <w:p w:rsidR="00F26149" w:rsidRPr="00F26149" w:rsidRDefault="00F26149" w:rsidP="00F26149">
            <w:pPr>
              <w:spacing w:line="240" w:lineRule="auto"/>
              <w:jc w:val="right"/>
              <w:rPr>
                <w:color w:val="000000"/>
              </w:rPr>
            </w:pPr>
            <w:r w:rsidRPr="00F26149">
              <w:rPr>
                <w:color w:val="000000"/>
              </w:rPr>
              <w:t>468.75</w:t>
            </w:r>
          </w:p>
        </w:tc>
        <w:tc>
          <w:tcPr>
            <w:tcW w:w="1116" w:type="dxa"/>
            <w:shd w:val="clear" w:color="auto" w:fill="auto"/>
            <w:noWrap/>
            <w:vAlign w:val="center"/>
          </w:tcPr>
          <w:p w:rsidR="00F26149" w:rsidRPr="00F26149" w:rsidRDefault="00F26149" w:rsidP="00F26149">
            <w:pPr>
              <w:spacing w:line="240" w:lineRule="auto"/>
              <w:jc w:val="right"/>
              <w:rPr>
                <w:color w:val="000000"/>
              </w:rPr>
            </w:pPr>
            <w:r w:rsidRPr="00F26149">
              <w:rPr>
                <w:color w:val="000000"/>
              </w:rPr>
              <w:t>60.53</w:t>
            </w:r>
          </w:p>
        </w:tc>
        <w:tc>
          <w:tcPr>
            <w:tcW w:w="1235" w:type="dxa"/>
            <w:shd w:val="clear" w:color="auto" w:fill="auto"/>
            <w:noWrap/>
            <w:vAlign w:val="center"/>
          </w:tcPr>
          <w:p w:rsidR="00F26149" w:rsidRPr="00F26149" w:rsidRDefault="00F26149" w:rsidP="00F26149">
            <w:pPr>
              <w:spacing w:line="240" w:lineRule="auto"/>
              <w:jc w:val="right"/>
              <w:rPr>
                <w:color w:val="000000"/>
              </w:rPr>
            </w:pPr>
            <w:r w:rsidRPr="00F26149">
              <w:rPr>
                <w:color w:val="000000"/>
              </w:rPr>
              <w:t>&lt; 0.0001</w:t>
            </w:r>
          </w:p>
        </w:tc>
        <w:tc>
          <w:tcPr>
            <w:tcW w:w="1434" w:type="dxa"/>
            <w:shd w:val="clear" w:color="auto" w:fill="auto"/>
            <w:noWrap/>
            <w:vAlign w:val="bottom"/>
            <w:hideMark/>
          </w:tcPr>
          <w:p w:rsidR="00F26149" w:rsidRPr="00F26149" w:rsidRDefault="00F26149" w:rsidP="00F26149">
            <w:pPr>
              <w:spacing w:line="240" w:lineRule="auto"/>
              <w:jc w:val="center"/>
              <w:rPr>
                <w:color w:val="000000" w:themeColor="text1"/>
              </w:rPr>
            </w:pPr>
            <w:r w:rsidRPr="00F26149">
              <w:rPr>
                <w:color w:val="000000" w:themeColor="text1"/>
                <w:sz w:val="22"/>
              </w:rPr>
              <w:t>HS</w:t>
            </w:r>
          </w:p>
        </w:tc>
      </w:tr>
      <w:tr w:rsidR="00F26149" w:rsidRPr="00F26149" w:rsidTr="000A2167">
        <w:trPr>
          <w:trHeight w:val="290"/>
          <w:jc w:val="center"/>
        </w:trPr>
        <w:tc>
          <w:tcPr>
            <w:tcW w:w="2090" w:type="dxa"/>
            <w:shd w:val="clear" w:color="auto" w:fill="auto"/>
            <w:noWrap/>
            <w:vAlign w:val="bottom"/>
            <w:hideMark/>
          </w:tcPr>
          <w:p w:rsidR="00F26149" w:rsidRPr="00F26149" w:rsidRDefault="00F26149" w:rsidP="00F26149">
            <w:pPr>
              <w:spacing w:line="240" w:lineRule="auto"/>
              <w:jc w:val="center"/>
              <w:rPr>
                <w:color w:val="000000" w:themeColor="text1"/>
              </w:rPr>
            </w:pPr>
            <w:r w:rsidRPr="00F26149">
              <w:rPr>
                <w:color w:val="000000" w:themeColor="text1"/>
                <w:sz w:val="22"/>
              </w:rPr>
              <w:t>C-Catalyst Loading</w:t>
            </w:r>
          </w:p>
        </w:tc>
        <w:tc>
          <w:tcPr>
            <w:tcW w:w="1353" w:type="dxa"/>
            <w:shd w:val="clear" w:color="auto" w:fill="auto"/>
            <w:noWrap/>
            <w:vAlign w:val="center"/>
            <w:hideMark/>
          </w:tcPr>
          <w:p w:rsidR="00F26149" w:rsidRPr="00F26149" w:rsidRDefault="00F26149" w:rsidP="00F26149">
            <w:pPr>
              <w:spacing w:line="240" w:lineRule="auto"/>
              <w:jc w:val="right"/>
              <w:rPr>
                <w:color w:val="000000"/>
              </w:rPr>
            </w:pPr>
            <w:r w:rsidRPr="00F26149">
              <w:rPr>
                <w:color w:val="000000"/>
              </w:rPr>
              <w:t>1260.75</w:t>
            </w:r>
          </w:p>
        </w:tc>
        <w:tc>
          <w:tcPr>
            <w:tcW w:w="630" w:type="dxa"/>
            <w:shd w:val="clear" w:color="auto" w:fill="auto"/>
            <w:noWrap/>
            <w:vAlign w:val="center"/>
            <w:hideMark/>
          </w:tcPr>
          <w:p w:rsidR="00F26149" w:rsidRPr="00F26149" w:rsidRDefault="00F26149" w:rsidP="00F26149">
            <w:pPr>
              <w:spacing w:line="240" w:lineRule="auto"/>
              <w:jc w:val="right"/>
              <w:rPr>
                <w:color w:val="000000"/>
              </w:rPr>
            </w:pPr>
            <w:r w:rsidRPr="00F26149">
              <w:rPr>
                <w:color w:val="000000"/>
              </w:rPr>
              <w:t>1</w:t>
            </w:r>
          </w:p>
        </w:tc>
        <w:tc>
          <w:tcPr>
            <w:tcW w:w="1116" w:type="dxa"/>
            <w:shd w:val="clear" w:color="auto" w:fill="auto"/>
            <w:noWrap/>
            <w:vAlign w:val="center"/>
          </w:tcPr>
          <w:p w:rsidR="00F26149" w:rsidRPr="00F26149" w:rsidRDefault="00F26149" w:rsidP="00F26149">
            <w:pPr>
              <w:spacing w:line="240" w:lineRule="auto"/>
              <w:jc w:val="right"/>
              <w:rPr>
                <w:color w:val="000000"/>
              </w:rPr>
            </w:pPr>
            <w:r w:rsidRPr="00F26149">
              <w:rPr>
                <w:color w:val="000000"/>
              </w:rPr>
              <w:t>1260.75</w:t>
            </w:r>
          </w:p>
        </w:tc>
        <w:tc>
          <w:tcPr>
            <w:tcW w:w="1116" w:type="dxa"/>
            <w:shd w:val="clear" w:color="auto" w:fill="auto"/>
            <w:noWrap/>
            <w:vAlign w:val="center"/>
          </w:tcPr>
          <w:p w:rsidR="00F26149" w:rsidRPr="00F26149" w:rsidRDefault="00F26149" w:rsidP="00F26149">
            <w:pPr>
              <w:spacing w:line="240" w:lineRule="auto"/>
              <w:jc w:val="right"/>
              <w:rPr>
                <w:color w:val="000000"/>
              </w:rPr>
            </w:pPr>
            <w:r w:rsidRPr="00F26149">
              <w:rPr>
                <w:color w:val="000000"/>
              </w:rPr>
              <w:t>162.80</w:t>
            </w:r>
          </w:p>
        </w:tc>
        <w:tc>
          <w:tcPr>
            <w:tcW w:w="1235" w:type="dxa"/>
            <w:shd w:val="clear" w:color="auto" w:fill="auto"/>
            <w:noWrap/>
            <w:vAlign w:val="center"/>
          </w:tcPr>
          <w:p w:rsidR="00F26149" w:rsidRPr="00F26149" w:rsidRDefault="00F26149" w:rsidP="00F26149">
            <w:pPr>
              <w:spacing w:line="240" w:lineRule="auto"/>
              <w:jc w:val="right"/>
              <w:rPr>
                <w:color w:val="000000"/>
              </w:rPr>
            </w:pPr>
            <w:r w:rsidRPr="00F26149">
              <w:rPr>
                <w:color w:val="000000"/>
              </w:rPr>
              <w:t>&lt; 0.0001</w:t>
            </w:r>
          </w:p>
        </w:tc>
        <w:tc>
          <w:tcPr>
            <w:tcW w:w="1434" w:type="dxa"/>
            <w:shd w:val="clear" w:color="auto" w:fill="auto"/>
            <w:noWrap/>
            <w:vAlign w:val="bottom"/>
            <w:hideMark/>
          </w:tcPr>
          <w:p w:rsidR="00F26149" w:rsidRPr="00F26149" w:rsidRDefault="00F26149" w:rsidP="00F26149">
            <w:pPr>
              <w:spacing w:line="240" w:lineRule="auto"/>
              <w:jc w:val="center"/>
              <w:rPr>
                <w:color w:val="000000" w:themeColor="text1"/>
              </w:rPr>
            </w:pPr>
            <w:r w:rsidRPr="00F26149">
              <w:rPr>
                <w:color w:val="000000" w:themeColor="text1"/>
                <w:sz w:val="22"/>
              </w:rPr>
              <w:t>HS</w:t>
            </w:r>
          </w:p>
        </w:tc>
      </w:tr>
      <w:tr w:rsidR="00F26149" w:rsidRPr="00F26149" w:rsidTr="000A2167">
        <w:trPr>
          <w:trHeight w:val="290"/>
          <w:jc w:val="center"/>
        </w:trPr>
        <w:tc>
          <w:tcPr>
            <w:tcW w:w="2090" w:type="dxa"/>
            <w:shd w:val="clear" w:color="auto" w:fill="auto"/>
            <w:noWrap/>
            <w:vAlign w:val="bottom"/>
            <w:hideMark/>
          </w:tcPr>
          <w:p w:rsidR="00F26149" w:rsidRPr="00F26149" w:rsidRDefault="00F26149" w:rsidP="00F26149">
            <w:pPr>
              <w:spacing w:line="240" w:lineRule="auto"/>
              <w:jc w:val="center"/>
              <w:rPr>
                <w:color w:val="000000" w:themeColor="text1"/>
              </w:rPr>
            </w:pPr>
            <w:r w:rsidRPr="00F26149">
              <w:rPr>
                <w:color w:val="000000" w:themeColor="text1"/>
                <w:sz w:val="22"/>
              </w:rPr>
              <w:t>D-Time</w:t>
            </w:r>
          </w:p>
        </w:tc>
        <w:tc>
          <w:tcPr>
            <w:tcW w:w="1353" w:type="dxa"/>
            <w:shd w:val="clear" w:color="auto" w:fill="auto"/>
            <w:noWrap/>
            <w:vAlign w:val="center"/>
            <w:hideMark/>
          </w:tcPr>
          <w:p w:rsidR="00F26149" w:rsidRPr="00F26149" w:rsidRDefault="00F26149" w:rsidP="00F26149">
            <w:pPr>
              <w:spacing w:line="240" w:lineRule="auto"/>
              <w:jc w:val="right"/>
              <w:rPr>
                <w:color w:val="000000"/>
              </w:rPr>
            </w:pPr>
            <w:r w:rsidRPr="00F26149">
              <w:rPr>
                <w:color w:val="000000"/>
              </w:rPr>
              <w:t>901.33</w:t>
            </w:r>
          </w:p>
        </w:tc>
        <w:tc>
          <w:tcPr>
            <w:tcW w:w="630" w:type="dxa"/>
            <w:shd w:val="clear" w:color="auto" w:fill="auto"/>
            <w:noWrap/>
            <w:vAlign w:val="center"/>
            <w:hideMark/>
          </w:tcPr>
          <w:p w:rsidR="00F26149" w:rsidRPr="00F26149" w:rsidRDefault="00F26149" w:rsidP="00F26149">
            <w:pPr>
              <w:spacing w:line="240" w:lineRule="auto"/>
              <w:jc w:val="right"/>
              <w:rPr>
                <w:color w:val="000000"/>
              </w:rPr>
            </w:pPr>
            <w:r w:rsidRPr="00F26149">
              <w:rPr>
                <w:color w:val="000000"/>
              </w:rPr>
              <w:t>1</w:t>
            </w:r>
          </w:p>
        </w:tc>
        <w:tc>
          <w:tcPr>
            <w:tcW w:w="1116" w:type="dxa"/>
            <w:shd w:val="clear" w:color="auto" w:fill="auto"/>
            <w:noWrap/>
            <w:vAlign w:val="center"/>
          </w:tcPr>
          <w:p w:rsidR="00F26149" w:rsidRPr="00F26149" w:rsidRDefault="00F26149" w:rsidP="00F26149">
            <w:pPr>
              <w:spacing w:line="240" w:lineRule="auto"/>
              <w:jc w:val="right"/>
              <w:rPr>
                <w:color w:val="000000"/>
              </w:rPr>
            </w:pPr>
            <w:r w:rsidRPr="00F26149">
              <w:rPr>
                <w:color w:val="000000"/>
              </w:rPr>
              <w:t>901.33</w:t>
            </w:r>
          </w:p>
        </w:tc>
        <w:tc>
          <w:tcPr>
            <w:tcW w:w="1116" w:type="dxa"/>
            <w:shd w:val="clear" w:color="auto" w:fill="auto"/>
            <w:noWrap/>
            <w:vAlign w:val="center"/>
          </w:tcPr>
          <w:p w:rsidR="00F26149" w:rsidRPr="00F26149" w:rsidRDefault="00F26149" w:rsidP="00F26149">
            <w:pPr>
              <w:spacing w:line="240" w:lineRule="auto"/>
              <w:jc w:val="right"/>
              <w:rPr>
                <w:color w:val="000000"/>
              </w:rPr>
            </w:pPr>
            <w:r w:rsidRPr="00F26149">
              <w:rPr>
                <w:color w:val="000000"/>
              </w:rPr>
              <w:t>116.39</w:t>
            </w:r>
          </w:p>
        </w:tc>
        <w:tc>
          <w:tcPr>
            <w:tcW w:w="1235" w:type="dxa"/>
            <w:shd w:val="clear" w:color="auto" w:fill="auto"/>
            <w:noWrap/>
            <w:vAlign w:val="center"/>
          </w:tcPr>
          <w:p w:rsidR="00F26149" w:rsidRPr="00F26149" w:rsidRDefault="00F26149" w:rsidP="00F26149">
            <w:pPr>
              <w:spacing w:line="240" w:lineRule="auto"/>
              <w:jc w:val="right"/>
              <w:rPr>
                <w:color w:val="000000"/>
              </w:rPr>
            </w:pPr>
            <w:r w:rsidRPr="00F26149">
              <w:rPr>
                <w:color w:val="000000"/>
              </w:rPr>
              <w:t>&lt; 0.0001</w:t>
            </w:r>
          </w:p>
        </w:tc>
        <w:tc>
          <w:tcPr>
            <w:tcW w:w="1434" w:type="dxa"/>
            <w:shd w:val="clear" w:color="auto" w:fill="auto"/>
            <w:noWrap/>
            <w:vAlign w:val="bottom"/>
            <w:hideMark/>
          </w:tcPr>
          <w:p w:rsidR="00F26149" w:rsidRPr="00F26149" w:rsidRDefault="00F26149" w:rsidP="00F26149">
            <w:pPr>
              <w:spacing w:line="240" w:lineRule="auto"/>
              <w:jc w:val="center"/>
              <w:rPr>
                <w:color w:val="000000" w:themeColor="text1"/>
              </w:rPr>
            </w:pPr>
            <w:r w:rsidRPr="00F26149">
              <w:rPr>
                <w:color w:val="000000" w:themeColor="text1"/>
                <w:sz w:val="22"/>
              </w:rPr>
              <w:t>HS</w:t>
            </w:r>
          </w:p>
        </w:tc>
      </w:tr>
      <w:tr w:rsidR="00F26149" w:rsidRPr="00F26149" w:rsidTr="000A2167">
        <w:trPr>
          <w:trHeight w:val="290"/>
          <w:jc w:val="center"/>
        </w:trPr>
        <w:tc>
          <w:tcPr>
            <w:tcW w:w="2090" w:type="dxa"/>
            <w:shd w:val="clear" w:color="auto" w:fill="auto"/>
            <w:noWrap/>
            <w:vAlign w:val="bottom"/>
            <w:hideMark/>
          </w:tcPr>
          <w:p w:rsidR="00F26149" w:rsidRPr="00F26149" w:rsidRDefault="00F26149" w:rsidP="00F26149">
            <w:pPr>
              <w:spacing w:line="240" w:lineRule="auto"/>
              <w:jc w:val="center"/>
              <w:rPr>
                <w:color w:val="000000" w:themeColor="text1"/>
              </w:rPr>
            </w:pPr>
            <w:r w:rsidRPr="00F26149">
              <w:rPr>
                <w:color w:val="000000" w:themeColor="text1"/>
                <w:sz w:val="22"/>
              </w:rPr>
              <w:t>AB</w:t>
            </w:r>
          </w:p>
        </w:tc>
        <w:tc>
          <w:tcPr>
            <w:tcW w:w="1353" w:type="dxa"/>
            <w:shd w:val="clear" w:color="auto" w:fill="auto"/>
            <w:noWrap/>
            <w:vAlign w:val="center"/>
            <w:hideMark/>
          </w:tcPr>
          <w:p w:rsidR="00F26149" w:rsidRPr="00F26149" w:rsidRDefault="00F26149" w:rsidP="00F26149">
            <w:pPr>
              <w:spacing w:line="240" w:lineRule="auto"/>
              <w:jc w:val="right"/>
              <w:rPr>
                <w:color w:val="000000"/>
              </w:rPr>
            </w:pPr>
            <w:r w:rsidRPr="00F26149">
              <w:rPr>
                <w:color w:val="000000"/>
              </w:rPr>
              <w:t>576.00</w:t>
            </w:r>
          </w:p>
        </w:tc>
        <w:tc>
          <w:tcPr>
            <w:tcW w:w="630" w:type="dxa"/>
            <w:shd w:val="clear" w:color="auto" w:fill="auto"/>
            <w:noWrap/>
            <w:vAlign w:val="center"/>
            <w:hideMark/>
          </w:tcPr>
          <w:p w:rsidR="00F26149" w:rsidRPr="00F26149" w:rsidRDefault="00F26149" w:rsidP="00F26149">
            <w:pPr>
              <w:spacing w:line="240" w:lineRule="auto"/>
              <w:jc w:val="right"/>
              <w:rPr>
                <w:color w:val="000000"/>
              </w:rPr>
            </w:pPr>
            <w:r w:rsidRPr="00F26149">
              <w:rPr>
                <w:color w:val="000000"/>
              </w:rPr>
              <w:t>1</w:t>
            </w:r>
          </w:p>
        </w:tc>
        <w:tc>
          <w:tcPr>
            <w:tcW w:w="1116" w:type="dxa"/>
            <w:shd w:val="clear" w:color="auto" w:fill="auto"/>
            <w:noWrap/>
            <w:vAlign w:val="center"/>
          </w:tcPr>
          <w:p w:rsidR="00F26149" w:rsidRPr="00F26149" w:rsidRDefault="00F26149" w:rsidP="00F26149">
            <w:pPr>
              <w:spacing w:line="240" w:lineRule="auto"/>
              <w:jc w:val="right"/>
              <w:rPr>
                <w:color w:val="000000"/>
              </w:rPr>
            </w:pPr>
            <w:r w:rsidRPr="00F26149">
              <w:rPr>
                <w:color w:val="000000"/>
              </w:rPr>
              <w:t>576.00</w:t>
            </w:r>
          </w:p>
        </w:tc>
        <w:tc>
          <w:tcPr>
            <w:tcW w:w="1116" w:type="dxa"/>
            <w:shd w:val="clear" w:color="auto" w:fill="auto"/>
            <w:noWrap/>
            <w:vAlign w:val="center"/>
          </w:tcPr>
          <w:p w:rsidR="00F26149" w:rsidRPr="00F26149" w:rsidRDefault="00F26149" w:rsidP="00F26149">
            <w:pPr>
              <w:spacing w:line="240" w:lineRule="auto"/>
              <w:jc w:val="right"/>
              <w:rPr>
                <w:color w:val="000000"/>
              </w:rPr>
            </w:pPr>
            <w:r w:rsidRPr="00F26149">
              <w:rPr>
                <w:color w:val="000000"/>
              </w:rPr>
              <w:t>74.38</w:t>
            </w:r>
          </w:p>
        </w:tc>
        <w:tc>
          <w:tcPr>
            <w:tcW w:w="1235" w:type="dxa"/>
            <w:shd w:val="clear" w:color="auto" w:fill="auto"/>
            <w:noWrap/>
            <w:vAlign w:val="center"/>
          </w:tcPr>
          <w:p w:rsidR="00F26149" w:rsidRPr="00F26149" w:rsidRDefault="00F26149" w:rsidP="00F26149">
            <w:pPr>
              <w:spacing w:line="240" w:lineRule="auto"/>
              <w:jc w:val="right"/>
              <w:rPr>
                <w:color w:val="000000"/>
              </w:rPr>
            </w:pPr>
            <w:r w:rsidRPr="00F26149">
              <w:rPr>
                <w:color w:val="000000"/>
              </w:rPr>
              <w:t>&lt; 0.0001</w:t>
            </w:r>
          </w:p>
        </w:tc>
        <w:tc>
          <w:tcPr>
            <w:tcW w:w="1434" w:type="dxa"/>
            <w:shd w:val="clear" w:color="auto" w:fill="auto"/>
            <w:noWrap/>
            <w:vAlign w:val="bottom"/>
            <w:hideMark/>
          </w:tcPr>
          <w:p w:rsidR="00F26149" w:rsidRPr="00F26149" w:rsidRDefault="00F26149" w:rsidP="00F26149">
            <w:pPr>
              <w:spacing w:line="240" w:lineRule="auto"/>
              <w:jc w:val="center"/>
              <w:rPr>
                <w:color w:val="000000" w:themeColor="text1"/>
              </w:rPr>
            </w:pPr>
            <w:r w:rsidRPr="00F26149">
              <w:rPr>
                <w:color w:val="000000" w:themeColor="text1"/>
                <w:sz w:val="22"/>
              </w:rPr>
              <w:t>HS</w:t>
            </w:r>
          </w:p>
        </w:tc>
      </w:tr>
      <w:tr w:rsidR="00F26149" w:rsidRPr="00F26149" w:rsidTr="000A2167">
        <w:trPr>
          <w:trHeight w:val="290"/>
          <w:jc w:val="center"/>
        </w:trPr>
        <w:tc>
          <w:tcPr>
            <w:tcW w:w="2090" w:type="dxa"/>
            <w:shd w:val="clear" w:color="auto" w:fill="auto"/>
            <w:noWrap/>
            <w:vAlign w:val="bottom"/>
            <w:hideMark/>
          </w:tcPr>
          <w:p w:rsidR="00F26149" w:rsidRPr="00F26149" w:rsidRDefault="00F26149" w:rsidP="00F26149">
            <w:pPr>
              <w:spacing w:line="240" w:lineRule="auto"/>
              <w:jc w:val="center"/>
              <w:rPr>
                <w:color w:val="000000" w:themeColor="text1"/>
              </w:rPr>
            </w:pPr>
            <w:r w:rsidRPr="00F26149">
              <w:rPr>
                <w:color w:val="000000" w:themeColor="text1"/>
                <w:sz w:val="22"/>
              </w:rPr>
              <w:t>AC</w:t>
            </w:r>
          </w:p>
        </w:tc>
        <w:tc>
          <w:tcPr>
            <w:tcW w:w="1353" w:type="dxa"/>
            <w:shd w:val="clear" w:color="auto" w:fill="auto"/>
            <w:noWrap/>
            <w:vAlign w:val="center"/>
            <w:hideMark/>
          </w:tcPr>
          <w:p w:rsidR="00F26149" w:rsidRPr="00F26149" w:rsidRDefault="00F26149" w:rsidP="00F26149">
            <w:pPr>
              <w:spacing w:line="240" w:lineRule="auto"/>
              <w:jc w:val="right"/>
              <w:rPr>
                <w:color w:val="000000"/>
              </w:rPr>
            </w:pPr>
            <w:r w:rsidRPr="00F26149">
              <w:rPr>
                <w:color w:val="000000"/>
              </w:rPr>
              <w:t>225.00</w:t>
            </w:r>
          </w:p>
        </w:tc>
        <w:tc>
          <w:tcPr>
            <w:tcW w:w="630" w:type="dxa"/>
            <w:shd w:val="clear" w:color="auto" w:fill="auto"/>
            <w:noWrap/>
            <w:vAlign w:val="center"/>
            <w:hideMark/>
          </w:tcPr>
          <w:p w:rsidR="00F26149" w:rsidRPr="00F26149" w:rsidRDefault="00F26149" w:rsidP="00F26149">
            <w:pPr>
              <w:spacing w:line="240" w:lineRule="auto"/>
              <w:jc w:val="right"/>
              <w:rPr>
                <w:color w:val="000000"/>
              </w:rPr>
            </w:pPr>
            <w:r w:rsidRPr="00F26149">
              <w:rPr>
                <w:color w:val="000000"/>
              </w:rPr>
              <w:t>1</w:t>
            </w:r>
          </w:p>
        </w:tc>
        <w:tc>
          <w:tcPr>
            <w:tcW w:w="1116" w:type="dxa"/>
            <w:shd w:val="clear" w:color="auto" w:fill="auto"/>
            <w:noWrap/>
            <w:vAlign w:val="center"/>
          </w:tcPr>
          <w:p w:rsidR="00F26149" w:rsidRPr="00F26149" w:rsidRDefault="00F26149" w:rsidP="00F26149">
            <w:pPr>
              <w:spacing w:line="240" w:lineRule="auto"/>
              <w:jc w:val="right"/>
              <w:rPr>
                <w:color w:val="000000"/>
              </w:rPr>
            </w:pPr>
            <w:r w:rsidRPr="00F26149">
              <w:rPr>
                <w:color w:val="000000"/>
              </w:rPr>
              <w:t>225.00</w:t>
            </w:r>
          </w:p>
        </w:tc>
        <w:tc>
          <w:tcPr>
            <w:tcW w:w="1116" w:type="dxa"/>
            <w:shd w:val="clear" w:color="auto" w:fill="auto"/>
            <w:noWrap/>
            <w:vAlign w:val="center"/>
          </w:tcPr>
          <w:p w:rsidR="00F26149" w:rsidRPr="00F26149" w:rsidRDefault="00F26149" w:rsidP="00F26149">
            <w:pPr>
              <w:spacing w:line="240" w:lineRule="auto"/>
              <w:jc w:val="right"/>
              <w:rPr>
                <w:color w:val="000000"/>
              </w:rPr>
            </w:pPr>
            <w:r w:rsidRPr="00F26149">
              <w:rPr>
                <w:color w:val="000000"/>
              </w:rPr>
              <w:t>29.05</w:t>
            </w:r>
          </w:p>
        </w:tc>
        <w:tc>
          <w:tcPr>
            <w:tcW w:w="1235" w:type="dxa"/>
            <w:shd w:val="clear" w:color="auto" w:fill="auto"/>
            <w:noWrap/>
            <w:vAlign w:val="center"/>
          </w:tcPr>
          <w:p w:rsidR="00F26149" w:rsidRPr="00F26149" w:rsidRDefault="00F26149" w:rsidP="00F26149">
            <w:pPr>
              <w:spacing w:line="240" w:lineRule="auto"/>
              <w:jc w:val="right"/>
              <w:rPr>
                <w:color w:val="000000"/>
              </w:rPr>
            </w:pPr>
            <w:r w:rsidRPr="00F26149">
              <w:rPr>
                <w:color w:val="000000"/>
              </w:rPr>
              <w:t>&lt; 0.0001</w:t>
            </w:r>
          </w:p>
        </w:tc>
        <w:tc>
          <w:tcPr>
            <w:tcW w:w="1434" w:type="dxa"/>
            <w:shd w:val="clear" w:color="auto" w:fill="auto"/>
            <w:noWrap/>
            <w:vAlign w:val="bottom"/>
            <w:hideMark/>
          </w:tcPr>
          <w:p w:rsidR="00F26149" w:rsidRPr="00F26149" w:rsidRDefault="00F26149" w:rsidP="00F26149">
            <w:pPr>
              <w:spacing w:line="240" w:lineRule="auto"/>
              <w:jc w:val="center"/>
              <w:rPr>
                <w:color w:val="000000" w:themeColor="text1"/>
              </w:rPr>
            </w:pPr>
            <w:r w:rsidRPr="00F26149">
              <w:rPr>
                <w:color w:val="000000" w:themeColor="text1"/>
                <w:sz w:val="22"/>
              </w:rPr>
              <w:t>HS</w:t>
            </w:r>
          </w:p>
        </w:tc>
      </w:tr>
      <w:tr w:rsidR="00F26149" w:rsidRPr="00F26149" w:rsidTr="000A2167">
        <w:trPr>
          <w:trHeight w:val="290"/>
          <w:jc w:val="center"/>
        </w:trPr>
        <w:tc>
          <w:tcPr>
            <w:tcW w:w="2090" w:type="dxa"/>
            <w:shd w:val="clear" w:color="auto" w:fill="auto"/>
            <w:noWrap/>
            <w:vAlign w:val="bottom"/>
            <w:hideMark/>
          </w:tcPr>
          <w:p w:rsidR="00F26149" w:rsidRPr="00F26149" w:rsidRDefault="00F26149" w:rsidP="00F26149">
            <w:pPr>
              <w:spacing w:line="240" w:lineRule="auto"/>
              <w:jc w:val="center"/>
              <w:rPr>
                <w:color w:val="000000" w:themeColor="text1"/>
              </w:rPr>
            </w:pPr>
            <w:r w:rsidRPr="00F26149">
              <w:rPr>
                <w:color w:val="000000" w:themeColor="text1"/>
                <w:sz w:val="22"/>
              </w:rPr>
              <w:t>AD</w:t>
            </w:r>
          </w:p>
        </w:tc>
        <w:tc>
          <w:tcPr>
            <w:tcW w:w="1353" w:type="dxa"/>
            <w:shd w:val="clear" w:color="auto" w:fill="auto"/>
            <w:noWrap/>
            <w:vAlign w:val="center"/>
            <w:hideMark/>
          </w:tcPr>
          <w:p w:rsidR="00F26149" w:rsidRPr="00F26149" w:rsidRDefault="00F26149" w:rsidP="00F26149">
            <w:pPr>
              <w:spacing w:line="240" w:lineRule="auto"/>
              <w:jc w:val="right"/>
              <w:rPr>
                <w:color w:val="000000"/>
              </w:rPr>
            </w:pPr>
            <w:r w:rsidRPr="00F26149">
              <w:rPr>
                <w:color w:val="000000"/>
              </w:rPr>
              <w:t>100.00</w:t>
            </w:r>
          </w:p>
        </w:tc>
        <w:tc>
          <w:tcPr>
            <w:tcW w:w="630" w:type="dxa"/>
            <w:shd w:val="clear" w:color="auto" w:fill="auto"/>
            <w:noWrap/>
            <w:vAlign w:val="center"/>
            <w:hideMark/>
          </w:tcPr>
          <w:p w:rsidR="00F26149" w:rsidRPr="00F26149" w:rsidRDefault="00F26149" w:rsidP="00F26149">
            <w:pPr>
              <w:spacing w:line="240" w:lineRule="auto"/>
              <w:jc w:val="right"/>
              <w:rPr>
                <w:color w:val="000000"/>
              </w:rPr>
            </w:pPr>
            <w:r w:rsidRPr="00F26149">
              <w:rPr>
                <w:color w:val="000000"/>
              </w:rPr>
              <w:t>1</w:t>
            </w:r>
          </w:p>
        </w:tc>
        <w:tc>
          <w:tcPr>
            <w:tcW w:w="1116" w:type="dxa"/>
            <w:shd w:val="clear" w:color="auto" w:fill="auto"/>
            <w:noWrap/>
            <w:vAlign w:val="center"/>
          </w:tcPr>
          <w:p w:rsidR="00F26149" w:rsidRPr="00F26149" w:rsidRDefault="00F26149" w:rsidP="00F26149">
            <w:pPr>
              <w:spacing w:line="240" w:lineRule="auto"/>
              <w:jc w:val="right"/>
              <w:rPr>
                <w:color w:val="000000"/>
              </w:rPr>
            </w:pPr>
            <w:r w:rsidRPr="00F26149">
              <w:rPr>
                <w:color w:val="000000"/>
              </w:rPr>
              <w:t>100.00</w:t>
            </w:r>
          </w:p>
        </w:tc>
        <w:tc>
          <w:tcPr>
            <w:tcW w:w="1116" w:type="dxa"/>
            <w:shd w:val="clear" w:color="auto" w:fill="auto"/>
            <w:noWrap/>
            <w:vAlign w:val="center"/>
          </w:tcPr>
          <w:p w:rsidR="00F26149" w:rsidRPr="00F26149" w:rsidRDefault="00F26149" w:rsidP="00F26149">
            <w:pPr>
              <w:spacing w:line="240" w:lineRule="auto"/>
              <w:jc w:val="right"/>
              <w:rPr>
                <w:color w:val="000000"/>
              </w:rPr>
            </w:pPr>
            <w:r w:rsidRPr="00F26149">
              <w:rPr>
                <w:color w:val="000000"/>
              </w:rPr>
              <w:t>12.91</w:t>
            </w:r>
          </w:p>
        </w:tc>
        <w:tc>
          <w:tcPr>
            <w:tcW w:w="1235" w:type="dxa"/>
            <w:shd w:val="clear" w:color="auto" w:fill="auto"/>
            <w:noWrap/>
            <w:vAlign w:val="center"/>
          </w:tcPr>
          <w:p w:rsidR="00F26149" w:rsidRPr="00F26149" w:rsidRDefault="00F26149" w:rsidP="00F26149">
            <w:pPr>
              <w:spacing w:line="240" w:lineRule="auto"/>
              <w:jc w:val="right"/>
              <w:rPr>
                <w:color w:val="000000"/>
              </w:rPr>
            </w:pPr>
            <w:r w:rsidRPr="00F26149">
              <w:rPr>
                <w:color w:val="000000"/>
              </w:rPr>
              <w:t>0.0029</w:t>
            </w:r>
          </w:p>
        </w:tc>
        <w:tc>
          <w:tcPr>
            <w:tcW w:w="1434" w:type="dxa"/>
            <w:shd w:val="clear" w:color="auto" w:fill="auto"/>
            <w:noWrap/>
            <w:vAlign w:val="bottom"/>
            <w:hideMark/>
          </w:tcPr>
          <w:p w:rsidR="00F26149" w:rsidRPr="00F26149" w:rsidRDefault="00F26149" w:rsidP="00F26149">
            <w:pPr>
              <w:spacing w:line="240" w:lineRule="auto"/>
              <w:jc w:val="center"/>
              <w:rPr>
                <w:color w:val="000000" w:themeColor="text1"/>
              </w:rPr>
            </w:pPr>
            <w:r w:rsidRPr="00F26149">
              <w:rPr>
                <w:color w:val="000000" w:themeColor="text1"/>
                <w:sz w:val="22"/>
              </w:rPr>
              <w:t>HS</w:t>
            </w:r>
          </w:p>
        </w:tc>
      </w:tr>
      <w:tr w:rsidR="00F26149" w:rsidRPr="00F26149" w:rsidTr="000A2167">
        <w:trPr>
          <w:trHeight w:val="290"/>
          <w:jc w:val="center"/>
        </w:trPr>
        <w:tc>
          <w:tcPr>
            <w:tcW w:w="2090" w:type="dxa"/>
            <w:shd w:val="clear" w:color="auto" w:fill="auto"/>
            <w:noWrap/>
            <w:vAlign w:val="bottom"/>
            <w:hideMark/>
          </w:tcPr>
          <w:p w:rsidR="00F26149" w:rsidRPr="00F26149" w:rsidRDefault="00F26149" w:rsidP="00F26149">
            <w:pPr>
              <w:spacing w:line="240" w:lineRule="auto"/>
              <w:jc w:val="center"/>
              <w:rPr>
                <w:color w:val="000000" w:themeColor="text1"/>
              </w:rPr>
            </w:pPr>
            <w:r w:rsidRPr="00F26149">
              <w:rPr>
                <w:color w:val="000000" w:themeColor="text1"/>
                <w:sz w:val="22"/>
              </w:rPr>
              <w:t>BC</w:t>
            </w:r>
          </w:p>
        </w:tc>
        <w:tc>
          <w:tcPr>
            <w:tcW w:w="1353" w:type="dxa"/>
            <w:shd w:val="clear" w:color="auto" w:fill="auto"/>
            <w:noWrap/>
            <w:vAlign w:val="center"/>
            <w:hideMark/>
          </w:tcPr>
          <w:p w:rsidR="00F26149" w:rsidRPr="00F26149" w:rsidRDefault="00F26149" w:rsidP="00F26149">
            <w:pPr>
              <w:spacing w:line="240" w:lineRule="auto"/>
              <w:jc w:val="right"/>
              <w:rPr>
                <w:color w:val="000000"/>
              </w:rPr>
            </w:pPr>
            <w:r w:rsidRPr="00F26149">
              <w:rPr>
                <w:color w:val="000000"/>
              </w:rPr>
              <w:t>121.00</w:t>
            </w:r>
          </w:p>
        </w:tc>
        <w:tc>
          <w:tcPr>
            <w:tcW w:w="630" w:type="dxa"/>
            <w:shd w:val="clear" w:color="auto" w:fill="auto"/>
            <w:noWrap/>
            <w:vAlign w:val="center"/>
            <w:hideMark/>
          </w:tcPr>
          <w:p w:rsidR="00F26149" w:rsidRPr="00F26149" w:rsidRDefault="00F26149" w:rsidP="00F26149">
            <w:pPr>
              <w:spacing w:line="240" w:lineRule="auto"/>
              <w:jc w:val="right"/>
              <w:rPr>
                <w:color w:val="000000"/>
              </w:rPr>
            </w:pPr>
            <w:r w:rsidRPr="00F26149">
              <w:rPr>
                <w:color w:val="000000"/>
              </w:rPr>
              <w:t>1</w:t>
            </w:r>
          </w:p>
        </w:tc>
        <w:tc>
          <w:tcPr>
            <w:tcW w:w="1116" w:type="dxa"/>
            <w:shd w:val="clear" w:color="auto" w:fill="auto"/>
            <w:noWrap/>
            <w:vAlign w:val="center"/>
          </w:tcPr>
          <w:p w:rsidR="00F26149" w:rsidRPr="00F26149" w:rsidRDefault="00F26149" w:rsidP="00F26149">
            <w:pPr>
              <w:spacing w:line="240" w:lineRule="auto"/>
              <w:jc w:val="right"/>
              <w:rPr>
                <w:color w:val="000000"/>
              </w:rPr>
            </w:pPr>
            <w:r w:rsidRPr="00F26149">
              <w:rPr>
                <w:color w:val="000000"/>
              </w:rPr>
              <w:t>121.00</w:t>
            </w:r>
          </w:p>
        </w:tc>
        <w:tc>
          <w:tcPr>
            <w:tcW w:w="1116" w:type="dxa"/>
            <w:shd w:val="clear" w:color="auto" w:fill="auto"/>
            <w:noWrap/>
            <w:vAlign w:val="center"/>
          </w:tcPr>
          <w:p w:rsidR="00F26149" w:rsidRPr="00F26149" w:rsidRDefault="00F26149" w:rsidP="00F26149">
            <w:pPr>
              <w:spacing w:line="240" w:lineRule="auto"/>
              <w:jc w:val="right"/>
              <w:rPr>
                <w:color w:val="000000"/>
              </w:rPr>
            </w:pPr>
            <w:r w:rsidRPr="00F26149">
              <w:rPr>
                <w:color w:val="000000"/>
              </w:rPr>
              <w:t>15.62</w:t>
            </w:r>
          </w:p>
        </w:tc>
        <w:tc>
          <w:tcPr>
            <w:tcW w:w="1235" w:type="dxa"/>
            <w:shd w:val="clear" w:color="auto" w:fill="auto"/>
            <w:noWrap/>
            <w:vAlign w:val="center"/>
          </w:tcPr>
          <w:p w:rsidR="00F26149" w:rsidRPr="00F26149" w:rsidRDefault="00F26149" w:rsidP="00F26149">
            <w:pPr>
              <w:spacing w:line="240" w:lineRule="auto"/>
              <w:jc w:val="right"/>
              <w:rPr>
                <w:color w:val="000000"/>
              </w:rPr>
            </w:pPr>
            <w:r w:rsidRPr="00F26149">
              <w:rPr>
                <w:color w:val="000000"/>
              </w:rPr>
              <w:t>0.0014</w:t>
            </w:r>
          </w:p>
        </w:tc>
        <w:tc>
          <w:tcPr>
            <w:tcW w:w="1434" w:type="dxa"/>
            <w:shd w:val="clear" w:color="auto" w:fill="auto"/>
            <w:noWrap/>
            <w:vAlign w:val="bottom"/>
            <w:hideMark/>
          </w:tcPr>
          <w:p w:rsidR="00F26149" w:rsidRPr="00F26149" w:rsidRDefault="00F26149" w:rsidP="00F26149">
            <w:pPr>
              <w:spacing w:line="240" w:lineRule="auto"/>
              <w:jc w:val="center"/>
              <w:rPr>
                <w:color w:val="000000" w:themeColor="text1"/>
              </w:rPr>
            </w:pPr>
            <w:r w:rsidRPr="00F26149">
              <w:rPr>
                <w:color w:val="000000" w:themeColor="text1"/>
                <w:sz w:val="22"/>
              </w:rPr>
              <w:t>HS</w:t>
            </w:r>
          </w:p>
        </w:tc>
      </w:tr>
      <w:tr w:rsidR="00F26149" w:rsidRPr="00F26149" w:rsidTr="000A2167">
        <w:trPr>
          <w:trHeight w:val="290"/>
          <w:jc w:val="center"/>
        </w:trPr>
        <w:tc>
          <w:tcPr>
            <w:tcW w:w="2090" w:type="dxa"/>
            <w:shd w:val="clear" w:color="auto" w:fill="auto"/>
            <w:noWrap/>
            <w:vAlign w:val="bottom"/>
            <w:hideMark/>
          </w:tcPr>
          <w:p w:rsidR="00F26149" w:rsidRPr="00F26149" w:rsidRDefault="00F26149" w:rsidP="00F26149">
            <w:pPr>
              <w:spacing w:line="240" w:lineRule="auto"/>
              <w:jc w:val="center"/>
              <w:rPr>
                <w:color w:val="000000" w:themeColor="text1"/>
              </w:rPr>
            </w:pPr>
            <w:r w:rsidRPr="00F26149">
              <w:rPr>
                <w:color w:val="000000" w:themeColor="text1"/>
                <w:sz w:val="22"/>
              </w:rPr>
              <w:t>BD</w:t>
            </w:r>
          </w:p>
        </w:tc>
        <w:tc>
          <w:tcPr>
            <w:tcW w:w="1353" w:type="dxa"/>
            <w:shd w:val="clear" w:color="auto" w:fill="auto"/>
            <w:noWrap/>
            <w:vAlign w:val="center"/>
            <w:hideMark/>
          </w:tcPr>
          <w:p w:rsidR="00F26149" w:rsidRPr="00F26149" w:rsidRDefault="00F26149" w:rsidP="00F26149">
            <w:pPr>
              <w:spacing w:line="240" w:lineRule="auto"/>
              <w:jc w:val="right"/>
              <w:rPr>
                <w:color w:val="000000"/>
              </w:rPr>
            </w:pPr>
            <w:r w:rsidRPr="00F26149">
              <w:rPr>
                <w:color w:val="000000"/>
              </w:rPr>
              <w:t>156.25</w:t>
            </w:r>
          </w:p>
        </w:tc>
        <w:tc>
          <w:tcPr>
            <w:tcW w:w="630" w:type="dxa"/>
            <w:shd w:val="clear" w:color="auto" w:fill="auto"/>
            <w:noWrap/>
            <w:vAlign w:val="center"/>
            <w:hideMark/>
          </w:tcPr>
          <w:p w:rsidR="00F26149" w:rsidRPr="00F26149" w:rsidRDefault="00F26149" w:rsidP="00F26149">
            <w:pPr>
              <w:spacing w:line="240" w:lineRule="auto"/>
              <w:jc w:val="right"/>
              <w:rPr>
                <w:color w:val="000000"/>
              </w:rPr>
            </w:pPr>
            <w:r w:rsidRPr="00F26149">
              <w:rPr>
                <w:color w:val="000000"/>
              </w:rPr>
              <w:t>1</w:t>
            </w:r>
          </w:p>
        </w:tc>
        <w:tc>
          <w:tcPr>
            <w:tcW w:w="1116" w:type="dxa"/>
            <w:shd w:val="clear" w:color="auto" w:fill="auto"/>
            <w:noWrap/>
            <w:vAlign w:val="center"/>
          </w:tcPr>
          <w:p w:rsidR="00F26149" w:rsidRPr="00F26149" w:rsidRDefault="00F26149" w:rsidP="00F26149">
            <w:pPr>
              <w:spacing w:line="240" w:lineRule="auto"/>
              <w:jc w:val="right"/>
              <w:rPr>
                <w:color w:val="000000"/>
              </w:rPr>
            </w:pPr>
            <w:r w:rsidRPr="00F26149">
              <w:rPr>
                <w:color w:val="000000"/>
              </w:rPr>
              <w:t>156.25</w:t>
            </w:r>
          </w:p>
        </w:tc>
        <w:tc>
          <w:tcPr>
            <w:tcW w:w="1116" w:type="dxa"/>
            <w:shd w:val="clear" w:color="auto" w:fill="auto"/>
            <w:noWrap/>
            <w:vAlign w:val="center"/>
          </w:tcPr>
          <w:p w:rsidR="00F26149" w:rsidRPr="00F26149" w:rsidRDefault="00F26149" w:rsidP="00F26149">
            <w:pPr>
              <w:spacing w:line="240" w:lineRule="auto"/>
              <w:jc w:val="right"/>
              <w:rPr>
                <w:color w:val="000000"/>
              </w:rPr>
            </w:pPr>
            <w:r w:rsidRPr="00F26149">
              <w:rPr>
                <w:color w:val="000000"/>
              </w:rPr>
              <w:t>20.18</w:t>
            </w:r>
          </w:p>
        </w:tc>
        <w:tc>
          <w:tcPr>
            <w:tcW w:w="1235" w:type="dxa"/>
            <w:shd w:val="clear" w:color="auto" w:fill="auto"/>
            <w:noWrap/>
            <w:vAlign w:val="center"/>
          </w:tcPr>
          <w:p w:rsidR="00F26149" w:rsidRPr="00F26149" w:rsidRDefault="00F26149" w:rsidP="00F26149">
            <w:pPr>
              <w:spacing w:line="240" w:lineRule="auto"/>
              <w:jc w:val="right"/>
              <w:rPr>
                <w:color w:val="000000"/>
              </w:rPr>
            </w:pPr>
            <w:r w:rsidRPr="00F26149">
              <w:rPr>
                <w:color w:val="000000"/>
              </w:rPr>
              <w:t>0.0005</w:t>
            </w:r>
          </w:p>
        </w:tc>
        <w:tc>
          <w:tcPr>
            <w:tcW w:w="1434" w:type="dxa"/>
            <w:shd w:val="clear" w:color="auto" w:fill="auto"/>
            <w:noWrap/>
            <w:vAlign w:val="bottom"/>
            <w:hideMark/>
          </w:tcPr>
          <w:p w:rsidR="00F26149" w:rsidRPr="00F26149" w:rsidRDefault="00F26149" w:rsidP="00F26149">
            <w:pPr>
              <w:spacing w:line="240" w:lineRule="auto"/>
              <w:jc w:val="center"/>
              <w:rPr>
                <w:color w:val="000000" w:themeColor="text1"/>
              </w:rPr>
            </w:pPr>
            <w:r w:rsidRPr="00F26149">
              <w:rPr>
                <w:color w:val="000000" w:themeColor="text1"/>
                <w:sz w:val="22"/>
              </w:rPr>
              <w:t>HS</w:t>
            </w:r>
          </w:p>
        </w:tc>
      </w:tr>
      <w:tr w:rsidR="00F26149" w:rsidRPr="00F26149" w:rsidTr="000A2167">
        <w:trPr>
          <w:trHeight w:val="290"/>
          <w:jc w:val="center"/>
        </w:trPr>
        <w:tc>
          <w:tcPr>
            <w:tcW w:w="2090" w:type="dxa"/>
            <w:shd w:val="clear" w:color="auto" w:fill="auto"/>
            <w:noWrap/>
            <w:vAlign w:val="bottom"/>
            <w:hideMark/>
          </w:tcPr>
          <w:p w:rsidR="00F26149" w:rsidRPr="00F26149" w:rsidRDefault="00F26149" w:rsidP="00F26149">
            <w:pPr>
              <w:spacing w:line="240" w:lineRule="auto"/>
              <w:jc w:val="center"/>
              <w:rPr>
                <w:color w:val="000000" w:themeColor="text1"/>
              </w:rPr>
            </w:pPr>
            <w:r w:rsidRPr="00F26149">
              <w:rPr>
                <w:color w:val="000000" w:themeColor="text1"/>
                <w:sz w:val="22"/>
              </w:rPr>
              <w:t>CD</w:t>
            </w:r>
          </w:p>
        </w:tc>
        <w:tc>
          <w:tcPr>
            <w:tcW w:w="1353" w:type="dxa"/>
            <w:shd w:val="clear" w:color="auto" w:fill="auto"/>
            <w:noWrap/>
            <w:vAlign w:val="center"/>
            <w:hideMark/>
          </w:tcPr>
          <w:p w:rsidR="00F26149" w:rsidRPr="00F26149" w:rsidRDefault="00F26149" w:rsidP="00F26149">
            <w:pPr>
              <w:spacing w:line="240" w:lineRule="auto"/>
              <w:jc w:val="right"/>
              <w:rPr>
                <w:color w:val="000000"/>
              </w:rPr>
            </w:pPr>
            <w:r w:rsidRPr="00F26149">
              <w:rPr>
                <w:color w:val="000000"/>
              </w:rPr>
              <w:t>132.25</w:t>
            </w:r>
          </w:p>
        </w:tc>
        <w:tc>
          <w:tcPr>
            <w:tcW w:w="630" w:type="dxa"/>
            <w:shd w:val="clear" w:color="auto" w:fill="auto"/>
            <w:noWrap/>
            <w:vAlign w:val="center"/>
            <w:hideMark/>
          </w:tcPr>
          <w:p w:rsidR="00F26149" w:rsidRPr="00F26149" w:rsidRDefault="00F26149" w:rsidP="00F26149">
            <w:pPr>
              <w:spacing w:line="240" w:lineRule="auto"/>
              <w:jc w:val="right"/>
              <w:rPr>
                <w:color w:val="000000"/>
              </w:rPr>
            </w:pPr>
            <w:r w:rsidRPr="00F26149">
              <w:rPr>
                <w:color w:val="000000"/>
              </w:rPr>
              <w:t>1</w:t>
            </w:r>
          </w:p>
        </w:tc>
        <w:tc>
          <w:tcPr>
            <w:tcW w:w="1116" w:type="dxa"/>
            <w:shd w:val="clear" w:color="auto" w:fill="auto"/>
            <w:noWrap/>
            <w:vAlign w:val="center"/>
          </w:tcPr>
          <w:p w:rsidR="00F26149" w:rsidRPr="00F26149" w:rsidRDefault="00F26149" w:rsidP="00F26149">
            <w:pPr>
              <w:spacing w:line="240" w:lineRule="auto"/>
              <w:jc w:val="right"/>
              <w:rPr>
                <w:color w:val="000000"/>
              </w:rPr>
            </w:pPr>
            <w:r w:rsidRPr="00F26149">
              <w:rPr>
                <w:color w:val="000000"/>
              </w:rPr>
              <w:t>132.25</w:t>
            </w:r>
          </w:p>
        </w:tc>
        <w:tc>
          <w:tcPr>
            <w:tcW w:w="1116" w:type="dxa"/>
            <w:shd w:val="clear" w:color="auto" w:fill="auto"/>
            <w:noWrap/>
            <w:vAlign w:val="center"/>
          </w:tcPr>
          <w:p w:rsidR="00F26149" w:rsidRPr="00F26149" w:rsidRDefault="00F26149" w:rsidP="00F26149">
            <w:pPr>
              <w:spacing w:line="240" w:lineRule="auto"/>
              <w:jc w:val="right"/>
              <w:rPr>
                <w:color w:val="000000"/>
              </w:rPr>
            </w:pPr>
            <w:r w:rsidRPr="00F26149">
              <w:rPr>
                <w:color w:val="000000"/>
              </w:rPr>
              <w:t>17.08</w:t>
            </w:r>
          </w:p>
        </w:tc>
        <w:tc>
          <w:tcPr>
            <w:tcW w:w="1235" w:type="dxa"/>
            <w:shd w:val="clear" w:color="auto" w:fill="auto"/>
            <w:noWrap/>
            <w:vAlign w:val="center"/>
          </w:tcPr>
          <w:p w:rsidR="00F26149" w:rsidRPr="00F26149" w:rsidRDefault="00F26149" w:rsidP="00F26149">
            <w:pPr>
              <w:spacing w:line="240" w:lineRule="auto"/>
              <w:jc w:val="right"/>
              <w:rPr>
                <w:color w:val="000000"/>
              </w:rPr>
            </w:pPr>
            <w:r w:rsidRPr="00F26149">
              <w:rPr>
                <w:color w:val="000000"/>
              </w:rPr>
              <w:t>0.0010</w:t>
            </w:r>
          </w:p>
        </w:tc>
        <w:tc>
          <w:tcPr>
            <w:tcW w:w="1434" w:type="dxa"/>
            <w:shd w:val="clear" w:color="auto" w:fill="auto"/>
            <w:noWrap/>
            <w:vAlign w:val="bottom"/>
            <w:hideMark/>
          </w:tcPr>
          <w:p w:rsidR="00F26149" w:rsidRPr="00F26149" w:rsidRDefault="00F26149" w:rsidP="00F26149">
            <w:pPr>
              <w:spacing w:line="240" w:lineRule="auto"/>
              <w:jc w:val="center"/>
              <w:rPr>
                <w:color w:val="000000" w:themeColor="text1"/>
              </w:rPr>
            </w:pPr>
            <w:r w:rsidRPr="00F26149">
              <w:rPr>
                <w:color w:val="000000" w:themeColor="text1"/>
                <w:sz w:val="22"/>
              </w:rPr>
              <w:t>HS</w:t>
            </w:r>
          </w:p>
        </w:tc>
      </w:tr>
      <w:tr w:rsidR="00F26149" w:rsidRPr="00F26149" w:rsidTr="000A2167">
        <w:trPr>
          <w:trHeight w:val="290"/>
          <w:jc w:val="center"/>
        </w:trPr>
        <w:tc>
          <w:tcPr>
            <w:tcW w:w="2090" w:type="dxa"/>
            <w:shd w:val="clear" w:color="auto" w:fill="auto"/>
            <w:noWrap/>
            <w:vAlign w:val="bottom"/>
            <w:hideMark/>
          </w:tcPr>
          <w:p w:rsidR="00F26149" w:rsidRPr="00F26149" w:rsidRDefault="00F26149" w:rsidP="00F26149">
            <w:pPr>
              <w:spacing w:line="240" w:lineRule="auto"/>
              <w:jc w:val="center"/>
              <w:rPr>
                <w:color w:val="000000" w:themeColor="text1"/>
                <w:vertAlign w:val="superscript"/>
              </w:rPr>
            </w:pPr>
            <w:r w:rsidRPr="00F26149">
              <w:rPr>
                <w:color w:val="000000" w:themeColor="text1"/>
                <w:sz w:val="22"/>
              </w:rPr>
              <w:t>A</w:t>
            </w:r>
            <w:r w:rsidRPr="00F26149">
              <w:rPr>
                <w:color w:val="000000" w:themeColor="text1"/>
                <w:sz w:val="22"/>
                <w:vertAlign w:val="superscript"/>
              </w:rPr>
              <w:t>2</w:t>
            </w:r>
          </w:p>
        </w:tc>
        <w:tc>
          <w:tcPr>
            <w:tcW w:w="1353" w:type="dxa"/>
            <w:shd w:val="clear" w:color="auto" w:fill="auto"/>
            <w:noWrap/>
            <w:vAlign w:val="center"/>
            <w:hideMark/>
          </w:tcPr>
          <w:p w:rsidR="00F26149" w:rsidRPr="00F26149" w:rsidRDefault="00F26149" w:rsidP="00F26149">
            <w:pPr>
              <w:spacing w:line="240" w:lineRule="auto"/>
              <w:jc w:val="right"/>
              <w:rPr>
                <w:color w:val="000000"/>
              </w:rPr>
            </w:pPr>
            <w:r w:rsidRPr="00F26149">
              <w:rPr>
                <w:color w:val="000000"/>
              </w:rPr>
              <w:t>1363.78</w:t>
            </w:r>
          </w:p>
        </w:tc>
        <w:tc>
          <w:tcPr>
            <w:tcW w:w="630" w:type="dxa"/>
            <w:shd w:val="clear" w:color="auto" w:fill="auto"/>
            <w:noWrap/>
            <w:vAlign w:val="center"/>
            <w:hideMark/>
          </w:tcPr>
          <w:p w:rsidR="00F26149" w:rsidRPr="00F26149" w:rsidRDefault="00F26149" w:rsidP="00F26149">
            <w:pPr>
              <w:spacing w:line="240" w:lineRule="auto"/>
              <w:jc w:val="right"/>
              <w:rPr>
                <w:color w:val="000000"/>
              </w:rPr>
            </w:pPr>
            <w:r w:rsidRPr="00F26149">
              <w:rPr>
                <w:color w:val="000000"/>
              </w:rPr>
              <w:t>1</w:t>
            </w:r>
          </w:p>
        </w:tc>
        <w:tc>
          <w:tcPr>
            <w:tcW w:w="1116" w:type="dxa"/>
            <w:shd w:val="clear" w:color="auto" w:fill="auto"/>
            <w:noWrap/>
            <w:vAlign w:val="center"/>
          </w:tcPr>
          <w:p w:rsidR="00F26149" w:rsidRPr="00F26149" w:rsidRDefault="00F26149" w:rsidP="00F26149">
            <w:pPr>
              <w:spacing w:line="240" w:lineRule="auto"/>
              <w:jc w:val="right"/>
              <w:rPr>
                <w:color w:val="000000"/>
              </w:rPr>
            </w:pPr>
            <w:r w:rsidRPr="00F26149">
              <w:rPr>
                <w:color w:val="000000"/>
              </w:rPr>
              <w:t>1363.78</w:t>
            </w:r>
          </w:p>
        </w:tc>
        <w:tc>
          <w:tcPr>
            <w:tcW w:w="1116" w:type="dxa"/>
            <w:shd w:val="clear" w:color="auto" w:fill="auto"/>
            <w:noWrap/>
            <w:vAlign w:val="center"/>
          </w:tcPr>
          <w:p w:rsidR="00F26149" w:rsidRPr="00F26149" w:rsidRDefault="00F26149" w:rsidP="00F26149">
            <w:pPr>
              <w:spacing w:line="240" w:lineRule="auto"/>
              <w:jc w:val="right"/>
              <w:rPr>
                <w:color w:val="000000"/>
              </w:rPr>
            </w:pPr>
            <w:r w:rsidRPr="00F26149">
              <w:rPr>
                <w:color w:val="000000"/>
              </w:rPr>
              <w:t>176.11</w:t>
            </w:r>
          </w:p>
        </w:tc>
        <w:tc>
          <w:tcPr>
            <w:tcW w:w="1235" w:type="dxa"/>
            <w:shd w:val="clear" w:color="auto" w:fill="auto"/>
            <w:noWrap/>
            <w:vAlign w:val="center"/>
          </w:tcPr>
          <w:p w:rsidR="00F26149" w:rsidRPr="00F26149" w:rsidRDefault="00F26149" w:rsidP="00F26149">
            <w:pPr>
              <w:spacing w:line="240" w:lineRule="auto"/>
              <w:jc w:val="right"/>
              <w:rPr>
                <w:color w:val="000000"/>
              </w:rPr>
            </w:pPr>
            <w:r w:rsidRPr="00F26149">
              <w:rPr>
                <w:color w:val="000000"/>
              </w:rPr>
              <w:t>&lt; 0.0001</w:t>
            </w:r>
          </w:p>
        </w:tc>
        <w:tc>
          <w:tcPr>
            <w:tcW w:w="1434" w:type="dxa"/>
            <w:shd w:val="clear" w:color="auto" w:fill="auto"/>
            <w:noWrap/>
            <w:vAlign w:val="bottom"/>
            <w:hideMark/>
          </w:tcPr>
          <w:p w:rsidR="00F26149" w:rsidRPr="00F26149" w:rsidRDefault="00F26149" w:rsidP="00F26149">
            <w:pPr>
              <w:spacing w:line="240" w:lineRule="auto"/>
              <w:jc w:val="center"/>
              <w:rPr>
                <w:color w:val="000000" w:themeColor="text1"/>
              </w:rPr>
            </w:pPr>
            <w:r w:rsidRPr="00F26149">
              <w:rPr>
                <w:color w:val="000000" w:themeColor="text1"/>
                <w:sz w:val="22"/>
              </w:rPr>
              <w:t>HS</w:t>
            </w:r>
          </w:p>
        </w:tc>
      </w:tr>
      <w:tr w:rsidR="00F26149" w:rsidRPr="00F26149" w:rsidTr="000A2167">
        <w:trPr>
          <w:trHeight w:val="290"/>
          <w:jc w:val="center"/>
        </w:trPr>
        <w:tc>
          <w:tcPr>
            <w:tcW w:w="2090" w:type="dxa"/>
            <w:shd w:val="clear" w:color="auto" w:fill="auto"/>
            <w:noWrap/>
            <w:vAlign w:val="bottom"/>
            <w:hideMark/>
          </w:tcPr>
          <w:p w:rsidR="00F26149" w:rsidRPr="00F26149" w:rsidRDefault="00F26149" w:rsidP="00F26149">
            <w:pPr>
              <w:spacing w:line="240" w:lineRule="auto"/>
              <w:jc w:val="center"/>
              <w:rPr>
                <w:color w:val="000000" w:themeColor="text1"/>
              </w:rPr>
            </w:pPr>
            <w:r w:rsidRPr="00F26149">
              <w:rPr>
                <w:color w:val="000000" w:themeColor="text1"/>
                <w:sz w:val="22"/>
              </w:rPr>
              <w:t>B</w:t>
            </w:r>
            <w:r w:rsidRPr="00F26149">
              <w:rPr>
                <w:color w:val="000000" w:themeColor="text1"/>
                <w:sz w:val="22"/>
                <w:vertAlign w:val="superscript"/>
              </w:rPr>
              <w:t>2</w:t>
            </w:r>
          </w:p>
        </w:tc>
        <w:tc>
          <w:tcPr>
            <w:tcW w:w="1353" w:type="dxa"/>
            <w:shd w:val="clear" w:color="auto" w:fill="auto"/>
            <w:noWrap/>
            <w:vAlign w:val="center"/>
            <w:hideMark/>
          </w:tcPr>
          <w:p w:rsidR="00F26149" w:rsidRPr="00F26149" w:rsidRDefault="00F26149" w:rsidP="00F26149">
            <w:pPr>
              <w:spacing w:line="240" w:lineRule="auto"/>
              <w:jc w:val="right"/>
              <w:rPr>
                <w:color w:val="000000"/>
              </w:rPr>
            </w:pPr>
            <w:r w:rsidRPr="00F26149">
              <w:rPr>
                <w:color w:val="000000"/>
              </w:rPr>
              <w:t>329.29</w:t>
            </w:r>
          </w:p>
        </w:tc>
        <w:tc>
          <w:tcPr>
            <w:tcW w:w="630" w:type="dxa"/>
            <w:shd w:val="clear" w:color="auto" w:fill="auto"/>
            <w:noWrap/>
            <w:vAlign w:val="center"/>
            <w:hideMark/>
          </w:tcPr>
          <w:p w:rsidR="00F26149" w:rsidRPr="00F26149" w:rsidRDefault="00F26149" w:rsidP="00F26149">
            <w:pPr>
              <w:spacing w:line="240" w:lineRule="auto"/>
              <w:jc w:val="right"/>
              <w:rPr>
                <w:color w:val="000000"/>
              </w:rPr>
            </w:pPr>
            <w:r w:rsidRPr="00F26149">
              <w:rPr>
                <w:color w:val="000000"/>
              </w:rPr>
              <w:t>1</w:t>
            </w:r>
          </w:p>
        </w:tc>
        <w:tc>
          <w:tcPr>
            <w:tcW w:w="1116" w:type="dxa"/>
            <w:shd w:val="clear" w:color="auto" w:fill="auto"/>
            <w:noWrap/>
            <w:vAlign w:val="center"/>
          </w:tcPr>
          <w:p w:rsidR="00F26149" w:rsidRPr="00F26149" w:rsidRDefault="00F26149" w:rsidP="00F26149">
            <w:pPr>
              <w:spacing w:line="240" w:lineRule="auto"/>
              <w:jc w:val="right"/>
              <w:rPr>
                <w:color w:val="000000"/>
              </w:rPr>
            </w:pPr>
            <w:r w:rsidRPr="00F26149">
              <w:rPr>
                <w:color w:val="000000"/>
              </w:rPr>
              <w:t>329.29</w:t>
            </w:r>
          </w:p>
        </w:tc>
        <w:tc>
          <w:tcPr>
            <w:tcW w:w="1116" w:type="dxa"/>
            <w:shd w:val="clear" w:color="auto" w:fill="auto"/>
            <w:noWrap/>
            <w:vAlign w:val="center"/>
          </w:tcPr>
          <w:p w:rsidR="00F26149" w:rsidRPr="00F26149" w:rsidRDefault="00F26149" w:rsidP="00F26149">
            <w:pPr>
              <w:spacing w:line="240" w:lineRule="auto"/>
              <w:jc w:val="right"/>
              <w:rPr>
                <w:color w:val="000000"/>
              </w:rPr>
            </w:pPr>
            <w:r w:rsidRPr="00F26149">
              <w:rPr>
                <w:color w:val="000000"/>
              </w:rPr>
              <w:t>42.52</w:t>
            </w:r>
          </w:p>
        </w:tc>
        <w:tc>
          <w:tcPr>
            <w:tcW w:w="1235" w:type="dxa"/>
            <w:shd w:val="clear" w:color="auto" w:fill="auto"/>
            <w:noWrap/>
            <w:vAlign w:val="center"/>
          </w:tcPr>
          <w:p w:rsidR="00F26149" w:rsidRPr="00F26149" w:rsidRDefault="00F26149" w:rsidP="00F26149">
            <w:pPr>
              <w:spacing w:line="240" w:lineRule="auto"/>
              <w:jc w:val="right"/>
              <w:rPr>
                <w:color w:val="000000"/>
              </w:rPr>
            </w:pPr>
            <w:r w:rsidRPr="00F26149">
              <w:rPr>
                <w:color w:val="000000"/>
              </w:rPr>
              <w:t>&lt; 0.0001</w:t>
            </w:r>
          </w:p>
        </w:tc>
        <w:tc>
          <w:tcPr>
            <w:tcW w:w="1434" w:type="dxa"/>
            <w:shd w:val="clear" w:color="auto" w:fill="auto"/>
            <w:noWrap/>
            <w:vAlign w:val="bottom"/>
            <w:hideMark/>
          </w:tcPr>
          <w:p w:rsidR="00F26149" w:rsidRPr="00F26149" w:rsidRDefault="00F26149" w:rsidP="00F26149">
            <w:pPr>
              <w:spacing w:line="240" w:lineRule="auto"/>
              <w:jc w:val="center"/>
              <w:rPr>
                <w:color w:val="000000" w:themeColor="text1"/>
              </w:rPr>
            </w:pPr>
            <w:r w:rsidRPr="00F26149">
              <w:rPr>
                <w:color w:val="000000" w:themeColor="text1"/>
                <w:sz w:val="22"/>
              </w:rPr>
              <w:t>HS</w:t>
            </w:r>
          </w:p>
        </w:tc>
      </w:tr>
      <w:tr w:rsidR="00F26149" w:rsidRPr="00F26149" w:rsidTr="000A2167">
        <w:trPr>
          <w:trHeight w:val="290"/>
          <w:jc w:val="center"/>
        </w:trPr>
        <w:tc>
          <w:tcPr>
            <w:tcW w:w="2090" w:type="dxa"/>
            <w:shd w:val="clear" w:color="auto" w:fill="auto"/>
            <w:noWrap/>
            <w:vAlign w:val="bottom"/>
            <w:hideMark/>
          </w:tcPr>
          <w:p w:rsidR="00F26149" w:rsidRPr="00F26149" w:rsidRDefault="00F26149" w:rsidP="00F26149">
            <w:pPr>
              <w:spacing w:line="240" w:lineRule="auto"/>
              <w:jc w:val="center"/>
              <w:rPr>
                <w:color w:val="000000" w:themeColor="text1"/>
              </w:rPr>
            </w:pPr>
            <w:r w:rsidRPr="00F26149">
              <w:rPr>
                <w:color w:val="000000" w:themeColor="text1"/>
                <w:sz w:val="22"/>
              </w:rPr>
              <w:t>C</w:t>
            </w:r>
            <w:r w:rsidRPr="00F26149">
              <w:rPr>
                <w:color w:val="000000" w:themeColor="text1"/>
                <w:sz w:val="22"/>
                <w:vertAlign w:val="superscript"/>
              </w:rPr>
              <w:t>2</w:t>
            </w:r>
          </w:p>
        </w:tc>
        <w:tc>
          <w:tcPr>
            <w:tcW w:w="1353" w:type="dxa"/>
            <w:shd w:val="clear" w:color="auto" w:fill="auto"/>
            <w:noWrap/>
            <w:vAlign w:val="center"/>
            <w:hideMark/>
          </w:tcPr>
          <w:p w:rsidR="00F26149" w:rsidRPr="00F26149" w:rsidRDefault="00F26149" w:rsidP="00F26149">
            <w:pPr>
              <w:spacing w:line="240" w:lineRule="auto"/>
              <w:jc w:val="right"/>
              <w:rPr>
                <w:color w:val="000000"/>
              </w:rPr>
            </w:pPr>
            <w:r w:rsidRPr="00F26149">
              <w:rPr>
                <w:color w:val="000000"/>
              </w:rPr>
              <w:t>993.34</w:t>
            </w:r>
          </w:p>
        </w:tc>
        <w:tc>
          <w:tcPr>
            <w:tcW w:w="630" w:type="dxa"/>
            <w:shd w:val="clear" w:color="auto" w:fill="auto"/>
            <w:noWrap/>
            <w:vAlign w:val="center"/>
            <w:hideMark/>
          </w:tcPr>
          <w:p w:rsidR="00F26149" w:rsidRPr="00F26149" w:rsidRDefault="00F26149" w:rsidP="00F26149">
            <w:pPr>
              <w:spacing w:line="240" w:lineRule="auto"/>
              <w:jc w:val="right"/>
              <w:rPr>
                <w:color w:val="000000"/>
              </w:rPr>
            </w:pPr>
            <w:r w:rsidRPr="00F26149">
              <w:rPr>
                <w:color w:val="000000"/>
              </w:rPr>
              <w:t>1</w:t>
            </w:r>
          </w:p>
        </w:tc>
        <w:tc>
          <w:tcPr>
            <w:tcW w:w="1116" w:type="dxa"/>
            <w:shd w:val="clear" w:color="auto" w:fill="auto"/>
            <w:noWrap/>
            <w:vAlign w:val="center"/>
          </w:tcPr>
          <w:p w:rsidR="00F26149" w:rsidRPr="00F26149" w:rsidRDefault="00F26149" w:rsidP="00F26149">
            <w:pPr>
              <w:spacing w:line="240" w:lineRule="auto"/>
              <w:jc w:val="right"/>
              <w:rPr>
                <w:color w:val="000000"/>
              </w:rPr>
            </w:pPr>
            <w:r w:rsidRPr="00F26149">
              <w:rPr>
                <w:color w:val="000000"/>
              </w:rPr>
              <w:t>993.34</w:t>
            </w:r>
          </w:p>
        </w:tc>
        <w:tc>
          <w:tcPr>
            <w:tcW w:w="1116" w:type="dxa"/>
            <w:shd w:val="clear" w:color="auto" w:fill="auto"/>
            <w:noWrap/>
            <w:vAlign w:val="center"/>
          </w:tcPr>
          <w:p w:rsidR="00F26149" w:rsidRPr="00F26149" w:rsidRDefault="00F26149" w:rsidP="00F26149">
            <w:pPr>
              <w:spacing w:line="240" w:lineRule="auto"/>
              <w:jc w:val="right"/>
              <w:rPr>
                <w:color w:val="000000"/>
              </w:rPr>
            </w:pPr>
            <w:r w:rsidRPr="00F26149">
              <w:rPr>
                <w:color w:val="000000"/>
              </w:rPr>
              <w:t>128.27</w:t>
            </w:r>
          </w:p>
        </w:tc>
        <w:tc>
          <w:tcPr>
            <w:tcW w:w="1235" w:type="dxa"/>
            <w:shd w:val="clear" w:color="auto" w:fill="auto"/>
            <w:noWrap/>
            <w:vAlign w:val="center"/>
          </w:tcPr>
          <w:p w:rsidR="00F26149" w:rsidRPr="00F26149" w:rsidRDefault="00F26149" w:rsidP="00F26149">
            <w:pPr>
              <w:spacing w:line="240" w:lineRule="auto"/>
              <w:jc w:val="right"/>
              <w:rPr>
                <w:color w:val="000000"/>
              </w:rPr>
            </w:pPr>
            <w:r w:rsidRPr="00F26149">
              <w:rPr>
                <w:color w:val="000000"/>
              </w:rPr>
              <w:t>&lt; 0.0001</w:t>
            </w:r>
          </w:p>
        </w:tc>
        <w:tc>
          <w:tcPr>
            <w:tcW w:w="1434" w:type="dxa"/>
            <w:shd w:val="clear" w:color="auto" w:fill="auto"/>
            <w:noWrap/>
            <w:vAlign w:val="bottom"/>
            <w:hideMark/>
          </w:tcPr>
          <w:p w:rsidR="00F26149" w:rsidRPr="00F26149" w:rsidRDefault="00F26149" w:rsidP="00F26149">
            <w:pPr>
              <w:spacing w:line="240" w:lineRule="auto"/>
              <w:jc w:val="center"/>
              <w:rPr>
                <w:color w:val="000000" w:themeColor="text1"/>
              </w:rPr>
            </w:pPr>
            <w:r w:rsidRPr="00F26149">
              <w:rPr>
                <w:color w:val="000000" w:themeColor="text1"/>
                <w:sz w:val="22"/>
              </w:rPr>
              <w:t>HS</w:t>
            </w:r>
          </w:p>
        </w:tc>
      </w:tr>
      <w:tr w:rsidR="00F26149" w:rsidRPr="00F26149" w:rsidTr="000A2167">
        <w:trPr>
          <w:trHeight w:val="290"/>
          <w:jc w:val="center"/>
        </w:trPr>
        <w:tc>
          <w:tcPr>
            <w:tcW w:w="2090" w:type="dxa"/>
            <w:shd w:val="clear" w:color="auto" w:fill="auto"/>
            <w:noWrap/>
            <w:vAlign w:val="bottom"/>
            <w:hideMark/>
          </w:tcPr>
          <w:p w:rsidR="00F26149" w:rsidRPr="00F26149" w:rsidRDefault="00F26149" w:rsidP="00F26149">
            <w:pPr>
              <w:spacing w:line="240" w:lineRule="auto"/>
              <w:jc w:val="center"/>
              <w:rPr>
                <w:color w:val="000000" w:themeColor="text1"/>
              </w:rPr>
            </w:pPr>
            <w:r w:rsidRPr="00F26149">
              <w:rPr>
                <w:color w:val="000000" w:themeColor="text1"/>
                <w:sz w:val="22"/>
              </w:rPr>
              <w:t>D</w:t>
            </w:r>
            <w:r w:rsidRPr="00F26149">
              <w:rPr>
                <w:color w:val="000000" w:themeColor="text1"/>
                <w:sz w:val="22"/>
                <w:vertAlign w:val="superscript"/>
              </w:rPr>
              <w:t>2</w:t>
            </w:r>
          </w:p>
        </w:tc>
        <w:tc>
          <w:tcPr>
            <w:tcW w:w="1353" w:type="dxa"/>
            <w:shd w:val="clear" w:color="auto" w:fill="auto"/>
            <w:noWrap/>
            <w:vAlign w:val="center"/>
            <w:hideMark/>
          </w:tcPr>
          <w:p w:rsidR="00F26149" w:rsidRPr="00F26149" w:rsidRDefault="00F26149" w:rsidP="00F26149">
            <w:pPr>
              <w:spacing w:line="240" w:lineRule="auto"/>
              <w:jc w:val="right"/>
              <w:rPr>
                <w:color w:val="000000"/>
              </w:rPr>
            </w:pPr>
            <w:r w:rsidRPr="00F26149">
              <w:rPr>
                <w:color w:val="000000"/>
              </w:rPr>
              <w:t>934.05</w:t>
            </w:r>
          </w:p>
        </w:tc>
        <w:tc>
          <w:tcPr>
            <w:tcW w:w="630" w:type="dxa"/>
            <w:shd w:val="clear" w:color="auto" w:fill="auto"/>
            <w:noWrap/>
            <w:vAlign w:val="center"/>
            <w:hideMark/>
          </w:tcPr>
          <w:p w:rsidR="00F26149" w:rsidRPr="00F26149" w:rsidRDefault="00F26149" w:rsidP="00F26149">
            <w:pPr>
              <w:spacing w:line="240" w:lineRule="auto"/>
              <w:jc w:val="right"/>
              <w:rPr>
                <w:color w:val="000000"/>
              </w:rPr>
            </w:pPr>
            <w:r w:rsidRPr="00F26149">
              <w:rPr>
                <w:color w:val="000000"/>
              </w:rPr>
              <w:t>1</w:t>
            </w:r>
          </w:p>
        </w:tc>
        <w:tc>
          <w:tcPr>
            <w:tcW w:w="1116" w:type="dxa"/>
            <w:shd w:val="clear" w:color="auto" w:fill="auto"/>
            <w:noWrap/>
            <w:vAlign w:val="center"/>
          </w:tcPr>
          <w:p w:rsidR="00F26149" w:rsidRPr="00F26149" w:rsidRDefault="00F26149" w:rsidP="00F26149">
            <w:pPr>
              <w:spacing w:line="240" w:lineRule="auto"/>
              <w:jc w:val="right"/>
              <w:rPr>
                <w:color w:val="000000"/>
              </w:rPr>
            </w:pPr>
            <w:r w:rsidRPr="00F26149">
              <w:rPr>
                <w:color w:val="000000"/>
              </w:rPr>
              <w:t>934.05</w:t>
            </w:r>
          </w:p>
        </w:tc>
        <w:tc>
          <w:tcPr>
            <w:tcW w:w="1116" w:type="dxa"/>
            <w:shd w:val="clear" w:color="auto" w:fill="auto"/>
            <w:noWrap/>
            <w:vAlign w:val="center"/>
          </w:tcPr>
          <w:p w:rsidR="00F26149" w:rsidRPr="00F26149" w:rsidRDefault="00F26149" w:rsidP="00F26149">
            <w:pPr>
              <w:spacing w:line="240" w:lineRule="auto"/>
              <w:jc w:val="right"/>
              <w:rPr>
                <w:color w:val="000000"/>
              </w:rPr>
            </w:pPr>
            <w:r w:rsidRPr="00F26149">
              <w:rPr>
                <w:color w:val="000000"/>
              </w:rPr>
              <w:t>120.62</w:t>
            </w:r>
          </w:p>
        </w:tc>
        <w:tc>
          <w:tcPr>
            <w:tcW w:w="1235" w:type="dxa"/>
            <w:shd w:val="clear" w:color="auto" w:fill="auto"/>
            <w:noWrap/>
            <w:vAlign w:val="center"/>
          </w:tcPr>
          <w:p w:rsidR="00F26149" w:rsidRPr="00F26149" w:rsidRDefault="00F26149" w:rsidP="00F26149">
            <w:pPr>
              <w:spacing w:line="240" w:lineRule="auto"/>
              <w:jc w:val="right"/>
              <w:rPr>
                <w:color w:val="000000"/>
              </w:rPr>
            </w:pPr>
            <w:r w:rsidRPr="00F26149">
              <w:rPr>
                <w:color w:val="000000"/>
              </w:rPr>
              <w:t>&lt; 0.0001</w:t>
            </w:r>
          </w:p>
        </w:tc>
        <w:tc>
          <w:tcPr>
            <w:tcW w:w="1434" w:type="dxa"/>
            <w:shd w:val="clear" w:color="auto" w:fill="auto"/>
            <w:noWrap/>
            <w:vAlign w:val="bottom"/>
            <w:hideMark/>
          </w:tcPr>
          <w:p w:rsidR="00F26149" w:rsidRPr="00F26149" w:rsidRDefault="00F26149" w:rsidP="00F26149">
            <w:pPr>
              <w:spacing w:line="240" w:lineRule="auto"/>
              <w:jc w:val="center"/>
              <w:rPr>
                <w:color w:val="000000" w:themeColor="text1"/>
              </w:rPr>
            </w:pPr>
            <w:r w:rsidRPr="00F26149">
              <w:rPr>
                <w:color w:val="000000" w:themeColor="text1"/>
                <w:sz w:val="22"/>
              </w:rPr>
              <w:t>HS</w:t>
            </w:r>
          </w:p>
        </w:tc>
      </w:tr>
      <w:tr w:rsidR="00F26149" w:rsidRPr="00F26149" w:rsidTr="000A2167">
        <w:trPr>
          <w:trHeight w:val="290"/>
          <w:jc w:val="center"/>
        </w:trPr>
        <w:tc>
          <w:tcPr>
            <w:tcW w:w="2090" w:type="dxa"/>
            <w:shd w:val="clear" w:color="auto" w:fill="auto"/>
            <w:noWrap/>
            <w:vAlign w:val="bottom"/>
            <w:hideMark/>
          </w:tcPr>
          <w:p w:rsidR="00F26149" w:rsidRPr="00F26149" w:rsidRDefault="00F26149" w:rsidP="00F26149">
            <w:pPr>
              <w:spacing w:line="240" w:lineRule="auto"/>
              <w:jc w:val="center"/>
              <w:rPr>
                <w:color w:val="000000" w:themeColor="text1"/>
              </w:rPr>
            </w:pPr>
            <w:r w:rsidRPr="00F26149">
              <w:rPr>
                <w:color w:val="000000" w:themeColor="text1"/>
                <w:sz w:val="22"/>
              </w:rPr>
              <w:t>Residual</w:t>
            </w:r>
          </w:p>
        </w:tc>
        <w:tc>
          <w:tcPr>
            <w:tcW w:w="1353" w:type="dxa"/>
            <w:shd w:val="clear" w:color="auto" w:fill="auto"/>
            <w:noWrap/>
            <w:vAlign w:val="center"/>
            <w:hideMark/>
          </w:tcPr>
          <w:p w:rsidR="00F26149" w:rsidRPr="00F26149" w:rsidRDefault="00F26149" w:rsidP="00F26149">
            <w:pPr>
              <w:spacing w:line="240" w:lineRule="auto"/>
              <w:jc w:val="right"/>
              <w:rPr>
                <w:color w:val="000000"/>
              </w:rPr>
            </w:pPr>
            <w:r w:rsidRPr="00F26149">
              <w:rPr>
                <w:color w:val="000000"/>
              </w:rPr>
              <w:t>108.42</w:t>
            </w:r>
          </w:p>
        </w:tc>
        <w:tc>
          <w:tcPr>
            <w:tcW w:w="630" w:type="dxa"/>
            <w:shd w:val="clear" w:color="auto" w:fill="auto"/>
            <w:noWrap/>
            <w:vAlign w:val="center"/>
            <w:hideMark/>
          </w:tcPr>
          <w:p w:rsidR="00F26149" w:rsidRPr="00F26149" w:rsidRDefault="00F26149" w:rsidP="00F26149">
            <w:pPr>
              <w:spacing w:line="240" w:lineRule="auto"/>
              <w:jc w:val="right"/>
              <w:rPr>
                <w:color w:val="000000"/>
              </w:rPr>
            </w:pPr>
            <w:r w:rsidRPr="00F26149">
              <w:rPr>
                <w:color w:val="000000"/>
              </w:rPr>
              <w:t>14</w:t>
            </w:r>
          </w:p>
        </w:tc>
        <w:tc>
          <w:tcPr>
            <w:tcW w:w="1116" w:type="dxa"/>
            <w:shd w:val="clear" w:color="auto" w:fill="auto"/>
            <w:noWrap/>
            <w:vAlign w:val="center"/>
          </w:tcPr>
          <w:p w:rsidR="00F26149" w:rsidRPr="00F26149" w:rsidRDefault="00F26149" w:rsidP="00F26149">
            <w:pPr>
              <w:spacing w:line="240" w:lineRule="auto"/>
              <w:jc w:val="right"/>
              <w:rPr>
                <w:color w:val="000000"/>
              </w:rPr>
            </w:pPr>
            <w:r w:rsidRPr="00F26149">
              <w:rPr>
                <w:color w:val="000000"/>
              </w:rPr>
              <w:t>7.74</w:t>
            </w:r>
          </w:p>
        </w:tc>
        <w:tc>
          <w:tcPr>
            <w:tcW w:w="1116" w:type="dxa"/>
            <w:shd w:val="clear" w:color="auto" w:fill="auto"/>
            <w:noWrap/>
            <w:vAlign w:val="center"/>
          </w:tcPr>
          <w:p w:rsidR="00F26149" w:rsidRPr="00F26149" w:rsidRDefault="00F26149" w:rsidP="00F26149">
            <w:pPr>
              <w:spacing w:line="240" w:lineRule="auto"/>
              <w:jc w:val="right"/>
              <w:rPr>
                <w:color w:val="000000"/>
              </w:rPr>
            </w:pPr>
          </w:p>
        </w:tc>
        <w:tc>
          <w:tcPr>
            <w:tcW w:w="1235" w:type="dxa"/>
            <w:shd w:val="clear" w:color="auto" w:fill="auto"/>
            <w:noWrap/>
            <w:vAlign w:val="center"/>
          </w:tcPr>
          <w:p w:rsidR="00F26149" w:rsidRPr="00F26149" w:rsidRDefault="00F26149" w:rsidP="00F26149">
            <w:pPr>
              <w:spacing w:line="240" w:lineRule="auto"/>
              <w:jc w:val="right"/>
              <w:rPr>
                <w:color w:val="000000"/>
              </w:rPr>
            </w:pPr>
          </w:p>
        </w:tc>
        <w:tc>
          <w:tcPr>
            <w:tcW w:w="1434" w:type="dxa"/>
            <w:shd w:val="clear" w:color="auto" w:fill="auto"/>
            <w:noWrap/>
            <w:vAlign w:val="bottom"/>
            <w:hideMark/>
          </w:tcPr>
          <w:p w:rsidR="00F26149" w:rsidRPr="00F26149" w:rsidRDefault="00F26149" w:rsidP="00F26149">
            <w:pPr>
              <w:spacing w:line="240" w:lineRule="auto"/>
              <w:jc w:val="center"/>
              <w:rPr>
                <w:color w:val="000000" w:themeColor="text1"/>
              </w:rPr>
            </w:pPr>
          </w:p>
        </w:tc>
      </w:tr>
      <w:tr w:rsidR="00F26149" w:rsidRPr="00F26149" w:rsidTr="000A2167">
        <w:trPr>
          <w:trHeight w:val="290"/>
          <w:jc w:val="center"/>
        </w:trPr>
        <w:tc>
          <w:tcPr>
            <w:tcW w:w="2090" w:type="dxa"/>
            <w:shd w:val="clear" w:color="auto" w:fill="auto"/>
            <w:noWrap/>
            <w:vAlign w:val="bottom"/>
            <w:hideMark/>
          </w:tcPr>
          <w:p w:rsidR="00F26149" w:rsidRPr="00F26149" w:rsidRDefault="00F26149" w:rsidP="00F26149">
            <w:pPr>
              <w:spacing w:line="240" w:lineRule="auto"/>
              <w:jc w:val="center"/>
              <w:rPr>
                <w:color w:val="000000" w:themeColor="text1"/>
              </w:rPr>
            </w:pPr>
            <w:r w:rsidRPr="00F26149">
              <w:rPr>
                <w:color w:val="000000" w:themeColor="text1"/>
                <w:sz w:val="22"/>
              </w:rPr>
              <w:t>Lack of Fit</w:t>
            </w:r>
          </w:p>
        </w:tc>
        <w:tc>
          <w:tcPr>
            <w:tcW w:w="1353" w:type="dxa"/>
            <w:shd w:val="clear" w:color="auto" w:fill="auto"/>
            <w:noWrap/>
            <w:vAlign w:val="center"/>
            <w:hideMark/>
          </w:tcPr>
          <w:p w:rsidR="00F26149" w:rsidRPr="00F26149" w:rsidRDefault="00F26149" w:rsidP="00F26149">
            <w:pPr>
              <w:spacing w:line="240" w:lineRule="auto"/>
              <w:jc w:val="right"/>
              <w:rPr>
                <w:color w:val="000000"/>
              </w:rPr>
            </w:pPr>
            <w:r w:rsidRPr="00F26149">
              <w:rPr>
                <w:color w:val="000000"/>
              </w:rPr>
              <w:t>108.42</w:t>
            </w:r>
          </w:p>
        </w:tc>
        <w:tc>
          <w:tcPr>
            <w:tcW w:w="630" w:type="dxa"/>
            <w:shd w:val="clear" w:color="auto" w:fill="auto"/>
            <w:noWrap/>
            <w:vAlign w:val="center"/>
            <w:hideMark/>
          </w:tcPr>
          <w:p w:rsidR="00F26149" w:rsidRPr="00F26149" w:rsidRDefault="00F26149" w:rsidP="00F26149">
            <w:pPr>
              <w:spacing w:line="240" w:lineRule="auto"/>
              <w:jc w:val="right"/>
              <w:rPr>
                <w:color w:val="000000"/>
              </w:rPr>
            </w:pPr>
            <w:r w:rsidRPr="00F26149">
              <w:rPr>
                <w:color w:val="000000"/>
              </w:rPr>
              <w:t>10</w:t>
            </w:r>
          </w:p>
        </w:tc>
        <w:tc>
          <w:tcPr>
            <w:tcW w:w="1116" w:type="dxa"/>
            <w:shd w:val="clear" w:color="auto" w:fill="auto"/>
            <w:noWrap/>
            <w:vAlign w:val="center"/>
          </w:tcPr>
          <w:p w:rsidR="00F26149" w:rsidRPr="00F26149" w:rsidRDefault="00F26149" w:rsidP="00F26149">
            <w:pPr>
              <w:spacing w:line="240" w:lineRule="auto"/>
              <w:jc w:val="right"/>
              <w:rPr>
                <w:color w:val="000000"/>
              </w:rPr>
            </w:pPr>
            <w:r w:rsidRPr="00F26149">
              <w:rPr>
                <w:color w:val="000000"/>
              </w:rPr>
              <w:t>10.84</w:t>
            </w:r>
          </w:p>
        </w:tc>
        <w:tc>
          <w:tcPr>
            <w:tcW w:w="1116" w:type="dxa"/>
            <w:shd w:val="clear" w:color="auto" w:fill="auto"/>
            <w:noWrap/>
            <w:vAlign w:val="center"/>
          </w:tcPr>
          <w:p w:rsidR="00F26149" w:rsidRPr="00F26149" w:rsidRDefault="0056497E" w:rsidP="00F26149">
            <w:pPr>
              <w:spacing w:line="240" w:lineRule="auto"/>
              <w:jc w:val="right"/>
              <w:rPr>
                <w:color w:val="000000"/>
              </w:rPr>
            </w:pPr>
            <w:r>
              <w:rPr>
                <w:color w:val="000000"/>
              </w:rPr>
              <w:t>1.35</w:t>
            </w:r>
          </w:p>
        </w:tc>
        <w:tc>
          <w:tcPr>
            <w:tcW w:w="1235" w:type="dxa"/>
            <w:shd w:val="clear" w:color="auto" w:fill="auto"/>
            <w:noWrap/>
            <w:vAlign w:val="center"/>
          </w:tcPr>
          <w:p w:rsidR="00F26149" w:rsidRPr="00F26149" w:rsidRDefault="0056497E" w:rsidP="00F26149">
            <w:pPr>
              <w:spacing w:line="240" w:lineRule="auto"/>
              <w:jc w:val="right"/>
              <w:rPr>
                <w:color w:val="000000"/>
              </w:rPr>
            </w:pPr>
            <w:r>
              <w:rPr>
                <w:color w:val="000000"/>
              </w:rPr>
              <w:t>0.325</w:t>
            </w:r>
          </w:p>
        </w:tc>
        <w:tc>
          <w:tcPr>
            <w:tcW w:w="1434" w:type="dxa"/>
            <w:shd w:val="clear" w:color="auto" w:fill="auto"/>
            <w:noWrap/>
            <w:vAlign w:val="bottom"/>
            <w:hideMark/>
          </w:tcPr>
          <w:p w:rsidR="00F26149" w:rsidRPr="00F26149" w:rsidRDefault="00F26149" w:rsidP="00F26149">
            <w:pPr>
              <w:spacing w:line="240" w:lineRule="auto"/>
              <w:jc w:val="center"/>
              <w:rPr>
                <w:color w:val="000000" w:themeColor="text1"/>
              </w:rPr>
            </w:pPr>
            <w:r w:rsidRPr="00F26149">
              <w:rPr>
                <w:color w:val="000000" w:themeColor="text1"/>
                <w:sz w:val="22"/>
              </w:rPr>
              <w:t>NS</w:t>
            </w:r>
          </w:p>
        </w:tc>
      </w:tr>
      <w:tr w:rsidR="00F26149" w:rsidRPr="00F26149" w:rsidTr="000A2167">
        <w:trPr>
          <w:trHeight w:val="290"/>
          <w:jc w:val="center"/>
        </w:trPr>
        <w:tc>
          <w:tcPr>
            <w:tcW w:w="2090" w:type="dxa"/>
            <w:shd w:val="clear" w:color="auto" w:fill="auto"/>
            <w:noWrap/>
            <w:vAlign w:val="bottom"/>
            <w:hideMark/>
          </w:tcPr>
          <w:p w:rsidR="00F26149" w:rsidRPr="00F26149" w:rsidRDefault="00F26149" w:rsidP="00F26149">
            <w:pPr>
              <w:spacing w:line="240" w:lineRule="auto"/>
              <w:jc w:val="center"/>
              <w:rPr>
                <w:color w:val="000000" w:themeColor="text1"/>
              </w:rPr>
            </w:pPr>
            <w:r w:rsidRPr="00F26149">
              <w:rPr>
                <w:color w:val="000000" w:themeColor="text1"/>
                <w:sz w:val="22"/>
              </w:rPr>
              <w:t>Pure Error</w:t>
            </w:r>
          </w:p>
        </w:tc>
        <w:tc>
          <w:tcPr>
            <w:tcW w:w="1353" w:type="dxa"/>
            <w:shd w:val="clear" w:color="auto" w:fill="auto"/>
            <w:noWrap/>
            <w:vAlign w:val="center"/>
            <w:hideMark/>
          </w:tcPr>
          <w:p w:rsidR="00F26149" w:rsidRPr="00F26149" w:rsidRDefault="00F26149" w:rsidP="00F26149">
            <w:pPr>
              <w:spacing w:line="240" w:lineRule="auto"/>
              <w:jc w:val="right"/>
              <w:rPr>
                <w:color w:val="000000"/>
              </w:rPr>
            </w:pPr>
            <w:r w:rsidRPr="00F26149">
              <w:rPr>
                <w:color w:val="000000"/>
              </w:rPr>
              <w:t>0.000</w:t>
            </w:r>
          </w:p>
        </w:tc>
        <w:tc>
          <w:tcPr>
            <w:tcW w:w="630" w:type="dxa"/>
            <w:shd w:val="clear" w:color="auto" w:fill="auto"/>
            <w:noWrap/>
            <w:vAlign w:val="center"/>
            <w:hideMark/>
          </w:tcPr>
          <w:p w:rsidR="00F26149" w:rsidRPr="00F26149" w:rsidRDefault="00F26149" w:rsidP="00F26149">
            <w:pPr>
              <w:spacing w:line="240" w:lineRule="auto"/>
              <w:jc w:val="right"/>
              <w:rPr>
                <w:color w:val="000000"/>
              </w:rPr>
            </w:pPr>
            <w:r w:rsidRPr="00F26149">
              <w:rPr>
                <w:color w:val="000000"/>
              </w:rPr>
              <w:t>4</w:t>
            </w:r>
          </w:p>
        </w:tc>
        <w:tc>
          <w:tcPr>
            <w:tcW w:w="1116" w:type="dxa"/>
            <w:shd w:val="clear" w:color="auto" w:fill="auto"/>
            <w:noWrap/>
            <w:vAlign w:val="center"/>
          </w:tcPr>
          <w:p w:rsidR="00F26149" w:rsidRPr="00F26149" w:rsidRDefault="00F26149" w:rsidP="00F26149">
            <w:pPr>
              <w:spacing w:line="240" w:lineRule="auto"/>
              <w:jc w:val="right"/>
              <w:rPr>
                <w:color w:val="000000"/>
              </w:rPr>
            </w:pPr>
            <w:r w:rsidRPr="00F26149">
              <w:rPr>
                <w:color w:val="000000"/>
              </w:rPr>
              <w:t>0.000</w:t>
            </w:r>
          </w:p>
        </w:tc>
        <w:tc>
          <w:tcPr>
            <w:tcW w:w="1116" w:type="dxa"/>
            <w:shd w:val="clear" w:color="auto" w:fill="auto"/>
            <w:noWrap/>
            <w:vAlign w:val="center"/>
          </w:tcPr>
          <w:p w:rsidR="00F26149" w:rsidRPr="00F26149" w:rsidRDefault="00F26149" w:rsidP="00F26149">
            <w:pPr>
              <w:spacing w:line="240" w:lineRule="auto"/>
              <w:jc w:val="right"/>
              <w:rPr>
                <w:color w:val="000000"/>
              </w:rPr>
            </w:pPr>
          </w:p>
        </w:tc>
        <w:tc>
          <w:tcPr>
            <w:tcW w:w="1235" w:type="dxa"/>
            <w:shd w:val="clear" w:color="auto" w:fill="auto"/>
            <w:noWrap/>
            <w:vAlign w:val="center"/>
          </w:tcPr>
          <w:p w:rsidR="00F26149" w:rsidRPr="00F26149" w:rsidRDefault="00F26149" w:rsidP="00F26149">
            <w:pPr>
              <w:spacing w:line="240" w:lineRule="auto"/>
              <w:jc w:val="right"/>
              <w:rPr>
                <w:color w:val="000000"/>
              </w:rPr>
            </w:pPr>
          </w:p>
        </w:tc>
        <w:tc>
          <w:tcPr>
            <w:tcW w:w="1434" w:type="dxa"/>
            <w:shd w:val="clear" w:color="auto" w:fill="auto"/>
            <w:noWrap/>
            <w:vAlign w:val="bottom"/>
            <w:hideMark/>
          </w:tcPr>
          <w:p w:rsidR="00F26149" w:rsidRPr="00F26149" w:rsidRDefault="00F26149" w:rsidP="00F26149">
            <w:pPr>
              <w:spacing w:line="240" w:lineRule="auto"/>
              <w:jc w:val="center"/>
              <w:rPr>
                <w:color w:val="000000" w:themeColor="text1"/>
              </w:rPr>
            </w:pPr>
          </w:p>
        </w:tc>
      </w:tr>
      <w:tr w:rsidR="00F26149" w:rsidRPr="00F26149" w:rsidTr="000A2167">
        <w:trPr>
          <w:trHeight w:val="290"/>
          <w:jc w:val="center"/>
        </w:trPr>
        <w:tc>
          <w:tcPr>
            <w:tcW w:w="2090" w:type="dxa"/>
            <w:tcBorders>
              <w:bottom w:val="single" w:sz="8" w:space="0" w:color="auto"/>
            </w:tcBorders>
            <w:shd w:val="clear" w:color="auto" w:fill="auto"/>
            <w:noWrap/>
            <w:vAlign w:val="bottom"/>
          </w:tcPr>
          <w:p w:rsidR="00F26149" w:rsidRPr="00F26149" w:rsidRDefault="00F26149" w:rsidP="00F26149">
            <w:pPr>
              <w:spacing w:line="240" w:lineRule="auto"/>
              <w:jc w:val="center"/>
              <w:rPr>
                <w:color w:val="000000" w:themeColor="text1"/>
                <w:sz w:val="22"/>
              </w:rPr>
            </w:pPr>
            <w:r w:rsidRPr="00F26149">
              <w:rPr>
                <w:color w:val="000000" w:themeColor="text1"/>
                <w:sz w:val="22"/>
              </w:rPr>
              <w:t>Cor Total</w:t>
            </w:r>
          </w:p>
        </w:tc>
        <w:tc>
          <w:tcPr>
            <w:tcW w:w="1353" w:type="dxa"/>
            <w:tcBorders>
              <w:bottom w:val="single" w:sz="8" w:space="0" w:color="auto"/>
            </w:tcBorders>
            <w:shd w:val="clear" w:color="auto" w:fill="auto"/>
            <w:noWrap/>
            <w:vAlign w:val="center"/>
          </w:tcPr>
          <w:p w:rsidR="00F26149" w:rsidRPr="00F26149" w:rsidRDefault="00F26149" w:rsidP="00F26149">
            <w:pPr>
              <w:spacing w:line="240" w:lineRule="auto"/>
              <w:jc w:val="right"/>
              <w:rPr>
                <w:color w:val="000000"/>
              </w:rPr>
            </w:pPr>
            <w:r w:rsidRPr="00F26149">
              <w:rPr>
                <w:color w:val="000000"/>
              </w:rPr>
              <w:t>7554.97</w:t>
            </w:r>
          </w:p>
        </w:tc>
        <w:tc>
          <w:tcPr>
            <w:tcW w:w="630" w:type="dxa"/>
            <w:tcBorders>
              <w:bottom w:val="single" w:sz="8" w:space="0" w:color="auto"/>
            </w:tcBorders>
            <w:shd w:val="clear" w:color="auto" w:fill="auto"/>
            <w:noWrap/>
            <w:vAlign w:val="center"/>
          </w:tcPr>
          <w:p w:rsidR="00F26149" w:rsidRPr="00F26149" w:rsidRDefault="00F26149" w:rsidP="00F26149">
            <w:pPr>
              <w:spacing w:line="240" w:lineRule="auto"/>
              <w:jc w:val="right"/>
              <w:rPr>
                <w:color w:val="000000"/>
              </w:rPr>
            </w:pPr>
            <w:r w:rsidRPr="00F26149">
              <w:rPr>
                <w:color w:val="000000"/>
              </w:rPr>
              <w:t>28</w:t>
            </w:r>
          </w:p>
        </w:tc>
        <w:tc>
          <w:tcPr>
            <w:tcW w:w="1116" w:type="dxa"/>
            <w:tcBorders>
              <w:bottom w:val="single" w:sz="8" w:space="0" w:color="auto"/>
            </w:tcBorders>
            <w:shd w:val="clear" w:color="auto" w:fill="auto"/>
            <w:noWrap/>
            <w:vAlign w:val="bottom"/>
          </w:tcPr>
          <w:p w:rsidR="00F26149" w:rsidRPr="00F26149" w:rsidRDefault="00F26149" w:rsidP="00F26149">
            <w:pPr>
              <w:spacing w:line="240" w:lineRule="auto"/>
              <w:jc w:val="center"/>
              <w:rPr>
                <w:color w:val="000000" w:themeColor="text1"/>
                <w:sz w:val="22"/>
              </w:rPr>
            </w:pPr>
          </w:p>
        </w:tc>
        <w:tc>
          <w:tcPr>
            <w:tcW w:w="1116" w:type="dxa"/>
            <w:tcBorders>
              <w:bottom w:val="single" w:sz="8" w:space="0" w:color="auto"/>
            </w:tcBorders>
            <w:shd w:val="clear" w:color="auto" w:fill="auto"/>
            <w:noWrap/>
            <w:vAlign w:val="bottom"/>
          </w:tcPr>
          <w:p w:rsidR="00F26149" w:rsidRPr="00F26149" w:rsidRDefault="00F26149" w:rsidP="00F26149">
            <w:pPr>
              <w:spacing w:line="240" w:lineRule="auto"/>
              <w:jc w:val="center"/>
              <w:rPr>
                <w:color w:val="000000" w:themeColor="text1"/>
              </w:rPr>
            </w:pPr>
          </w:p>
        </w:tc>
        <w:tc>
          <w:tcPr>
            <w:tcW w:w="1235" w:type="dxa"/>
            <w:tcBorders>
              <w:bottom w:val="single" w:sz="8" w:space="0" w:color="auto"/>
            </w:tcBorders>
            <w:shd w:val="clear" w:color="auto" w:fill="auto"/>
            <w:noWrap/>
            <w:vAlign w:val="bottom"/>
          </w:tcPr>
          <w:p w:rsidR="00F26149" w:rsidRPr="00F26149" w:rsidRDefault="00F26149" w:rsidP="00F26149">
            <w:pPr>
              <w:spacing w:line="240" w:lineRule="auto"/>
              <w:jc w:val="center"/>
              <w:rPr>
                <w:color w:val="000000" w:themeColor="text1"/>
              </w:rPr>
            </w:pPr>
          </w:p>
        </w:tc>
        <w:tc>
          <w:tcPr>
            <w:tcW w:w="1434" w:type="dxa"/>
            <w:tcBorders>
              <w:bottom w:val="single" w:sz="8" w:space="0" w:color="auto"/>
            </w:tcBorders>
            <w:shd w:val="clear" w:color="auto" w:fill="auto"/>
            <w:noWrap/>
            <w:vAlign w:val="bottom"/>
          </w:tcPr>
          <w:p w:rsidR="00F26149" w:rsidRPr="00F26149" w:rsidRDefault="00F26149" w:rsidP="00F26149">
            <w:pPr>
              <w:spacing w:line="240" w:lineRule="auto"/>
              <w:jc w:val="center"/>
              <w:rPr>
                <w:color w:val="000000" w:themeColor="text1"/>
              </w:rPr>
            </w:pPr>
          </w:p>
        </w:tc>
      </w:tr>
    </w:tbl>
    <w:p w:rsidR="00952FC6" w:rsidRDefault="00952FC6" w:rsidP="00152545">
      <w:pPr>
        <w:jc w:val="both"/>
      </w:pPr>
    </w:p>
    <w:p w:rsidR="00DC75B6" w:rsidRDefault="00F26149">
      <w:pPr>
        <w:jc w:val="both"/>
      </w:pPr>
      <w:r>
        <w:t xml:space="preserve">Where HS, S </w:t>
      </w:r>
      <w:r w:rsidRPr="00084A1C">
        <w:rPr>
          <w:noProof/>
        </w:rPr>
        <w:t>and</w:t>
      </w:r>
      <w:r w:rsidR="00084A1C">
        <w:rPr>
          <w:noProof/>
        </w:rPr>
        <w:t xml:space="preserve"> NS represent </w:t>
      </w:r>
      <w:r w:rsidRPr="00084A1C">
        <w:rPr>
          <w:noProof/>
        </w:rPr>
        <w:t>highly</w:t>
      </w:r>
      <w:r>
        <w:t xml:space="preserve"> sig</w:t>
      </w:r>
      <w:r w:rsidR="00084A1C">
        <w:t>nificance, significance and non-s</w:t>
      </w:r>
      <w:r>
        <w:t>ignificance</w:t>
      </w:r>
      <w:r w:rsidR="001F614A">
        <w:t>, respectively.</w:t>
      </w:r>
      <w:r>
        <w:t xml:space="preserve"> </w:t>
      </w:r>
    </w:p>
    <w:p w:rsidR="006A5329" w:rsidRDefault="006A5329" w:rsidP="006440B7">
      <w:pPr>
        <w:jc w:val="both"/>
      </w:pPr>
    </w:p>
    <w:p w:rsidR="000072AA" w:rsidRDefault="000072AA">
      <w:pPr>
        <w:jc w:val="both"/>
        <w:rPr>
          <w:color w:val="000000" w:themeColor="text1"/>
        </w:rPr>
      </w:pPr>
      <w:r>
        <w:t xml:space="preserve">As shown in Tables 3 and 4, both developed models are highly significant with </w:t>
      </w:r>
      <w:r w:rsidR="00EA15FA">
        <w:t xml:space="preserve">a </w:t>
      </w:r>
      <w:r w:rsidRPr="00EA15FA">
        <w:rPr>
          <w:noProof/>
        </w:rPr>
        <w:t>p-value</w:t>
      </w:r>
      <w:r>
        <w:t xml:space="preserve"> of </w:t>
      </w:r>
      <w:r>
        <w:br/>
      </w:r>
      <w:r w:rsidRPr="00F26149">
        <w:rPr>
          <w:color w:val="000000"/>
        </w:rPr>
        <w:t>&lt; 0.0001</w:t>
      </w:r>
      <w:r>
        <w:rPr>
          <w:color w:val="000000"/>
        </w:rPr>
        <w:t xml:space="preserve">. In addition, the lack of fit analysis which </w:t>
      </w:r>
      <w:r w:rsidRPr="00EA15FA">
        <w:rPr>
          <w:noProof/>
          <w:color w:val="000000"/>
        </w:rPr>
        <w:t>indicate</w:t>
      </w:r>
      <w:r w:rsidR="00EA15FA">
        <w:rPr>
          <w:noProof/>
          <w:color w:val="000000"/>
        </w:rPr>
        <w:t>s</w:t>
      </w:r>
      <w:r>
        <w:rPr>
          <w:color w:val="000000"/>
        </w:rPr>
        <w:t xml:space="preserve"> the failure of the model in fitting the experimental data showed </w:t>
      </w:r>
      <w:r w:rsidR="00EA15FA">
        <w:rPr>
          <w:color w:val="000000"/>
        </w:rPr>
        <w:t xml:space="preserve">the </w:t>
      </w:r>
      <w:r w:rsidRPr="00EA15FA">
        <w:rPr>
          <w:noProof/>
          <w:color w:val="000000"/>
        </w:rPr>
        <w:t>non-significant</w:t>
      </w:r>
      <w:r>
        <w:rPr>
          <w:color w:val="000000"/>
        </w:rPr>
        <w:t xml:space="preserve"> result. This </w:t>
      </w:r>
      <w:r w:rsidRPr="00EA15FA">
        <w:rPr>
          <w:noProof/>
          <w:color w:val="000000"/>
        </w:rPr>
        <w:t>illustrate</w:t>
      </w:r>
      <w:r w:rsidR="00EA15FA">
        <w:rPr>
          <w:noProof/>
          <w:color w:val="000000"/>
        </w:rPr>
        <w:t>s</w:t>
      </w:r>
      <w:r>
        <w:rPr>
          <w:color w:val="000000"/>
        </w:rPr>
        <w:t xml:space="preserve"> the accuracy of the models in predicting the experimental results. In addition, the</w:t>
      </w:r>
      <w:r w:rsidRPr="00B749E4">
        <w:rPr>
          <w:color w:val="000000" w:themeColor="text1"/>
        </w:rPr>
        <w:t xml:space="preserve"> values of R</w:t>
      </w:r>
      <w:r w:rsidRPr="00B749E4">
        <w:rPr>
          <w:color w:val="000000" w:themeColor="text1"/>
          <w:vertAlign w:val="superscript"/>
        </w:rPr>
        <w:t>2</w:t>
      </w:r>
      <w:r w:rsidRPr="00EE694C">
        <w:rPr>
          <w:color w:val="000000" w:themeColor="text1"/>
        </w:rPr>
        <w:t>, R</w:t>
      </w:r>
      <w:r w:rsidRPr="00EE694C">
        <w:rPr>
          <w:color w:val="000000" w:themeColor="text1"/>
          <w:vertAlign w:val="superscript"/>
        </w:rPr>
        <w:t>2</w:t>
      </w:r>
      <w:r w:rsidRPr="00EE694C">
        <w:rPr>
          <w:color w:val="000000" w:themeColor="text1"/>
          <w:vertAlign w:val="subscript"/>
        </w:rPr>
        <w:t>adj</w:t>
      </w:r>
      <w:r w:rsidRPr="00EE694C">
        <w:rPr>
          <w:color w:val="000000" w:themeColor="text1"/>
        </w:rPr>
        <w:t>,</w:t>
      </w:r>
      <w:r w:rsidRPr="00EE694C">
        <w:rPr>
          <w:color w:val="000000" w:themeColor="text1"/>
          <w:vertAlign w:val="subscript"/>
        </w:rPr>
        <w:t xml:space="preserve"> </w:t>
      </w:r>
      <w:r w:rsidRPr="00EE694C">
        <w:rPr>
          <w:color w:val="000000" w:themeColor="text1"/>
        </w:rPr>
        <w:t>R</w:t>
      </w:r>
      <w:r w:rsidRPr="00EE694C">
        <w:rPr>
          <w:color w:val="000000" w:themeColor="text1"/>
          <w:vertAlign w:val="superscript"/>
        </w:rPr>
        <w:t>2</w:t>
      </w:r>
      <w:r w:rsidRPr="00EE694C">
        <w:rPr>
          <w:color w:val="000000" w:themeColor="text1"/>
          <w:vertAlign w:val="subscript"/>
        </w:rPr>
        <w:t>pred</w:t>
      </w:r>
      <w:r w:rsidRPr="00EE694C">
        <w:rPr>
          <w:color w:val="000000" w:themeColor="text1"/>
        </w:rPr>
        <w:t xml:space="preserve"> </w:t>
      </w:r>
      <w:r w:rsidRPr="002C025E">
        <w:rPr>
          <w:color w:val="000000" w:themeColor="text1"/>
        </w:rPr>
        <w:t>have been</w:t>
      </w:r>
      <w:r w:rsidRPr="00B749E4">
        <w:rPr>
          <w:color w:val="000000" w:themeColor="text1"/>
        </w:rPr>
        <w:t xml:space="preserve"> evaluated for </w:t>
      </w:r>
      <w:r>
        <w:rPr>
          <w:color w:val="000000" w:themeColor="text1"/>
        </w:rPr>
        <w:t xml:space="preserve">BO </w:t>
      </w:r>
      <w:r w:rsidRPr="00B749E4">
        <w:rPr>
          <w:color w:val="000000" w:themeColor="text1"/>
        </w:rPr>
        <w:t xml:space="preserve">yield </w:t>
      </w:r>
      <w:r>
        <w:rPr>
          <w:color w:val="000000" w:themeColor="text1"/>
        </w:rPr>
        <w:t>model as 0.99, 0.978 and 0.943</w:t>
      </w:r>
      <w:r w:rsidRPr="00B749E4">
        <w:rPr>
          <w:color w:val="000000" w:themeColor="text1"/>
        </w:rPr>
        <w:t>, respectively</w:t>
      </w:r>
      <w:r>
        <w:rPr>
          <w:color w:val="000000" w:themeColor="text1"/>
        </w:rPr>
        <w:t>. The value of adequacy precision, which indicate</w:t>
      </w:r>
      <w:r w:rsidR="00084A1C">
        <w:rPr>
          <w:color w:val="000000" w:themeColor="text1"/>
        </w:rPr>
        <w:t>s</w:t>
      </w:r>
      <w:r>
        <w:rPr>
          <w:color w:val="000000" w:themeColor="text1"/>
        </w:rPr>
        <w:t xml:space="preserve"> the ratio between the predicted response</w:t>
      </w:r>
      <w:r w:rsidR="00084A1C">
        <w:rPr>
          <w:color w:val="000000" w:themeColor="text1"/>
        </w:rPr>
        <w:t xml:space="preserve"> and</w:t>
      </w:r>
      <w:r>
        <w:rPr>
          <w:color w:val="000000" w:themeColor="text1"/>
        </w:rPr>
        <w:t xml:space="preserve"> the relative error (signal to noise ratio) has been assessed for both models. The values greater than 4 for t</w:t>
      </w:r>
      <w:r w:rsidR="006440B7">
        <w:rPr>
          <w:color w:val="000000" w:themeColor="text1"/>
        </w:rPr>
        <w:t xml:space="preserve">he adequacy precision is </w:t>
      </w:r>
      <w:r w:rsidR="006440B7" w:rsidRPr="00310539">
        <w:rPr>
          <w:noProof/>
          <w:color w:val="000000" w:themeColor="text1"/>
        </w:rPr>
        <w:t>favourable</w:t>
      </w:r>
      <w:r w:rsidR="006440B7">
        <w:rPr>
          <w:color w:val="000000" w:themeColor="text1"/>
        </w:rPr>
        <w:t xml:space="preserve">. The adequacy precision test has reported 12.37 and 25.92 for both BO conversion and BC yield models, respectively. A plot representing the experimental actual </w:t>
      </w:r>
      <w:r w:rsidR="006440B7" w:rsidRPr="002C025E">
        <w:rPr>
          <w:i/>
          <w:iCs/>
          <w:color w:val="000000" w:themeColor="text1"/>
        </w:rPr>
        <w:t xml:space="preserve">versus </w:t>
      </w:r>
      <w:r w:rsidR="006440B7">
        <w:rPr>
          <w:color w:val="000000" w:themeColor="text1"/>
        </w:rPr>
        <w:t>predicted dat</w:t>
      </w:r>
      <w:r w:rsidR="001F614A">
        <w:rPr>
          <w:color w:val="000000" w:themeColor="text1"/>
        </w:rPr>
        <w:t>a is</w:t>
      </w:r>
      <w:r w:rsidR="006440B7">
        <w:rPr>
          <w:color w:val="000000" w:themeColor="text1"/>
        </w:rPr>
        <w:t xml:space="preserve"> </w:t>
      </w:r>
      <w:r w:rsidR="0049408C">
        <w:rPr>
          <w:color w:val="000000" w:themeColor="text1"/>
        </w:rPr>
        <w:t xml:space="preserve">shown </w:t>
      </w:r>
      <w:r w:rsidR="006440B7">
        <w:rPr>
          <w:color w:val="000000" w:themeColor="text1"/>
        </w:rPr>
        <w:t>in Figure 3. The similarity between the predicted and actual data ensures the accuracy and the adequacy of the predicted models.</w:t>
      </w:r>
    </w:p>
    <w:p w:rsidR="006440B7" w:rsidRDefault="006440B7" w:rsidP="006440B7">
      <w:pPr>
        <w:jc w:val="both"/>
        <w:rPr>
          <w:color w:val="000000" w:themeColor="text1"/>
        </w:rPr>
      </w:pPr>
    </w:p>
    <w:p w:rsidR="006440B7" w:rsidRDefault="008F7F5A" w:rsidP="006440B7">
      <w:pPr>
        <w:jc w:val="both"/>
      </w:pPr>
      <w:r>
        <w:rPr>
          <w:noProof/>
          <w:lang w:eastAsia="en-GB"/>
        </w:rPr>
        <w:drawing>
          <wp:inline distT="0" distB="0" distL="0" distR="0" wp14:anchorId="5A8ED65D" wp14:editId="34C28FB8">
            <wp:extent cx="5720715" cy="234061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0715" cy="2340610"/>
                    </a:xfrm>
                    <a:prstGeom prst="rect">
                      <a:avLst/>
                    </a:prstGeom>
                    <a:noFill/>
                    <a:ln>
                      <a:noFill/>
                    </a:ln>
                  </pic:spPr>
                </pic:pic>
              </a:graphicData>
            </a:graphic>
          </wp:inline>
        </w:drawing>
      </w:r>
    </w:p>
    <w:p w:rsidR="006440B7" w:rsidRPr="008E2A68" w:rsidRDefault="008E2A68" w:rsidP="00FA2670">
      <w:pPr>
        <w:pStyle w:val="Caption"/>
        <w:rPr>
          <w:b w:val="0"/>
          <w:color w:val="auto"/>
          <w:sz w:val="24"/>
          <w:szCs w:val="24"/>
        </w:rPr>
      </w:pPr>
      <w:bookmarkStart w:id="9" w:name="_Toc528474667"/>
      <w:r w:rsidRPr="0049408C">
        <w:rPr>
          <w:bCs w:val="0"/>
          <w:color w:val="auto"/>
          <w:sz w:val="24"/>
          <w:szCs w:val="24"/>
        </w:rPr>
        <w:t xml:space="preserve">Figure </w:t>
      </w:r>
      <w:r w:rsidRPr="0049408C">
        <w:rPr>
          <w:bCs w:val="0"/>
          <w:color w:val="auto"/>
          <w:sz w:val="24"/>
          <w:szCs w:val="24"/>
        </w:rPr>
        <w:fldChar w:fldCharType="begin"/>
      </w:r>
      <w:r w:rsidRPr="0049408C">
        <w:rPr>
          <w:bCs w:val="0"/>
          <w:color w:val="auto"/>
          <w:sz w:val="24"/>
          <w:szCs w:val="24"/>
        </w:rPr>
        <w:instrText xml:space="preserve"> SEQ Figure \* ARABIC </w:instrText>
      </w:r>
      <w:r w:rsidRPr="0049408C">
        <w:rPr>
          <w:bCs w:val="0"/>
          <w:color w:val="auto"/>
          <w:sz w:val="24"/>
          <w:szCs w:val="24"/>
        </w:rPr>
        <w:fldChar w:fldCharType="separate"/>
      </w:r>
      <w:r w:rsidR="004A2E92" w:rsidRPr="0049408C">
        <w:rPr>
          <w:bCs w:val="0"/>
          <w:noProof/>
          <w:color w:val="auto"/>
          <w:sz w:val="24"/>
          <w:szCs w:val="24"/>
        </w:rPr>
        <w:t>3</w:t>
      </w:r>
      <w:r w:rsidRPr="0049408C">
        <w:rPr>
          <w:bCs w:val="0"/>
          <w:color w:val="auto"/>
          <w:sz w:val="24"/>
          <w:szCs w:val="24"/>
        </w:rPr>
        <w:fldChar w:fldCharType="end"/>
      </w:r>
      <w:r w:rsidR="006440B7" w:rsidRPr="0049408C">
        <w:rPr>
          <w:bCs w:val="0"/>
          <w:color w:val="auto"/>
          <w:sz w:val="24"/>
          <w:szCs w:val="24"/>
        </w:rPr>
        <w:t>.</w:t>
      </w:r>
      <w:r w:rsidR="006440B7" w:rsidRPr="008E2A68">
        <w:rPr>
          <w:b w:val="0"/>
          <w:color w:val="auto"/>
          <w:sz w:val="24"/>
          <w:szCs w:val="24"/>
        </w:rPr>
        <w:t xml:space="preserve"> Predicted </w:t>
      </w:r>
      <w:r w:rsidR="006440B7" w:rsidRPr="008E2A68">
        <w:rPr>
          <w:b w:val="0"/>
          <w:i/>
          <w:iCs/>
          <w:color w:val="auto"/>
          <w:sz w:val="24"/>
          <w:szCs w:val="24"/>
        </w:rPr>
        <w:t>versus</w:t>
      </w:r>
      <w:r w:rsidR="006440B7" w:rsidRPr="008E2A68">
        <w:rPr>
          <w:b w:val="0"/>
          <w:color w:val="auto"/>
          <w:sz w:val="24"/>
          <w:szCs w:val="24"/>
        </w:rPr>
        <w:t xml:space="preserve"> actual values for </w:t>
      </w:r>
      <w:r w:rsidR="00084A1C">
        <w:rPr>
          <w:b w:val="0"/>
          <w:color w:val="auto"/>
          <w:sz w:val="24"/>
          <w:szCs w:val="24"/>
        </w:rPr>
        <w:t xml:space="preserve">(a) </w:t>
      </w:r>
      <w:r w:rsidR="006440B7" w:rsidRPr="008E2A68">
        <w:rPr>
          <w:b w:val="0"/>
          <w:color w:val="auto"/>
          <w:sz w:val="24"/>
          <w:szCs w:val="24"/>
        </w:rPr>
        <w:t>BO conversion model (</w:t>
      </w:r>
      <w:r w:rsidR="00084A1C">
        <w:rPr>
          <w:b w:val="0"/>
          <w:color w:val="auto"/>
          <w:sz w:val="24"/>
          <w:szCs w:val="24"/>
        </w:rPr>
        <w:t>b</w:t>
      </w:r>
      <w:r w:rsidR="006440B7" w:rsidRPr="008E2A68">
        <w:rPr>
          <w:b w:val="0"/>
          <w:color w:val="auto"/>
          <w:sz w:val="24"/>
          <w:szCs w:val="24"/>
        </w:rPr>
        <w:t>) and BC yield model</w:t>
      </w:r>
      <w:bookmarkEnd w:id="9"/>
      <w:r w:rsidR="006440B7" w:rsidRPr="008E2A68">
        <w:rPr>
          <w:b w:val="0"/>
          <w:color w:val="auto"/>
          <w:sz w:val="24"/>
          <w:szCs w:val="24"/>
        </w:rPr>
        <w:t xml:space="preserve"> </w:t>
      </w:r>
    </w:p>
    <w:p w:rsidR="006440B7" w:rsidRDefault="006440B7" w:rsidP="006440B7">
      <w:pPr>
        <w:jc w:val="center"/>
      </w:pPr>
    </w:p>
    <w:p w:rsidR="00A678B1" w:rsidRDefault="00533BAA" w:rsidP="00411627">
      <w:pPr>
        <w:jc w:val="both"/>
        <w:rPr>
          <w:color w:val="000000" w:themeColor="text1"/>
        </w:rPr>
      </w:pPr>
      <w:r>
        <w:t xml:space="preserve">In order to rely on the conclusions </w:t>
      </w:r>
      <w:r w:rsidR="00A678B1">
        <w:t>conveyed</w:t>
      </w:r>
      <w:r>
        <w:t xml:space="preserve"> from the statistical adequacy checking using ANOVA, the assumptions of the ANOVA should be examined. These assumptions could be summarised in</w:t>
      </w:r>
      <w:r>
        <w:rPr>
          <w:color w:val="000000" w:themeColor="text1"/>
        </w:rPr>
        <w:t xml:space="preserve"> residuals normality, </w:t>
      </w:r>
      <w:r w:rsidR="00FF0BEC">
        <w:rPr>
          <w:color w:val="000000" w:themeColor="text1"/>
        </w:rPr>
        <w:t>residuals</w:t>
      </w:r>
      <w:r>
        <w:rPr>
          <w:color w:val="000000" w:themeColor="text1"/>
        </w:rPr>
        <w:t xml:space="preserve"> </w:t>
      </w:r>
      <w:r w:rsidRPr="00310539">
        <w:rPr>
          <w:noProof/>
          <w:color w:val="000000" w:themeColor="text1"/>
        </w:rPr>
        <w:t>randomisation</w:t>
      </w:r>
      <w:r w:rsidR="00FF0BEC">
        <w:rPr>
          <w:color w:val="000000" w:themeColor="text1"/>
        </w:rPr>
        <w:t xml:space="preserve"> and h</w:t>
      </w:r>
      <w:r w:rsidR="00FF0BEC" w:rsidRPr="00A272D7">
        <w:rPr>
          <w:color w:val="000000" w:themeColor="text1"/>
        </w:rPr>
        <w:t>omoscedasticity</w:t>
      </w:r>
      <w:r w:rsidR="00FF0BEC">
        <w:rPr>
          <w:color w:val="000000" w:themeColor="text1"/>
        </w:rPr>
        <w:t xml:space="preserve"> (equal variance) of residuals </w:t>
      </w:r>
      <w:r>
        <w:rPr>
          <w:color w:val="000000" w:themeColor="text1"/>
        </w:rPr>
        <w:fldChar w:fldCharType="begin" w:fldLock="1"/>
      </w:r>
      <w:r w:rsidR="00CB10A7">
        <w:rPr>
          <w:color w:val="000000" w:themeColor="text1"/>
        </w:rPr>
        <w:instrText>ADDIN CSL_CITATION {"citationItems":[{"id":"ITEM-1","itemData":{"DOI":"10.1016/j.energy.2018.07.194","ISSN":"03605442","abstract":"In this study, valorisation of high acid value waste cooking oil into biodiesel has been investigated. Non-catalytic transesterification using supercritical methanol has been used for biodiesel production. Four controllable independent process variables have been considered for analysis including methanol to oil (M:O) molar ratio, temperature, pressure and time. Uncommon effects of process variables on the reaction responses, i.e. biodiesel and glycerol yields, have been reported and extensively discussed. Response surface methodology (RSM) via Central Composite Design (CCD) has been used to analyse the effect of the process variables and their interactions on the reaction responses. A quadratic model for each response has been developed representing the interrelationships between process variables and responses. Analysis of Variance (ANOVA) has been used to verify the significance effect of each process variable and their interactions on reaction responses. Optimal reaction conditions have been predicted using RSM for 98% and 2.05% of biodiesel and glycerol yields, respectively at 25:1 M:O molar ratio, 265oC temperature, 110 bar pressure and 20 minutes reaction time. The predicted optimal conditions have been validated experimentally resulting in 98.82% biodiesel yield, representing 0.83% relative error. The quality of the produced biodiesel showed excellent agreement with the European biodiesel standard (EN14214).","author":[{"dropping-particle":"","family":"Aboelazayem","given":"Omar","non-dropping-particle":"","parse-names":false,"suffix":""},{"dropping-particle":"","family":"Gadalla","given":"Mamdouh","non-dropping-particle":"","parse-names":false,"suffix":""},{"dropping-particle":"","family":"Saha","given":"Basudeb","non-dropping-particle":"","parse-names":false,"suffix":""}],"container-title":"Energy","id":"ITEM-1","issued":{"date-parts":[["2018","11"]]},"page":"408-420","publisher":"Elsevier Ltd","title":"Valorisation of high acid value waste cooking oil into biodiesel using supercritical methanolysis: Experimental assessment and statistical optimisation on typical Egyptian feedstock","type":"article-journal","volume":"162"},"uris":["http://www.mendeley.com/documents/?uuid=a918b9ad-e974-411c-8449-31c9ddd6eea3","http://www.mendeley.com/documents/?uuid=d2d79b1b-2d5a-401d-a0ab-539079b25149"]}],"mendeley":{"formattedCitation":"[27]","plainTextFormattedCitation":"[27]","previouslyFormattedCitation":"[27]"},"properties":{"noteIndex":0},"schema":"https://github.com/citation-style-language/schema/raw/master/csl-citation.json"}</w:instrText>
      </w:r>
      <w:r>
        <w:rPr>
          <w:color w:val="000000" w:themeColor="text1"/>
        </w:rPr>
        <w:fldChar w:fldCharType="separate"/>
      </w:r>
      <w:r w:rsidR="002D6134" w:rsidRPr="002D6134">
        <w:rPr>
          <w:noProof/>
          <w:color w:val="000000" w:themeColor="text1"/>
        </w:rPr>
        <w:t>[27]</w:t>
      </w:r>
      <w:r>
        <w:rPr>
          <w:color w:val="000000" w:themeColor="text1"/>
        </w:rPr>
        <w:fldChar w:fldCharType="end"/>
      </w:r>
      <w:r>
        <w:rPr>
          <w:color w:val="000000" w:themeColor="text1"/>
        </w:rPr>
        <w:t xml:space="preserve">. </w:t>
      </w:r>
      <w:r w:rsidR="00A678B1">
        <w:rPr>
          <w:color w:val="000000" w:themeColor="text1"/>
        </w:rPr>
        <w:t xml:space="preserve">The first assumption which is the normality of the residuals has been investigated using the normality plot for </w:t>
      </w:r>
      <w:r w:rsidR="00952FC6">
        <w:rPr>
          <w:color w:val="000000" w:themeColor="text1"/>
        </w:rPr>
        <w:t>both models as shown in Figure 4</w:t>
      </w:r>
      <w:r w:rsidR="00A678B1">
        <w:rPr>
          <w:color w:val="000000" w:themeColor="text1"/>
        </w:rPr>
        <w:t xml:space="preserve">. It has been observed that the residuals are approximately fitted to a straight line. This confirms the </w:t>
      </w:r>
      <w:r w:rsidR="00A678B1">
        <w:rPr>
          <w:color w:val="000000" w:themeColor="text1"/>
        </w:rPr>
        <w:lastRenderedPageBreak/>
        <w:t>normality of the models’ residuals</w:t>
      </w:r>
      <w:r w:rsidR="00FF0BEC">
        <w:rPr>
          <w:color w:val="000000" w:themeColor="text1"/>
        </w:rPr>
        <w:t xml:space="preserve"> which validate the first assumption of ANOVA. Secondly, the </w:t>
      </w:r>
      <w:r w:rsidR="00FF0BEC" w:rsidRPr="00310539">
        <w:rPr>
          <w:noProof/>
          <w:color w:val="000000" w:themeColor="text1"/>
        </w:rPr>
        <w:t>randomisation</w:t>
      </w:r>
      <w:r w:rsidR="00FF0BEC">
        <w:rPr>
          <w:color w:val="000000" w:themeColor="text1"/>
        </w:rPr>
        <w:t xml:space="preserve"> of the residuals has been assessed using a plot between the residuals </w:t>
      </w:r>
      <w:r w:rsidR="00FF0BEC" w:rsidRPr="006A2CD1">
        <w:rPr>
          <w:i/>
          <w:iCs/>
          <w:color w:val="000000" w:themeColor="text1"/>
        </w:rPr>
        <w:t>versus</w:t>
      </w:r>
      <w:r w:rsidR="00FF0BEC">
        <w:rPr>
          <w:color w:val="000000" w:themeColor="text1"/>
        </w:rPr>
        <w:t xml:space="preserve"> predicted responses values as shown in Figure </w:t>
      </w:r>
      <w:r w:rsidR="00952FC6">
        <w:rPr>
          <w:color w:val="000000" w:themeColor="text1"/>
        </w:rPr>
        <w:t>5</w:t>
      </w:r>
      <w:r w:rsidR="00FF0BEC">
        <w:rPr>
          <w:color w:val="000000" w:themeColor="text1"/>
        </w:rPr>
        <w:t>. The random distribution of the residuals without following any specific trend assure</w:t>
      </w:r>
      <w:r w:rsidR="001F614A">
        <w:rPr>
          <w:color w:val="000000" w:themeColor="text1"/>
        </w:rPr>
        <w:t>s</w:t>
      </w:r>
      <w:r w:rsidR="00FF0BEC">
        <w:rPr>
          <w:color w:val="000000" w:themeColor="text1"/>
        </w:rPr>
        <w:t xml:space="preserve"> the validity of the second assumption of ANOVA. Finally, the h</w:t>
      </w:r>
      <w:r w:rsidR="00FF0BEC" w:rsidRPr="00A272D7">
        <w:rPr>
          <w:color w:val="000000" w:themeColor="text1"/>
        </w:rPr>
        <w:t>omoscedasticity</w:t>
      </w:r>
      <w:r w:rsidR="00FF0BEC">
        <w:rPr>
          <w:color w:val="000000" w:themeColor="text1"/>
        </w:rPr>
        <w:t xml:space="preserve"> of residuals has been checked using a plot between </w:t>
      </w:r>
      <w:r w:rsidR="00647BEE">
        <w:rPr>
          <w:color w:val="000000" w:themeColor="text1"/>
        </w:rPr>
        <w:t xml:space="preserve">the residuals and the actual experimental values at each level. One of the intendant variables, i.e. temperature, has been used as an example to </w:t>
      </w:r>
      <w:r w:rsidR="00EA15FA">
        <w:rPr>
          <w:noProof/>
          <w:color w:val="000000" w:themeColor="text1"/>
        </w:rPr>
        <w:t>e</w:t>
      </w:r>
      <w:r w:rsidR="00647BEE" w:rsidRPr="00EA15FA">
        <w:rPr>
          <w:noProof/>
          <w:color w:val="000000" w:themeColor="text1"/>
        </w:rPr>
        <w:t>nsure</w:t>
      </w:r>
      <w:r w:rsidR="00647BEE">
        <w:rPr>
          <w:color w:val="000000" w:themeColor="text1"/>
        </w:rPr>
        <w:t xml:space="preserve"> the variance equality at each level as shown in Figure </w:t>
      </w:r>
      <w:r w:rsidR="008E2A68">
        <w:rPr>
          <w:color w:val="000000" w:themeColor="text1"/>
        </w:rPr>
        <w:t>6</w:t>
      </w:r>
      <w:r w:rsidR="00647BEE">
        <w:rPr>
          <w:color w:val="000000" w:themeColor="text1"/>
        </w:rPr>
        <w:t>. The h</w:t>
      </w:r>
      <w:r w:rsidR="00647BEE" w:rsidRPr="00A272D7">
        <w:rPr>
          <w:color w:val="000000" w:themeColor="text1"/>
        </w:rPr>
        <w:t>omoscedasticity</w:t>
      </w:r>
      <w:r w:rsidR="00647BEE" w:rsidRPr="00647BEE">
        <w:rPr>
          <w:color w:val="000000" w:themeColor="text1"/>
        </w:rPr>
        <w:t xml:space="preserve"> </w:t>
      </w:r>
      <w:r w:rsidR="00647BEE">
        <w:rPr>
          <w:color w:val="000000" w:themeColor="text1"/>
        </w:rPr>
        <w:t xml:space="preserve">of residuals has been </w:t>
      </w:r>
      <w:r w:rsidR="00411627">
        <w:rPr>
          <w:color w:val="000000" w:themeColor="text1"/>
        </w:rPr>
        <w:t xml:space="preserve">validated with the observed similar range of residuals at each level. </w:t>
      </w:r>
    </w:p>
    <w:p w:rsidR="00A678B1" w:rsidRDefault="008F7F5A" w:rsidP="00A678B1">
      <w:pPr>
        <w:jc w:val="both"/>
        <w:rPr>
          <w:color w:val="000000" w:themeColor="text1"/>
        </w:rPr>
      </w:pPr>
      <w:r>
        <w:rPr>
          <w:noProof/>
          <w:color w:val="000000" w:themeColor="text1"/>
          <w:lang w:eastAsia="en-GB"/>
        </w:rPr>
        <w:drawing>
          <wp:inline distT="0" distB="0" distL="0" distR="0" wp14:anchorId="5FC40D90" wp14:editId="7F492F77">
            <wp:extent cx="5760720" cy="23774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377440"/>
                    </a:xfrm>
                    <a:prstGeom prst="rect">
                      <a:avLst/>
                    </a:prstGeom>
                    <a:noFill/>
                    <a:ln>
                      <a:noFill/>
                    </a:ln>
                  </pic:spPr>
                </pic:pic>
              </a:graphicData>
            </a:graphic>
          </wp:inline>
        </w:drawing>
      </w:r>
    </w:p>
    <w:p w:rsidR="000072AA" w:rsidRPr="008E2A68" w:rsidRDefault="008E2A68" w:rsidP="00FA2670">
      <w:pPr>
        <w:pStyle w:val="Caption"/>
        <w:rPr>
          <w:b w:val="0"/>
          <w:sz w:val="24"/>
          <w:szCs w:val="24"/>
        </w:rPr>
      </w:pPr>
      <w:bookmarkStart w:id="10" w:name="_Toc528474668"/>
      <w:r w:rsidRPr="0049408C">
        <w:rPr>
          <w:bCs w:val="0"/>
          <w:color w:val="auto"/>
          <w:sz w:val="24"/>
          <w:szCs w:val="24"/>
        </w:rPr>
        <w:t xml:space="preserve">Figure </w:t>
      </w:r>
      <w:r w:rsidRPr="0049408C">
        <w:rPr>
          <w:bCs w:val="0"/>
          <w:color w:val="auto"/>
          <w:sz w:val="24"/>
          <w:szCs w:val="24"/>
        </w:rPr>
        <w:fldChar w:fldCharType="begin"/>
      </w:r>
      <w:r w:rsidRPr="0049408C">
        <w:rPr>
          <w:bCs w:val="0"/>
          <w:color w:val="auto"/>
          <w:sz w:val="24"/>
          <w:szCs w:val="24"/>
        </w:rPr>
        <w:instrText xml:space="preserve"> SEQ Figure \* ARABIC </w:instrText>
      </w:r>
      <w:r w:rsidRPr="0049408C">
        <w:rPr>
          <w:bCs w:val="0"/>
          <w:color w:val="auto"/>
          <w:sz w:val="24"/>
          <w:szCs w:val="24"/>
        </w:rPr>
        <w:fldChar w:fldCharType="separate"/>
      </w:r>
      <w:r w:rsidR="004A2E92" w:rsidRPr="0049408C">
        <w:rPr>
          <w:bCs w:val="0"/>
          <w:noProof/>
          <w:color w:val="auto"/>
          <w:sz w:val="24"/>
          <w:szCs w:val="24"/>
        </w:rPr>
        <w:t>4</w:t>
      </w:r>
      <w:r w:rsidRPr="0049408C">
        <w:rPr>
          <w:bCs w:val="0"/>
          <w:color w:val="auto"/>
          <w:sz w:val="24"/>
          <w:szCs w:val="24"/>
        </w:rPr>
        <w:fldChar w:fldCharType="end"/>
      </w:r>
      <w:r w:rsidR="00A678B1" w:rsidRPr="0049408C">
        <w:rPr>
          <w:bCs w:val="0"/>
          <w:color w:val="auto"/>
          <w:sz w:val="24"/>
          <w:szCs w:val="24"/>
        </w:rPr>
        <w:t>.</w:t>
      </w:r>
      <w:r w:rsidR="00A678B1" w:rsidRPr="008E2A68">
        <w:rPr>
          <w:b w:val="0"/>
          <w:color w:val="auto"/>
          <w:sz w:val="24"/>
          <w:szCs w:val="24"/>
        </w:rPr>
        <w:t xml:space="preserve"> </w:t>
      </w:r>
      <w:r w:rsidR="00EA15FA">
        <w:rPr>
          <w:b w:val="0"/>
          <w:noProof/>
          <w:color w:val="auto"/>
          <w:sz w:val="24"/>
          <w:szCs w:val="24"/>
        </w:rPr>
        <w:t>The n</w:t>
      </w:r>
      <w:r w:rsidR="00A678B1" w:rsidRPr="00EA15FA">
        <w:rPr>
          <w:b w:val="0"/>
          <w:noProof/>
          <w:color w:val="auto"/>
          <w:sz w:val="24"/>
          <w:szCs w:val="24"/>
        </w:rPr>
        <w:t>ormal</w:t>
      </w:r>
      <w:r w:rsidR="00A678B1" w:rsidRPr="008E2A68">
        <w:rPr>
          <w:b w:val="0"/>
          <w:color w:val="auto"/>
          <w:sz w:val="24"/>
          <w:szCs w:val="24"/>
        </w:rPr>
        <w:t xml:space="preserve"> plot of residuals for (a) BO conversion model and (b) BC yield model</w:t>
      </w:r>
      <w:bookmarkEnd w:id="10"/>
    </w:p>
    <w:p w:rsidR="00533BAA" w:rsidRDefault="00533BAA" w:rsidP="00152545">
      <w:pPr>
        <w:jc w:val="both"/>
      </w:pPr>
    </w:p>
    <w:p w:rsidR="00FF0BEC" w:rsidRDefault="00B4694C" w:rsidP="00152545">
      <w:pPr>
        <w:jc w:val="both"/>
      </w:pPr>
      <w:r>
        <w:rPr>
          <w:noProof/>
          <w:lang w:eastAsia="en-GB"/>
        </w:rPr>
        <w:drawing>
          <wp:inline distT="0" distB="0" distL="0" distR="0" wp14:anchorId="527A8ECA" wp14:editId="42C4C721">
            <wp:extent cx="5727700" cy="2216785"/>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2216785"/>
                    </a:xfrm>
                    <a:prstGeom prst="rect">
                      <a:avLst/>
                    </a:prstGeom>
                    <a:noFill/>
                    <a:ln>
                      <a:noFill/>
                    </a:ln>
                  </pic:spPr>
                </pic:pic>
              </a:graphicData>
            </a:graphic>
          </wp:inline>
        </w:drawing>
      </w:r>
    </w:p>
    <w:p w:rsidR="00FF0BEC" w:rsidRDefault="008E2A68" w:rsidP="00FA2670">
      <w:pPr>
        <w:pStyle w:val="Caption"/>
        <w:rPr>
          <w:b w:val="0"/>
          <w:color w:val="auto"/>
          <w:sz w:val="24"/>
          <w:szCs w:val="24"/>
        </w:rPr>
      </w:pPr>
      <w:bookmarkStart w:id="11" w:name="_Toc528474669"/>
      <w:r w:rsidRPr="0049408C">
        <w:rPr>
          <w:bCs w:val="0"/>
          <w:color w:val="auto"/>
          <w:sz w:val="24"/>
          <w:szCs w:val="24"/>
        </w:rPr>
        <w:t xml:space="preserve">Figure </w:t>
      </w:r>
      <w:r w:rsidRPr="0049408C">
        <w:rPr>
          <w:bCs w:val="0"/>
          <w:color w:val="auto"/>
          <w:sz w:val="24"/>
          <w:szCs w:val="24"/>
        </w:rPr>
        <w:fldChar w:fldCharType="begin"/>
      </w:r>
      <w:r w:rsidRPr="0049408C">
        <w:rPr>
          <w:bCs w:val="0"/>
          <w:color w:val="auto"/>
          <w:sz w:val="24"/>
          <w:szCs w:val="24"/>
        </w:rPr>
        <w:instrText xml:space="preserve"> SEQ Figure \* ARABIC </w:instrText>
      </w:r>
      <w:r w:rsidRPr="0049408C">
        <w:rPr>
          <w:bCs w:val="0"/>
          <w:color w:val="auto"/>
          <w:sz w:val="24"/>
          <w:szCs w:val="24"/>
        </w:rPr>
        <w:fldChar w:fldCharType="separate"/>
      </w:r>
      <w:r w:rsidR="004A2E92" w:rsidRPr="0049408C">
        <w:rPr>
          <w:bCs w:val="0"/>
          <w:noProof/>
          <w:color w:val="auto"/>
          <w:sz w:val="24"/>
          <w:szCs w:val="24"/>
        </w:rPr>
        <w:t>5</w:t>
      </w:r>
      <w:r w:rsidRPr="0049408C">
        <w:rPr>
          <w:bCs w:val="0"/>
          <w:color w:val="auto"/>
          <w:sz w:val="24"/>
          <w:szCs w:val="24"/>
        </w:rPr>
        <w:fldChar w:fldCharType="end"/>
      </w:r>
      <w:r w:rsidR="00FF0BEC" w:rsidRPr="0049408C">
        <w:rPr>
          <w:bCs w:val="0"/>
          <w:color w:val="auto"/>
          <w:sz w:val="24"/>
          <w:szCs w:val="24"/>
        </w:rPr>
        <w:t>.</w:t>
      </w:r>
      <w:r w:rsidR="00FF0BEC" w:rsidRPr="008E2A68">
        <w:rPr>
          <w:b w:val="0"/>
          <w:color w:val="auto"/>
          <w:sz w:val="24"/>
          <w:szCs w:val="24"/>
        </w:rPr>
        <w:t xml:space="preserve"> </w:t>
      </w:r>
      <w:r w:rsidR="00EA15FA">
        <w:rPr>
          <w:b w:val="0"/>
          <w:noProof/>
          <w:color w:val="auto"/>
          <w:sz w:val="24"/>
          <w:szCs w:val="24"/>
        </w:rPr>
        <w:t>The p</w:t>
      </w:r>
      <w:r w:rsidR="00FF0BEC" w:rsidRPr="00EA15FA">
        <w:rPr>
          <w:b w:val="0"/>
          <w:noProof/>
          <w:color w:val="auto"/>
          <w:sz w:val="24"/>
          <w:szCs w:val="24"/>
        </w:rPr>
        <w:t>lot</w:t>
      </w:r>
      <w:r w:rsidR="00FF0BEC" w:rsidRPr="008E2A68">
        <w:rPr>
          <w:b w:val="0"/>
          <w:color w:val="auto"/>
          <w:sz w:val="24"/>
          <w:szCs w:val="24"/>
        </w:rPr>
        <w:t xml:space="preserve"> of residuals </w:t>
      </w:r>
      <w:r w:rsidR="00FF0BEC" w:rsidRPr="008E2A68">
        <w:rPr>
          <w:b w:val="0"/>
          <w:i/>
          <w:iCs/>
          <w:color w:val="auto"/>
          <w:sz w:val="24"/>
          <w:szCs w:val="24"/>
        </w:rPr>
        <w:t>versus</w:t>
      </w:r>
      <w:r w:rsidR="00FF0BEC" w:rsidRPr="008E2A68">
        <w:rPr>
          <w:b w:val="0"/>
          <w:color w:val="auto"/>
          <w:sz w:val="24"/>
          <w:szCs w:val="24"/>
        </w:rPr>
        <w:t xml:space="preserve"> predicted response for (a) BO conversion model and (b) BO yield model</w:t>
      </w:r>
      <w:bookmarkEnd w:id="11"/>
    </w:p>
    <w:p w:rsidR="00A15295" w:rsidRDefault="00A15295" w:rsidP="00A15295"/>
    <w:p w:rsidR="00A15295" w:rsidRDefault="00A15295" w:rsidP="00A15295"/>
    <w:p w:rsidR="00A15295" w:rsidRPr="00A15295" w:rsidRDefault="00A15295" w:rsidP="00A15295"/>
    <w:p w:rsidR="00FF0BEC" w:rsidRDefault="00FF0BEC" w:rsidP="00152545">
      <w:pPr>
        <w:jc w:val="both"/>
      </w:pPr>
    </w:p>
    <w:p w:rsidR="00647BEE" w:rsidRDefault="00585814" w:rsidP="00152545">
      <w:pPr>
        <w:jc w:val="both"/>
      </w:pPr>
      <w:r>
        <w:rPr>
          <w:noProof/>
          <w:lang w:eastAsia="en-GB"/>
        </w:rPr>
        <w:drawing>
          <wp:inline distT="0" distB="0" distL="0" distR="0" wp14:anchorId="6AF13E06" wp14:editId="43E5578D">
            <wp:extent cx="5720715" cy="227520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0715" cy="2275205"/>
                    </a:xfrm>
                    <a:prstGeom prst="rect">
                      <a:avLst/>
                    </a:prstGeom>
                    <a:noFill/>
                    <a:ln>
                      <a:noFill/>
                    </a:ln>
                  </pic:spPr>
                </pic:pic>
              </a:graphicData>
            </a:graphic>
          </wp:inline>
        </w:drawing>
      </w:r>
    </w:p>
    <w:p w:rsidR="00647BEE" w:rsidRPr="008E2A68" w:rsidRDefault="008E2A68" w:rsidP="00310539">
      <w:pPr>
        <w:pStyle w:val="Caption"/>
        <w:rPr>
          <w:b w:val="0"/>
          <w:color w:val="auto"/>
          <w:sz w:val="24"/>
          <w:szCs w:val="24"/>
        </w:rPr>
      </w:pPr>
      <w:bookmarkStart w:id="12" w:name="_Toc528474670"/>
      <w:r w:rsidRPr="0049408C">
        <w:rPr>
          <w:bCs w:val="0"/>
          <w:color w:val="auto"/>
          <w:sz w:val="24"/>
          <w:szCs w:val="24"/>
        </w:rPr>
        <w:t xml:space="preserve">Figure </w:t>
      </w:r>
      <w:r w:rsidRPr="0049408C">
        <w:rPr>
          <w:bCs w:val="0"/>
          <w:color w:val="auto"/>
          <w:sz w:val="24"/>
          <w:szCs w:val="24"/>
        </w:rPr>
        <w:fldChar w:fldCharType="begin"/>
      </w:r>
      <w:r w:rsidRPr="0049408C">
        <w:rPr>
          <w:bCs w:val="0"/>
          <w:color w:val="auto"/>
          <w:sz w:val="24"/>
          <w:szCs w:val="24"/>
        </w:rPr>
        <w:instrText xml:space="preserve"> SEQ Figure \* ARABIC </w:instrText>
      </w:r>
      <w:r w:rsidRPr="0049408C">
        <w:rPr>
          <w:bCs w:val="0"/>
          <w:color w:val="auto"/>
          <w:sz w:val="24"/>
          <w:szCs w:val="24"/>
        </w:rPr>
        <w:fldChar w:fldCharType="separate"/>
      </w:r>
      <w:r w:rsidR="004A2E92" w:rsidRPr="0049408C">
        <w:rPr>
          <w:bCs w:val="0"/>
          <w:noProof/>
          <w:color w:val="auto"/>
          <w:sz w:val="24"/>
          <w:szCs w:val="24"/>
        </w:rPr>
        <w:t>6</w:t>
      </w:r>
      <w:r w:rsidRPr="0049408C">
        <w:rPr>
          <w:bCs w:val="0"/>
          <w:color w:val="auto"/>
          <w:sz w:val="24"/>
          <w:szCs w:val="24"/>
        </w:rPr>
        <w:fldChar w:fldCharType="end"/>
      </w:r>
      <w:r w:rsidR="00647BEE" w:rsidRPr="0049408C">
        <w:rPr>
          <w:bCs w:val="0"/>
          <w:color w:val="auto"/>
          <w:sz w:val="24"/>
          <w:szCs w:val="24"/>
        </w:rPr>
        <w:t>.</w:t>
      </w:r>
      <w:r w:rsidR="00647BEE" w:rsidRPr="008E2A68">
        <w:rPr>
          <w:b w:val="0"/>
          <w:color w:val="auto"/>
          <w:sz w:val="24"/>
          <w:szCs w:val="24"/>
        </w:rPr>
        <w:t xml:space="preserve"> </w:t>
      </w:r>
      <w:r w:rsidR="00EA15FA">
        <w:rPr>
          <w:b w:val="0"/>
          <w:noProof/>
          <w:color w:val="auto"/>
          <w:sz w:val="24"/>
          <w:szCs w:val="24"/>
        </w:rPr>
        <w:t>The p</w:t>
      </w:r>
      <w:r w:rsidR="00647BEE" w:rsidRPr="00EA15FA">
        <w:rPr>
          <w:b w:val="0"/>
          <w:noProof/>
          <w:color w:val="auto"/>
          <w:sz w:val="24"/>
          <w:szCs w:val="24"/>
        </w:rPr>
        <w:t>lot</w:t>
      </w:r>
      <w:r w:rsidR="00647BEE" w:rsidRPr="008E2A68">
        <w:rPr>
          <w:b w:val="0"/>
          <w:color w:val="auto"/>
          <w:sz w:val="24"/>
          <w:szCs w:val="24"/>
        </w:rPr>
        <w:t xml:space="preserve"> of residuals </w:t>
      </w:r>
      <w:r w:rsidR="00647BEE" w:rsidRPr="008E2A68">
        <w:rPr>
          <w:b w:val="0"/>
          <w:i/>
          <w:iCs/>
          <w:color w:val="auto"/>
          <w:sz w:val="24"/>
          <w:szCs w:val="24"/>
        </w:rPr>
        <w:t>versus</w:t>
      </w:r>
      <w:r w:rsidR="00647BEE" w:rsidRPr="008E2A68">
        <w:rPr>
          <w:b w:val="0"/>
          <w:color w:val="auto"/>
          <w:sz w:val="24"/>
          <w:szCs w:val="24"/>
        </w:rPr>
        <w:t xml:space="preserve"> predicted values of temperature variable for (a) BO conversion</w:t>
      </w:r>
      <w:r w:rsidR="00952FC6" w:rsidRPr="008E2A68">
        <w:rPr>
          <w:b w:val="0"/>
          <w:color w:val="auto"/>
          <w:sz w:val="24"/>
          <w:szCs w:val="24"/>
        </w:rPr>
        <w:t xml:space="preserve"> </w:t>
      </w:r>
      <w:r w:rsidR="00647BEE" w:rsidRPr="008E2A68">
        <w:rPr>
          <w:b w:val="0"/>
          <w:color w:val="auto"/>
          <w:sz w:val="24"/>
          <w:szCs w:val="24"/>
        </w:rPr>
        <w:t>model and (b) BC yield model</w:t>
      </w:r>
      <w:bookmarkEnd w:id="12"/>
    </w:p>
    <w:p w:rsidR="00411627" w:rsidRDefault="00411627" w:rsidP="00152545">
      <w:pPr>
        <w:jc w:val="both"/>
      </w:pPr>
    </w:p>
    <w:p w:rsidR="008E3F94" w:rsidRDefault="00411627" w:rsidP="00411627">
      <w:pPr>
        <w:jc w:val="both"/>
      </w:pPr>
      <w:r>
        <w:t>In summary, the predicted models have been checked for adequacy using various methods where they have shown high accuracy in predicting the experimental data. ANOVA has been used to assess the significance of the models. In addition, the ANOVA assumptions have been examined in order to assure its results. Finally, the predicted model</w:t>
      </w:r>
      <w:r w:rsidR="008E3F94" w:rsidRPr="00B6778D">
        <w:t>s</w:t>
      </w:r>
      <w:r>
        <w:t>’</w:t>
      </w:r>
      <w:r w:rsidR="008E3F94" w:rsidRPr="00B6778D">
        <w:t xml:space="preserve"> </w:t>
      </w:r>
      <w:r>
        <w:t>results</w:t>
      </w:r>
      <w:r w:rsidR="008E3F94" w:rsidRPr="00B6778D">
        <w:t xml:space="preserve"> have been </w:t>
      </w:r>
      <w:r>
        <w:t>compared with</w:t>
      </w:r>
      <w:r w:rsidR="008E3F94" w:rsidRPr="00B6778D">
        <w:t xml:space="preserve"> the previously determined OFAT experiments reported by Onyenkeadi et al</w:t>
      </w:r>
      <w:r>
        <w:t xml:space="preserve"> </w:t>
      </w:r>
      <w:r>
        <w:fldChar w:fldCharType="begin" w:fldLock="1"/>
      </w:r>
      <w:r w:rsidR="00CB10A7">
        <w:instrText>ADDIN CSL_CITATION {"citationItems":[{"id":"ITEM-1","itemData":{"DOI":"10.1016/j.energy.2018.09.135","ISSN":"03605442","author":[{"dropping-particle":"","family":"Onyenkeadi","given":"Victor","non-dropping-particle":"","parse-names":false,"suffix":""},{"dropping-particle":"","family":"Kellici","given":"Suela","non-dropping-particle":"","parse-names":false,"suffix":""},{"dropping-particle":"","family":"Saha","given":"Basudeb","non-dropping-particle":"","parse-names":false,"suffix":""}],"container-title":"Energy","id":"ITEM-1","issued":{"date-parts":[["2018"]]},"page":"867-876","publisher":"Elsevier Ltd","title":"Greener synthesis of 1,2-butylene carbonate from CO2 using graphene-inorganic nanocomposite catalyst","type":"article-journal","volume":"165"},"uris":["http://www.mendeley.com/documents/?uuid=9c68cc51-c869-4cc5-9bdd-349684eb037f"]}],"mendeley":{"formattedCitation":"[8]","plainTextFormattedCitation":"[8]","previouslyFormattedCitation":"[8]"},"properties":{"noteIndex":0},"schema":"https://github.com/citation-style-language/schema/raw/master/csl-citation.json"}</w:instrText>
      </w:r>
      <w:r>
        <w:fldChar w:fldCharType="separate"/>
      </w:r>
      <w:r w:rsidR="002D6134" w:rsidRPr="002D6134">
        <w:rPr>
          <w:noProof/>
        </w:rPr>
        <w:t>[8]</w:t>
      </w:r>
      <w:r>
        <w:fldChar w:fldCharType="end"/>
      </w:r>
      <w:r>
        <w:t xml:space="preserve">. </w:t>
      </w:r>
      <w:r w:rsidR="008E3F94" w:rsidRPr="00B6778D">
        <w:t xml:space="preserve">The similarity between predicted and actual experimental values at a wide range of a number of OFAT experiments </w:t>
      </w:r>
      <w:r w:rsidR="0056497E">
        <w:t xml:space="preserve">has </w:t>
      </w:r>
      <w:r w:rsidR="008E3F94" w:rsidRPr="00B6778D">
        <w:t xml:space="preserve">proved the significance and </w:t>
      </w:r>
      <w:r w:rsidR="0056497E">
        <w:t xml:space="preserve">the </w:t>
      </w:r>
      <w:r w:rsidR="008E3F94" w:rsidRPr="00B6778D">
        <w:t>adequacy of the predicted regression models.</w:t>
      </w:r>
    </w:p>
    <w:p w:rsidR="006A503C" w:rsidRDefault="006A503C" w:rsidP="00411627">
      <w:pPr>
        <w:jc w:val="both"/>
      </w:pPr>
    </w:p>
    <w:p w:rsidR="00B619E0" w:rsidRPr="006A503C" w:rsidRDefault="006A503C">
      <w:pPr>
        <w:jc w:val="both"/>
      </w:pPr>
      <w:r>
        <w:t>The developed models have represented the reaction between CO</w:t>
      </w:r>
      <w:r w:rsidRPr="00DA122B">
        <w:rPr>
          <w:vertAlign w:val="subscript"/>
        </w:rPr>
        <w:t>2</w:t>
      </w:r>
      <w:r>
        <w:rPr>
          <w:vertAlign w:val="subscript"/>
        </w:rPr>
        <w:t xml:space="preserve"> </w:t>
      </w:r>
      <w:r>
        <w:t xml:space="preserve">and BO by </w:t>
      </w:r>
      <w:r w:rsidR="005F0482">
        <w:t>investigating</w:t>
      </w:r>
      <w:r>
        <w:t xml:space="preserve"> the conversion of BO and yield of BC at </w:t>
      </w:r>
      <w:r w:rsidR="00783CD8">
        <w:t xml:space="preserve">a </w:t>
      </w:r>
      <w:r>
        <w:t>wide</w:t>
      </w:r>
      <w:r w:rsidR="00783CD8">
        <w:t>r</w:t>
      </w:r>
      <w:r>
        <w:t xml:space="preserve"> range of reaction parameter. Hence, the model could be </w:t>
      </w:r>
      <w:r w:rsidR="005F0482">
        <w:t xml:space="preserve">used to predict the reaction responses </w:t>
      </w:r>
      <w:r>
        <w:t>without the</w:t>
      </w:r>
      <w:r w:rsidR="005F0482">
        <w:t xml:space="preserve"> need to</w:t>
      </w:r>
      <w:r>
        <w:t xml:space="preserve"> perform further experimental runs. For instance, the developed models could be used to study the reaction kinetics and thermodynamics of the reaction by </w:t>
      </w:r>
      <w:r w:rsidR="005F0482">
        <w:t>varying</w:t>
      </w:r>
      <w:r>
        <w:t xml:space="preserve"> the reaction time and temperature at different levels. In addition, they could be implemented in predicting the reaction responses at different reaction variables within the studied range.</w:t>
      </w:r>
    </w:p>
    <w:p w:rsidR="006A503C" w:rsidRDefault="006A503C">
      <w:pPr>
        <w:spacing w:after="200" w:line="276" w:lineRule="auto"/>
        <w:rPr>
          <w:rFonts w:ascii="Times" w:eastAsia="Times New Roman" w:hAnsi="Times"/>
          <w:b/>
          <w:szCs w:val="20"/>
        </w:rPr>
      </w:pPr>
      <w:r>
        <w:br w:type="page"/>
      </w:r>
    </w:p>
    <w:p w:rsidR="00133C55" w:rsidRDefault="00133C55" w:rsidP="00FB6D14">
      <w:pPr>
        <w:pStyle w:val="Heading2"/>
      </w:pPr>
      <w:r w:rsidRPr="00B6778D">
        <w:lastRenderedPageBreak/>
        <w:t>3.</w:t>
      </w:r>
      <w:r w:rsidR="00FB6D14">
        <w:t>4</w:t>
      </w:r>
      <w:r w:rsidRPr="00B6778D">
        <w:t xml:space="preserve"> Effect of </w:t>
      </w:r>
      <w:r w:rsidR="00310539">
        <w:t>P</w:t>
      </w:r>
      <w:r w:rsidRPr="00B6778D">
        <w:t xml:space="preserve">rocess </w:t>
      </w:r>
      <w:r w:rsidR="00310539">
        <w:t>V</w:t>
      </w:r>
      <w:r w:rsidRPr="00B6778D">
        <w:t xml:space="preserve">ariables and </w:t>
      </w:r>
      <w:r w:rsidR="00310539">
        <w:t>T</w:t>
      </w:r>
      <w:r w:rsidRPr="00B6778D">
        <w:t xml:space="preserve">heir </w:t>
      </w:r>
      <w:r w:rsidR="00310539">
        <w:t>I</w:t>
      </w:r>
      <w:r w:rsidRPr="00B6778D">
        <w:t>nteractions</w:t>
      </w:r>
    </w:p>
    <w:p w:rsidR="0056497E" w:rsidRPr="0056497E" w:rsidRDefault="0056497E" w:rsidP="00355A04">
      <w:pPr>
        <w:jc w:val="both"/>
      </w:pPr>
      <w:r>
        <w:t xml:space="preserve">In this </w:t>
      </w:r>
      <w:r w:rsidRPr="00EA15FA">
        <w:rPr>
          <w:noProof/>
        </w:rPr>
        <w:t>section</w:t>
      </w:r>
      <w:r w:rsidR="00EA15FA">
        <w:rPr>
          <w:noProof/>
        </w:rPr>
        <w:t>,</w:t>
      </w:r>
      <w:r>
        <w:t xml:space="preserve"> the effect of each process independent variable on the process responses has been investigated. In addition, the interactive effect of different independent variables on the responses has been highlighted.</w:t>
      </w:r>
    </w:p>
    <w:p w:rsidR="00133C55" w:rsidRPr="00FB6D14" w:rsidRDefault="00133C55" w:rsidP="00FB6D14">
      <w:pPr>
        <w:pStyle w:val="Heading3"/>
      </w:pPr>
      <w:r w:rsidRPr="00FB6D14">
        <w:t>3.</w:t>
      </w:r>
      <w:r w:rsidR="00FB6D14" w:rsidRPr="00FB6D14">
        <w:t>4</w:t>
      </w:r>
      <w:r w:rsidRPr="00FB6D14">
        <w:t>.1 Effect of individual variables on responses</w:t>
      </w:r>
    </w:p>
    <w:p w:rsidR="00355A04" w:rsidRDefault="00355A04" w:rsidP="00355A04">
      <w:pPr>
        <w:jc w:val="both"/>
      </w:pPr>
      <w:r>
        <w:t xml:space="preserve">The effect of the independent variables on the reaction responses i.e. BO conversion and BC yield has been assessed using the developed validated models. These results </w:t>
      </w:r>
      <w:r w:rsidRPr="00EA15FA">
        <w:rPr>
          <w:noProof/>
        </w:rPr>
        <w:t>ha</w:t>
      </w:r>
      <w:r w:rsidR="00EA15FA">
        <w:rPr>
          <w:noProof/>
        </w:rPr>
        <w:t>ve</w:t>
      </w:r>
      <w:r>
        <w:t xml:space="preserve"> been compared with the experimental data obtained using OFAT reported elsewhere </w:t>
      </w:r>
      <w:r>
        <w:fldChar w:fldCharType="begin" w:fldLock="1"/>
      </w:r>
      <w:r w:rsidR="00CB10A7">
        <w:instrText>ADDIN CSL_CITATION {"citationItems":[{"id":"ITEM-1","itemData":{"DOI":"10.1016/j.energy.2018.09.135","ISSN":"03605442","author":[{"dropping-particle":"","family":"Onyenkeadi","given":"Victor","non-dropping-particle":"","parse-names":false,"suffix":""},{"dropping-particle":"","family":"Kellici","given":"Suela","non-dropping-particle":"","parse-names":false,"suffix":""},{"dropping-particle":"","family":"Saha","given":"Basudeb","non-dropping-particle":"","parse-names":false,"suffix":""}],"container-title":"Energy","id":"ITEM-1","issued":{"date-parts":[["2018"]]},"page":"867-876","publisher":"Elsevier Ltd","title":"Greener synthesis of 1,2-butylene carbonate from CO2 using graphene-inorganic nanocomposite catalyst","type":"article-journal","volume":"165"},"uris":["http://www.mendeley.com/documents/?uuid=9c68cc51-c869-4cc5-9bdd-349684eb037f"]}],"mendeley":{"formattedCitation":"[8]","plainTextFormattedCitation":"[8]","previouslyFormattedCitation":"[8]"},"properties":{"noteIndex":0},"schema":"https://github.com/citation-style-language/schema/raw/master/csl-citation.json"}</w:instrText>
      </w:r>
      <w:r>
        <w:fldChar w:fldCharType="separate"/>
      </w:r>
      <w:r w:rsidR="002D6134" w:rsidRPr="002D6134">
        <w:rPr>
          <w:noProof/>
        </w:rPr>
        <w:t>[8]</w:t>
      </w:r>
      <w:r>
        <w:fldChar w:fldCharType="end"/>
      </w:r>
      <w:r>
        <w:t xml:space="preserve">. </w:t>
      </w:r>
      <w:r w:rsidR="00310539" w:rsidRPr="00310539">
        <w:rPr>
          <w:noProof/>
        </w:rPr>
        <w:t>S</w:t>
      </w:r>
      <w:r w:rsidRPr="00310539">
        <w:rPr>
          <w:noProof/>
        </w:rPr>
        <w:t>imilar</w:t>
      </w:r>
      <w:r>
        <w:t xml:space="preserve"> effect of the process variables</w:t>
      </w:r>
      <w:r w:rsidR="00310539">
        <w:t xml:space="preserve"> has been observed</w:t>
      </w:r>
      <w:r>
        <w:t xml:space="preserve"> on each process response as shown </w:t>
      </w:r>
      <w:r w:rsidR="008E2A68">
        <w:t>in Figures 7-10</w:t>
      </w:r>
      <w:r>
        <w:t xml:space="preserve">. The in-depth discussion of the effect of individual variables has been reported elsewhere </w:t>
      </w:r>
      <w:r>
        <w:fldChar w:fldCharType="begin" w:fldLock="1"/>
      </w:r>
      <w:r w:rsidR="00CB10A7">
        <w:instrText>ADDIN CSL_CITATION {"citationItems":[{"id":"ITEM-1","itemData":{"DOI":"10.1016/j.energy.2018.09.135","ISSN":"03605442","author":[{"dropping-particle":"","family":"Onyenkeadi","given":"Victor","non-dropping-particle":"","parse-names":false,"suffix":""},{"dropping-particle":"","family":"Kellici","given":"Suela","non-dropping-particle":"","parse-names":false,"suffix":""},{"dropping-particle":"","family":"Saha","given":"Basudeb","non-dropping-particle":"","parse-names":false,"suffix":""}],"container-title":"Energy","id":"ITEM-1","issued":{"date-parts":[["2018"]]},"page":"867-876","publisher":"Elsevier Ltd","title":"Greener synthesis of 1,2-butylene carbonate from CO2 using graphene-inorganic nanocomposite catalyst","type":"article-journal","volume":"165"},"uris":["http://www.mendeley.com/documents/?uuid=9c68cc51-c869-4cc5-9bdd-349684eb037f"]}],"mendeley":{"formattedCitation":"[8]","plainTextFormattedCitation":"[8]","previouslyFormattedCitation":"[8]"},"properties":{"noteIndex":0},"schema":"https://github.com/citation-style-language/schema/raw/master/csl-citation.json"}</w:instrText>
      </w:r>
      <w:r>
        <w:fldChar w:fldCharType="separate"/>
      </w:r>
      <w:r w:rsidR="002D6134" w:rsidRPr="002D6134">
        <w:rPr>
          <w:noProof/>
        </w:rPr>
        <w:t>[8]</w:t>
      </w:r>
      <w:r>
        <w:fldChar w:fldCharType="end"/>
      </w:r>
      <w:r>
        <w:t>.</w:t>
      </w:r>
    </w:p>
    <w:p w:rsidR="00355A04" w:rsidRDefault="00355A04" w:rsidP="00355A04">
      <w:pPr>
        <w:jc w:val="both"/>
      </w:pPr>
    </w:p>
    <w:p w:rsidR="00355A04" w:rsidRDefault="006529D4" w:rsidP="00355A04">
      <w:pPr>
        <w:jc w:val="both"/>
      </w:pPr>
      <w:r>
        <w:rPr>
          <w:noProof/>
          <w:lang w:eastAsia="en-GB"/>
        </w:rPr>
        <w:drawing>
          <wp:inline distT="0" distB="0" distL="0" distR="0" wp14:anchorId="505CA14D" wp14:editId="0CA4E217">
            <wp:extent cx="5727700" cy="2326005"/>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0" cy="2326005"/>
                    </a:xfrm>
                    <a:prstGeom prst="rect">
                      <a:avLst/>
                    </a:prstGeom>
                    <a:noFill/>
                    <a:ln>
                      <a:noFill/>
                    </a:ln>
                  </pic:spPr>
                </pic:pic>
              </a:graphicData>
            </a:graphic>
          </wp:inline>
        </w:drawing>
      </w:r>
    </w:p>
    <w:p w:rsidR="00355A04" w:rsidRPr="008E2A68" w:rsidRDefault="008E2A68" w:rsidP="00FA2670">
      <w:pPr>
        <w:pStyle w:val="Caption"/>
        <w:rPr>
          <w:b w:val="0"/>
        </w:rPr>
      </w:pPr>
      <w:bookmarkStart w:id="13" w:name="_Toc528474671"/>
      <w:r w:rsidRPr="0049408C">
        <w:rPr>
          <w:bCs w:val="0"/>
          <w:color w:val="auto"/>
          <w:sz w:val="24"/>
        </w:rPr>
        <w:t xml:space="preserve">Figure </w:t>
      </w:r>
      <w:r w:rsidRPr="0049408C">
        <w:rPr>
          <w:bCs w:val="0"/>
          <w:color w:val="auto"/>
          <w:sz w:val="24"/>
        </w:rPr>
        <w:fldChar w:fldCharType="begin"/>
      </w:r>
      <w:r w:rsidRPr="0049408C">
        <w:rPr>
          <w:bCs w:val="0"/>
          <w:color w:val="auto"/>
          <w:sz w:val="24"/>
        </w:rPr>
        <w:instrText xml:space="preserve"> SEQ Figure \* ARABIC </w:instrText>
      </w:r>
      <w:r w:rsidRPr="0049408C">
        <w:rPr>
          <w:bCs w:val="0"/>
          <w:color w:val="auto"/>
          <w:sz w:val="24"/>
        </w:rPr>
        <w:fldChar w:fldCharType="separate"/>
      </w:r>
      <w:r w:rsidR="004A2E92" w:rsidRPr="0049408C">
        <w:rPr>
          <w:bCs w:val="0"/>
          <w:noProof/>
          <w:color w:val="auto"/>
          <w:sz w:val="24"/>
        </w:rPr>
        <w:t>7</w:t>
      </w:r>
      <w:r w:rsidRPr="0049408C">
        <w:rPr>
          <w:bCs w:val="0"/>
          <w:color w:val="auto"/>
          <w:sz w:val="24"/>
        </w:rPr>
        <w:fldChar w:fldCharType="end"/>
      </w:r>
      <w:r w:rsidR="00F12D89" w:rsidRPr="0049408C">
        <w:rPr>
          <w:bCs w:val="0"/>
          <w:color w:val="auto"/>
          <w:sz w:val="24"/>
        </w:rPr>
        <w:t>.</w:t>
      </w:r>
      <w:r w:rsidR="00F12D89">
        <w:rPr>
          <w:b w:val="0"/>
          <w:color w:val="auto"/>
          <w:sz w:val="24"/>
        </w:rPr>
        <w:t xml:space="preserve"> The p</w:t>
      </w:r>
      <w:r w:rsidR="00687B85" w:rsidRPr="008E2A68">
        <w:rPr>
          <w:b w:val="0"/>
          <w:color w:val="auto"/>
          <w:sz w:val="24"/>
        </w:rPr>
        <w:t>lot showing the effect reaction temperature and pressure on BO conversion</w:t>
      </w:r>
      <w:bookmarkEnd w:id="13"/>
    </w:p>
    <w:p w:rsidR="00355A04" w:rsidRDefault="006C1FA7" w:rsidP="00355A04">
      <w:pPr>
        <w:jc w:val="both"/>
      </w:pPr>
      <w:r>
        <w:rPr>
          <w:noProof/>
          <w:lang w:eastAsia="en-GB"/>
        </w:rPr>
        <w:drawing>
          <wp:inline distT="0" distB="0" distL="0" distR="0" wp14:anchorId="2771DDDF" wp14:editId="565987DB">
            <wp:extent cx="5727700" cy="2319020"/>
            <wp:effectExtent l="0" t="0" r="635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0" cy="2319020"/>
                    </a:xfrm>
                    <a:prstGeom prst="rect">
                      <a:avLst/>
                    </a:prstGeom>
                    <a:noFill/>
                    <a:ln>
                      <a:noFill/>
                    </a:ln>
                  </pic:spPr>
                </pic:pic>
              </a:graphicData>
            </a:graphic>
          </wp:inline>
        </w:drawing>
      </w:r>
    </w:p>
    <w:p w:rsidR="00FE21C6" w:rsidRPr="008E2A68" w:rsidRDefault="008E2A68" w:rsidP="00FA2670">
      <w:pPr>
        <w:pStyle w:val="Caption"/>
        <w:rPr>
          <w:b w:val="0"/>
          <w:color w:val="auto"/>
          <w:sz w:val="24"/>
        </w:rPr>
      </w:pPr>
      <w:bookmarkStart w:id="14" w:name="_Toc528474672"/>
      <w:r w:rsidRPr="0049408C">
        <w:rPr>
          <w:bCs w:val="0"/>
          <w:color w:val="auto"/>
          <w:sz w:val="24"/>
        </w:rPr>
        <w:t xml:space="preserve">Figure </w:t>
      </w:r>
      <w:r w:rsidRPr="0049408C">
        <w:rPr>
          <w:bCs w:val="0"/>
          <w:color w:val="auto"/>
          <w:sz w:val="24"/>
        </w:rPr>
        <w:fldChar w:fldCharType="begin"/>
      </w:r>
      <w:r w:rsidRPr="0049408C">
        <w:rPr>
          <w:bCs w:val="0"/>
          <w:color w:val="auto"/>
          <w:sz w:val="24"/>
        </w:rPr>
        <w:instrText xml:space="preserve"> SEQ Figure \* ARABIC </w:instrText>
      </w:r>
      <w:r w:rsidRPr="0049408C">
        <w:rPr>
          <w:bCs w:val="0"/>
          <w:color w:val="auto"/>
          <w:sz w:val="24"/>
        </w:rPr>
        <w:fldChar w:fldCharType="separate"/>
      </w:r>
      <w:r w:rsidR="004A2E92" w:rsidRPr="0049408C">
        <w:rPr>
          <w:bCs w:val="0"/>
          <w:noProof/>
          <w:color w:val="auto"/>
          <w:sz w:val="24"/>
        </w:rPr>
        <w:t>8</w:t>
      </w:r>
      <w:r w:rsidRPr="0049408C">
        <w:rPr>
          <w:bCs w:val="0"/>
          <w:color w:val="auto"/>
          <w:sz w:val="24"/>
        </w:rPr>
        <w:fldChar w:fldCharType="end"/>
      </w:r>
      <w:r w:rsidR="00F12D89" w:rsidRPr="0049408C">
        <w:rPr>
          <w:bCs w:val="0"/>
          <w:color w:val="auto"/>
          <w:sz w:val="24"/>
        </w:rPr>
        <w:t>.</w:t>
      </w:r>
      <w:r w:rsidR="00F12D89">
        <w:rPr>
          <w:b w:val="0"/>
          <w:color w:val="auto"/>
          <w:sz w:val="24"/>
        </w:rPr>
        <w:t xml:space="preserve"> The p</w:t>
      </w:r>
      <w:r w:rsidR="00687B85" w:rsidRPr="008E2A68">
        <w:rPr>
          <w:b w:val="0"/>
          <w:color w:val="auto"/>
          <w:sz w:val="24"/>
        </w:rPr>
        <w:t xml:space="preserve">lot showing the </w:t>
      </w:r>
      <w:r w:rsidR="00687B85" w:rsidRPr="00EA15FA">
        <w:rPr>
          <w:b w:val="0"/>
          <w:noProof/>
          <w:color w:val="auto"/>
          <w:sz w:val="24"/>
        </w:rPr>
        <w:t>effect</w:t>
      </w:r>
      <w:r w:rsidR="00EA15FA">
        <w:rPr>
          <w:b w:val="0"/>
          <w:noProof/>
          <w:color w:val="auto"/>
          <w:sz w:val="24"/>
        </w:rPr>
        <w:t xml:space="preserve"> of</w:t>
      </w:r>
      <w:r w:rsidR="00687B85" w:rsidRPr="008E2A68">
        <w:rPr>
          <w:b w:val="0"/>
          <w:color w:val="auto"/>
          <w:sz w:val="24"/>
        </w:rPr>
        <w:t xml:space="preserve"> catalyst loading and </w:t>
      </w:r>
      <w:r w:rsidR="00DC2563" w:rsidRPr="008E2A68">
        <w:rPr>
          <w:b w:val="0"/>
          <w:color w:val="auto"/>
          <w:sz w:val="24"/>
        </w:rPr>
        <w:t>reaction time</w:t>
      </w:r>
      <w:r w:rsidR="00687B85" w:rsidRPr="008E2A68">
        <w:rPr>
          <w:b w:val="0"/>
          <w:color w:val="auto"/>
          <w:sz w:val="24"/>
        </w:rPr>
        <w:t xml:space="preserve"> on BO conversion</w:t>
      </w:r>
      <w:bookmarkEnd w:id="14"/>
    </w:p>
    <w:p w:rsidR="00687B85" w:rsidRDefault="006C1FA7" w:rsidP="00355A04">
      <w:pPr>
        <w:jc w:val="both"/>
      </w:pPr>
      <w:r>
        <w:rPr>
          <w:noProof/>
          <w:lang w:eastAsia="en-GB"/>
        </w:rPr>
        <w:lastRenderedPageBreak/>
        <w:drawing>
          <wp:inline distT="0" distB="0" distL="0" distR="0" wp14:anchorId="43BDC037" wp14:editId="6183C7C8">
            <wp:extent cx="5720715" cy="23336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0715" cy="2333625"/>
                    </a:xfrm>
                    <a:prstGeom prst="rect">
                      <a:avLst/>
                    </a:prstGeom>
                    <a:noFill/>
                    <a:ln>
                      <a:noFill/>
                    </a:ln>
                  </pic:spPr>
                </pic:pic>
              </a:graphicData>
            </a:graphic>
          </wp:inline>
        </w:drawing>
      </w:r>
    </w:p>
    <w:p w:rsidR="00687B85" w:rsidRPr="008E2A68" w:rsidRDefault="008E2A68" w:rsidP="00FA2670">
      <w:pPr>
        <w:pStyle w:val="Caption"/>
        <w:rPr>
          <w:b w:val="0"/>
          <w:color w:val="auto"/>
          <w:sz w:val="24"/>
        </w:rPr>
      </w:pPr>
      <w:bookmarkStart w:id="15" w:name="_Toc528474673"/>
      <w:r w:rsidRPr="0049408C">
        <w:rPr>
          <w:bCs w:val="0"/>
          <w:color w:val="auto"/>
          <w:sz w:val="24"/>
        </w:rPr>
        <w:t xml:space="preserve">Figure </w:t>
      </w:r>
      <w:r w:rsidRPr="0049408C">
        <w:rPr>
          <w:bCs w:val="0"/>
          <w:color w:val="auto"/>
          <w:sz w:val="24"/>
        </w:rPr>
        <w:fldChar w:fldCharType="begin"/>
      </w:r>
      <w:r w:rsidRPr="0049408C">
        <w:rPr>
          <w:bCs w:val="0"/>
          <w:color w:val="auto"/>
          <w:sz w:val="24"/>
        </w:rPr>
        <w:instrText xml:space="preserve"> SEQ Figure \* ARABIC </w:instrText>
      </w:r>
      <w:r w:rsidRPr="0049408C">
        <w:rPr>
          <w:bCs w:val="0"/>
          <w:color w:val="auto"/>
          <w:sz w:val="24"/>
        </w:rPr>
        <w:fldChar w:fldCharType="separate"/>
      </w:r>
      <w:r w:rsidR="004A2E92" w:rsidRPr="0049408C">
        <w:rPr>
          <w:bCs w:val="0"/>
          <w:noProof/>
          <w:color w:val="auto"/>
          <w:sz w:val="24"/>
        </w:rPr>
        <w:t>9</w:t>
      </w:r>
      <w:r w:rsidRPr="0049408C">
        <w:rPr>
          <w:bCs w:val="0"/>
          <w:color w:val="auto"/>
          <w:sz w:val="24"/>
        </w:rPr>
        <w:fldChar w:fldCharType="end"/>
      </w:r>
      <w:r w:rsidR="00F12D89" w:rsidRPr="0049408C">
        <w:rPr>
          <w:bCs w:val="0"/>
          <w:color w:val="auto"/>
          <w:sz w:val="24"/>
        </w:rPr>
        <w:t>.</w:t>
      </w:r>
      <w:r w:rsidR="00F12D89">
        <w:rPr>
          <w:b w:val="0"/>
          <w:color w:val="auto"/>
          <w:sz w:val="24"/>
        </w:rPr>
        <w:t xml:space="preserve"> The p</w:t>
      </w:r>
      <w:r w:rsidR="00DC2563" w:rsidRPr="008E2A68">
        <w:rPr>
          <w:b w:val="0"/>
          <w:color w:val="auto"/>
          <w:sz w:val="24"/>
        </w:rPr>
        <w:t xml:space="preserve">lot showing the effect </w:t>
      </w:r>
      <w:r w:rsidR="00F12D89">
        <w:rPr>
          <w:b w:val="0"/>
          <w:color w:val="auto"/>
          <w:sz w:val="24"/>
        </w:rPr>
        <w:t xml:space="preserve">of </w:t>
      </w:r>
      <w:r w:rsidR="00DC2563" w:rsidRPr="008E2A68">
        <w:rPr>
          <w:b w:val="0"/>
          <w:color w:val="auto"/>
          <w:sz w:val="24"/>
        </w:rPr>
        <w:t>reaction temperature and pressure on BC yield</w:t>
      </w:r>
      <w:bookmarkEnd w:id="15"/>
    </w:p>
    <w:p w:rsidR="00687B85" w:rsidRDefault="006C1FA7" w:rsidP="00355A04">
      <w:pPr>
        <w:jc w:val="both"/>
      </w:pPr>
      <w:r>
        <w:rPr>
          <w:noProof/>
          <w:lang w:eastAsia="en-GB"/>
        </w:rPr>
        <w:drawing>
          <wp:inline distT="0" distB="0" distL="0" distR="0" wp14:anchorId="11AD187B" wp14:editId="3890E433">
            <wp:extent cx="5760720" cy="2377440"/>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377440"/>
                    </a:xfrm>
                    <a:prstGeom prst="rect">
                      <a:avLst/>
                    </a:prstGeom>
                    <a:noFill/>
                    <a:ln>
                      <a:noFill/>
                    </a:ln>
                  </pic:spPr>
                </pic:pic>
              </a:graphicData>
            </a:graphic>
          </wp:inline>
        </w:drawing>
      </w:r>
    </w:p>
    <w:p w:rsidR="00DC2563" w:rsidRPr="008E2A68" w:rsidRDefault="008E2A68" w:rsidP="00FA2670">
      <w:pPr>
        <w:pStyle w:val="Caption"/>
        <w:rPr>
          <w:b w:val="0"/>
          <w:color w:val="auto"/>
          <w:sz w:val="24"/>
        </w:rPr>
      </w:pPr>
      <w:bookmarkStart w:id="16" w:name="_Toc528474674"/>
      <w:r w:rsidRPr="0049408C">
        <w:rPr>
          <w:bCs w:val="0"/>
          <w:color w:val="auto"/>
          <w:sz w:val="24"/>
        </w:rPr>
        <w:t xml:space="preserve">Figure </w:t>
      </w:r>
      <w:r w:rsidRPr="0049408C">
        <w:rPr>
          <w:bCs w:val="0"/>
          <w:color w:val="auto"/>
          <w:sz w:val="24"/>
        </w:rPr>
        <w:fldChar w:fldCharType="begin"/>
      </w:r>
      <w:r w:rsidRPr="0049408C">
        <w:rPr>
          <w:bCs w:val="0"/>
          <w:color w:val="auto"/>
          <w:sz w:val="24"/>
        </w:rPr>
        <w:instrText xml:space="preserve"> SEQ Figure \* ARABIC </w:instrText>
      </w:r>
      <w:r w:rsidRPr="0049408C">
        <w:rPr>
          <w:bCs w:val="0"/>
          <w:color w:val="auto"/>
          <w:sz w:val="24"/>
        </w:rPr>
        <w:fldChar w:fldCharType="separate"/>
      </w:r>
      <w:r w:rsidR="004A2E92" w:rsidRPr="0049408C">
        <w:rPr>
          <w:bCs w:val="0"/>
          <w:noProof/>
          <w:color w:val="auto"/>
          <w:sz w:val="24"/>
        </w:rPr>
        <w:t>10</w:t>
      </w:r>
      <w:r w:rsidRPr="0049408C">
        <w:rPr>
          <w:bCs w:val="0"/>
          <w:color w:val="auto"/>
          <w:sz w:val="24"/>
        </w:rPr>
        <w:fldChar w:fldCharType="end"/>
      </w:r>
      <w:r w:rsidR="00F12D89" w:rsidRPr="0049408C">
        <w:rPr>
          <w:bCs w:val="0"/>
          <w:color w:val="auto"/>
          <w:sz w:val="24"/>
        </w:rPr>
        <w:t>.</w:t>
      </w:r>
      <w:r w:rsidR="00F12D89">
        <w:rPr>
          <w:b w:val="0"/>
          <w:color w:val="auto"/>
          <w:sz w:val="24"/>
        </w:rPr>
        <w:t xml:space="preserve"> The p</w:t>
      </w:r>
      <w:r w:rsidR="00DC2563" w:rsidRPr="008E2A68">
        <w:rPr>
          <w:b w:val="0"/>
          <w:color w:val="auto"/>
          <w:sz w:val="24"/>
        </w:rPr>
        <w:t xml:space="preserve">lot showing the </w:t>
      </w:r>
      <w:r w:rsidR="00DC2563" w:rsidRPr="00EA15FA">
        <w:rPr>
          <w:b w:val="0"/>
          <w:noProof/>
          <w:color w:val="auto"/>
          <w:sz w:val="24"/>
        </w:rPr>
        <w:t>effect</w:t>
      </w:r>
      <w:r w:rsidR="00EA15FA">
        <w:rPr>
          <w:b w:val="0"/>
          <w:noProof/>
          <w:color w:val="auto"/>
          <w:sz w:val="24"/>
        </w:rPr>
        <w:t xml:space="preserve"> of</w:t>
      </w:r>
      <w:r w:rsidR="00DC2563" w:rsidRPr="008E2A68">
        <w:rPr>
          <w:b w:val="0"/>
          <w:color w:val="auto"/>
          <w:sz w:val="24"/>
        </w:rPr>
        <w:t xml:space="preserve"> catalyst loading and reaction time on BC yield</w:t>
      </w:r>
      <w:bookmarkEnd w:id="16"/>
    </w:p>
    <w:p w:rsidR="00FE21C6" w:rsidRPr="0056497E" w:rsidRDefault="00FE21C6" w:rsidP="00355A04">
      <w:pPr>
        <w:jc w:val="both"/>
      </w:pPr>
    </w:p>
    <w:p w:rsidR="00DC2563" w:rsidRDefault="00133C55" w:rsidP="00FB6D14">
      <w:pPr>
        <w:pStyle w:val="Heading3"/>
      </w:pPr>
      <w:r w:rsidRPr="00B6778D">
        <w:t>3.</w:t>
      </w:r>
      <w:r w:rsidR="00FB6D14">
        <w:t>4</w:t>
      </w:r>
      <w:r w:rsidRPr="00B6778D">
        <w:t>.2 Effect of variables interaction on responses</w:t>
      </w:r>
    </w:p>
    <w:p w:rsidR="00E26F4F" w:rsidRDefault="00DC2563">
      <w:pPr>
        <w:jc w:val="both"/>
      </w:pPr>
      <w:r>
        <w:t xml:space="preserve">In this section, the effect of independent variables interactions has been illustrated and discussed. The investigation of the interactive effect of variables on the responses is important as the effect of some variables on the response would change at different levels of other variables. Hence, the interactive effect has </w:t>
      </w:r>
      <w:r w:rsidR="00EA15FA">
        <w:t xml:space="preserve">a </w:t>
      </w:r>
      <w:r w:rsidRPr="00EA15FA">
        <w:rPr>
          <w:noProof/>
        </w:rPr>
        <w:t>direct</w:t>
      </w:r>
      <w:r>
        <w:t xml:space="preserve"> </w:t>
      </w:r>
      <w:r w:rsidR="00310551">
        <w:t>influence</w:t>
      </w:r>
      <w:r>
        <w:t xml:space="preserve"> on the process </w:t>
      </w:r>
      <w:r w:rsidRPr="00C25863">
        <w:rPr>
          <w:noProof/>
        </w:rPr>
        <w:t>optimisation</w:t>
      </w:r>
      <w:r>
        <w:t xml:space="preserve">. </w:t>
      </w:r>
    </w:p>
    <w:p w:rsidR="00A018A9" w:rsidRDefault="0067392E">
      <w:pPr>
        <w:jc w:val="both"/>
      </w:pPr>
      <w:r>
        <w:t xml:space="preserve">Figure </w:t>
      </w:r>
      <w:r w:rsidR="00310551">
        <w:t>11</w:t>
      </w:r>
      <w:r>
        <w:t xml:space="preserve"> </w:t>
      </w:r>
      <w:r w:rsidRPr="00EA15FA">
        <w:rPr>
          <w:noProof/>
        </w:rPr>
        <w:t>illustrate</w:t>
      </w:r>
      <w:r w:rsidR="00EA15FA">
        <w:rPr>
          <w:noProof/>
        </w:rPr>
        <w:t>s</w:t>
      </w:r>
      <w:r>
        <w:t xml:space="preserve"> the </w:t>
      </w:r>
      <w:r w:rsidRPr="00EA15FA">
        <w:rPr>
          <w:noProof/>
        </w:rPr>
        <w:t>significan</w:t>
      </w:r>
      <w:r w:rsidR="00E26F4F">
        <w:rPr>
          <w:noProof/>
        </w:rPr>
        <w:t>t effect</w:t>
      </w:r>
      <w:r>
        <w:t xml:space="preserve"> of </w:t>
      </w:r>
      <w:r w:rsidR="00035697">
        <w:t xml:space="preserve">reaction temperature and pressure on </w:t>
      </w:r>
      <w:r w:rsidR="00310551">
        <w:t xml:space="preserve">BO </w:t>
      </w:r>
      <w:r w:rsidR="00035697">
        <w:t xml:space="preserve">conversion. </w:t>
      </w:r>
      <w:r w:rsidR="00A018A9">
        <w:t>At low reaction temperature, t</w:t>
      </w:r>
      <w:r w:rsidR="00035697">
        <w:t>he increase</w:t>
      </w:r>
      <w:r w:rsidR="00E26F4F">
        <w:t xml:space="preserve"> </w:t>
      </w:r>
      <w:r w:rsidR="00035697">
        <w:t xml:space="preserve">in pressure </w:t>
      </w:r>
      <w:r w:rsidR="00FA48AC">
        <w:t xml:space="preserve">from 60 bar to 90 bar </w:t>
      </w:r>
      <w:r w:rsidR="00035697">
        <w:t>increases the conver</w:t>
      </w:r>
      <w:r w:rsidR="00FA48AC">
        <w:t xml:space="preserve">sion rate of </w:t>
      </w:r>
      <w:r w:rsidR="00310551">
        <w:t>BO</w:t>
      </w:r>
      <w:r w:rsidR="00FA48AC">
        <w:t xml:space="preserve"> </w:t>
      </w:r>
      <w:r w:rsidR="00FE416E">
        <w:t xml:space="preserve">from </w:t>
      </w:r>
      <w:r w:rsidR="00FA48AC">
        <w:t>70% to 90%</w:t>
      </w:r>
      <w:r w:rsidR="00FE416E">
        <w:t xml:space="preserve"> </w:t>
      </w:r>
      <w:r w:rsidR="00EA15FA">
        <w:rPr>
          <w:noProof/>
        </w:rPr>
        <w:t>where</w:t>
      </w:r>
      <w:r w:rsidR="00FE416E" w:rsidRPr="00EA15FA">
        <w:rPr>
          <w:noProof/>
        </w:rPr>
        <w:t>as</w:t>
      </w:r>
      <w:r w:rsidR="00FE416E">
        <w:t xml:space="preserve"> there </w:t>
      </w:r>
      <w:r w:rsidR="00E26F4F">
        <w:t xml:space="preserve">has been </w:t>
      </w:r>
      <w:r w:rsidR="00EA15FA">
        <w:t xml:space="preserve">a </w:t>
      </w:r>
      <w:r w:rsidR="00FE416E" w:rsidRPr="00EA15FA">
        <w:rPr>
          <w:noProof/>
        </w:rPr>
        <w:t>slight</w:t>
      </w:r>
      <w:r w:rsidR="00FE416E">
        <w:t xml:space="preserve"> drop of temperature beyond 150 </w:t>
      </w:r>
      <w:r w:rsidR="00FE416E" w:rsidRPr="00FE416E">
        <w:rPr>
          <w:vertAlign w:val="superscript"/>
        </w:rPr>
        <w:t>o</w:t>
      </w:r>
      <w:r w:rsidR="00E801A2">
        <w:t xml:space="preserve">C. </w:t>
      </w:r>
      <w:r w:rsidR="00E801A2" w:rsidRPr="00EA15FA">
        <w:rPr>
          <w:noProof/>
        </w:rPr>
        <w:t>Although</w:t>
      </w:r>
      <w:r w:rsidR="00310551">
        <w:rPr>
          <w:noProof/>
        </w:rPr>
        <w:t>,</w:t>
      </w:r>
      <w:r w:rsidR="00EA15FA">
        <w:t xml:space="preserve"> i</w:t>
      </w:r>
      <w:r w:rsidR="00E801A2">
        <w:t xml:space="preserve">n Figure </w:t>
      </w:r>
      <w:r w:rsidR="00A018A9">
        <w:t>12</w:t>
      </w:r>
      <w:r w:rsidR="00FE416E">
        <w:t xml:space="preserve"> there </w:t>
      </w:r>
      <w:r w:rsidR="00310551">
        <w:t xml:space="preserve">has been </w:t>
      </w:r>
      <w:r w:rsidR="00FE416E">
        <w:t xml:space="preserve">a </w:t>
      </w:r>
      <w:r w:rsidR="00FE416E" w:rsidRPr="00EA15FA">
        <w:rPr>
          <w:noProof/>
        </w:rPr>
        <w:t>correspo</w:t>
      </w:r>
      <w:r w:rsidR="00EA15FA">
        <w:rPr>
          <w:noProof/>
        </w:rPr>
        <w:t>n</w:t>
      </w:r>
      <w:r w:rsidR="00FE416E" w:rsidRPr="00EA15FA">
        <w:rPr>
          <w:noProof/>
        </w:rPr>
        <w:t>ding</w:t>
      </w:r>
      <w:r w:rsidR="00FE416E">
        <w:t xml:space="preserve"> drop in the yield as the tem</w:t>
      </w:r>
      <w:r w:rsidR="00C25863">
        <w:t>perature increased</w:t>
      </w:r>
      <w:r w:rsidR="00FE416E">
        <w:t xml:space="preserve"> beyond 150 </w:t>
      </w:r>
      <w:r w:rsidR="00FE416E" w:rsidRPr="00FE416E">
        <w:rPr>
          <w:vertAlign w:val="superscript"/>
        </w:rPr>
        <w:t>o</w:t>
      </w:r>
      <w:r w:rsidR="00FE416E">
        <w:t xml:space="preserve">C, </w:t>
      </w:r>
      <w:r w:rsidR="00035697">
        <w:t>it</w:t>
      </w:r>
      <w:r w:rsidR="00FE416E">
        <w:t xml:space="preserve"> is quite evident that </w:t>
      </w:r>
      <w:r w:rsidR="00B524F5">
        <w:t>at</w:t>
      </w:r>
      <w:r w:rsidR="001E33E8">
        <w:t xml:space="preserve"> reaction temperature goes</w:t>
      </w:r>
      <w:r w:rsidR="00B524F5" w:rsidRPr="00B524F5">
        <w:t xml:space="preserve"> higher than </w:t>
      </w:r>
      <w:r w:rsidR="00B524F5">
        <w:t xml:space="preserve">150 </w:t>
      </w:r>
      <w:r w:rsidR="00B524F5" w:rsidRPr="00B524F5">
        <w:rPr>
          <w:vertAlign w:val="superscript"/>
        </w:rPr>
        <w:t>o</w:t>
      </w:r>
      <w:r w:rsidR="00B524F5">
        <w:t>C, causes a</w:t>
      </w:r>
      <w:r w:rsidR="00B524F5" w:rsidRPr="00B524F5">
        <w:t xml:space="preserve"> linear decrease in both </w:t>
      </w:r>
      <w:r w:rsidR="00B524F5">
        <w:t xml:space="preserve">BO </w:t>
      </w:r>
      <w:r w:rsidR="00B524F5" w:rsidRPr="00B524F5">
        <w:t xml:space="preserve">conversion and </w:t>
      </w:r>
      <w:r w:rsidR="00B524F5">
        <w:t xml:space="preserve">BC </w:t>
      </w:r>
      <w:r w:rsidR="00B524F5">
        <w:lastRenderedPageBreak/>
        <w:t>yield</w:t>
      </w:r>
      <w:r w:rsidR="00B524F5" w:rsidRPr="00B524F5">
        <w:t xml:space="preserve">. This decrease is probably due to the equilibrium nature of the </w:t>
      </w:r>
      <w:r w:rsidR="00B524F5" w:rsidRPr="00EA15FA">
        <w:rPr>
          <w:noProof/>
        </w:rPr>
        <w:t>cy</w:t>
      </w:r>
      <w:r w:rsidR="00EA15FA">
        <w:rPr>
          <w:noProof/>
        </w:rPr>
        <w:t>c</w:t>
      </w:r>
      <w:r w:rsidR="00B524F5" w:rsidRPr="00EA15FA">
        <w:rPr>
          <w:noProof/>
        </w:rPr>
        <w:t>loaddition</w:t>
      </w:r>
      <w:r w:rsidR="00B524F5" w:rsidRPr="00B524F5">
        <w:t xml:space="preserve"> reaction </w:t>
      </w:r>
      <w:r w:rsidR="00B524F5">
        <w:t>of BO and CO</w:t>
      </w:r>
      <w:r w:rsidR="00B524F5" w:rsidRPr="00B524F5">
        <w:rPr>
          <w:vertAlign w:val="subscript"/>
        </w:rPr>
        <w:t>2</w:t>
      </w:r>
      <w:r w:rsidR="00B524F5">
        <w:t xml:space="preserve"> </w:t>
      </w:r>
      <w:r w:rsidR="00B524F5" w:rsidRPr="00B524F5">
        <w:t xml:space="preserve">where higher reaction temperatures can shift the equilibrium to the reactant side and results in a reduction to the yield of </w:t>
      </w:r>
      <w:r w:rsidR="00B524F5">
        <w:t>B</w:t>
      </w:r>
      <w:r w:rsidR="00B524F5" w:rsidRPr="00B524F5">
        <w:t>C</w:t>
      </w:r>
      <w:r w:rsidR="00C25863">
        <w:t>, which is</w:t>
      </w:r>
      <w:r w:rsidR="00B524F5" w:rsidRPr="00B524F5">
        <w:t xml:space="preserve"> </w:t>
      </w:r>
      <w:r w:rsidR="00B524F5" w:rsidRPr="00EA15FA">
        <w:rPr>
          <w:noProof/>
        </w:rPr>
        <w:t>similar</w:t>
      </w:r>
      <w:r w:rsidR="00B524F5">
        <w:t xml:space="preserve"> to </w:t>
      </w:r>
      <w:r w:rsidR="00C25863">
        <w:t>the work published</w:t>
      </w:r>
      <w:r w:rsidR="00B524F5">
        <w:t xml:space="preserve"> by </w:t>
      </w:r>
      <w:r w:rsidR="00B524F5" w:rsidRPr="001E33E8">
        <w:rPr>
          <w:szCs w:val="24"/>
        </w:rPr>
        <w:t>Saad</w:t>
      </w:r>
      <w:r w:rsidR="00A3096B">
        <w:rPr>
          <w:szCs w:val="24"/>
        </w:rPr>
        <w:t>a</w:t>
      </w:r>
      <w:r w:rsidR="00C25863">
        <w:rPr>
          <w:szCs w:val="24"/>
        </w:rPr>
        <w:t xml:space="preserve"> et al.</w:t>
      </w:r>
      <w:r w:rsidR="00B524F5" w:rsidRPr="001E33E8">
        <w:rPr>
          <w:szCs w:val="24"/>
        </w:rPr>
        <w:t xml:space="preserve"> 2018</w:t>
      </w:r>
      <w:r w:rsidR="002D6134">
        <w:rPr>
          <w:szCs w:val="24"/>
        </w:rPr>
        <w:t xml:space="preserve"> </w:t>
      </w:r>
      <w:r w:rsidR="002D6134">
        <w:rPr>
          <w:szCs w:val="24"/>
        </w:rPr>
        <w:fldChar w:fldCharType="begin" w:fldLock="1"/>
      </w:r>
      <w:r w:rsidR="00CB10A7">
        <w:rPr>
          <w:szCs w:val="24"/>
        </w:rPr>
        <w:instrText>ADDIN CSL_CITATION {"citationItems":[{"id":"ITEM-1","itemData":{"DOI":"10.1016/j.apcatb.2017.12.081","ISBN":"0926-3373","ISSN":"09263373","abstract":"A green, rapid and continuous hydrothermal flow synthesis (CHFS) route has been employed to synthesise highly efficient and active novel heterogeneous catalysts. Tin doped zirconia (Zr–Sn–O) and tin doped zirconia/graphene nanocomposite (Zr–Sn/GO) have been assessed as suitable heterogeneous catalysts for the synthesis of dimethyl carbonate (DMC). The catalysts have been extensively characterized using powder X-ray diffraction (XRD), transmission electron microscopy (TEM), Brunauer-Emmett-Teller (BET) surface area measurement and X-ray photoelectron spectroscopy (XPS) analysis. Extensive batch studies for the synthesis of DMC via the transesterification of propylene carbonate (PC) and methanol (MeOH) using Zr–Sn/GO catalyst in a solvent free process were also conducted. The effect of various reaction conditions such as reactant molar ratio, catalyst loading, reaction temperature and reaction time has been extensively evaluated. Response surface methodology based on Box-Behneken Design (BBD) was employed to derive optimum conditions for maximising PC conversion and DMC yield. The correlations and interactions between various variables such as MeOH:PC ratio, catalyst loading, reaction temperature, reaction time and stirring speed were extensively studied. A quadratic model by multiple regression analysis for the PC conversion and DMC yield was developed and verified by several methods BBD revealed that optimum conditions for high yield values of DMC are 12.33:1 MeOH:PC molar ratio, 446.7 K, 4.08 h and 300 rpm using 2.9% (w/w) Zr–Sn/GO nanocomposite. The maximum predicted responses at the optimum conditions are 85.1% and 81% for PC conversion and yield of DMC respectively. Experimental results at optimum model predicted reaction conditions agree very well with the model predicted response, where 82.4% PC conversion and 78.2% yield of DMC were obtained. Catalyst reusability and stability studies have been conducted at optimum reaction condition to investigate the long term stability of Zr–Sn/GO and it has been found that the catalyst could be reused more than six times (about 42 h) without losing its catalytic activity. These experimental and model predicted values showed an excellent agreement for tin doped zirconia/graphene nanocomposite as a heterogeneous catalyst for the synthesis of DMC from PC and MeOH.","author":[{"dropping-particle":"","family":"Saada","given":"Rim","non-dropping-particle":"","parse-names":false,"suffix":""},{"dropping-particle":"","family":"AboElazayem","given":"Omar","non-dropping-particle":"","parse-names":false,"suffix":""},{"dropping-particle":"","family":"Kellici","given":"Suela","non-dropping-particle":"","parse-names":false,"suffix":""},{"dropping-particle":"","family":"Heil","given":"Tobias","non-dropping-particle":"","parse-names":false,"suffix":""},{"dropping-particle":"","family":"Morgan","given":"David","non-dropping-particle":"","parse-names":false,"suffix":""},{"dropping-particle":"","family":"Lampronti","given":"Giulio I.","non-dropping-particle":"","parse-names":false,"suffix":""},{"dropping-particle":"","family":"Saha","given":"Basudeb","non-dropping-particle":"","parse-names":false,"suffix":""}],"container-title":"Applied Catalysis B: Environmental","id":"ITEM-1","issue":"December 2017","issued":{"date-parts":[["2018"]]},"page":"451-462","publisher":"Elsevier","title":"Greener synthesis of dimethyl carbonate using a novel tin-zirconia/graphene nanocomposite catalyst","type":"article-journal","volume":"226"},"uris":["http://www.mendeley.com/documents/?uuid=13cbe093-eaaa-4cc0-8d77-a0426aaca774"]}],"mendeley":{"formattedCitation":"[28]","plainTextFormattedCitation":"[28]","previouslyFormattedCitation":"[28]"},"properties":{"noteIndex":0},"schema":"https://github.com/citation-style-language/schema/raw/master/csl-citation.json"}</w:instrText>
      </w:r>
      <w:r w:rsidR="002D6134">
        <w:rPr>
          <w:szCs w:val="24"/>
        </w:rPr>
        <w:fldChar w:fldCharType="separate"/>
      </w:r>
      <w:r w:rsidR="002D6134" w:rsidRPr="002D6134">
        <w:rPr>
          <w:noProof/>
          <w:szCs w:val="24"/>
        </w:rPr>
        <w:t>[28]</w:t>
      </w:r>
      <w:r w:rsidR="002D6134">
        <w:rPr>
          <w:szCs w:val="24"/>
        </w:rPr>
        <w:fldChar w:fldCharType="end"/>
      </w:r>
      <w:r w:rsidR="00B524F5" w:rsidRPr="001E33E8">
        <w:rPr>
          <w:szCs w:val="24"/>
        </w:rPr>
        <w:t xml:space="preserve"> and </w:t>
      </w:r>
      <w:r w:rsidR="00A3096B" w:rsidRPr="00C25863">
        <w:rPr>
          <w:noProof/>
          <w:szCs w:val="24"/>
        </w:rPr>
        <w:t>Rasal</w:t>
      </w:r>
      <w:r w:rsidR="00C25863">
        <w:rPr>
          <w:szCs w:val="24"/>
        </w:rPr>
        <w:t xml:space="preserve"> et al.</w:t>
      </w:r>
      <w:r w:rsidR="00A3096B">
        <w:rPr>
          <w:szCs w:val="24"/>
        </w:rPr>
        <w:t xml:space="preserve"> 2018 </w:t>
      </w:r>
      <w:r w:rsidR="00A3096B">
        <w:rPr>
          <w:szCs w:val="24"/>
        </w:rPr>
        <w:fldChar w:fldCharType="begin" w:fldLock="1"/>
      </w:r>
      <w:r w:rsidR="00CB10A7">
        <w:rPr>
          <w:szCs w:val="24"/>
        </w:rPr>
        <w:instrText>ADDIN CSL_CITATION {"citationItems":[{"id":"ITEM-1","itemData":{"DOI":"10.1016/j.mcat.2018.01.012","ISSN":"24688231","abstract":"Cyclic carbonates are industrially important chemicals. In this work, an efficient synthesis of cyclic carbonate was achieved by cyclization of epoxide with CO2using nanocrystalline lithium promoted magnesia (Li-MgO), without using any co-catalyst or solvent. A series of Li-MgO were prepared by gel combustion method and well characterized. Li-MgO forms active F-centers (crystallographic defect) due to the difference in valence state of lithium (Li+) and magnesium (Mg2+) and acts as an active site for CO2activation. In the synthesis of 4-(chloromethyl)-1,3-dioxolan-2-one from epichlorohydrin, 0.75% (w/w) Li-MgO was the most active catalyst for CO2fixation into cyclic carbonate with excellent conversion (</w:instrText>
      </w:r>
      <w:r w:rsidR="00CB10A7">
        <w:rPr>
          <w:rFonts w:ascii="Cambria Math" w:hAnsi="Cambria Math" w:cs="Cambria Math"/>
          <w:szCs w:val="24"/>
        </w:rPr>
        <w:instrText>∼</w:instrText>
      </w:r>
      <w:r w:rsidR="00CB10A7">
        <w:rPr>
          <w:szCs w:val="24"/>
        </w:rPr>
        <w:instrText>98%) and selectivity (100%), at 130 °C and 3 MPa of CO2pressure. The catalyst showed structural stability and was reused for three cycles without loss of activity. The current synthesis protocol is 100% atom-efficient and thus was extended to a variety of substrates. Langmuir- Hinshelwood-Hougen-Watson (LHHW) type of mechanism was proposed and kinetics studied. Both reactants are strongly adsorbed making the overall reaction zero order with an apparent activation energy of 15.14 kcal/mol.","author":[{"dropping-particle":"","family":"Rasal","given":"Kalidas B.","non-dropping-particle":"","parse-names":false,"suffix":""},{"dropping-particle":"","family":"Yadav","given":"Ganapati D.","non-dropping-particle":"","parse-names":false,"suffix":""},{"dropping-particle":"","family":"Koskinen","given":"Rauli","non-dropping-particle":"","parse-names":false,"suffix":""},{"dropping-particle":"","family":"Keiski","given":"Riitta","non-dropping-particle":"","parse-names":false,"suffix":""}],"container-title":"Molecular Catalysis","id":"ITEM-1","issued":{"date-parts":[["2018"]]},"page":"200-208","title":"Solventless synthesis of cyclic carbonates by direct utilization of CO2using nanocrystalline lithium promoted magnesia","type":"article-journal","volume":"451"},"uris":["http://www.mendeley.com/documents/?uuid=ee4ec878-7def-329d-a51f-9b4457a83526","http://www.mendeley.com/documents/?uuid=26f899a9-6d8c-48ae-b2e7-92b60d56e98e"]}],"mendeley":{"formattedCitation":"[29]","plainTextFormattedCitation":"[29]","previouslyFormattedCitation":"[29]"},"properties":{"noteIndex":0},"schema":"https://github.com/citation-style-language/schema/raw/master/csl-citation.json"}</w:instrText>
      </w:r>
      <w:r w:rsidR="00A3096B">
        <w:rPr>
          <w:szCs w:val="24"/>
        </w:rPr>
        <w:fldChar w:fldCharType="separate"/>
      </w:r>
      <w:r w:rsidR="00A3096B" w:rsidRPr="00A3096B">
        <w:rPr>
          <w:noProof/>
          <w:szCs w:val="24"/>
        </w:rPr>
        <w:t>[29]</w:t>
      </w:r>
      <w:r w:rsidR="00A3096B">
        <w:rPr>
          <w:szCs w:val="24"/>
        </w:rPr>
        <w:fldChar w:fldCharType="end"/>
      </w:r>
      <w:r w:rsidR="00B524F5">
        <w:rPr>
          <w:sz w:val="22"/>
        </w:rPr>
        <w:t>.</w:t>
      </w:r>
      <w:r w:rsidR="001E33E8">
        <w:rPr>
          <w:sz w:val="22"/>
        </w:rPr>
        <w:t xml:space="preserve"> </w:t>
      </w:r>
      <w:r w:rsidR="001E33E8" w:rsidRPr="001E33E8">
        <w:t>Conversely,</w:t>
      </w:r>
      <w:r w:rsidR="00A018A9">
        <w:t xml:space="preserve"> at higher reaction temperature</w:t>
      </w:r>
      <w:r w:rsidR="00E801A2">
        <w:t xml:space="preserve"> the pressure was constant from 75 bar to 85 bar </w:t>
      </w:r>
      <w:r w:rsidR="00B12B88">
        <w:t>after which there wa</w:t>
      </w:r>
      <w:r w:rsidR="00E801A2">
        <w:t xml:space="preserve">s a slight drop </w:t>
      </w:r>
      <w:r w:rsidR="00EA15FA">
        <w:rPr>
          <w:noProof/>
        </w:rPr>
        <w:t>in</w:t>
      </w:r>
      <w:r w:rsidR="00E801A2">
        <w:t xml:space="preserve"> the </w:t>
      </w:r>
      <w:r w:rsidR="00C25863">
        <w:t xml:space="preserve">BC </w:t>
      </w:r>
      <w:r w:rsidR="00E801A2">
        <w:t>yield of 1.</w:t>
      </w:r>
      <w:r w:rsidR="00FA48AC">
        <w:t>2</w:t>
      </w:r>
      <w:r w:rsidR="00E801A2">
        <w:t>5%</w:t>
      </w:r>
      <w:r w:rsidR="00325560">
        <w:t>. Hence</w:t>
      </w:r>
      <w:r w:rsidR="00C25863">
        <w:t>,</w:t>
      </w:r>
      <w:r w:rsidR="00325560">
        <w:t xml:space="preserve"> it can be </w:t>
      </w:r>
      <w:r w:rsidR="00A018A9">
        <w:t xml:space="preserve">observed </w:t>
      </w:r>
      <w:r w:rsidR="00325560">
        <w:t xml:space="preserve">that the optimum reaction temperature is 135 </w:t>
      </w:r>
      <w:r w:rsidR="00325560" w:rsidRPr="00C25863">
        <w:rPr>
          <w:noProof/>
          <w:vertAlign w:val="superscript"/>
        </w:rPr>
        <w:t>o</w:t>
      </w:r>
      <w:r w:rsidR="00B12B88" w:rsidRPr="00C25863">
        <w:rPr>
          <w:noProof/>
        </w:rPr>
        <w:t>C</w:t>
      </w:r>
      <w:r w:rsidR="00B12B88">
        <w:t xml:space="preserve"> and </w:t>
      </w:r>
      <w:r w:rsidR="00325560">
        <w:t xml:space="preserve">pressure is 75 bar. </w:t>
      </w:r>
    </w:p>
    <w:p w:rsidR="00DC2563" w:rsidRDefault="001A1BFF" w:rsidP="009867C4">
      <w:pPr>
        <w:jc w:val="both"/>
      </w:pPr>
      <w:r>
        <w:t>T</w:t>
      </w:r>
      <w:r w:rsidR="00D604B3">
        <w:t xml:space="preserve">he effect of catalyst loading and </w:t>
      </w:r>
      <w:r w:rsidR="00A018A9">
        <w:t xml:space="preserve">reaction </w:t>
      </w:r>
      <w:r w:rsidR="00D604B3">
        <w:t xml:space="preserve">time on </w:t>
      </w:r>
      <w:r w:rsidR="00C25863">
        <w:t xml:space="preserve">BO </w:t>
      </w:r>
      <w:r w:rsidR="00D604B3">
        <w:t>conversio</w:t>
      </w:r>
      <w:r w:rsidR="00C25863">
        <w:t>n (see</w:t>
      </w:r>
      <w:r w:rsidR="00F34B60">
        <w:t xml:space="preserve"> Figure </w:t>
      </w:r>
      <w:r w:rsidR="00A018A9">
        <w:t>13</w:t>
      </w:r>
      <w:r w:rsidR="00C25863">
        <w:t>)</w:t>
      </w:r>
      <w:r w:rsidR="00F34B60">
        <w:t xml:space="preserve"> shows an</w:t>
      </w:r>
      <w:r w:rsidR="00D604B3">
        <w:t xml:space="preserve"> </w:t>
      </w:r>
      <w:r w:rsidR="00F34B60">
        <w:t xml:space="preserve">increase in catalyst loading </w:t>
      </w:r>
      <w:r w:rsidR="00B12B88">
        <w:t xml:space="preserve">that </w:t>
      </w:r>
      <w:r w:rsidR="00F34B60">
        <w:t xml:space="preserve">leads to a corresponding </w:t>
      </w:r>
      <w:r w:rsidR="00FA48AC">
        <w:t xml:space="preserve">rapid </w:t>
      </w:r>
      <w:r w:rsidR="00F34B60">
        <w:t>increase in the</w:t>
      </w:r>
      <w:r w:rsidR="00D604B3">
        <w:t xml:space="preserve"> </w:t>
      </w:r>
      <w:r w:rsidR="00C25863">
        <w:t>BO</w:t>
      </w:r>
      <w:r w:rsidR="001418BE">
        <w:t xml:space="preserve"> conversion</w:t>
      </w:r>
      <w:r>
        <w:t xml:space="preserve">, however, </w:t>
      </w:r>
      <w:r w:rsidR="00C25863">
        <w:t>BO conversion i</w:t>
      </w:r>
      <w:r w:rsidR="001418BE">
        <w:t>s steady</w:t>
      </w:r>
      <w:r w:rsidR="00D604B3">
        <w:t xml:space="preserve"> </w:t>
      </w:r>
      <w:r w:rsidR="00B12B88">
        <w:t>at</w:t>
      </w:r>
      <w:r w:rsidR="00D604B3">
        <w:t xml:space="preserve"> </w:t>
      </w:r>
      <w:r w:rsidR="00D604B3" w:rsidRPr="00EA15FA">
        <w:rPr>
          <w:noProof/>
        </w:rPr>
        <w:t>cataly</w:t>
      </w:r>
      <w:r w:rsidR="00EA15FA">
        <w:rPr>
          <w:noProof/>
        </w:rPr>
        <w:t>s</w:t>
      </w:r>
      <w:r w:rsidR="00C25863">
        <w:rPr>
          <w:noProof/>
        </w:rPr>
        <w:t>t</w:t>
      </w:r>
      <w:r w:rsidR="00D604B3">
        <w:t xml:space="preserve"> loading goes beyond</w:t>
      </w:r>
      <w:r>
        <w:t xml:space="preserve"> 10% (w/w)</w:t>
      </w:r>
      <w:r w:rsidR="00B12B88">
        <w:t xml:space="preserve"> </w:t>
      </w:r>
      <w:r w:rsidR="00C25863">
        <w:t>until</w:t>
      </w:r>
      <w:r w:rsidR="00B12B88">
        <w:t xml:space="preserve"> 14% (w/w)</w:t>
      </w:r>
      <w:r w:rsidR="00D604B3">
        <w:t xml:space="preserve">. </w:t>
      </w:r>
      <w:r>
        <w:t>Similarly, the effect</w:t>
      </w:r>
      <w:r w:rsidR="001418BE">
        <w:t xml:space="preserve"> of time on </w:t>
      </w:r>
      <w:r w:rsidR="00C25863">
        <w:t>BO</w:t>
      </w:r>
      <w:r w:rsidR="00A018A9">
        <w:t xml:space="preserve"> </w:t>
      </w:r>
      <w:r w:rsidR="001418BE">
        <w:t>conversion reflects</w:t>
      </w:r>
      <w:r>
        <w:t xml:space="preserve"> the same pattern</w:t>
      </w:r>
      <w:r w:rsidR="00C25863">
        <w:t xml:space="preserve"> beyond 20 </w:t>
      </w:r>
      <w:r w:rsidR="00A018A9">
        <w:t xml:space="preserve">h where it </w:t>
      </w:r>
      <w:r w:rsidRPr="00C25863">
        <w:rPr>
          <w:noProof/>
        </w:rPr>
        <w:t>remain</w:t>
      </w:r>
      <w:r w:rsidR="00C25863">
        <w:rPr>
          <w:noProof/>
        </w:rPr>
        <w:t>s</w:t>
      </w:r>
      <w:r>
        <w:t xml:space="preserve"> constant. </w:t>
      </w:r>
      <w:r w:rsidR="001418BE">
        <w:t>Furthermore, Figu</w:t>
      </w:r>
      <w:r w:rsidR="00C25863">
        <w:t>re 1</w:t>
      </w:r>
      <w:r w:rsidR="00A018A9">
        <w:t>4</w:t>
      </w:r>
      <w:r w:rsidR="00C25863">
        <w:t xml:space="preserve"> shows that BC</w:t>
      </w:r>
      <w:r w:rsidR="00B12B88">
        <w:t xml:space="preserve"> yield was constant from </w:t>
      </w:r>
      <w:r w:rsidR="001418BE">
        <w:t xml:space="preserve">20 h </w:t>
      </w:r>
      <w:r w:rsidR="00B12B88">
        <w:t xml:space="preserve">upward </w:t>
      </w:r>
      <w:r w:rsidR="001418BE">
        <w:t xml:space="preserve">and at 10% (w/w) </w:t>
      </w:r>
      <w:r w:rsidR="00C25863">
        <w:t>catalyst loading,</w:t>
      </w:r>
      <w:r w:rsidR="001418BE">
        <w:t xml:space="preserve"> although there </w:t>
      </w:r>
      <w:r w:rsidR="001418BE" w:rsidRPr="00EA15FA">
        <w:rPr>
          <w:noProof/>
        </w:rPr>
        <w:t>w</w:t>
      </w:r>
      <w:r w:rsidR="00EA15FA">
        <w:rPr>
          <w:noProof/>
        </w:rPr>
        <w:t>as</w:t>
      </w:r>
      <w:r w:rsidR="001418BE">
        <w:t xml:space="preserve"> </w:t>
      </w:r>
      <w:r w:rsidR="00EA15FA">
        <w:t xml:space="preserve">a </w:t>
      </w:r>
      <w:r w:rsidR="001418BE" w:rsidRPr="00EA15FA">
        <w:rPr>
          <w:noProof/>
        </w:rPr>
        <w:t>noticeable</w:t>
      </w:r>
      <w:r w:rsidR="00C25863">
        <w:t xml:space="preserve"> </w:t>
      </w:r>
      <w:r w:rsidR="001418BE">
        <w:t xml:space="preserve">drop in the </w:t>
      </w:r>
      <w:r w:rsidR="00C25863">
        <w:t xml:space="preserve">BC </w:t>
      </w:r>
      <w:r w:rsidR="001418BE">
        <w:t xml:space="preserve">yield </w:t>
      </w:r>
      <w:r w:rsidR="00C25863">
        <w:t>when the catalyst loading was</w:t>
      </w:r>
      <w:r w:rsidR="001418BE">
        <w:t xml:space="preserve"> 15% </w:t>
      </w:r>
      <w:r w:rsidR="00FA48AC">
        <w:t xml:space="preserve">(w/w) and reaction time of 24 h. </w:t>
      </w:r>
      <w:r w:rsidR="00FA48AC" w:rsidRPr="00EA15FA">
        <w:rPr>
          <w:noProof/>
        </w:rPr>
        <w:t>Th</w:t>
      </w:r>
      <w:r w:rsidR="00EA15FA">
        <w:rPr>
          <w:noProof/>
        </w:rPr>
        <w:t>is</w:t>
      </w:r>
      <w:r w:rsidR="00C25863">
        <w:rPr>
          <w:noProof/>
        </w:rPr>
        <w:t xml:space="preserve"> significant</w:t>
      </w:r>
      <w:r w:rsidR="001418BE" w:rsidRPr="00EA15FA">
        <w:rPr>
          <w:noProof/>
        </w:rPr>
        <w:t xml:space="preserve"> drop</w:t>
      </w:r>
      <w:r w:rsidR="001418BE">
        <w:t xml:space="preserve"> can be attributed to </w:t>
      </w:r>
      <w:r w:rsidR="00EA15FA">
        <w:t xml:space="preserve">the </w:t>
      </w:r>
      <w:r w:rsidR="001418BE" w:rsidRPr="00EA15FA">
        <w:rPr>
          <w:noProof/>
        </w:rPr>
        <w:t>formation</w:t>
      </w:r>
      <w:r w:rsidR="001418BE">
        <w:t xml:space="preserve"> of oligomers and isomers</w:t>
      </w:r>
      <w:r w:rsidR="00C25863">
        <w:t>,</w:t>
      </w:r>
      <w:r w:rsidR="001418BE">
        <w:t xml:space="preserve"> which were below</w:t>
      </w:r>
      <w:r w:rsidR="00C25863">
        <w:t xml:space="preserve"> the</w:t>
      </w:r>
      <w:r w:rsidR="001418BE">
        <w:t xml:space="preserve"> </w:t>
      </w:r>
      <w:r w:rsidR="009867C4">
        <w:t xml:space="preserve">flame </w:t>
      </w:r>
      <w:r w:rsidR="009867C4" w:rsidRPr="00726E89">
        <w:rPr>
          <w:noProof/>
        </w:rPr>
        <w:t>ionisation</w:t>
      </w:r>
      <w:r w:rsidR="009867C4">
        <w:t xml:space="preserve"> detection limits. </w:t>
      </w:r>
      <w:r w:rsidR="00325560">
        <w:t>For</w:t>
      </w:r>
      <w:r w:rsidR="009867C4">
        <w:t xml:space="preserve"> this study</w:t>
      </w:r>
      <w:r w:rsidR="00B12B88">
        <w:t xml:space="preserve">, </w:t>
      </w:r>
      <w:r w:rsidR="00325560">
        <w:t>all further</w:t>
      </w:r>
      <w:r w:rsidR="00E26F4F">
        <w:t xml:space="preserve"> </w:t>
      </w:r>
      <w:r w:rsidR="00325560">
        <w:t xml:space="preserve">OFAT experiments were conducted </w:t>
      </w:r>
      <w:r w:rsidR="00D604B3">
        <w:t xml:space="preserve">at 75 bar, 135 </w:t>
      </w:r>
      <w:r w:rsidR="00D604B3" w:rsidRPr="00D604B3">
        <w:rPr>
          <w:vertAlign w:val="superscript"/>
        </w:rPr>
        <w:t>o</w:t>
      </w:r>
      <w:r w:rsidR="00D604B3">
        <w:t xml:space="preserve">C, 10% </w:t>
      </w:r>
      <w:r>
        <w:t xml:space="preserve">(w/w) catalyst loading </w:t>
      </w:r>
      <w:r w:rsidRPr="00726E89">
        <w:rPr>
          <w:noProof/>
        </w:rPr>
        <w:t>and</w:t>
      </w:r>
      <w:r>
        <w:t xml:space="preserve"> </w:t>
      </w:r>
      <w:r w:rsidR="00C25863">
        <w:t xml:space="preserve">for </w:t>
      </w:r>
      <w:r>
        <w:t>20 h</w:t>
      </w:r>
      <w:r w:rsidR="00D604B3">
        <w:t>. The optimum reaction conditions are within the range of</w:t>
      </w:r>
      <w:r w:rsidR="00C25863">
        <w:t xml:space="preserve"> the</w:t>
      </w:r>
      <w:r w:rsidR="00D604B3">
        <w:t xml:space="preserve"> literature published</w:t>
      </w:r>
      <w:r w:rsidR="00A3096B">
        <w:t xml:space="preserve"> </w:t>
      </w:r>
      <w:r w:rsidR="00A3096B">
        <w:fldChar w:fldCharType="begin" w:fldLock="1"/>
      </w:r>
      <w:r w:rsidR="00CB10A7">
        <w:instrText>ADDIN CSL_CITATION {"citationItems":[{"id":"ITEM-1","itemData":{"DOI":"10.1021/ja9902165","ISBN":"0002-7863","ISSN":"00027863","abstract":"The efficient transformation of harmful wastes such as CO 2 into useful chemicals is an important contribution to the preserva-tion of the earth. Chemical fixation of CO 2 onto organic com-pounds is interesting because of a synthetic merit; one carbon atom and two oxygen atoms can be incorporated in one step with a high atom efficiency. In this sense, the addition reaction of CO 2 to epoxides is a powerful candidate for CO 2 fixation to produce five-membered cyclic carbonate which can be used as valuable raw materials for engineering plastics and highly polar solvents. 1 Various catalysts such as metal halides, onium halides, and MgO have been continuously explored in the addition of CO 2 to epox-ides. 1 A key step in the above reaction, as well as other chemical fixation reactions of CO 2 , is activation of the unreactive CO 2 mole-cule with metal catalysts and light. Hydrotalcites consist of Brucite-like layers having a positive charge with anionic species in the interlayer, forming neutral clay materials. 2 We have already reported that hydrotalcites are excellent catalysts for the Baeyer-Villiger oxidation, 3 epoxida-tion, 4 and oxidative dehydrogenation 5 with the use of H 2 O 2 and molecular oxygen as oxidants. Further, hydrotalcites have been often used as precursors for active Mg-Al mixed oxide catalysts having strong basic sites on their surface. 6 Here, we found that the Mg-Al mixed oxides obtained by calcination of the hydro-talcites were effective catalysts for the fixation of CO 2 to various epoxides to form the corresponding five-membered cyclic carbon-ates. Compared with other reported catalysts for this addition reaction, the Mg-Al mixed oxides have the following advan-tages: (1) highly catalytic actiVity eVen under an atmospheric CO 2 pressure, (2) reusable catalysts, and (3) the stereospecific addition Via a retention of the configuration of epoxides. In this paper, we report the unique catalysis of the Mg-Al mixed oxides for the selective formation of cyclic carbonates on the basis of characterization of the oxide catalysts using physicochemical methods.","author":[{"dropping-particle":"","family":"Yamaguchi","given":"Kazuya","non-dropping-particle":"","parse-names":false,"suffix":""},{"dropping-particle":"","family":"Ebitani","given":"Kohki","non-dropping-particle":"","parse-names":false,"suffix":""},{"dropping-particle":"","family":"Yoshida","given":"Tomoko","non-dropping-particle":"","parse-names":false,"suffix":""},{"dropping-particle":"","family":"Yoshida","given":"Hisao","non-dropping-particle":"","parse-names":false,"suffix":""},{"dropping-particle":"","family":"Kaneda","given":"Kiyotomi","non-dropping-particle":"","parse-names":false,"suffix":""}],"container-title":"Journal of the American Chemical Society","id":"ITEM-1","issue":"18","issued":{"date-parts":[["1999","5"]]},"page":"4526-4527","title":"Mg-Al mixed oxides as highly active acid-base catalysts for cycloaddition of carbon dioxide to epoxides","type":"article-journal","volume":"121"},"uris":["http://www.mendeley.com/documents/?uuid=a003265b-bcad-3f22-8fdb-ca9bd1f9334b","http://www.mendeley.com/documents/?uuid=8bfd39ac-7efb-4d6e-bcc1-2dae587ee99a"]},{"id":"ITEM-2","itemData":{"DOI":"10.1039/b819997c","abstract":"Carbon dioxide (CO2) is an easily available, renewable carbon resource, which has the advantages of being non-toxic, abundant and economical. CO2 is also attractive as an environmentally friendly chemical reagent, and is especially useful as a phosgene substitute. CO2 is an \"anhydrous carbonic acid\" that rapidly reacts with basic compounds. Nucleophilic attack at CO2 conveniently produces carboxyl and carbamoyl groups. Further reactions of these species with electrophiles lead to the formation of organic carbonates and carbamates. The present article deals with the synthetic technologies leading to organic carbonates using CO 2 as a raw material. © 2009 The Royal Society of Chemistry.","author":[{"dropping-particle":"","family":"Sakakura","given":"Toshiyasu","non-dropping-particle":"","parse-names":false,"suffix":""},{"dropping-particle":"","family":"Kohno","given":"Kazufumi","non-dropping-particle":"","parse-names":false,"suffix":""}],"container-title":"Chemical Communications","id":"ITEM-2","issue":"11","issued":{"date-parts":[["2009"]]},"page":"1312","title":"The synthesis of organic carbonates from carbon dioxide","type":"article-journal"},"uris":["http://www.mendeley.com/documents/?uuid=4cd52758-ceb8-367c-9795-3dd96753ad8d","http://www.mendeley.com/documents/?uuid=da76177e-f83b-4d84-9d81-4d636160ccc3"]},{"id":"ITEM-3","itemData":{"DOI":"10.1016/J.JCAT.2016.11.038","ISBN":"0021-9517","ISSN":"0021-9517","abstract":"Novel metal-free tri-s-triazine terminal-linked ionic liquids have been developed from various precursors of urea-derivative-based ionic liquid/urea by a co-condensation method. These were successfully used for the chemical fixation of CO2 to epoxides producing cyclic carbonates under mild and green conditions in which no co-catalyst and solvent were needed. The tri-s-triazine terminal-linked ionic liquids so prepared possess multiple functionalities of hydrogen bond donor ability, nucleophilicity, and Lewis base property, which are vital to the ring-opening of epoxide and the activation of CO2. Reaction parameters (temperature, CO2 pressure, catalyst loading, time, water content) for cycloaddition of CO2 with propylene oxide (PO) to propylene carbonate (PC) over tri-s-triazine terminal-linked ionic liquids were optimized. It has been shown that, under the optimal conditions, the catalyst is also versatile to CO2 cycloaddition with other epoxides, can be reused in up to five consecutive recycles without significant loss of activity, and can still remain active in the presence of moderate amounts of water. A possible reaction mechanism has been proposed. The single-component, metal-free, multifunctional, and easily recyclable tri-s-triazine terminal-linked ionic liquids reported here can be an effective and ecofriendly catalyst for highly efficient CO2 fixation.","author":[{"dropping-particle":"","family":"Liu","given":"Mengshuai","non-dropping-particle":"","parse-names":false,"suffix":""},{"dropping-particle":"","family":"Lan","given":"Jianwen","non-dropping-particle":"","parse-names":false,"suffix":""},{"dropping-particle":"","family":"Liang","given":"Lin","non-dropping-particle":"","parse-names":false,"suffix":""},{"dropping-particle":"","family":"Sun","given":"Jianmin","non-dropping-particle":"","parse-names":false,"suffix":""},{"dropping-particle":"","family":"Arai","given":"Masahiko","non-dropping-particle":"","parse-names":false,"suffix":""}],"container-title":"Journal of Catalysis","id":"ITEM-3","issued":{"date-parts":[["2017"]]},"title":"Heterogeneous catalytic conversion of CO2 and epoxides to cyclic carbonates over multifunctional tri-s-triazine terminal-linked ionic liquids","type":"article-journal"},"uris":["http://www.mendeley.com/documents/?uuid=e04543a4-1f5f-36d9-aefc-7f1700d7db41","http://www.mendeley.com/documents/?uuid=97863b6d-b54e-4c9d-8393-65fed9e3f7d7"]},{"id":"ITEM-4","itemData":{"DOI":"10.1021/ie500345z","ISSN":"15205045","abstract":"Several heterogeneous catalysts have been investigated for solvent-free synthesis of propylene carbonate (PC) for cycloaddition reaction of propylene oxide (PO) and carbon dioxide (CO2). The characterization of different heterogeneous catalysts has been successfully carried out using Raman spectroscopy, scanning electron microscopy, and X-ray diffraction analysis. Batch cycloaddition reaction of PC and CO2 has been conducted in a high pressure reactor. The effect of various parameters that could influence the conversion of PO and the selectivity and yield of PC such as catalyst types, catalyst loading, CO2 pressure, reaction temperature, and reaction time has been studied to find the optimum conditions and the best preferred catalyst for this reaction. Ceria and lanthana doped zirconia (Ce?La?Zr?O) catalyst has been found to be the most active and selective for synthesis of PC as compared to other heterogeneous catalysts that were tested as part of this research. Catalyst reusability studies have been conducted to investigate the long-term stability of the best performed catalyst for synthesis of PC, and it has been found that the catalyst could be reused several times without losing its catalytic activity. An artificial neural network (ANN) model has been developed for PC synthesis by cycloaddition reaction of PO and CO2 using Ce?La?Zr?O catalyst to compare the experimental data and the predicted results by ANN model. The ANN model predicted values are in good agreement with the experimental results. Several heterogeneous catalysts have been investigated for solvent-free synthesis of propylene carbonate (PC) for cycloaddition reaction of propylene oxide (PO) and carbon dioxide (CO2). The characterization of different heterogeneous catalysts has been successfully carried out using Raman spectroscopy, scanning electron microscopy, and X-ray diffraction analysis. Batch cycloaddition reaction of PC and CO2 has been conducted in a high pressure reactor. The effect of various parameters that could influence the conversion of PO and the selectivity and yield of PC such as catalyst types, catalyst loading, CO2 pressure, reaction temperature, and reaction time has been studied to find the optimum conditions and the best preferred catalyst for this reaction. Ceria and lanthana doped zirconia (Ce?La?Zr?O) catalyst has been found to be the most active and selective for synthesis of PC as compared to other heterogeneous catalysts that were tested as part of this re…","author":[{"dropping-particle":"","family":"Adeleye","given":"Adegboyega Isaac","non-dropping-particle":"","parse-names":false,"suffix":""},{"dropping-particle":"","family":"Patel","given":"Dipesh","non-dropping-particle":"","parse-names":false,"suffix":""},{"dropping-particle":"","family":"Niyogi","given":"Debdarsan","non-dropping-particle":"","parse-names":false,"suffix":""},{"dropping-particle":"","family":"Saha","given":"Basudeb","non-dropping-particle":"","parse-names":false,"suffix":""}],"container-title":"Industrial and Engineering Chemistry Research","id":"ITEM-4","issue":"49","issued":{"date-parts":[["2014","12"]]},"page":"18647-18657","publisher":"American Chemical Society","title":"Efficient and greener synthesis of propylene carbonate from carbon dioxide and propylene oxide","type":"article-journal","volume":"53"},"uris":["http://www.mendeley.com/documents/?uuid=d5129b85-d1bb-49cb-a04c-610da4f4a412","http://www.mendeley.com/documents/?uuid=88363751-f9c7-49c5-bd61-c0ad098591a4"]}],"mendeley":{"formattedCitation":"[30–33]","plainTextFormattedCitation":"[30–33]","previouslyFormattedCitation":"[30–33]"},"properties":{"noteIndex":0},"schema":"https://github.com/citation-style-language/schema/raw/master/csl-citation.json"}</w:instrText>
      </w:r>
      <w:r w:rsidR="00A3096B">
        <w:fldChar w:fldCharType="separate"/>
      </w:r>
      <w:r w:rsidR="00A3096B" w:rsidRPr="00A3096B">
        <w:rPr>
          <w:noProof/>
        </w:rPr>
        <w:t>[30–33]</w:t>
      </w:r>
      <w:r w:rsidR="00A3096B">
        <w:fldChar w:fldCharType="end"/>
      </w:r>
      <w:r w:rsidR="00D604B3">
        <w:t>.</w:t>
      </w:r>
      <w:r w:rsidR="00325560">
        <w:t xml:space="preserve"> </w:t>
      </w:r>
      <w:r w:rsidR="00035697">
        <w:t xml:space="preserve"> </w:t>
      </w:r>
    </w:p>
    <w:p w:rsidR="00B619E0" w:rsidRPr="00DC2563" w:rsidRDefault="00B619E0" w:rsidP="009867C4">
      <w:pPr>
        <w:jc w:val="both"/>
      </w:pPr>
    </w:p>
    <w:p w:rsidR="00FF4357" w:rsidRPr="00FB6D14" w:rsidRDefault="00133C55" w:rsidP="00FB6D14">
      <w:pPr>
        <w:pStyle w:val="Heading4"/>
      </w:pPr>
      <w:r w:rsidRPr="00FB6D14">
        <w:t>3.</w:t>
      </w:r>
      <w:r w:rsidR="00FB6D14" w:rsidRPr="00FB6D14">
        <w:t>4</w:t>
      </w:r>
      <w:r w:rsidRPr="00FB6D14">
        <w:t xml:space="preserve">.2.1 Interactive effect of reaction temperature and </w:t>
      </w:r>
      <w:r w:rsidR="00DC2563" w:rsidRPr="00FB6D14">
        <w:t xml:space="preserve">pressure </w:t>
      </w:r>
    </w:p>
    <w:p w:rsidR="00F409D5" w:rsidRDefault="00DC2563">
      <w:pPr>
        <w:jc w:val="both"/>
      </w:pPr>
      <w:r>
        <w:t xml:space="preserve">It has been observed from </w:t>
      </w:r>
      <w:r w:rsidR="008E2A68">
        <w:t>F</w:t>
      </w:r>
      <w:r w:rsidR="00C25863">
        <w:t>igure</w:t>
      </w:r>
      <w:r w:rsidR="00631BED">
        <w:t>s</w:t>
      </w:r>
      <w:r w:rsidR="00C25863">
        <w:t xml:space="preserve"> </w:t>
      </w:r>
      <w:r w:rsidR="00631BED">
        <w:t>11 and 12</w:t>
      </w:r>
      <w:r w:rsidR="00A4083C">
        <w:t xml:space="preserve"> that the </w:t>
      </w:r>
      <w:r w:rsidR="00A4083C" w:rsidRPr="00EA15FA">
        <w:rPr>
          <w:noProof/>
        </w:rPr>
        <w:t>effect</w:t>
      </w:r>
      <w:r w:rsidR="00EA15FA">
        <w:rPr>
          <w:noProof/>
        </w:rPr>
        <w:t>ive</w:t>
      </w:r>
      <w:r w:rsidR="00A4083C">
        <w:t xml:space="preserve"> reaction temperature has </w:t>
      </w:r>
      <w:r w:rsidR="00EA15FA">
        <w:t xml:space="preserve">a </w:t>
      </w:r>
      <w:r w:rsidR="00A4083C" w:rsidRPr="00EA15FA">
        <w:rPr>
          <w:noProof/>
        </w:rPr>
        <w:t>positive</w:t>
      </w:r>
      <w:r w:rsidR="00A4083C">
        <w:t xml:space="preserve"> effect on process responses until </w:t>
      </w:r>
      <w:r w:rsidR="00C25863">
        <w:t xml:space="preserve">a </w:t>
      </w:r>
      <w:r w:rsidR="00A4083C">
        <w:t xml:space="preserve">specific value, </w:t>
      </w:r>
      <w:r w:rsidR="00C25863">
        <w:t>and then the</w:t>
      </w:r>
      <w:r w:rsidR="00A4083C">
        <w:t xml:space="preserve"> responses decrease at </w:t>
      </w:r>
      <w:r w:rsidR="00C25863">
        <w:t xml:space="preserve">a </w:t>
      </w:r>
      <w:r w:rsidR="00C25863" w:rsidRPr="00C25863">
        <w:rPr>
          <w:noProof/>
        </w:rPr>
        <w:t>higher</w:t>
      </w:r>
      <w:r w:rsidR="00A4083C">
        <w:t xml:space="preserve"> temperature. Similarly, the effect of reaction pressure on BC yield has </w:t>
      </w:r>
      <w:r w:rsidR="00EA15FA">
        <w:t xml:space="preserve">an </w:t>
      </w:r>
      <w:r w:rsidR="00A4083C" w:rsidRPr="00EA15FA">
        <w:rPr>
          <w:noProof/>
        </w:rPr>
        <w:t>increasing</w:t>
      </w:r>
      <w:r w:rsidR="00726E89">
        <w:t xml:space="preserve"> effect from 60 bar to 84 bar and beyond 84 bar there was  slight drop in BC yield</w:t>
      </w:r>
      <w:r w:rsidR="00A4083C">
        <w:t xml:space="preserve">. However, the effect of the reaction pressure has </w:t>
      </w:r>
      <w:r w:rsidR="00726E89">
        <w:t>an</w:t>
      </w:r>
      <w:r w:rsidR="00A4083C">
        <w:t xml:space="preserve"> increasing effect on the BO conversion. These observatio</w:t>
      </w:r>
      <w:r w:rsidR="00726E89">
        <w:t>ns have been made by changing</w:t>
      </w:r>
      <w:r w:rsidR="00A4083C">
        <w:t xml:space="preserve"> one variable while keeping the other variables at a constant value. Alternatively, the interactive effect of reaction temperature and pressure on the reaction responses has different observations. </w:t>
      </w:r>
      <w:r w:rsidR="00F409D5">
        <w:t xml:space="preserve">As illustrated in Tables </w:t>
      </w:r>
      <w:r w:rsidR="002065B7">
        <w:t>4</w:t>
      </w:r>
      <w:r w:rsidR="00F409D5">
        <w:t xml:space="preserve"> and </w:t>
      </w:r>
      <w:r w:rsidR="002065B7">
        <w:t>5</w:t>
      </w:r>
      <w:r w:rsidR="00F409D5">
        <w:t xml:space="preserve">, the interaction between temperature and pressure (AB) </w:t>
      </w:r>
      <w:r w:rsidR="00726E89">
        <w:t xml:space="preserve">has </w:t>
      </w:r>
      <w:r w:rsidR="00EA15FA">
        <w:t xml:space="preserve">a </w:t>
      </w:r>
      <w:r w:rsidR="00F409D5" w:rsidRPr="00EA15FA">
        <w:rPr>
          <w:noProof/>
        </w:rPr>
        <w:t>highly</w:t>
      </w:r>
      <w:r w:rsidR="00F409D5">
        <w:t xml:space="preserve"> significant effect on both responses. This has been clear</w:t>
      </w:r>
      <w:r w:rsidR="00C56CA7">
        <w:t>ly observed in Figures 1</w:t>
      </w:r>
      <w:r w:rsidR="008E2A68">
        <w:t xml:space="preserve">1 </w:t>
      </w:r>
      <w:r w:rsidR="00C56CA7">
        <w:t>and 1</w:t>
      </w:r>
      <w:r w:rsidR="008E2A68">
        <w:t>2</w:t>
      </w:r>
      <w:r w:rsidR="00C56CA7">
        <w:t>, where the effect of temperature on both responses vari</w:t>
      </w:r>
      <w:r w:rsidR="00726E89">
        <w:t>es with</w:t>
      </w:r>
      <w:r w:rsidR="00C56CA7">
        <w:t xml:space="preserve"> pressure and </w:t>
      </w:r>
      <w:r w:rsidR="00C56CA7" w:rsidRPr="00C56CA7">
        <w:rPr>
          <w:i/>
          <w:iCs/>
        </w:rPr>
        <w:t>vice-versa</w:t>
      </w:r>
      <w:r w:rsidR="00C56CA7">
        <w:t>.</w:t>
      </w:r>
    </w:p>
    <w:p w:rsidR="00185723" w:rsidRDefault="00185723">
      <w:pPr>
        <w:jc w:val="both"/>
      </w:pPr>
      <w:r>
        <w:t xml:space="preserve">As shown in Figures 11 and 12, the effect of reaction temperature at 60 bar has an </w:t>
      </w:r>
      <w:r w:rsidRPr="00C55772">
        <w:rPr>
          <w:noProof/>
        </w:rPr>
        <w:t>increasing</w:t>
      </w:r>
      <w:r>
        <w:t xml:space="preserve"> effect on both responses (BO conversion and BC yield) until around 150 </w:t>
      </w:r>
      <w:r w:rsidRPr="00F402D9">
        <w:rPr>
          <w:vertAlign w:val="superscript"/>
        </w:rPr>
        <w:t>o</w:t>
      </w:r>
      <w:r>
        <w:t xml:space="preserve">C, and beyond </w:t>
      </w:r>
      <w:r w:rsidR="00E26F4F">
        <w:br/>
      </w:r>
      <w:r>
        <w:lastRenderedPageBreak/>
        <w:t xml:space="preserve">150 </w:t>
      </w:r>
      <w:r w:rsidRPr="000E015C">
        <w:rPr>
          <w:noProof/>
          <w:vertAlign w:val="superscript"/>
        </w:rPr>
        <w:t>o</w:t>
      </w:r>
      <w:r w:rsidRPr="000E015C">
        <w:rPr>
          <w:noProof/>
        </w:rPr>
        <w:t>C</w:t>
      </w:r>
      <w:r>
        <w:t xml:space="preserve"> the effect of temperature is insignificant on the BC yield. However, the effect of reaction temperature at 90 bar is totally different </w:t>
      </w:r>
      <w:r w:rsidRPr="003832E8">
        <w:rPr>
          <w:noProof/>
        </w:rPr>
        <w:t>on bo</w:t>
      </w:r>
      <w:r>
        <w:rPr>
          <w:noProof/>
        </w:rPr>
        <w:t xml:space="preserve">th </w:t>
      </w:r>
      <w:r w:rsidRPr="003832E8">
        <w:rPr>
          <w:noProof/>
        </w:rPr>
        <w:t xml:space="preserve">responses </w:t>
      </w:r>
      <w:r>
        <w:t>where there is an increasing effect on both responses until 135</w:t>
      </w:r>
      <w:r w:rsidRPr="00F402D9">
        <w:rPr>
          <w:vertAlign w:val="superscript"/>
        </w:rPr>
        <w:t xml:space="preserve"> </w:t>
      </w:r>
      <w:r w:rsidRPr="000E015C">
        <w:rPr>
          <w:noProof/>
          <w:vertAlign w:val="superscript"/>
        </w:rPr>
        <w:t>o</w:t>
      </w:r>
      <w:r w:rsidRPr="000E015C">
        <w:rPr>
          <w:noProof/>
        </w:rPr>
        <w:t>C</w:t>
      </w:r>
      <w:r w:rsidRPr="009E0E0E">
        <w:rPr>
          <w:noProof/>
        </w:rPr>
        <w:t xml:space="preserve"> where there is no noticeable improvement </w:t>
      </w:r>
      <w:r>
        <w:rPr>
          <w:noProof/>
        </w:rPr>
        <w:t>i</w:t>
      </w:r>
      <w:r w:rsidRPr="00526AA9">
        <w:rPr>
          <w:noProof/>
        </w:rPr>
        <w:t>n</w:t>
      </w:r>
      <w:r w:rsidRPr="009E0E0E">
        <w:rPr>
          <w:noProof/>
        </w:rPr>
        <w:t xml:space="preserve"> BC yield rather a drop in the response of BC yield </w:t>
      </w:r>
      <w:r>
        <w:rPr>
          <w:noProof/>
        </w:rPr>
        <w:t>as the temperature is increased</w:t>
      </w:r>
      <w:r w:rsidRPr="009E0E0E">
        <w:rPr>
          <w:noProof/>
        </w:rPr>
        <w:t xml:space="preserve"> at 90 bar</w:t>
      </w:r>
      <w:r>
        <w:rPr>
          <w:noProof/>
        </w:rPr>
        <w:t>. This shows that</w:t>
      </w:r>
      <w:r>
        <w:t xml:space="preserve"> the temperature has a </w:t>
      </w:r>
      <w:r w:rsidRPr="00F12D89">
        <w:rPr>
          <w:noProof/>
        </w:rPr>
        <w:t>negative</w:t>
      </w:r>
      <w:r>
        <w:t xml:space="preserve"> effect on both responses at higher values. Besides, the effect of pressure at 100 </w:t>
      </w:r>
      <w:r w:rsidRPr="000E015C">
        <w:rPr>
          <w:noProof/>
          <w:vertAlign w:val="superscript"/>
        </w:rPr>
        <w:t>o</w:t>
      </w:r>
      <w:r w:rsidRPr="000E015C">
        <w:rPr>
          <w:noProof/>
        </w:rPr>
        <w:t>C</w:t>
      </w:r>
      <w:r>
        <w:t xml:space="preserve"> on both responses </w:t>
      </w:r>
      <w:r w:rsidRPr="00526AA9">
        <w:rPr>
          <w:noProof/>
        </w:rPr>
        <w:t>show</w:t>
      </w:r>
      <w:r>
        <w:rPr>
          <w:noProof/>
        </w:rPr>
        <w:t>s</w:t>
      </w:r>
      <w:r>
        <w:t xml:space="preserve"> </w:t>
      </w:r>
      <w:r w:rsidRPr="00526AA9">
        <w:rPr>
          <w:noProof/>
        </w:rPr>
        <w:t>an increase</w:t>
      </w:r>
      <w:r>
        <w:rPr>
          <w:noProof/>
        </w:rPr>
        <w:t xml:space="preserve">d </w:t>
      </w:r>
      <w:r w:rsidRPr="00526AA9">
        <w:rPr>
          <w:noProof/>
        </w:rPr>
        <w:t xml:space="preserve">effect </w:t>
      </w:r>
      <w:r>
        <w:rPr>
          <w:noProof/>
        </w:rPr>
        <w:t xml:space="preserve">on BO conversion and BC </w:t>
      </w:r>
      <w:r w:rsidRPr="00526AA9">
        <w:rPr>
          <w:noProof/>
        </w:rPr>
        <w:t>yield</w:t>
      </w:r>
      <w:r>
        <w:t xml:space="preserve">. However, the effect of pressure at 170 </w:t>
      </w:r>
      <w:r w:rsidRPr="000E015C">
        <w:rPr>
          <w:noProof/>
          <w:vertAlign w:val="superscript"/>
        </w:rPr>
        <w:t>o</w:t>
      </w:r>
      <w:r w:rsidRPr="000E015C">
        <w:rPr>
          <w:noProof/>
        </w:rPr>
        <w:t>C</w:t>
      </w:r>
      <w:r>
        <w:t xml:space="preserve"> has a </w:t>
      </w:r>
      <w:r w:rsidRPr="00C55772">
        <w:rPr>
          <w:noProof/>
        </w:rPr>
        <w:t>decreasing</w:t>
      </w:r>
      <w:r>
        <w:t xml:space="preserve"> effect on both responses. These observations exemplify the importance of studying the </w:t>
      </w:r>
      <w:r w:rsidR="00F73E62">
        <w:t xml:space="preserve">effect of variables interactions </w:t>
      </w:r>
      <w:r>
        <w:t xml:space="preserve">as the </w:t>
      </w:r>
      <w:r w:rsidRPr="00C55772">
        <w:rPr>
          <w:noProof/>
        </w:rPr>
        <w:t>effect</w:t>
      </w:r>
      <w:r>
        <w:t xml:space="preserve"> of process variables should not be </w:t>
      </w:r>
      <w:r w:rsidRPr="000E015C">
        <w:rPr>
          <w:noProof/>
        </w:rPr>
        <w:t>recognised</w:t>
      </w:r>
      <w:r>
        <w:t xml:space="preserve"> only at the </w:t>
      </w:r>
      <w:r w:rsidRPr="00C55772">
        <w:rPr>
          <w:noProof/>
        </w:rPr>
        <w:t>constant</w:t>
      </w:r>
      <w:r>
        <w:t xml:space="preserve"> value of other variables. The response surfaces shown in Figures 11 and 12 </w:t>
      </w:r>
      <w:r w:rsidR="00F73E62">
        <w:t>ha</w:t>
      </w:r>
      <w:r w:rsidR="00942D80">
        <w:t>ve</w:t>
      </w:r>
      <w:r w:rsidR="00F73E62">
        <w:t xml:space="preserve"> been</w:t>
      </w:r>
      <w:r>
        <w:t xml:space="preserve"> used to determine accurate optimum process conditions.</w:t>
      </w:r>
    </w:p>
    <w:p w:rsidR="00C56CA7" w:rsidRDefault="006C1FA7" w:rsidP="00C56CA7">
      <w:pPr>
        <w:jc w:val="center"/>
      </w:pPr>
      <w:r w:rsidRPr="006C1FA7">
        <w:rPr>
          <w:noProof/>
          <w:lang w:eastAsia="en-GB"/>
        </w:rPr>
        <w:lastRenderedPageBreak/>
        <w:drawing>
          <wp:inline distT="0" distB="0" distL="0" distR="0" wp14:anchorId="78E14A28" wp14:editId="75E6E9CC">
            <wp:extent cx="5730240" cy="3752491"/>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a:extLst>
                        <a:ext uri="{28A0092B-C50C-407E-A947-70E740481C1C}">
                          <a14:useLocalDpi xmlns:a14="http://schemas.microsoft.com/office/drawing/2010/main" val="0"/>
                        </a:ext>
                      </a:extLst>
                    </a:blip>
                    <a:srcRect t="3407" b="6200"/>
                    <a:stretch/>
                  </pic:blipFill>
                  <pic:spPr bwMode="auto">
                    <a:xfrm>
                      <a:off x="0" y="0"/>
                      <a:ext cx="5733336" cy="3754518"/>
                    </a:xfrm>
                    <a:prstGeom prst="rect">
                      <a:avLst/>
                    </a:prstGeom>
                    <a:noFill/>
                    <a:ln>
                      <a:noFill/>
                    </a:ln>
                    <a:extLst>
                      <a:ext uri="{53640926-AAD7-44D8-BBD7-CCE9431645EC}">
                        <a14:shadowObscured xmlns:a14="http://schemas.microsoft.com/office/drawing/2010/main"/>
                      </a:ext>
                    </a:extLst>
                  </pic:spPr>
                </pic:pic>
              </a:graphicData>
            </a:graphic>
          </wp:inline>
        </w:drawing>
      </w:r>
      <w:r w:rsidRPr="006C1FA7">
        <w:rPr>
          <w:noProof/>
          <w:lang w:eastAsia="en-GB"/>
        </w:rPr>
        <w:drawing>
          <wp:inline distT="0" distB="0" distL="0" distR="0" wp14:anchorId="36A42E52" wp14:editId="5391D954">
            <wp:extent cx="5731510" cy="404550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a:extLst>
                        <a:ext uri="{28A0092B-C50C-407E-A947-70E740481C1C}">
                          <a14:useLocalDpi xmlns:a14="http://schemas.microsoft.com/office/drawing/2010/main" val="0"/>
                        </a:ext>
                      </a:extLst>
                    </a:blip>
                    <a:srcRect t="3009" b="2907"/>
                    <a:stretch/>
                  </pic:blipFill>
                  <pic:spPr bwMode="auto">
                    <a:xfrm>
                      <a:off x="0" y="0"/>
                      <a:ext cx="5732145" cy="4045956"/>
                    </a:xfrm>
                    <a:prstGeom prst="rect">
                      <a:avLst/>
                    </a:prstGeom>
                    <a:noFill/>
                    <a:ln>
                      <a:noFill/>
                    </a:ln>
                    <a:extLst>
                      <a:ext uri="{53640926-AAD7-44D8-BBD7-CCE9431645EC}">
                        <a14:shadowObscured xmlns:a14="http://schemas.microsoft.com/office/drawing/2010/main"/>
                      </a:ext>
                    </a:extLst>
                  </pic:spPr>
                </pic:pic>
              </a:graphicData>
            </a:graphic>
          </wp:inline>
        </w:drawing>
      </w:r>
    </w:p>
    <w:p w:rsidR="00C56CA7" w:rsidRPr="008E2A68" w:rsidRDefault="008E2A68" w:rsidP="00FA2670">
      <w:pPr>
        <w:pStyle w:val="Caption"/>
        <w:rPr>
          <w:b w:val="0"/>
          <w:color w:val="auto"/>
          <w:sz w:val="24"/>
          <w:szCs w:val="24"/>
        </w:rPr>
      </w:pPr>
      <w:bookmarkStart w:id="17" w:name="_Toc528474675"/>
      <w:r w:rsidRPr="00942D80">
        <w:rPr>
          <w:bCs w:val="0"/>
          <w:color w:val="auto"/>
          <w:sz w:val="24"/>
        </w:rPr>
        <w:t xml:space="preserve">Figure </w:t>
      </w:r>
      <w:r w:rsidRPr="00942D80">
        <w:rPr>
          <w:bCs w:val="0"/>
          <w:color w:val="auto"/>
          <w:sz w:val="24"/>
        </w:rPr>
        <w:fldChar w:fldCharType="begin"/>
      </w:r>
      <w:r w:rsidRPr="00942D80">
        <w:rPr>
          <w:bCs w:val="0"/>
          <w:color w:val="auto"/>
          <w:sz w:val="24"/>
        </w:rPr>
        <w:instrText xml:space="preserve"> SEQ Figure \* ARABIC </w:instrText>
      </w:r>
      <w:r w:rsidRPr="00942D80">
        <w:rPr>
          <w:bCs w:val="0"/>
          <w:color w:val="auto"/>
          <w:sz w:val="24"/>
        </w:rPr>
        <w:fldChar w:fldCharType="separate"/>
      </w:r>
      <w:r w:rsidR="004A2E92" w:rsidRPr="00942D80">
        <w:rPr>
          <w:bCs w:val="0"/>
          <w:noProof/>
          <w:color w:val="auto"/>
          <w:sz w:val="24"/>
        </w:rPr>
        <w:t>11</w:t>
      </w:r>
      <w:r w:rsidRPr="00942D80">
        <w:rPr>
          <w:bCs w:val="0"/>
          <w:color w:val="auto"/>
          <w:sz w:val="24"/>
        </w:rPr>
        <w:fldChar w:fldCharType="end"/>
      </w:r>
      <w:r w:rsidR="00C56CA7" w:rsidRPr="00942D80">
        <w:rPr>
          <w:bCs w:val="0"/>
          <w:color w:val="auto"/>
          <w:sz w:val="24"/>
          <w:szCs w:val="24"/>
        </w:rPr>
        <w:t>.</w:t>
      </w:r>
      <w:r w:rsidR="00C56CA7" w:rsidRPr="008E2A68">
        <w:rPr>
          <w:b w:val="0"/>
          <w:color w:val="auto"/>
          <w:sz w:val="24"/>
          <w:szCs w:val="24"/>
        </w:rPr>
        <w:t xml:space="preserve"> 3D response surface and contour plot of reaction temperature and pressure </w:t>
      </w:r>
      <w:r w:rsidR="00C56CA7" w:rsidRPr="008E2A68">
        <w:rPr>
          <w:b w:val="0"/>
          <w:i/>
          <w:iCs/>
          <w:color w:val="auto"/>
          <w:sz w:val="24"/>
          <w:szCs w:val="24"/>
        </w:rPr>
        <w:t>versus</w:t>
      </w:r>
      <w:r w:rsidR="00C56CA7" w:rsidRPr="008E2A68">
        <w:rPr>
          <w:b w:val="0"/>
          <w:color w:val="auto"/>
          <w:sz w:val="24"/>
          <w:szCs w:val="24"/>
        </w:rPr>
        <w:t xml:space="preserve"> BO conversion</w:t>
      </w:r>
      <w:bookmarkEnd w:id="17"/>
    </w:p>
    <w:p w:rsidR="00C56CA7" w:rsidRDefault="00C56CA7" w:rsidP="00F409D5">
      <w:pPr>
        <w:jc w:val="center"/>
      </w:pPr>
    </w:p>
    <w:p w:rsidR="00C56CA7" w:rsidRPr="00DC2563" w:rsidRDefault="006C1FA7" w:rsidP="00F409D5">
      <w:pPr>
        <w:jc w:val="center"/>
      </w:pPr>
      <w:r w:rsidRPr="006C1FA7">
        <w:rPr>
          <w:noProof/>
          <w:lang w:eastAsia="en-GB"/>
        </w:rPr>
        <w:lastRenderedPageBreak/>
        <w:drawing>
          <wp:inline distT="0" distB="0" distL="0" distR="0" wp14:anchorId="39FBD36E" wp14:editId="0CEAE68D">
            <wp:extent cx="5731510" cy="386463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4">
                      <a:extLst>
                        <a:ext uri="{28A0092B-C50C-407E-A947-70E740481C1C}">
                          <a14:useLocalDpi xmlns:a14="http://schemas.microsoft.com/office/drawing/2010/main" val="0"/>
                        </a:ext>
                      </a:extLst>
                    </a:blip>
                    <a:srcRect t="3412" b="6685"/>
                    <a:stretch/>
                  </pic:blipFill>
                  <pic:spPr bwMode="auto">
                    <a:xfrm>
                      <a:off x="0" y="0"/>
                      <a:ext cx="5732145" cy="3865062"/>
                    </a:xfrm>
                    <a:prstGeom prst="rect">
                      <a:avLst/>
                    </a:prstGeom>
                    <a:noFill/>
                    <a:ln>
                      <a:noFill/>
                    </a:ln>
                    <a:extLst>
                      <a:ext uri="{53640926-AAD7-44D8-BBD7-CCE9431645EC}">
                        <a14:shadowObscured xmlns:a14="http://schemas.microsoft.com/office/drawing/2010/main"/>
                      </a:ext>
                    </a:extLst>
                  </pic:spPr>
                </pic:pic>
              </a:graphicData>
            </a:graphic>
          </wp:inline>
        </w:drawing>
      </w:r>
      <w:r w:rsidRPr="006C1FA7">
        <w:rPr>
          <w:noProof/>
          <w:lang w:eastAsia="en-GB"/>
        </w:rPr>
        <w:drawing>
          <wp:inline distT="0" distB="0" distL="0" distR="0" wp14:anchorId="2A9B5C8E" wp14:editId="253A894E">
            <wp:extent cx="5731510" cy="404578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5">
                      <a:extLst>
                        <a:ext uri="{28A0092B-C50C-407E-A947-70E740481C1C}">
                          <a14:useLocalDpi xmlns:a14="http://schemas.microsoft.com/office/drawing/2010/main" val="0"/>
                        </a:ext>
                      </a:extLst>
                    </a:blip>
                    <a:srcRect t="3008" b="2912"/>
                    <a:stretch/>
                  </pic:blipFill>
                  <pic:spPr bwMode="auto">
                    <a:xfrm>
                      <a:off x="0" y="0"/>
                      <a:ext cx="5732145" cy="4046237"/>
                    </a:xfrm>
                    <a:prstGeom prst="rect">
                      <a:avLst/>
                    </a:prstGeom>
                    <a:noFill/>
                    <a:ln>
                      <a:noFill/>
                    </a:ln>
                    <a:extLst>
                      <a:ext uri="{53640926-AAD7-44D8-BBD7-CCE9431645EC}">
                        <a14:shadowObscured xmlns:a14="http://schemas.microsoft.com/office/drawing/2010/main"/>
                      </a:ext>
                    </a:extLst>
                  </pic:spPr>
                </pic:pic>
              </a:graphicData>
            </a:graphic>
          </wp:inline>
        </w:drawing>
      </w:r>
    </w:p>
    <w:p w:rsidR="00185723" w:rsidRPr="00942D80" w:rsidRDefault="008E2A68" w:rsidP="00942D80">
      <w:pPr>
        <w:pStyle w:val="Caption"/>
        <w:rPr>
          <w:b w:val="0"/>
          <w:color w:val="auto"/>
          <w:sz w:val="24"/>
        </w:rPr>
      </w:pPr>
      <w:bookmarkStart w:id="18" w:name="_Toc528474676"/>
      <w:r w:rsidRPr="00942D80">
        <w:rPr>
          <w:color w:val="auto"/>
          <w:sz w:val="24"/>
        </w:rPr>
        <w:t xml:space="preserve">Figure </w:t>
      </w:r>
      <w:r w:rsidRPr="00942D80">
        <w:rPr>
          <w:color w:val="auto"/>
          <w:sz w:val="24"/>
        </w:rPr>
        <w:fldChar w:fldCharType="begin"/>
      </w:r>
      <w:r w:rsidRPr="00942D80">
        <w:rPr>
          <w:color w:val="auto"/>
          <w:sz w:val="24"/>
        </w:rPr>
        <w:instrText xml:space="preserve"> SEQ Figure \* ARABIC </w:instrText>
      </w:r>
      <w:r w:rsidRPr="00942D80">
        <w:rPr>
          <w:color w:val="auto"/>
          <w:sz w:val="24"/>
        </w:rPr>
        <w:fldChar w:fldCharType="separate"/>
      </w:r>
      <w:r w:rsidR="004A2E92" w:rsidRPr="00942D80">
        <w:rPr>
          <w:color w:val="auto"/>
          <w:sz w:val="24"/>
        </w:rPr>
        <w:t>12</w:t>
      </w:r>
      <w:r w:rsidRPr="00942D80">
        <w:rPr>
          <w:color w:val="auto"/>
          <w:sz w:val="24"/>
        </w:rPr>
        <w:fldChar w:fldCharType="end"/>
      </w:r>
      <w:r w:rsidR="00C56CA7" w:rsidRPr="00942D80">
        <w:rPr>
          <w:b w:val="0"/>
          <w:color w:val="auto"/>
          <w:sz w:val="24"/>
        </w:rPr>
        <w:t>.</w:t>
      </w:r>
      <w:r w:rsidR="00C56CA7" w:rsidRPr="00640D3E">
        <w:rPr>
          <w:b w:val="0"/>
          <w:color w:val="auto"/>
          <w:sz w:val="24"/>
        </w:rPr>
        <w:t xml:space="preserve"> 3D response surface and contour plot of reaction temperature and pressure </w:t>
      </w:r>
      <w:r w:rsidR="00C56CA7" w:rsidRPr="00942D80">
        <w:rPr>
          <w:b w:val="0"/>
          <w:color w:val="auto"/>
          <w:sz w:val="24"/>
        </w:rPr>
        <w:t>versus</w:t>
      </w:r>
      <w:r w:rsidR="00C56CA7" w:rsidRPr="00640D3E">
        <w:rPr>
          <w:b w:val="0"/>
          <w:color w:val="auto"/>
          <w:sz w:val="24"/>
        </w:rPr>
        <w:t xml:space="preserve"> BC yield</w:t>
      </w:r>
      <w:bookmarkEnd w:id="18"/>
    </w:p>
    <w:p w:rsidR="00942D80" w:rsidRDefault="00942D80" w:rsidP="00FB6D14">
      <w:pPr>
        <w:pStyle w:val="Heading4"/>
      </w:pPr>
    </w:p>
    <w:p w:rsidR="00133C55" w:rsidRDefault="00133C55" w:rsidP="00FB6D14">
      <w:pPr>
        <w:pStyle w:val="Heading4"/>
      </w:pPr>
      <w:r w:rsidRPr="00B6778D">
        <w:lastRenderedPageBreak/>
        <w:t>3.</w:t>
      </w:r>
      <w:r w:rsidR="00FB6D14">
        <w:t>4</w:t>
      </w:r>
      <w:r w:rsidRPr="00B6778D">
        <w:t xml:space="preserve">.2.2 Interactive effect of </w:t>
      </w:r>
      <w:r w:rsidR="005A7708">
        <w:t>catalyst loading</w:t>
      </w:r>
      <w:r w:rsidRPr="00B6778D">
        <w:t xml:space="preserve"> and </w:t>
      </w:r>
      <w:r w:rsidR="005A7708">
        <w:t xml:space="preserve">reaction </w:t>
      </w:r>
      <w:r w:rsidRPr="00B6778D">
        <w:t>time</w:t>
      </w:r>
    </w:p>
    <w:p w:rsidR="00F402D9" w:rsidRDefault="00526AA9" w:rsidP="005C2AE7">
      <w:pPr>
        <w:jc w:val="both"/>
      </w:pPr>
      <w:r>
        <w:t>Based on the</w:t>
      </w:r>
      <w:r w:rsidR="005A7708">
        <w:t xml:space="preserve"> results obtained from ANOVA</w:t>
      </w:r>
      <w:r>
        <w:t xml:space="preserve"> as illustrated in Table</w:t>
      </w:r>
      <w:r w:rsidR="005A7708">
        <w:t xml:space="preserve"> </w:t>
      </w:r>
      <w:r w:rsidR="002065B7">
        <w:t>4</w:t>
      </w:r>
      <w:r w:rsidR="005A7708">
        <w:t xml:space="preserve">, </w:t>
      </w:r>
      <w:r>
        <w:t xml:space="preserve">show that </w:t>
      </w:r>
      <w:r w:rsidR="005A7708">
        <w:t xml:space="preserve">the interactive effect of catalyst loading and reaction time (CD) has </w:t>
      </w:r>
      <w:r w:rsidR="00C55772">
        <w:t xml:space="preserve">an </w:t>
      </w:r>
      <w:r w:rsidR="005A7708" w:rsidRPr="00C55772">
        <w:rPr>
          <w:noProof/>
        </w:rPr>
        <w:t>insignificant</w:t>
      </w:r>
      <w:r w:rsidR="005A7708">
        <w:t xml:space="preserve"> effect on BO conversion. </w:t>
      </w:r>
      <w:r>
        <w:t xml:space="preserve">This insignificant effect </w:t>
      </w:r>
      <w:r w:rsidRPr="00526AA9">
        <w:rPr>
          <w:noProof/>
        </w:rPr>
        <w:t>elucidate</w:t>
      </w:r>
      <w:r>
        <w:rPr>
          <w:noProof/>
        </w:rPr>
        <w:t>s</w:t>
      </w:r>
      <w:r w:rsidR="009B561B">
        <w:t xml:space="preserve"> that the effect of catalyst loading on BO conversion is constant and does not change at different levels of reaction ti</w:t>
      </w:r>
      <w:r>
        <w:t xml:space="preserve">me. This has been illustrated in </w:t>
      </w:r>
      <w:r w:rsidR="009B561B">
        <w:t>Figure 1</w:t>
      </w:r>
      <w:r w:rsidR="00640D3E">
        <w:t>3</w:t>
      </w:r>
      <w:r w:rsidR="009B561B">
        <w:t>, where the effect on catalyst loading on BO conversi</w:t>
      </w:r>
      <w:r w:rsidR="00CC39A9">
        <w:t>on at 16 h is the same at 24 hr</w:t>
      </w:r>
      <w:r w:rsidR="009B561B">
        <w:t xml:space="preserve">. </w:t>
      </w:r>
    </w:p>
    <w:p w:rsidR="005C2AE7" w:rsidRDefault="005C2AE7" w:rsidP="005C2AE7">
      <w:pPr>
        <w:jc w:val="both"/>
      </w:pPr>
      <w:r>
        <w:t xml:space="preserve">On the other hand, the interactive effect of catalyst loading and reaction time has </w:t>
      </w:r>
      <w:r w:rsidR="00C55772">
        <w:t xml:space="preserve">a </w:t>
      </w:r>
      <w:r w:rsidRPr="00C55772">
        <w:rPr>
          <w:noProof/>
        </w:rPr>
        <w:t>highly</w:t>
      </w:r>
      <w:r>
        <w:t xml:space="preserve"> significant effect on BC yield as reported in Table </w:t>
      </w:r>
      <w:r w:rsidR="002065B7">
        <w:t>5</w:t>
      </w:r>
      <w:r>
        <w:t>. It has been observed in the increasing effect of catalys</w:t>
      </w:r>
      <w:r w:rsidR="00CC39A9">
        <w:t xml:space="preserve">t loading </w:t>
      </w:r>
      <w:r w:rsidRPr="00CC39A9">
        <w:rPr>
          <w:noProof/>
        </w:rPr>
        <w:t xml:space="preserve">at </w:t>
      </w:r>
      <w:r w:rsidR="00CC39A9">
        <w:rPr>
          <w:noProof/>
        </w:rPr>
        <w:t xml:space="preserve">a </w:t>
      </w:r>
      <w:r w:rsidR="00CC39A9" w:rsidRPr="00CC39A9">
        <w:rPr>
          <w:noProof/>
        </w:rPr>
        <w:t>reaction</w:t>
      </w:r>
      <w:r w:rsidR="00CC39A9">
        <w:t xml:space="preserve"> time of </w:t>
      </w:r>
      <w:r>
        <w:t xml:space="preserve">16 h has </w:t>
      </w:r>
      <w:r w:rsidR="00CC39A9">
        <w:t xml:space="preserve">an </w:t>
      </w:r>
      <w:r w:rsidRPr="00CC39A9">
        <w:rPr>
          <w:noProof/>
        </w:rPr>
        <w:t>increasing</w:t>
      </w:r>
      <w:r>
        <w:t xml:space="preserve"> effect</w:t>
      </w:r>
      <w:r w:rsidR="00CC39A9">
        <w:t xml:space="preserve"> on BC yield</w:t>
      </w:r>
      <w:r>
        <w:t xml:space="preserve"> until about 11%</w:t>
      </w:r>
      <w:r w:rsidR="00CC39A9">
        <w:t xml:space="preserve"> (w/w)</w:t>
      </w:r>
      <w:r>
        <w:t>,</w:t>
      </w:r>
      <w:r w:rsidR="00CC39A9">
        <w:t xml:space="preserve"> which later decreases as the catalyst loading is </w:t>
      </w:r>
      <w:r w:rsidR="00CC39A9" w:rsidRPr="00CC39A9">
        <w:rPr>
          <w:noProof/>
        </w:rPr>
        <w:t xml:space="preserve">increased </w:t>
      </w:r>
      <w:r w:rsidR="00CC39A9">
        <w:rPr>
          <w:noProof/>
        </w:rPr>
        <w:t>(Figure 14)</w:t>
      </w:r>
      <w:r>
        <w:t xml:space="preserve">. However, the effect of catalyst loading on BC yield at 24 </w:t>
      </w:r>
      <w:r w:rsidRPr="000E015C">
        <w:rPr>
          <w:noProof/>
        </w:rPr>
        <w:t>h is</w:t>
      </w:r>
      <w:r>
        <w:t xml:space="preserve"> different.</w:t>
      </w:r>
      <w:r w:rsidR="00CC39A9">
        <w:t xml:space="preserve"> This shows</w:t>
      </w:r>
      <w:r>
        <w:t xml:space="preserve"> </w:t>
      </w:r>
      <w:r w:rsidR="00C55772">
        <w:t xml:space="preserve">an </w:t>
      </w:r>
      <w:r w:rsidRPr="00C55772">
        <w:rPr>
          <w:noProof/>
        </w:rPr>
        <w:t>increasing</w:t>
      </w:r>
      <w:r>
        <w:t xml:space="preserve"> effect on BC yield until about 13% </w:t>
      </w:r>
      <w:r w:rsidR="00CC39A9">
        <w:t xml:space="preserve">(w/w) </w:t>
      </w:r>
      <w:r w:rsidR="006F19BF">
        <w:t xml:space="preserve">where there is a drop in BC yield. Therefore, </w:t>
      </w:r>
      <w:r w:rsidR="006F19BF" w:rsidRPr="006F19BF">
        <w:rPr>
          <w:noProof/>
        </w:rPr>
        <w:t>cataly</w:t>
      </w:r>
      <w:r w:rsidR="006F19BF">
        <w:rPr>
          <w:noProof/>
        </w:rPr>
        <w:t xml:space="preserve">st loading beyond 13% (w/w) has </w:t>
      </w:r>
      <w:r w:rsidR="006F19BF" w:rsidRPr="006F19BF">
        <w:rPr>
          <w:noProof/>
        </w:rPr>
        <w:t>an</w:t>
      </w:r>
      <w:r w:rsidR="00C55772">
        <w:t xml:space="preserve"> </w:t>
      </w:r>
      <w:r w:rsidRPr="00C55772">
        <w:rPr>
          <w:noProof/>
        </w:rPr>
        <w:t>insignificant</w:t>
      </w:r>
      <w:r w:rsidR="00CC39A9">
        <w:t xml:space="preserve"> </w:t>
      </w:r>
      <w:r w:rsidR="00CC39A9" w:rsidRPr="006F19BF">
        <w:rPr>
          <w:noProof/>
        </w:rPr>
        <w:t>effect</w:t>
      </w:r>
      <w:r w:rsidR="006F19BF" w:rsidRPr="006F19BF">
        <w:rPr>
          <w:noProof/>
        </w:rPr>
        <w:t xml:space="preserve"> on B</w:t>
      </w:r>
      <w:r w:rsidR="006F19BF">
        <w:rPr>
          <w:noProof/>
        </w:rPr>
        <w:t>C yield</w:t>
      </w:r>
      <w:r w:rsidRPr="006F19BF">
        <w:rPr>
          <w:noProof/>
        </w:rPr>
        <w:t>.</w:t>
      </w:r>
      <w:r>
        <w:t xml:space="preserve"> Similarly, the effect of reaction time on BC yield </w:t>
      </w:r>
      <w:r w:rsidR="00666F3C">
        <w:t xml:space="preserve">depends on the value of catalyst loading. </w:t>
      </w:r>
    </w:p>
    <w:p w:rsidR="009B561B" w:rsidRDefault="009B561B" w:rsidP="005C2AE7">
      <w:pPr>
        <w:jc w:val="both"/>
      </w:pPr>
    </w:p>
    <w:p w:rsidR="009B561B" w:rsidRDefault="006C1FA7" w:rsidP="009B561B">
      <w:r w:rsidRPr="006C1FA7">
        <w:rPr>
          <w:noProof/>
          <w:lang w:eastAsia="en-GB"/>
        </w:rPr>
        <w:lastRenderedPageBreak/>
        <w:drawing>
          <wp:inline distT="0" distB="0" distL="0" distR="0" wp14:anchorId="51B24762" wp14:editId="3F695078">
            <wp:extent cx="5731510" cy="386463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6">
                      <a:extLst>
                        <a:ext uri="{28A0092B-C50C-407E-A947-70E740481C1C}">
                          <a14:useLocalDpi xmlns:a14="http://schemas.microsoft.com/office/drawing/2010/main" val="0"/>
                        </a:ext>
                      </a:extLst>
                    </a:blip>
                    <a:srcRect t="3611" b="6523"/>
                    <a:stretch/>
                  </pic:blipFill>
                  <pic:spPr bwMode="auto">
                    <a:xfrm>
                      <a:off x="0" y="0"/>
                      <a:ext cx="5732145" cy="3865062"/>
                    </a:xfrm>
                    <a:prstGeom prst="rect">
                      <a:avLst/>
                    </a:prstGeom>
                    <a:noFill/>
                    <a:ln>
                      <a:noFill/>
                    </a:ln>
                    <a:extLst>
                      <a:ext uri="{53640926-AAD7-44D8-BBD7-CCE9431645EC}">
                        <a14:shadowObscured xmlns:a14="http://schemas.microsoft.com/office/drawing/2010/main"/>
                      </a:ext>
                    </a:extLst>
                  </pic:spPr>
                </pic:pic>
              </a:graphicData>
            </a:graphic>
          </wp:inline>
        </w:drawing>
      </w:r>
      <w:r w:rsidRPr="006C1FA7">
        <w:rPr>
          <w:noProof/>
          <w:lang w:eastAsia="en-GB"/>
        </w:rPr>
        <w:drawing>
          <wp:inline distT="0" distB="0" distL="0" distR="0" wp14:anchorId="4640EB94" wp14:editId="439A5A64">
            <wp:extent cx="5731510" cy="401991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
                      <a:extLst>
                        <a:ext uri="{28A0092B-C50C-407E-A947-70E740481C1C}">
                          <a14:useLocalDpi xmlns:a14="http://schemas.microsoft.com/office/drawing/2010/main" val="0"/>
                        </a:ext>
                      </a:extLst>
                    </a:blip>
                    <a:srcRect t="3210" b="3313"/>
                    <a:stretch/>
                  </pic:blipFill>
                  <pic:spPr bwMode="auto">
                    <a:xfrm>
                      <a:off x="0" y="0"/>
                      <a:ext cx="5732145" cy="4020355"/>
                    </a:xfrm>
                    <a:prstGeom prst="rect">
                      <a:avLst/>
                    </a:prstGeom>
                    <a:noFill/>
                    <a:ln>
                      <a:noFill/>
                    </a:ln>
                    <a:extLst>
                      <a:ext uri="{53640926-AAD7-44D8-BBD7-CCE9431645EC}">
                        <a14:shadowObscured xmlns:a14="http://schemas.microsoft.com/office/drawing/2010/main"/>
                      </a:ext>
                    </a:extLst>
                  </pic:spPr>
                </pic:pic>
              </a:graphicData>
            </a:graphic>
          </wp:inline>
        </w:drawing>
      </w:r>
    </w:p>
    <w:p w:rsidR="00666F3C" w:rsidRPr="00640D3E" w:rsidRDefault="00640D3E" w:rsidP="00FA2670">
      <w:pPr>
        <w:pStyle w:val="Caption"/>
        <w:rPr>
          <w:b w:val="0"/>
          <w:color w:val="auto"/>
          <w:sz w:val="24"/>
        </w:rPr>
      </w:pPr>
      <w:bookmarkStart w:id="19" w:name="_Toc528474677"/>
      <w:r w:rsidRPr="00942D80">
        <w:rPr>
          <w:bCs w:val="0"/>
          <w:color w:val="auto"/>
          <w:sz w:val="24"/>
        </w:rPr>
        <w:t xml:space="preserve">Figure </w:t>
      </w:r>
      <w:r w:rsidRPr="00942D80">
        <w:rPr>
          <w:bCs w:val="0"/>
          <w:color w:val="auto"/>
          <w:sz w:val="24"/>
        </w:rPr>
        <w:fldChar w:fldCharType="begin"/>
      </w:r>
      <w:r w:rsidRPr="00942D80">
        <w:rPr>
          <w:bCs w:val="0"/>
          <w:color w:val="auto"/>
          <w:sz w:val="24"/>
        </w:rPr>
        <w:instrText xml:space="preserve"> SEQ Figure \* ARABIC </w:instrText>
      </w:r>
      <w:r w:rsidRPr="00942D80">
        <w:rPr>
          <w:bCs w:val="0"/>
          <w:color w:val="auto"/>
          <w:sz w:val="24"/>
        </w:rPr>
        <w:fldChar w:fldCharType="separate"/>
      </w:r>
      <w:r w:rsidR="004A2E92" w:rsidRPr="00942D80">
        <w:rPr>
          <w:bCs w:val="0"/>
          <w:noProof/>
          <w:color w:val="auto"/>
          <w:sz w:val="24"/>
        </w:rPr>
        <w:t>13</w:t>
      </w:r>
      <w:r w:rsidRPr="00942D80">
        <w:rPr>
          <w:bCs w:val="0"/>
          <w:color w:val="auto"/>
          <w:sz w:val="24"/>
        </w:rPr>
        <w:fldChar w:fldCharType="end"/>
      </w:r>
      <w:r w:rsidR="00666F3C" w:rsidRPr="00942D80">
        <w:rPr>
          <w:bCs w:val="0"/>
          <w:color w:val="auto"/>
          <w:sz w:val="24"/>
        </w:rPr>
        <w:t>.</w:t>
      </w:r>
      <w:r w:rsidR="00666F3C" w:rsidRPr="00640D3E">
        <w:rPr>
          <w:b w:val="0"/>
          <w:color w:val="auto"/>
          <w:sz w:val="24"/>
        </w:rPr>
        <w:t xml:space="preserve"> 3D response surface and contour plot of catalyst loading and reaction time </w:t>
      </w:r>
      <w:r w:rsidR="00666F3C" w:rsidRPr="00640D3E">
        <w:rPr>
          <w:b w:val="0"/>
          <w:i/>
          <w:iCs/>
          <w:color w:val="auto"/>
          <w:sz w:val="24"/>
        </w:rPr>
        <w:t>versus</w:t>
      </w:r>
      <w:r w:rsidR="00666F3C" w:rsidRPr="00640D3E">
        <w:rPr>
          <w:b w:val="0"/>
          <w:color w:val="auto"/>
          <w:sz w:val="24"/>
        </w:rPr>
        <w:t xml:space="preserve"> BO conversion</w:t>
      </w:r>
      <w:bookmarkEnd w:id="19"/>
    </w:p>
    <w:p w:rsidR="005C2AE7" w:rsidRDefault="006C1AB5" w:rsidP="009B561B">
      <w:r w:rsidRPr="006C1AB5">
        <w:rPr>
          <w:noProof/>
          <w:lang w:eastAsia="en-GB"/>
        </w:rPr>
        <w:lastRenderedPageBreak/>
        <w:drawing>
          <wp:inline distT="0" distB="0" distL="0" distR="0" wp14:anchorId="45C0D493" wp14:editId="11A7F2BB">
            <wp:extent cx="5731510" cy="3847381"/>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8">
                      <a:extLst>
                        <a:ext uri="{28A0092B-C50C-407E-A947-70E740481C1C}">
                          <a14:useLocalDpi xmlns:a14="http://schemas.microsoft.com/office/drawing/2010/main" val="0"/>
                        </a:ext>
                      </a:extLst>
                    </a:blip>
                    <a:srcRect t="3610" b="6924"/>
                    <a:stretch/>
                  </pic:blipFill>
                  <pic:spPr bwMode="auto">
                    <a:xfrm>
                      <a:off x="0" y="0"/>
                      <a:ext cx="5732145" cy="3847807"/>
                    </a:xfrm>
                    <a:prstGeom prst="rect">
                      <a:avLst/>
                    </a:prstGeom>
                    <a:noFill/>
                    <a:ln>
                      <a:noFill/>
                    </a:ln>
                    <a:extLst>
                      <a:ext uri="{53640926-AAD7-44D8-BBD7-CCE9431645EC}">
                        <a14:shadowObscured xmlns:a14="http://schemas.microsoft.com/office/drawing/2010/main"/>
                      </a:ext>
                    </a:extLst>
                  </pic:spPr>
                </pic:pic>
              </a:graphicData>
            </a:graphic>
          </wp:inline>
        </w:drawing>
      </w:r>
      <w:r w:rsidRPr="006C1AB5">
        <w:rPr>
          <w:noProof/>
          <w:lang w:eastAsia="en-GB"/>
        </w:rPr>
        <w:drawing>
          <wp:inline distT="0" distB="0" distL="0" distR="0" wp14:anchorId="7317B5EA" wp14:editId="6FAAC4DF">
            <wp:extent cx="5731510" cy="401991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9">
                      <a:extLst>
                        <a:ext uri="{28A0092B-C50C-407E-A947-70E740481C1C}">
                          <a14:useLocalDpi xmlns:a14="http://schemas.microsoft.com/office/drawing/2010/main" val="0"/>
                        </a:ext>
                      </a:extLst>
                    </a:blip>
                    <a:srcRect t="3210" b="3313"/>
                    <a:stretch/>
                  </pic:blipFill>
                  <pic:spPr bwMode="auto">
                    <a:xfrm>
                      <a:off x="0" y="0"/>
                      <a:ext cx="5732145" cy="4020355"/>
                    </a:xfrm>
                    <a:prstGeom prst="rect">
                      <a:avLst/>
                    </a:prstGeom>
                    <a:noFill/>
                    <a:ln>
                      <a:noFill/>
                    </a:ln>
                    <a:extLst>
                      <a:ext uri="{53640926-AAD7-44D8-BBD7-CCE9431645EC}">
                        <a14:shadowObscured xmlns:a14="http://schemas.microsoft.com/office/drawing/2010/main"/>
                      </a:ext>
                    </a:extLst>
                  </pic:spPr>
                </pic:pic>
              </a:graphicData>
            </a:graphic>
          </wp:inline>
        </w:drawing>
      </w:r>
    </w:p>
    <w:p w:rsidR="00666F3C" w:rsidRDefault="00640D3E" w:rsidP="00FA2670">
      <w:pPr>
        <w:pStyle w:val="Caption"/>
        <w:rPr>
          <w:b w:val="0"/>
          <w:color w:val="auto"/>
          <w:sz w:val="24"/>
        </w:rPr>
      </w:pPr>
      <w:bookmarkStart w:id="20" w:name="_Toc528474678"/>
      <w:r w:rsidRPr="00942D80">
        <w:rPr>
          <w:bCs w:val="0"/>
          <w:color w:val="auto"/>
          <w:sz w:val="24"/>
        </w:rPr>
        <w:t xml:space="preserve">Figure </w:t>
      </w:r>
      <w:r w:rsidRPr="00942D80">
        <w:rPr>
          <w:bCs w:val="0"/>
          <w:color w:val="auto"/>
          <w:sz w:val="24"/>
        </w:rPr>
        <w:fldChar w:fldCharType="begin"/>
      </w:r>
      <w:r w:rsidRPr="00942D80">
        <w:rPr>
          <w:bCs w:val="0"/>
          <w:color w:val="auto"/>
          <w:sz w:val="24"/>
        </w:rPr>
        <w:instrText xml:space="preserve"> SEQ Figure \* ARABIC </w:instrText>
      </w:r>
      <w:r w:rsidRPr="00942D80">
        <w:rPr>
          <w:bCs w:val="0"/>
          <w:color w:val="auto"/>
          <w:sz w:val="24"/>
        </w:rPr>
        <w:fldChar w:fldCharType="separate"/>
      </w:r>
      <w:r w:rsidR="004A2E92" w:rsidRPr="00942D80">
        <w:rPr>
          <w:bCs w:val="0"/>
          <w:noProof/>
          <w:color w:val="auto"/>
          <w:sz w:val="24"/>
        </w:rPr>
        <w:t>14</w:t>
      </w:r>
      <w:r w:rsidRPr="00942D80">
        <w:rPr>
          <w:bCs w:val="0"/>
          <w:color w:val="auto"/>
          <w:sz w:val="24"/>
        </w:rPr>
        <w:fldChar w:fldCharType="end"/>
      </w:r>
      <w:r w:rsidR="00666F3C" w:rsidRPr="00942D80">
        <w:rPr>
          <w:bCs w:val="0"/>
          <w:color w:val="auto"/>
          <w:sz w:val="24"/>
        </w:rPr>
        <w:t>.</w:t>
      </w:r>
      <w:r w:rsidR="00666F3C" w:rsidRPr="00640D3E">
        <w:rPr>
          <w:b w:val="0"/>
          <w:color w:val="auto"/>
          <w:sz w:val="24"/>
        </w:rPr>
        <w:t xml:space="preserve"> 3D response surface and contour plot of catalyst loading and reaction time </w:t>
      </w:r>
      <w:r w:rsidR="00666F3C" w:rsidRPr="00640D3E">
        <w:rPr>
          <w:b w:val="0"/>
          <w:i/>
          <w:iCs/>
          <w:color w:val="auto"/>
          <w:sz w:val="24"/>
        </w:rPr>
        <w:t>versus</w:t>
      </w:r>
      <w:r w:rsidR="00666F3C" w:rsidRPr="00640D3E">
        <w:rPr>
          <w:b w:val="0"/>
          <w:color w:val="auto"/>
          <w:sz w:val="24"/>
        </w:rPr>
        <w:t xml:space="preserve"> BC yield</w:t>
      </w:r>
      <w:bookmarkEnd w:id="20"/>
    </w:p>
    <w:p w:rsidR="002065B7" w:rsidRPr="002065B7" w:rsidRDefault="002065B7" w:rsidP="002065B7"/>
    <w:p w:rsidR="00640D3E" w:rsidRPr="00B6778D" w:rsidRDefault="00640D3E" w:rsidP="00FB6D14">
      <w:pPr>
        <w:pStyle w:val="Heading1"/>
      </w:pPr>
      <w:r w:rsidRPr="00B6778D">
        <w:lastRenderedPageBreak/>
        <w:t xml:space="preserve">4. </w:t>
      </w:r>
      <w:r w:rsidR="000A2167">
        <w:t>Process Optimisation</w:t>
      </w:r>
    </w:p>
    <w:p w:rsidR="00640D3E" w:rsidRDefault="00640D3E" w:rsidP="00640D3E">
      <w:pPr>
        <w:jc w:val="both"/>
      </w:pPr>
      <w:r>
        <w:t xml:space="preserve">One of the main advantages of using RSM is the applicability to perform process variables </w:t>
      </w:r>
      <w:r w:rsidRPr="008765B2">
        <w:rPr>
          <w:noProof/>
        </w:rPr>
        <w:t>optimisation</w:t>
      </w:r>
      <w:r>
        <w:t xml:space="preserve"> based on </w:t>
      </w:r>
      <w:r w:rsidRPr="008765B2">
        <w:rPr>
          <w:noProof/>
        </w:rPr>
        <w:t>favourable</w:t>
      </w:r>
      <w:r>
        <w:t xml:space="preserve"> targets. The </w:t>
      </w:r>
      <w:r w:rsidRPr="008765B2">
        <w:rPr>
          <w:noProof/>
        </w:rPr>
        <w:t>optimisation</w:t>
      </w:r>
      <w:r>
        <w:t xml:space="preserve"> targets have been set to </w:t>
      </w:r>
      <w:r w:rsidRPr="008765B2">
        <w:rPr>
          <w:noProof/>
        </w:rPr>
        <w:t>maximise</w:t>
      </w:r>
      <w:r>
        <w:t xml:space="preserve"> the process productivity. Accordingly, both responses have been targeted to reach the maximum value. However, the reaction variables including reaction temperature </w:t>
      </w:r>
      <w:r w:rsidRPr="00C55772">
        <w:rPr>
          <w:noProof/>
        </w:rPr>
        <w:t>a</w:t>
      </w:r>
      <w:r w:rsidR="00C55772">
        <w:rPr>
          <w:noProof/>
        </w:rPr>
        <w:t>n</w:t>
      </w:r>
      <w:r w:rsidRPr="00C55772">
        <w:rPr>
          <w:noProof/>
        </w:rPr>
        <w:t>d</w:t>
      </w:r>
      <w:r>
        <w:t xml:space="preserve"> time have been targeted to </w:t>
      </w:r>
      <w:r w:rsidR="00C55772">
        <w:t xml:space="preserve">a </w:t>
      </w:r>
      <w:r w:rsidRPr="00C55772">
        <w:rPr>
          <w:noProof/>
        </w:rPr>
        <w:t>minimum</w:t>
      </w:r>
      <w:r>
        <w:t xml:space="preserve"> value as they consume </w:t>
      </w:r>
      <w:r w:rsidR="00C55772">
        <w:t xml:space="preserve">a </w:t>
      </w:r>
      <w:r w:rsidRPr="00C55772">
        <w:rPr>
          <w:noProof/>
        </w:rPr>
        <w:t>huge</w:t>
      </w:r>
      <w:r>
        <w:t xml:space="preserve"> amount of energy that is not </w:t>
      </w:r>
      <w:r w:rsidRPr="008765B2">
        <w:rPr>
          <w:noProof/>
        </w:rPr>
        <w:t>favourable</w:t>
      </w:r>
      <w:r>
        <w:t xml:space="preserve"> economically and environmentally. In addition, the catalyst loading has been set without a specific target based on the efficient catalyst reusability. A summary of the </w:t>
      </w:r>
      <w:r w:rsidRPr="008765B2">
        <w:rPr>
          <w:noProof/>
        </w:rPr>
        <w:t>optimisation</w:t>
      </w:r>
      <w:r>
        <w:t xml:space="preserve"> targets for independent </w:t>
      </w:r>
      <w:r w:rsidR="008765B2">
        <w:t>variables and responses is given</w:t>
      </w:r>
      <w:r>
        <w:t xml:space="preserve"> tabulated in Table </w:t>
      </w:r>
      <w:r w:rsidR="002065B7">
        <w:t>6</w:t>
      </w:r>
      <w:r>
        <w:t xml:space="preserve">. Using </w:t>
      </w:r>
      <w:r w:rsidRPr="00C55772">
        <w:rPr>
          <w:noProof/>
        </w:rPr>
        <w:t>Design</w:t>
      </w:r>
      <w:r w:rsidR="00C55772">
        <w:rPr>
          <w:noProof/>
        </w:rPr>
        <w:t>-</w:t>
      </w:r>
      <w:r w:rsidRPr="00C55772">
        <w:rPr>
          <w:noProof/>
        </w:rPr>
        <w:t>Expert</w:t>
      </w:r>
      <w:r>
        <w:t xml:space="preserve"> software, a numerical feature has been set to estimate the combination of </w:t>
      </w:r>
      <w:r w:rsidR="008765B2">
        <w:t>the process parameters</w:t>
      </w:r>
      <w:r>
        <w:t xml:space="preserve"> to achieve the required targets. </w:t>
      </w:r>
    </w:p>
    <w:p w:rsidR="00640D3E" w:rsidRDefault="00640D3E" w:rsidP="00640D3E">
      <w:pPr>
        <w:jc w:val="both"/>
      </w:pPr>
      <w:r>
        <w:t xml:space="preserve">Consequently, 50 solutions have been generated by the software for optimum combinations, where the combination with </w:t>
      </w:r>
      <w:r w:rsidR="00C55772">
        <w:t xml:space="preserve">the </w:t>
      </w:r>
      <w:r w:rsidRPr="00C55772">
        <w:rPr>
          <w:noProof/>
        </w:rPr>
        <w:t>highest</w:t>
      </w:r>
      <w:r>
        <w:t xml:space="preserve"> desirability has been chosen. The predicted optimum conditions have been reported at</w:t>
      </w:r>
      <w:r w:rsidRPr="00B6778D">
        <w:t xml:space="preserve"> </w:t>
      </w:r>
      <w:r>
        <w:t xml:space="preserve">135 </w:t>
      </w:r>
      <w:r w:rsidRPr="008765B2">
        <w:rPr>
          <w:noProof/>
          <w:vertAlign w:val="superscript"/>
        </w:rPr>
        <w:t>o</w:t>
      </w:r>
      <w:r w:rsidRPr="008765B2">
        <w:rPr>
          <w:noProof/>
        </w:rPr>
        <w:t>C</w:t>
      </w:r>
      <w:r w:rsidRPr="00B6778D">
        <w:t>, 90 bar, 15% catalyst loading and 20 h.</w:t>
      </w:r>
      <w:r>
        <w:t xml:space="preserve"> These conditions have resulted in </w:t>
      </w:r>
      <w:r w:rsidRPr="00B6778D">
        <w:t xml:space="preserve">BO conversion and BC yield are 91.4% and 66.5%, respectively. </w:t>
      </w:r>
      <w:r>
        <w:t xml:space="preserve">This </w:t>
      </w:r>
      <w:r w:rsidRPr="008765B2">
        <w:rPr>
          <w:noProof/>
        </w:rPr>
        <w:t>optimisation</w:t>
      </w:r>
      <w:r>
        <w:t xml:space="preserve"> process has considered all the interactive effects between the independent variables and their effect on the responses. </w:t>
      </w:r>
    </w:p>
    <w:p w:rsidR="000F32B2" w:rsidRDefault="008765B2" w:rsidP="00640D3E">
      <w:pPr>
        <w:jc w:val="both"/>
      </w:pPr>
      <w:r>
        <w:t xml:space="preserve">In order to assess </w:t>
      </w:r>
      <w:r w:rsidR="00640D3E">
        <w:t xml:space="preserve">the accuracy of the predicted conditions, an experimental validation has been performed at the developed conditions. The experiments have resulted in similar results as predicted where the </w:t>
      </w:r>
      <w:r w:rsidR="00640D3E" w:rsidRPr="00B6778D">
        <w:t>relative error</w:t>
      </w:r>
      <w:r w:rsidR="00640D3E">
        <w:t>s of the predicted results</w:t>
      </w:r>
      <w:r w:rsidR="00640D3E" w:rsidRPr="00B6778D">
        <w:t xml:space="preserve"> from the experimental </w:t>
      </w:r>
      <w:r w:rsidR="00640D3E">
        <w:t>data are</w:t>
      </w:r>
      <w:r w:rsidR="00640D3E" w:rsidRPr="00B6778D">
        <w:t xml:space="preserve"> 1.45% and 1.52% for BO conversion and BC yield, respectively.</w:t>
      </w:r>
      <w:r w:rsidR="00640D3E">
        <w:t xml:space="preserve"> The similarity between the predicted and experimental results at the optimum conditions has validated the predicted optimum conditions.</w:t>
      </w:r>
    </w:p>
    <w:p w:rsidR="000F32B2" w:rsidRPr="00DA122B" w:rsidRDefault="000F32B2" w:rsidP="00DA122B">
      <w:pPr>
        <w:jc w:val="both"/>
      </w:pPr>
      <w:r>
        <w:t xml:space="preserve">Process optimisation </w:t>
      </w:r>
      <w:r w:rsidRPr="00DA122B">
        <w:rPr>
          <w:i/>
          <w:iCs/>
        </w:rPr>
        <w:t>via</w:t>
      </w:r>
      <w:r>
        <w:rPr>
          <w:i/>
          <w:iCs/>
        </w:rPr>
        <w:t xml:space="preserve"> </w:t>
      </w:r>
      <w:r>
        <w:t xml:space="preserve">RSM has revealed higher precision in prediction of the optimal conditions </w:t>
      </w:r>
      <w:r w:rsidR="005F0482">
        <w:t>than</w:t>
      </w:r>
      <w:r>
        <w:t xml:space="preserve"> OFAT due to the fact that it combine various reaction conditions to </w:t>
      </w:r>
      <w:r w:rsidR="005F0482">
        <w:t>achieve</w:t>
      </w:r>
      <w:r>
        <w:t xml:space="preserve"> the targeted response for the process. It has been reported that the optimal conditions for this process using OFAT have resulted in</w:t>
      </w:r>
      <w:r w:rsidRPr="00B6778D">
        <w:t xml:space="preserve"> conversion of BO and BC yield of </w:t>
      </w:r>
      <w:r>
        <w:t>84% and 64</w:t>
      </w:r>
      <w:r w:rsidRPr="00B6778D">
        <w:t>%, respectively</w:t>
      </w:r>
      <w:r>
        <w:t xml:space="preserve"> at pressure, temperature, catalyst loading and time of </w:t>
      </w:r>
      <w:bookmarkStart w:id="21" w:name="_Toc528474726"/>
      <w:r w:rsidRPr="00B6778D">
        <w:t xml:space="preserve">75 bar, </w:t>
      </w:r>
      <w:r w:rsidRPr="00EA0EBD">
        <w:t xml:space="preserve">135 </w:t>
      </w:r>
      <w:r w:rsidRPr="00EA0EBD">
        <w:rPr>
          <w:vertAlign w:val="superscript"/>
        </w:rPr>
        <w:t>o</w:t>
      </w:r>
      <w:r w:rsidRPr="00EA0EBD">
        <w:t>C</w:t>
      </w:r>
      <w:r w:rsidRPr="00B6778D">
        <w:t>, 10% (w/w) in 20 h</w:t>
      </w:r>
      <w:r>
        <w:t xml:space="preserve">, respectively </w:t>
      </w:r>
      <w:r w:rsidRPr="00B6778D">
        <w:fldChar w:fldCharType="begin" w:fldLock="1"/>
      </w:r>
      <w:r>
        <w:instrText>ADDIN CSL_CITATION {"citationItems":[{"id":"ITEM-1","itemData":{"DOI":"10.1016/j.energy.2018.09.135","ISSN":"03605442","author":[{"dropping-particle":"","family":"Onyenkeadi","given":"Victor","non-dropping-particle":"","parse-names":false,"suffix":""},{"dropping-particle":"","family":"Kellici","given":"Suela","non-dropping-particle":"","parse-names":false,"suffix":""},{"dropping-particle":"","family":"Saha","given":"Basudeb","non-dropping-particle":"","parse-names":false,"suffix":""}],"container-title":"Energy","id":"ITEM-1","issued":{"date-parts":[["2018"]]},"page":"867-876","publisher":"Elsevier Ltd","title":"Greener synthesis of 1,2-butylene carbonate from CO2 using graphene-inorganic nanocomposite catalyst","type":"article-journal","volume":"165"},"uris":["http://www.mendeley.com/documents/?uuid=d279d292-c950-49da-a5ca-3402f02d8949","http://www.mendeley.com/documents/?uuid=9c68cc51-c869-4cc5-9bdd-349684eb037f"]}],"mendeley":{"formattedCitation":"[8]","plainTextFormattedCitation":"[8]","previouslyFormattedCitation":"[8]"},"properties":{"noteIndex":0},"schema":"https://github.com/citation-style-language/schema/raw/master/csl-citation.json"}</w:instrText>
      </w:r>
      <w:r w:rsidRPr="00B6778D">
        <w:fldChar w:fldCharType="separate"/>
      </w:r>
      <w:r w:rsidRPr="002D6134">
        <w:rPr>
          <w:noProof/>
        </w:rPr>
        <w:t>[8]</w:t>
      </w:r>
      <w:r w:rsidRPr="00B6778D">
        <w:fldChar w:fldCharType="end"/>
      </w:r>
      <w:r>
        <w:t xml:space="preserve">. However, multivariate optimisation using RSM has resulted in higher </w:t>
      </w:r>
      <w:r w:rsidRPr="00B6778D">
        <w:t xml:space="preserve">conversion of BO and yield </w:t>
      </w:r>
      <w:r>
        <w:t xml:space="preserve">of </w:t>
      </w:r>
      <w:r w:rsidRPr="00B6778D">
        <w:t xml:space="preserve">BC </w:t>
      </w:r>
      <w:r>
        <w:t xml:space="preserve">at milder reaction </w:t>
      </w:r>
      <w:r w:rsidR="005F0482">
        <w:t>conditions</w:t>
      </w:r>
      <w:r>
        <w:t xml:space="preserve">. </w:t>
      </w:r>
    </w:p>
    <w:p w:rsidR="000F32B2" w:rsidRDefault="000F32B2">
      <w:pPr>
        <w:spacing w:after="200" w:line="276" w:lineRule="auto"/>
        <w:rPr>
          <w:b/>
          <w:bCs/>
          <w:szCs w:val="18"/>
        </w:rPr>
      </w:pPr>
      <w:r>
        <w:br w:type="page"/>
      </w:r>
    </w:p>
    <w:p w:rsidR="00640D3E" w:rsidRPr="00EA0EBD" w:rsidRDefault="00A7055F" w:rsidP="00A7055F">
      <w:pPr>
        <w:pStyle w:val="Caption"/>
        <w:rPr>
          <w:color w:val="000000" w:themeColor="text1"/>
          <w:szCs w:val="16"/>
        </w:rPr>
      </w:pPr>
      <w:r w:rsidRPr="00A7055F">
        <w:rPr>
          <w:color w:val="auto"/>
          <w:sz w:val="24"/>
        </w:rPr>
        <w:lastRenderedPageBreak/>
        <w:t xml:space="preserve">Table </w:t>
      </w:r>
      <w:r w:rsidRPr="00A7055F">
        <w:rPr>
          <w:color w:val="auto"/>
          <w:sz w:val="24"/>
        </w:rPr>
        <w:fldChar w:fldCharType="begin"/>
      </w:r>
      <w:r w:rsidRPr="00A7055F">
        <w:rPr>
          <w:color w:val="auto"/>
          <w:sz w:val="24"/>
        </w:rPr>
        <w:instrText xml:space="preserve"> SEQ Table \* ARABIC </w:instrText>
      </w:r>
      <w:r w:rsidRPr="00A7055F">
        <w:rPr>
          <w:color w:val="auto"/>
          <w:sz w:val="24"/>
        </w:rPr>
        <w:fldChar w:fldCharType="separate"/>
      </w:r>
      <w:r w:rsidR="004A2E92">
        <w:rPr>
          <w:noProof/>
          <w:color w:val="auto"/>
          <w:sz w:val="24"/>
        </w:rPr>
        <w:t>6</w:t>
      </w:r>
      <w:r w:rsidRPr="00A7055F">
        <w:rPr>
          <w:color w:val="auto"/>
          <w:sz w:val="24"/>
        </w:rPr>
        <w:fldChar w:fldCharType="end"/>
      </w:r>
      <w:r w:rsidR="00640D3E" w:rsidRPr="00A7055F">
        <w:rPr>
          <w:color w:val="auto"/>
          <w:sz w:val="24"/>
          <w:szCs w:val="16"/>
        </w:rPr>
        <w:t xml:space="preserve">. </w:t>
      </w:r>
      <w:r w:rsidR="00640D3E" w:rsidRPr="000E015C">
        <w:rPr>
          <w:b w:val="0"/>
          <w:noProof/>
          <w:color w:val="auto"/>
          <w:sz w:val="24"/>
          <w:szCs w:val="16"/>
        </w:rPr>
        <w:t>Optimisation</w:t>
      </w:r>
      <w:r w:rsidR="00640D3E" w:rsidRPr="00A7055F">
        <w:rPr>
          <w:b w:val="0"/>
          <w:color w:val="auto"/>
          <w:sz w:val="24"/>
          <w:szCs w:val="16"/>
        </w:rPr>
        <w:t xml:space="preserve"> </w:t>
      </w:r>
      <w:r w:rsidR="00640D3E" w:rsidRPr="00C55772">
        <w:rPr>
          <w:b w:val="0"/>
          <w:noProof/>
          <w:color w:val="auto"/>
          <w:sz w:val="24"/>
          <w:szCs w:val="16"/>
        </w:rPr>
        <w:t>constrain</w:t>
      </w:r>
      <w:r w:rsidR="00C55772">
        <w:rPr>
          <w:b w:val="0"/>
          <w:noProof/>
          <w:color w:val="auto"/>
          <w:sz w:val="24"/>
          <w:szCs w:val="16"/>
        </w:rPr>
        <w:t>t</w:t>
      </w:r>
      <w:r w:rsidR="00640D3E" w:rsidRPr="00C55772">
        <w:rPr>
          <w:b w:val="0"/>
          <w:noProof/>
          <w:color w:val="auto"/>
          <w:sz w:val="24"/>
          <w:szCs w:val="16"/>
        </w:rPr>
        <w:t>s</w:t>
      </w:r>
      <w:r w:rsidR="00640D3E" w:rsidRPr="00A7055F">
        <w:rPr>
          <w:b w:val="0"/>
          <w:color w:val="auto"/>
          <w:sz w:val="24"/>
          <w:szCs w:val="16"/>
        </w:rPr>
        <w:t xml:space="preserve"> used to predict optimum conditions for butylene carbonate</w:t>
      </w:r>
      <w:bookmarkEnd w:id="21"/>
    </w:p>
    <w:p w:rsidR="00640D3E" w:rsidRPr="00857AB7" w:rsidRDefault="00640D3E" w:rsidP="00640D3E">
      <w:pPr>
        <w:pStyle w:val="TAMainText"/>
        <w:spacing w:line="276" w:lineRule="auto"/>
        <w:ind w:firstLine="0"/>
        <w:contextualSpacing/>
        <w:jc w:val="center"/>
        <w:rPr>
          <w:rFonts w:ascii="Times New Roman" w:hAnsi="Times New Roman"/>
          <w:color w:val="000000" w:themeColor="text1"/>
          <w:sz w:val="20"/>
          <w:szCs w:val="16"/>
        </w:rPr>
      </w:pPr>
    </w:p>
    <w:tbl>
      <w:tblPr>
        <w:tblStyle w:val="TableGrid"/>
        <w:tblW w:w="93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1685"/>
        <w:gridCol w:w="1350"/>
        <w:gridCol w:w="1449"/>
        <w:gridCol w:w="1404"/>
      </w:tblGrid>
      <w:tr w:rsidR="00640D3E" w:rsidRPr="00857AB7" w:rsidTr="00942D80">
        <w:trPr>
          <w:trHeight w:val="292"/>
          <w:jc w:val="center"/>
        </w:trPr>
        <w:tc>
          <w:tcPr>
            <w:tcW w:w="3456" w:type="dxa"/>
            <w:tcBorders>
              <w:top w:val="single" w:sz="4" w:space="0" w:color="auto"/>
              <w:bottom w:val="single" w:sz="8" w:space="0" w:color="auto"/>
            </w:tcBorders>
            <w:hideMark/>
          </w:tcPr>
          <w:p w:rsidR="00640D3E" w:rsidRPr="00ED2EA4" w:rsidRDefault="00640D3E" w:rsidP="00035697">
            <w:pPr>
              <w:jc w:val="center"/>
              <w:rPr>
                <w:color w:val="000000" w:themeColor="text1"/>
                <w:sz w:val="22"/>
              </w:rPr>
            </w:pPr>
            <w:r w:rsidRPr="00ED2EA4">
              <w:rPr>
                <w:color w:val="000000" w:themeColor="text1"/>
                <w:sz w:val="22"/>
              </w:rPr>
              <w:t>Factor</w:t>
            </w:r>
          </w:p>
        </w:tc>
        <w:tc>
          <w:tcPr>
            <w:tcW w:w="1685" w:type="dxa"/>
            <w:tcBorders>
              <w:top w:val="single" w:sz="4" w:space="0" w:color="auto"/>
              <w:bottom w:val="single" w:sz="8" w:space="0" w:color="auto"/>
            </w:tcBorders>
          </w:tcPr>
          <w:p w:rsidR="00640D3E" w:rsidRPr="00ED2EA4" w:rsidRDefault="00640D3E" w:rsidP="00035697">
            <w:pPr>
              <w:jc w:val="center"/>
              <w:rPr>
                <w:color w:val="000000" w:themeColor="text1"/>
                <w:sz w:val="22"/>
              </w:rPr>
            </w:pPr>
            <w:r w:rsidRPr="00ED2EA4">
              <w:rPr>
                <w:color w:val="000000" w:themeColor="text1"/>
                <w:sz w:val="22"/>
              </w:rPr>
              <w:t>Code</w:t>
            </w:r>
          </w:p>
        </w:tc>
        <w:tc>
          <w:tcPr>
            <w:tcW w:w="0" w:type="auto"/>
            <w:tcBorders>
              <w:top w:val="single" w:sz="4" w:space="0" w:color="auto"/>
              <w:bottom w:val="single" w:sz="8" w:space="0" w:color="auto"/>
            </w:tcBorders>
          </w:tcPr>
          <w:p w:rsidR="00640D3E" w:rsidRPr="00ED2EA4" w:rsidRDefault="00640D3E" w:rsidP="00035697">
            <w:pPr>
              <w:jc w:val="center"/>
              <w:rPr>
                <w:color w:val="000000" w:themeColor="text1"/>
                <w:sz w:val="22"/>
              </w:rPr>
            </w:pPr>
            <w:r>
              <w:rPr>
                <w:color w:val="000000" w:themeColor="text1"/>
                <w:sz w:val="22"/>
              </w:rPr>
              <w:t>Goal</w:t>
            </w:r>
          </w:p>
        </w:tc>
        <w:tc>
          <w:tcPr>
            <w:tcW w:w="0" w:type="auto"/>
            <w:gridSpan w:val="2"/>
            <w:tcBorders>
              <w:top w:val="single" w:sz="4" w:space="0" w:color="auto"/>
              <w:bottom w:val="single" w:sz="8" w:space="0" w:color="auto"/>
            </w:tcBorders>
          </w:tcPr>
          <w:p w:rsidR="00640D3E" w:rsidRPr="00ED2EA4" w:rsidRDefault="00640D3E" w:rsidP="00035697">
            <w:pPr>
              <w:jc w:val="center"/>
              <w:rPr>
                <w:color w:val="000000" w:themeColor="text1"/>
                <w:sz w:val="22"/>
              </w:rPr>
            </w:pPr>
            <w:r>
              <w:rPr>
                <w:color w:val="000000" w:themeColor="text1"/>
                <w:sz w:val="22"/>
              </w:rPr>
              <w:t>Limits</w:t>
            </w:r>
          </w:p>
        </w:tc>
      </w:tr>
      <w:tr w:rsidR="00640D3E" w:rsidRPr="00857AB7" w:rsidTr="008A6299">
        <w:trPr>
          <w:trHeight w:val="271"/>
          <w:jc w:val="center"/>
        </w:trPr>
        <w:tc>
          <w:tcPr>
            <w:tcW w:w="6491" w:type="dxa"/>
            <w:gridSpan w:val="3"/>
            <w:tcBorders>
              <w:top w:val="single" w:sz="8" w:space="0" w:color="auto"/>
              <w:bottom w:val="single" w:sz="8" w:space="0" w:color="auto"/>
            </w:tcBorders>
            <w:hideMark/>
          </w:tcPr>
          <w:p w:rsidR="00640D3E" w:rsidRPr="00ED2EA4" w:rsidRDefault="00640D3E" w:rsidP="00035697">
            <w:pPr>
              <w:jc w:val="center"/>
              <w:rPr>
                <w:color w:val="000000" w:themeColor="text1"/>
                <w:sz w:val="22"/>
              </w:rPr>
            </w:pPr>
          </w:p>
        </w:tc>
        <w:tc>
          <w:tcPr>
            <w:tcW w:w="0" w:type="auto"/>
            <w:tcBorders>
              <w:top w:val="single" w:sz="8" w:space="0" w:color="auto"/>
              <w:bottom w:val="single" w:sz="8" w:space="0" w:color="auto"/>
            </w:tcBorders>
            <w:hideMark/>
          </w:tcPr>
          <w:p w:rsidR="00640D3E" w:rsidRPr="00ED2EA4" w:rsidRDefault="00640D3E" w:rsidP="00035697">
            <w:pPr>
              <w:jc w:val="center"/>
              <w:rPr>
                <w:color w:val="000000" w:themeColor="text1"/>
                <w:sz w:val="22"/>
              </w:rPr>
            </w:pPr>
            <w:r>
              <w:rPr>
                <w:color w:val="000000" w:themeColor="text1"/>
                <w:sz w:val="22"/>
              </w:rPr>
              <w:t>Lower</w:t>
            </w:r>
          </w:p>
        </w:tc>
        <w:tc>
          <w:tcPr>
            <w:tcW w:w="0" w:type="auto"/>
            <w:tcBorders>
              <w:top w:val="single" w:sz="8" w:space="0" w:color="auto"/>
              <w:bottom w:val="single" w:sz="8" w:space="0" w:color="auto"/>
            </w:tcBorders>
          </w:tcPr>
          <w:p w:rsidR="00640D3E" w:rsidRPr="00ED2EA4" w:rsidRDefault="00640D3E" w:rsidP="00035697">
            <w:pPr>
              <w:jc w:val="center"/>
              <w:rPr>
                <w:color w:val="000000" w:themeColor="text1"/>
                <w:sz w:val="22"/>
              </w:rPr>
            </w:pPr>
            <w:r>
              <w:rPr>
                <w:color w:val="000000" w:themeColor="text1"/>
                <w:sz w:val="22"/>
              </w:rPr>
              <w:t>Upper</w:t>
            </w:r>
          </w:p>
        </w:tc>
      </w:tr>
      <w:tr w:rsidR="00640D3E" w:rsidRPr="00857AB7" w:rsidTr="008A6299">
        <w:trPr>
          <w:trHeight w:val="248"/>
          <w:jc w:val="center"/>
        </w:trPr>
        <w:tc>
          <w:tcPr>
            <w:tcW w:w="3456" w:type="dxa"/>
            <w:tcBorders>
              <w:top w:val="single" w:sz="8" w:space="0" w:color="auto"/>
            </w:tcBorders>
            <w:hideMark/>
          </w:tcPr>
          <w:p w:rsidR="00640D3E" w:rsidRPr="00857AB7" w:rsidRDefault="00640D3E" w:rsidP="00035697">
            <w:pPr>
              <w:jc w:val="center"/>
              <w:rPr>
                <w:color w:val="000000" w:themeColor="text1"/>
                <w:sz w:val="22"/>
              </w:rPr>
            </w:pPr>
            <w:r w:rsidRPr="00857AB7">
              <w:rPr>
                <w:color w:val="000000" w:themeColor="text1"/>
                <w:sz w:val="22"/>
              </w:rPr>
              <w:t>Temperature (</w:t>
            </w:r>
            <w:r w:rsidRPr="00857AB7">
              <w:rPr>
                <w:color w:val="000000" w:themeColor="text1"/>
                <w:sz w:val="22"/>
                <w:vertAlign w:val="superscript"/>
              </w:rPr>
              <w:t>o</w:t>
            </w:r>
            <w:r w:rsidRPr="00857AB7">
              <w:rPr>
                <w:color w:val="000000" w:themeColor="text1"/>
                <w:sz w:val="22"/>
              </w:rPr>
              <w:t>C)</w:t>
            </w:r>
          </w:p>
        </w:tc>
        <w:tc>
          <w:tcPr>
            <w:tcW w:w="1685" w:type="dxa"/>
            <w:tcBorders>
              <w:top w:val="single" w:sz="8" w:space="0" w:color="auto"/>
            </w:tcBorders>
          </w:tcPr>
          <w:p w:rsidR="00640D3E" w:rsidRPr="00857AB7" w:rsidRDefault="00640D3E" w:rsidP="00035697">
            <w:pPr>
              <w:jc w:val="center"/>
              <w:rPr>
                <w:color w:val="000000" w:themeColor="text1"/>
                <w:sz w:val="22"/>
              </w:rPr>
            </w:pPr>
            <w:r w:rsidRPr="00857AB7">
              <w:rPr>
                <w:color w:val="000000" w:themeColor="text1"/>
                <w:sz w:val="22"/>
              </w:rPr>
              <w:t>A</w:t>
            </w:r>
          </w:p>
        </w:tc>
        <w:tc>
          <w:tcPr>
            <w:tcW w:w="0" w:type="auto"/>
            <w:tcBorders>
              <w:top w:val="single" w:sz="8" w:space="0" w:color="auto"/>
            </w:tcBorders>
          </w:tcPr>
          <w:p w:rsidR="00640D3E" w:rsidRPr="00857AB7" w:rsidRDefault="00640D3E" w:rsidP="00035697">
            <w:pPr>
              <w:jc w:val="center"/>
              <w:rPr>
                <w:color w:val="000000" w:themeColor="text1"/>
                <w:sz w:val="22"/>
              </w:rPr>
            </w:pPr>
            <w:r>
              <w:rPr>
                <w:color w:val="000000" w:themeColor="text1"/>
                <w:sz w:val="22"/>
              </w:rPr>
              <w:t>Minimise</w:t>
            </w:r>
          </w:p>
        </w:tc>
        <w:tc>
          <w:tcPr>
            <w:tcW w:w="0" w:type="auto"/>
            <w:tcBorders>
              <w:top w:val="single" w:sz="8" w:space="0" w:color="auto"/>
            </w:tcBorders>
          </w:tcPr>
          <w:p w:rsidR="00640D3E" w:rsidRPr="00857AB7" w:rsidRDefault="00640D3E" w:rsidP="00035697">
            <w:pPr>
              <w:jc w:val="center"/>
              <w:rPr>
                <w:color w:val="000000" w:themeColor="text1"/>
                <w:sz w:val="22"/>
              </w:rPr>
            </w:pPr>
            <w:r>
              <w:rPr>
                <w:color w:val="000000" w:themeColor="text1"/>
                <w:sz w:val="22"/>
              </w:rPr>
              <w:t>100</w:t>
            </w:r>
          </w:p>
        </w:tc>
        <w:tc>
          <w:tcPr>
            <w:tcW w:w="0" w:type="auto"/>
            <w:tcBorders>
              <w:top w:val="single" w:sz="8" w:space="0" w:color="auto"/>
            </w:tcBorders>
          </w:tcPr>
          <w:p w:rsidR="00640D3E" w:rsidRPr="00857AB7" w:rsidRDefault="00640D3E" w:rsidP="00035697">
            <w:pPr>
              <w:jc w:val="center"/>
              <w:rPr>
                <w:color w:val="000000" w:themeColor="text1"/>
                <w:sz w:val="22"/>
              </w:rPr>
            </w:pPr>
            <w:r>
              <w:rPr>
                <w:color w:val="000000" w:themeColor="text1"/>
                <w:sz w:val="22"/>
              </w:rPr>
              <w:t>170</w:t>
            </w:r>
          </w:p>
        </w:tc>
      </w:tr>
      <w:tr w:rsidR="00640D3E" w:rsidRPr="00857AB7" w:rsidTr="008A6299">
        <w:trPr>
          <w:trHeight w:val="234"/>
          <w:jc w:val="center"/>
        </w:trPr>
        <w:tc>
          <w:tcPr>
            <w:tcW w:w="3456" w:type="dxa"/>
            <w:hideMark/>
          </w:tcPr>
          <w:p w:rsidR="00640D3E" w:rsidRPr="00857AB7" w:rsidRDefault="00640D3E" w:rsidP="00035697">
            <w:pPr>
              <w:jc w:val="center"/>
              <w:rPr>
                <w:color w:val="000000" w:themeColor="text1"/>
                <w:sz w:val="22"/>
              </w:rPr>
            </w:pPr>
            <w:r w:rsidRPr="00857AB7">
              <w:rPr>
                <w:color w:val="000000" w:themeColor="text1"/>
                <w:sz w:val="22"/>
              </w:rPr>
              <w:t>Pressure (bar)</w:t>
            </w:r>
          </w:p>
        </w:tc>
        <w:tc>
          <w:tcPr>
            <w:tcW w:w="1685" w:type="dxa"/>
          </w:tcPr>
          <w:p w:rsidR="00640D3E" w:rsidRPr="00857AB7" w:rsidRDefault="00640D3E" w:rsidP="00035697">
            <w:pPr>
              <w:jc w:val="center"/>
              <w:rPr>
                <w:color w:val="000000" w:themeColor="text1"/>
                <w:sz w:val="22"/>
                <w:vertAlign w:val="subscript"/>
              </w:rPr>
            </w:pPr>
            <w:r w:rsidRPr="00857AB7">
              <w:rPr>
                <w:color w:val="000000" w:themeColor="text1"/>
                <w:sz w:val="22"/>
              </w:rPr>
              <w:t>B</w:t>
            </w:r>
          </w:p>
        </w:tc>
        <w:tc>
          <w:tcPr>
            <w:tcW w:w="0" w:type="auto"/>
          </w:tcPr>
          <w:p w:rsidR="00640D3E" w:rsidRPr="00857AB7" w:rsidRDefault="00640D3E" w:rsidP="00035697">
            <w:pPr>
              <w:jc w:val="center"/>
              <w:rPr>
                <w:color w:val="000000" w:themeColor="text1"/>
                <w:sz w:val="22"/>
              </w:rPr>
            </w:pPr>
            <w:r>
              <w:rPr>
                <w:color w:val="000000" w:themeColor="text1"/>
                <w:sz w:val="22"/>
              </w:rPr>
              <w:t>In range</w:t>
            </w:r>
          </w:p>
        </w:tc>
        <w:tc>
          <w:tcPr>
            <w:tcW w:w="0" w:type="auto"/>
          </w:tcPr>
          <w:p w:rsidR="00640D3E" w:rsidRPr="00857AB7" w:rsidRDefault="00640D3E" w:rsidP="00035697">
            <w:pPr>
              <w:jc w:val="center"/>
              <w:rPr>
                <w:color w:val="000000" w:themeColor="text1"/>
                <w:sz w:val="22"/>
              </w:rPr>
            </w:pPr>
            <w:r>
              <w:rPr>
                <w:color w:val="000000" w:themeColor="text1"/>
                <w:sz w:val="22"/>
              </w:rPr>
              <w:t>60</w:t>
            </w:r>
          </w:p>
        </w:tc>
        <w:tc>
          <w:tcPr>
            <w:tcW w:w="0" w:type="auto"/>
          </w:tcPr>
          <w:p w:rsidR="00640D3E" w:rsidRPr="00857AB7" w:rsidRDefault="00640D3E" w:rsidP="00035697">
            <w:pPr>
              <w:jc w:val="center"/>
              <w:rPr>
                <w:color w:val="000000" w:themeColor="text1"/>
                <w:sz w:val="22"/>
              </w:rPr>
            </w:pPr>
            <w:r>
              <w:rPr>
                <w:color w:val="000000" w:themeColor="text1"/>
                <w:sz w:val="22"/>
              </w:rPr>
              <w:t>90</w:t>
            </w:r>
          </w:p>
        </w:tc>
      </w:tr>
      <w:tr w:rsidR="00640D3E" w:rsidRPr="00857AB7" w:rsidTr="008A6299">
        <w:trPr>
          <w:trHeight w:val="234"/>
          <w:jc w:val="center"/>
        </w:trPr>
        <w:tc>
          <w:tcPr>
            <w:tcW w:w="3456" w:type="dxa"/>
            <w:hideMark/>
          </w:tcPr>
          <w:p w:rsidR="00640D3E" w:rsidRPr="00857AB7" w:rsidRDefault="00640D3E" w:rsidP="00035697">
            <w:pPr>
              <w:jc w:val="center"/>
              <w:rPr>
                <w:color w:val="000000" w:themeColor="text1"/>
                <w:sz w:val="22"/>
              </w:rPr>
            </w:pPr>
            <w:r>
              <w:rPr>
                <w:color w:val="000000" w:themeColor="text1"/>
                <w:sz w:val="22"/>
              </w:rPr>
              <w:t>Catalyst loading (%)</w:t>
            </w:r>
          </w:p>
        </w:tc>
        <w:tc>
          <w:tcPr>
            <w:tcW w:w="1685" w:type="dxa"/>
          </w:tcPr>
          <w:p w:rsidR="00640D3E" w:rsidRPr="00857AB7" w:rsidRDefault="00640D3E" w:rsidP="00035697">
            <w:pPr>
              <w:jc w:val="center"/>
              <w:rPr>
                <w:color w:val="000000" w:themeColor="text1"/>
                <w:sz w:val="22"/>
                <w:vertAlign w:val="subscript"/>
              </w:rPr>
            </w:pPr>
            <w:r w:rsidRPr="00857AB7">
              <w:rPr>
                <w:color w:val="000000" w:themeColor="text1"/>
                <w:sz w:val="22"/>
              </w:rPr>
              <w:t>C</w:t>
            </w:r>
          </w:p>
        </w:tc>
        <w:tc>
          <w:tcPr>
            <w:tcW w:w="0" w:type="auto"/>
          </w:tcPr>
          <w:p w:rsidR="00640D3E" w:rsidRPr="00857AB7" w:rsidRDefault="00640D3E" w:rsidP="00035697">
            <w:pPr>
              <w:jc w:val="center"/>
              <w:rPr>
                <w:color w:val="000000" w:themeColor="text1"/>
                <w:sz w:val="22"/>
              </w:rPr>
            </w:pPr>
            <w:r>
              <w:rPr>
                <w:color w:val="000000" w:themeColor="text1"/>
                <w:sz w:val="22"/>
              </w:rPr>
              <w:t>In range</w:t>
            </w:r>
          </w:p>
        </w:tc>
        <w:tc>
          <w:tcPr>
            <w:tcW w:w="0" w:type="auto"/>
          </w:tcPr>
          <w:p w:rsidR="00640D3E" w:rsidRPr="00857AB7" w:rsidRDefault="00640D3E" w:rsidP="00035697">
            <w:pPr>
              <w:jc w:val="center"/>
              <w:rPr>
                <w:color w:val="000000" w:themeColor="text1"/>
                <w:sz w:val="22"/>
              </w:rPr>
            </w:pPr>
            <w:r>
              <w:rPr>
                <w:color w:val="000000" w:themeColor="text1"/>
                <w:sz w:val="22"/>
              </w:rPr>
              <w:t>5</w:t>
            </w:r>
          </w:p>
        </w:tc>
        <w:tc>
          <w:tcPr>
            <w:tcW w:w="0" w:type="auto"/>
          </w:tcPr>
          <w:p w:rsidR="00640D3E" w:rsidRPr="00857AB7" w:rsidRDefault="00640D3E" w:rsidP="00035697">
            <w:pPr>
              <w:jc w:val="center"/>
              <w:rPr>
                <w:color w:val="000000" w:themeColor="text1"/>
                <w:sz w:val="22"/>
              </w:rPr>
            </w:pPr>
            <w:r>
              <w:rPr>
                <w:color w:val="000000" w:themeColor="text1"/>
                <w:sz w:val="22"/>
              </w:rPr>
              <w:t>15</w:t>
            </w:r>
          </w:p>
        </w:tc>
      </w:tr>
      <w:tr w:rsidR="00640D3E" w:rsidRPr="00857AB7" w:rsidTr="008A6299">
        <w:trPr>
          <w:trHeight w:val="46"/>
          <w:jc w:val="center"/>
        </w:trPr>
        <w:tc>
          <w:tcPr>
            <w:tcW w:w="3456" w:type="dxa"/>
            <w:hideMark/>
          </w:tcPr>
          <w:p w:rsidR="00640D3E" w:rsidRPr="00857AB7" w:rsidRDefault="00640D3E" w:rsidP="00035697">
            <w:pPr>
              <w:jc w:val="center"/>
              <w:rPr>
                <w:color w:val="000000" w:themeColor="text1"/>
                <w:sz w:val="22"/>
              </w:rPr>
            </w:pPr>
            <w:r w:rsidRPr="00857AB7">
              <w:rPr>
                <w:color w:val="000000" w:themeColor="text1"/>
                <w:sz w:val="22"/>
              </w:rPr>
              <w:t>Time (</w:t>
            </w:r>
            <w:r>
              <w:rPr>
                <w:color w:val="000000" w:themeColor="text1"/>
                <w:sz w:val="22"/>
              </w:rPr>
              <w:t>h</w:t>
            </w:r>
            <w:r w:rsidRPr="00857AB7">
              <w:rPr>
                <w:color w:val="000000" w:themeColor="text1"/>
                <w:sz w:val="22"/>
              </w:rPr>
              <w:t>)</w:t>
            </w:r>
          </w:p>
        </w:tc>
        <w:tc>
          <w:tcPr>
            <w:tcW w:w="1685" w:type="dxa"/>
          </w:tcPr>
          <w:p w:rsidR="00640D3E" w:rsidRPr="00857AB7" w:rsidRDefault="00640D3E" w:rsidP="00035697">
            <w:pPr>
              <w:jc w:val="center"/>
              <w:rPr>
                <w:color w:val="000000" w:themeColor="text1"/>
                <w:sz w:val="22"/>
                <w:vertAlign w:val="subscript"/>
              </w:rPr>
            </w:pPr>
            <w:r w:rsidRPr="00857AB7">
              <w:rPr>
                <w:color w:val="000000" w:themeColor="text1"/>
                <w:sz w:val="22"/>
              </w:rPr>
              <w:t>D</w:t>
            </w:r>
          </w:p>
        </w:tc>
        <w:tc>
          <w:tcPr>
            <w:tcW w:w="0" w:type="auto"/>
          </w:tcPr>
          <w:p w:rsidR="00640D3E" w:rsidRPr="00857AB7" w:rsidRDefault="00640D3E" w:rsidP="00035697">
            <w:pPr>
              <w:jc w:val="center"/>
              <w:rPr>
                <w:color w:val="000000" w:themeColor="text1"/>
                <w:sz w:val="22"/>
              </w:rPr>
            </w:pPr>
            <w:r>
              <w:rPr>
                <w:color w:val="000000" w:themeColor="text1"/>
                <w:sz w:val="22"/>
              </w:rPr>
              <w:t>Minimise</w:t>
            </w:r>
          </w:p>
        </w:tc>
        <w:tc>
          <w:tcPr>
            <w:tcW w:w="0" w:type="auto"/>
          </w:tcPr>
          <w:p w:rsidR="00640D3E" w:rsidRPr="00857AB7" w:rsidRDefault="00640D3E" w:rsidP="00035697">
            <w:pPr>
              <w:jc w:val="center"/>
              <w:rPr>
                <w:color w:val="000000" w:themeColor="text1"/>
                <w:sz w:val="22"/>
              </w:rPr>
            </w:pPr>
            <w:r>
              <w:rPr>
                <w:color w:val="000000" w:themeColor="text1"/>
                <w:sz w:val="22"/>
              </w:rPr>
              <w:t>16</w:t>
            </w:r>
          </w:p>
        </w:tc>
        <w:tc>
          <w:tcPr>
            <w:tcW w:w="0" w:type="auto"/>
          </w:tcPr>
          <w:p w:rsidR="00640D3E" w:rsidRPr="00857AB7" w:rsidRDefault="00640D3E" w:rsidP="00035697">
            <w:pPr>
              <w:jc w:val="center"/>
              <w:rPr>
                <w:color w:val="000000" w:themeColor="text1"/>
                <w:sz w:val="22"/>
              </w:rPr>
            </w:pPr>
            <w:r>
              <w:rPr>
                <w:color w:val="000000" w:themeColor="text1"/>
                <w:sz w:val="22"/>
              </w:rPr>
              <w:t>24</w:t>
            </w:r>
          </w:p>
        </w:tc>
      </w:tr>
      <w:tr w:rsidR="00640D3E" w:rsidRPr="00857AB7" w:rsidTr="008A6299">
        <w:trPr>
          <w:trHeight w:val="46"/>
          <w:jc w:val="center"/>
        </w:trPr>
        <w:tc>
          <w:tcPr>
            <w:tcW w:w="3456" w:type="dxa"/>
          </w:tcPr>
          <w:p w:rsidR="00640D3E" w:rsidRPr="00857AB7" w:rsidRDefault="00640D3E" w:rsidP="00035697">
            <w:pPr>
              <w:jc w:val="center"/>
              <w:rPr>
                <w:color w:val="000000" w:themeColor="text1"/>
                <w:sz w:val="22"/>
              </w:rPr>
            </w:pPr>
            <w:r>
              <w:rPr>
                <w:color w:val="000000" w:themeColor="text1"/>
                <w:sz w:val="22"/>
              </w:rPr>
              <w:t xml:space="preserve">BO conversion </w:t>
            </w:r>
          </w:p>
        </w:tc>
        <w:tc>
          <w:tcPr>
            <w:tcW w:w="1685" w:type="dxa"/>
          </w:tcPr>
          <w:p w:rsidR="00640D3E" w:rsidRPr="00857AB7" w:rsidRDefault="00640D3E" w:rsidP="00035697">
            <w:pPr>
              <w:jc w:val="center"/>
              <w:rPr>
                <w:color w:val="000000" w:themeColor="text1"/>
                <w:sz w:val="22"/>
              </w:rPr>
            </w:pPr>
            <w:r>
              <w:rPr>
                <w:color w:val="000000" w:themeColor="text1"/>
                <w:sz w:val="22"/>
              </w:rPr>
              <w:t>Y</w:t>
            </w:r>
            <w:r>
              <w:rPr>
                <w:color w:val="000000" w:themeColor="text1"/>
                <w:sz w:val="22"/>
                <w:vertAlign w:val="subscript"/>
              </w:rPr>
              <w:t>1</w:t>
            </w:r>
          </w:p>
        </w:tc>
        <w:tc>
          <w:tcPr>
            <w:tcW w:w="0" w:type="auto"/>
          </w:tcPr>
          <w:p w:rsidR="00640D3E" w:rsidRPr="00857AB7" w:rsidRDefault="00640D3E" w:rsidP="00035697">
            <w:pPr>
              <w:jc w:val="center"/>
              <w:rPr>
                <w:color w:val="000000" w:themeColor="text1"/>
                <w:sz w:val="22"/>
              </w:rPr>
            </w:pPr>
            <w:r>
              <w:rPr>
                <w:color w:val="000000" w:themeColor="text1"/>
                <w:sz w:val="22"/>
              </w:rPr>
              <w:t>Maximise</w:t>
            </w:r>
          </w:p>
        </w:tc>
        <w:tc>
          <w:tcPr>
            <w:tcW w:w="0" w:type="auto"/>
          </w:tcPr>
          <w:p w:rsidR="00640D3E" w:rsidRPr="00857AB7" w:rsidRDefault="00640D3E" w:rsidP="00035697">
            <w:pPr>
              <w:jc w:val="center"/>
              <w:rPr>
                <w:color w:val="000000" w:themeColor="text1"/>
                <w:sz w:val="22"/>
              </w:rPr>
            </w:pPr>
            <w:r>
              <w:rPr>
                <w:color w:val="000000" w:themeColor="text1"/>
                <w:sz w:val="22"/>
              </w:rPr>
              <w:t>60</w:t>
            </w:r>
          </w:p>
        </w:tc>
        <w:tc>
          <w:tcPr>
            <w:tcW w:w="0" w:type="auto"/>
          </w:tcPr>
          <w:p w:rsidR="00640D3E" w:rsidRDefault="00640D3E" w:rsidP="00035697">
            <w:pPr>
              <w:jc w:val="center"/>
              <w:rPr>
                <w:color w:val="000000" w:themeColor="text1"/>
                <w:sz w:val="22"/>
              </w:rPr>
            </w:pPr>
            <w:r>
              <w:rPr>
                <w:color w:val="000000" w:themeColor="text1"/>
                <w:sz w:val="22"/>
              </w:rPr>
              <w:t>95</w:t>
            </w:r>
          </w:p>
        </w:tc>
      </w:tr>
      <w:tr w:rsidR="00640D3E" w:rsidRPr="00857AB7" w:rsidTr="008A6299">
        <w:trPr>
          <w:trHeight w:val="46"/>
          <w:jc w:val="center"/>
        </w:trPr>
        <w:tc>
          <w:tcPr>
            <w:tcW w:w="3456" w:type="dxa"/>
          </w:tcPr>
          <w:p w:rsidR="00640D3E" w:rsidRPr="00857AB7" w:rsidRDefault="00640D3E" w:rsidP="00035697">
            <w:pPr>
              <w:jc w:val="center"/>
              <w:rPr>
                <w:color w:val="000000" w:themeColor="text1"/>
                <w:sz w:val="22"/>
              </w:rPr>
            </w:pPr>
            <w:r>
              <w:rPr>
                <w:color w:val="000000" w:themeColor="text1"/>
                <w:sz w:val="22"/>
              </w:rPr>
              <w:t xml:space="preserve">BC yield </w:t>
            </w:r>
          </w:p>
        </w:tc>
        <w:tc>
          <w:tcPr>
            <w:tcW w:w="1685" w:type="dxa"/>
          </w:tcPr>
          <w:p w:rsidR="00640D3E" w:rsidRPr="00857AB7" w:rsidRDefault="00640D3E" w:rsidP="00035697">
            <w:pPr>
              <w:jc w:val="center"/>
              <w:rPr>
                <w:color w:val="000000" w:themeColor="text1"/>
                <w:sz w:val="22"/>
              </w:rPr>
            </w:pPr>
            <w:r>
              <w:rPr>
                <w:color w:val="000000" w:themeColor="text1"/>
                <w:sz w:val="22"/>
              </w:rPr>
              <w:t>Y</w:t>
            </w:r>
            <w:r>
              <w:rPr>
                <w:color w:val="000000" w:themeColor="text1"/>
                <w:sz w:val="22"/>
                <w:vertAlign w:val="subscript"/>
              </w:rPr>
              <w:t>2</w:t>
            </w:r>
          </w:p>
        </w:tc>
        <w:tc>
          <w:tcPr>
            <w:tcW w:w="0" w:type="auto"/>
          </w:tcPr>
          <w:p w:rsidR="00640D3E" w:rsidRPr="00857AB7" w:rsidRDefault="00640D3E" w:rsidP="00035697">
            <w:pPr>
              <w:jc w:val="center"/>
              <w:rPr>
                <w:color w:val="000000" w:themeColor="text1"/>
                <w:sz w:val="22"/>
              </w:rPr>
            </w:pPr>
            <w:r>
              <w:rPr>
                <w:color w:val="000000" w:themeColor="text1"/>
                <w:sz w:val="22"/>
              </w:rPr>
              <w:t>Minimise</w:t>
            </w:r>
          </w:p>
        </w:tc>
        <w:tc>
          <w:tcPr>
            <w:tcW w:w="0" w:type="auto"/>
          </w:tcPr>
          <w:p w:rsidR="00640D3E" w:rsidRPr="00857AB7" w:rsidRDefault="00640D3E" w:rsidP="00035697">
            <w:pPr>
              <w:jc w:val="center"/>
              <w:rPr>
                <w:color w:val="000000" w:themeColor="text1"/>
                <w:sz w:val="22"/>
              </w:rPr>
            </w:pPr>
            <w:r>
              <w:rPr>
                <w:color w:val="000000" w:themeColor="text1"/>
                <w:sz w:val="22"/>
              </w:rPr>
              <w:t>30</w:t>
            </w:r>
          </w:p>
        </w:tc>
        <w:tc>
          <w:tcPr>
            <w:tcW w:w="0" w:type="auto"/>
          </w:tcPr>
          <w:p w:rsidR="00640D3E" w:rsidRDefault="00640D3E" w:rsidP="00035697">
            <w:pPr>
              <w:jc w:val="center"/>
              <w:rPr>
                <w:color w:val="000000" w:themeColor="text1"/>
                <w:sz w:val="22"/>
              </w:rPr>
            </w:pPr>
            <w:r>
              <w:rPr>
                <w:color w:val="000000" w:themeColor="text1"/>
                <w:sz w:val="22"/>
              </w:rPr>
              <w:t>70</w:t>
            </w:r>
          </w:p>
        </w:tc>
      </w:tr>
    </w:tbl>
    <w:p w:rsidR="00640D3E" w:rsidRPr="00B6778D" w:rsidRDefault="00640D3E" w:rsidP="00640D3E"/>
    <w:p w:rsidR="00640D3E" w:rsidRPr="00B6778D" w:rsidRDefault="00640D3E" w:rsidP="00FB6D14">
      <w:pPr>
        <w:pStyle w:val="Heading1"/>
      </w:pPr>
      <w:r>
        <w:t>5</w:t>
      </w:r>
      <w:r w:rsidRPr="00B6778D">
        <w:t xml:space="preserve">. </w:t>
      </w:r>
      <w:r w:rsidR="000A2167" w:rsidRPr="00B6778D">
        <w:t>Catalyst Reusability Study</w:t>
      </w:r>
    </w:p>
    <w:p w:rsidR="00640D3E" w:rsidRPr="00B6778D" w:rsidRDefault="00640D3E" w:rsidP="00B908E2">
      <w:pPr>
        <w:jc w:val="both"/>
      </w:pPr>
      <w:r w:rsidRPr="00B6778D">
        <w:t xml:space="preserve">Several experiments have been conducted with the predicted optimum parameters derived from BBD of RSM in order to investigate the catalytic activity of Ce-La-Zr/GO. </w:t>
      </w:r>
    </w:p>
    <w:p w:rsidR="00640D3E" w:rsidRPr="00B6778D" w:rsidRDefault="00640D3E" w:rsidP="00B908E2">
      <w:pPr>
        <w:jc w:val="both"/>
      </w:pPr>
      <w:r w:rsidRPr="00B6778D">
        <w:t xml:space="preserve">The catalyst reusability study </w:t>
      </w:r>
      <w:r w:rsidR="008765B2">
        <w:t>for Ce-La-Zr/GO has been performe</w:t>
      </w:r>
      <w:r w:rsidRPr="00B6778D">
        <w:t xml:space="preserve">d in different runs to </w:t>
      </w:r>
      <w:r w:rsidR="008765B2">
        <w:t xml:space="preserve">evaluate </w:t>
      </w:r>
      <w:r w:rsidRPr="00B6778D">
        <w:t xml:space="preserve">its </w:t>
      </w:r>
      <w:r w:rsidR="008765B2">
        <w:t>catalytic activity</w:t>
      </w:r>
      <w:r w:rsidRPr="00B6778D">
        <w:t xml:space="preserve">. The experiments have been carried out in a high-pressure reactor at reaction conditions of </w:t>
      </w:r>
      <w:r>
        <w:t>90</w:t>
      </w:r>
      <w:r w:rsidRPr="00B6778D">
        <w:t xml:space="preserve"> bar, </w:t>
      </w:r>
      <w:r w:rsidRPr="00EA0EBD">
        <w:t xml:space="preserve">135 </w:t>
      </w:r>
      <w:r w:rsidRPr="00EA0EBD">
        <w:rPr>
          <w:vertAlign w:val="superscript"/>
        </w:rPr>
        <w:t>o</w:t>
      </w:r>
      <w:r w:rsidRPr="00EA0EBD">
        <w:t>C</w:t>
      </w:r>
      <w:r w:rsidRPr="00B6778D">
        <w:t xml:space="preserve">, </w:t>
      </w:r>
      <w:r>
        <w:t>15</w:t>
      </w:r>
      <w:r w:rsidRPr="00B6778D">
        <w:t>% (w/w) catalyst loading for 2</w:t>
      </w:r>
      <w:r>
        <w:t>0</w:t>
      </w:r>
      <w:r w:rsidRPr="00B6778D">
        <w:t xml:space="preserve"> h. The result of the first experiment was recorded as </w:t>
      </w:r>
      <w:r w:rsidRPr="008765B2">
        <w:rPr>
          <w:noProof/>
        </w:rPr>
        <w:t>run</w:t>
      </w:r>
      <w:r w:rsidRPr="00B6778D">
        <w:t xml:space="preserve"> 1</w:t>
      </w:r>
      <w:r w:rsidR="008765B2">
        <w:t>,</w:t>
      </w:r>
      <w:r w:rsidRPr="00B6778D">
        <w:t xml:space="preserve"> while the spent catalyst was recovered by filtration from the reaction mixture, which was washed with acetone and dried in an oven at 343 K for 12 h. The recovered catalyst was reused for run 2 and for subsequent experiments of run 3 - </w:t>
      </w:r>
      <w:r w:rsidR="008765B2">
        <w:t>run 5 following the same procedure</w:t>
      </w:r>
      <w:r w:rsidRPr="00B6778D">
        <w:t>.</w:t>
      </w:r>
    </w:p>
    <w:p w:rsidR="00640D3E" w:rsidRDefault="00640D3E" w:rsidP="00FA2670">
      <w:pPr>
        <w:jc w:val="both"/>
      </w:pPr>
      <w:r w:rsidRPr="00B6778D">
        <w:t xml:space="preserve">It is quite obvious from </w:t>
      </w:r>
      <w:r w:rsidRPr="00B6778D">
        <w:rPr>
          <w:noProof/>
        </w:rPr>
        <w:t>Figure</w:t>
      </w:r>
      <w:r w:rsidRPr="00B6778D">
        <w:t xml:space="preserve"> </w:t>
      </w:r>
      <w:r w:rsidRPr="00640D3E">
        <w:t>15</w:t>
      </w:r>
      <w:r w:rsidRPr="00B6778D">
        <w:t xml:space="preserve"> that there was no noticeable decrease in the conversion of BO and BC yield after several runs. Hence, it can be concluded that Ce-La-Zr/GO catalyst can be reused several times maintaining its catalytic activity.</w:t>
      </w:r>
    </w:p>
    <w:p w:rsidR="00C65BCF" w:rsidRDefault="00C65BCF" w:rsidP="00640D3E">
      <w:pPr>
        <w:jc w:val="both"/>
      </w:pPr>
    </w:p>
    <w:p w:rsidR="00640D3E" w:rsidRDefault="00C65BCF" w:rsidP="00640D3E">
      <w:pPr>
        <w:jc w:val="both"/>
      </w:pPr>
      <w:r>
        <w:rPr>
          <w:noProof/>
          <w:lang w:eastAsia="en-GB"/>
        </w:rPr>
        <w:lastRenderedPageBreak/>
        <w:drawing>
          <wp:inline distT="0" distB="0" distL="0" distR="0" wp14:anchorId="0C4415E9" wp14:editId="2B094EEF">
            <wp:extent cx="3667125" cy="3459164"/>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65BCF" w:rsidRDefault="00C65BCF" w:rsidP="008765B2">
      <w:pPr>
        <w:pStyle w:val="Caption"/>
        <w:jc w:val="both"/>
        <w:rPr>
          <w:b w:val="0"/>
          <w:color w:val="auto"/>
          <w:sz w:val="24"/>
        </w:rPr>
      </w:pPr>
      <w:bookmarkStart w:id="22" w:name="_Toc528474679"/>
      <w:r w:rsidRPr="00942D80">
        <w:rPr>
          <w:bCs w:val="0"/>
          <w:color w:val="auto"/>
          <w:sz w:val="24"/>
        </w:rPr>
        <w:t xml:space="preserve">Figure </w:t>
      </w:r>
      <w:r w:rsidRPr="00942D80">
        <w:rPr>
          <w:bCs w:val="0"/>
          <w:color w:val="auto"/>
          <w:sz w:val="24"/>
        </w:rPr>
        <w:fldChar w:fldCharType="begin"/>
      </w:r>
      <w:r w:rsidRPr="00942D80">
        <w:rPr>
          <w:bCs w:val="0"/>
          <w:color w:val="auto"/>
          <w:sz w:val="24"/>
        </w:rPr>
        <w:instrText xml:space="preserve"> SEQ Figure \* ARABIC </w:instrText>
      </w:r>
      <w:r w:rsidRPr="00942D80">
        <w:rPr>
          <w:bCs w:val="0"/>
          <w:color w:val="auto"/>
          <w:sz w:val="24"/>
        </w:rPr>
        <w:fldChar w:fldCharType="separate"/>
      </w:r>
      <w:r w:rsidR="004A2E92" w:rsidRPr="00942D80">
        <w:rPr>
          <w:bCs w:val="0"/>
          <w:noProof/>
          <w:color w:val="auto"/>
          <w:sz w:val="24"/>
        </w:rPr>
        <w:t>15</w:t>
      </w:r>
      <w:r w:rsidRPr="00942D80">
        <w:rPr>
          <w:bCs w:val="0"/>
          <w:color w:val="auto"/>
          <w:sz w:val="24"/>
        </w:rPr>
        <w:fldChar w:fldCharType="end"/>
      </w:r>
      <w:r w:rsidRPr="00942D80">
        <w:rPr>
          <w:bCs w:val="0"/>
          <w:color w:val="auto"/>
          <w:sz w:val="24"/>
        </w:rPr>
        <w:t>.</w:t>
      </w:r>
      <w:r w:rsidRPr="00C65BCF">
        <w:rPr>
          <w:b w:val="0"/>
          <w:color w:val="auto"/>
          <w:sz w:val="24"/>
        </w:rPr>
        <w:t xml:space="preserve"> Catalyst reusability studies of Ce-La-Zr/GO on conversion of butylene oxide (BO), selectivity and yield </w:t>
      </w:r>
      <w:r w:rsidRPr="00C55772">
        <w:rPr>
          <w:b w:val="0"/>
          <w:noProof/>
          <w:color w:val="auto"/>
          <w:sz w:val="24"/>
        </w:rPr>
        <w:t>of butylene</w:t>
      </w:r>
      <w:r w:rsidRPr="00C65BCF">
        <w:rPr>
          <w:b w:val="0"/>
          <w:color w:val="auto"/>
          <w:sz w:val="24"/>
        </w:rPr>
        <w:t xml:space="preserve"> carbonate (BC) using predicted response surface methodology’s optimum condition of 90 bar, 408 K, 15% (w/w) catalyst </w:t>
      </w:r>
      <w:r w:rsidRPr="00C55772">
        <w:rPr>
          <w:b w:val="0"/>
          <w:noProof/>
          <w:color w:val="auto"/>
          <w:sz w:val="24"/>
        </w:rPr>
        <w:t>loading,</w:t>
      </w:r>
      <w:r w:rsidRPr="00C65BCF">
        <w:rPr>
          <w:b w:val="0"/>
          <w:color w:val="auto"/>
          <w:sz w:val="24"/>
        </w:rPr>
        <w:t xml:space="preserve"> stirring speed 300 rpm and reaction time 20 h.</w:t>
      </w:r>
      <w:bookmarkEnd w:id="22"/>
    </w:p>
    <w:p w:rsidR="007B22C1" w:rsidRDefault="00665534" w:rsidP="00942D80">
      <w:r>
        <w:t xml:space="preserve"> </w:t>
      </w:r>
    </w:p>
    <w:p w:rsidR="00133C55" w:rsidRPr="00B6778D" w:rsidRDefault="00133C55" w:rsidP="00FB6D14">
      <w:pPr>
        <w:pStyle w:val="Heading1"/>
      </w:pPr>
      <w:r w:rsidRPr="00B6778D">
        <w:t xml:space="preserve">6. </w:t>
      </w:r>
      <w:r w:rsidR="000A2167" w:rsidRPr="00B6778D">
        <w:t>Conclusion</w:t>
      </w:r>
      <w:r w:rsidR="007B22C1">
        <w:t>s</w:t>
      </w:r>
    </w:p>
    <w:p w:rsidR="00D367B2" w:rsidRPr="00B6778D" w:rsidRDefault="00D367B2">
      <w:pPr>
        <w:jc w:val="both"/>
      </w:pPr>
      <w:r w:rsidRPr="00B6778D">
        <w:t xml:space="preserve">The </w:t>
      </w:r>
      <w:r w:rsidR="004D0A6F" w:rsidRPr="00B6778D">
        <w:t xml:space="preserve">systematic multivariate </w:t>
      </w:r>
      <w:r w:rsidR="004D0A6F" w:rsidRPr="000E015C">
        <w:rPr>
          <w:noProof/>
        </w:rPr>
        <w:t>optimisation</w:t>
      </w:r>
      <w:r w:rsidR="004D0A6F" w:rsidRPr="00B6778D">
        <w:t xml:space="preserve"> of </w:t>
      </w:r>
      <w:r w:rsidR="00F73E62">
        <w:t>BC</w:t>
      </w:r>
      <w:r w:rsidR="004D0A6F" w:rsidRPr="00B6778D">
        <w:t xml:space="preserve"> synthesis </w:t>
      </w:r>
      <w:r w:rsidR="004D0A6F" w:rsidRPr="00666F3C">
        <w:rPr>
          <w:i/>
          <w:iCs/>
        </w:rPr>
        <w:t>via</w:t>
      </w:r>
      <w:r w:rsidR="004D0A6F" w:rsidRPr="00B6778D">
        <w:t xml:space="preserve"> CO</w:t>
      </w:r>
      <w:r w:rsidR="004D0A6F" w:rsidRPr="00B6778D">
        <w:rPr>
          <w:vertAlign w:val="subscript"/>
        </w:rPr>
        <w:t>2</w:t>
      </w:r>
      <w:r w:rsidR="004D0A6F" w:rsidRPr="00B6778D">
        <w:t xml:space="preserve"> </w:t>
      </w:r>
      <w:r w:rsidR="004D0A6F" w:rsidRPr="008765B2">
        <w:rPr>
          <w:noProof/>
        </w:rPr>
        <w:t>utilisation</w:t>
      </w:r>
      <w:r w:rsidR="004D0A6F" w:rsidRPr="00B6778D">
        <w:t xml:space="preserve"> using graphene-inorganic nanocomposite catalysts has been </w:t>
      </w:r>
      <w:r w:rsidR="004D0A6F" w:rsidRPr="00B6778D">
        <w:rPr>
          <w:noProof/>
        </w:rPr>
        <w:t>successful</w:t>
      </w:r>
      <w:r w:rsidR="00823049" w:rsidRPr="00B6778D">
        <w:rPr>
          <w:noProof/>
        </w:rPr>
        <w:t>ly</w:t>
      </w:r>
      <w:r w:rsidR="008765B2">
        <w:t xml:space="preserve"> carried out in a</w:t>
      </w:r>
      <w:r w:rsidR="00C61143" w:rsidRPr="00B6778D">
        <w:t xml:space="preserve"> </w:t>
      </w:r>
      <w:r w:rsidR="00C61143" w:rsidRPr="000E015C">
        <w:rPr>
          <w:noProof/>
        </w:rPr>
        <w:t>high</w:t>
      </w:r>
      <w:r w:rsidR="00823049" w:rsidRPr="000E015C">
        <w:rPr>
          <w:noProof/>
        </w:rPr>
        <w:t>-</w:t>
      </w:r>
      <w:r w:rsidR="00C61143" w:rsidRPr="000E015C">
        <w:rPr>
          <w:noProof/>
        </w:rPr>
        <w:t>pressure</w:t>
      </w:r>
      <w:r w:rsidR="00C61143" w:rsidRPr="00B6778D">
        <w:t xml:space="preserve"> reactor and </w:t>
      </w:r>
      <w:r w:rsidR="008765B2">
        <w:t xml:space="preserve">the </w:t>
      </w:r>
      <w:r w:rsidR="00C61143" w:rsidRPr="00B6778D">
        <w:t>experimental results</w:t>
      </w:r>
      <w:r w:rsidR="008765B2">
        <w:t xml:space="preserve"> have been</w:t>
      </w:r>
      <w:r w:rsidR="004D0A6F" w:rsidRPr="00B6778D">
        <w:t xml:space="preserve"> </w:t>
      </w:r>
      <w:r w:rsidR="004D0A6F" w:rsidRPr="000E015C">
        <w:rPr>
          <w:noProof/>
        </w:rPr>
        <w:t>optimised</w:t>
      </w:r>
      <w:r w:rsidR="00F73E62">
        <w:rPr>
          <w:noProof/>
        </w:rPr>
        <w:t xml:space="preserve"> using</w:t>
      </w:r>
      <w:r w:rsidR="00C61143" w:rsidRPr="00B6778D">
        <w:t xml:space="preserve"> </w:t>
      </w:r>
      <w:r w:rsidR="004D0A6F" w:rsidRPr="00B6778D">
        <w:t>RSM</w:t>
      </w:r>
      <w:r w:rsidR="00185723">
        <w:t>.</w:t>
      </w:r>
      <w:r w:rsidRPr="00B6778D">
        <w:t xml:space="preserve"> </w:t>
      </w:r>
      <w:r w:rsidR="004D0A6F" w:rsidRPr="00B6778D">
        <w:t>The r</w:t>
      </w:r>
      <w:r w:rsidR="008765B2">
        <w:t>eaction parameters</w:t>
      </w:r>
      <w:r w:rsidR="00F73E62">
        <w:t xml:space="preserve"> i.e. </w:t>
      </w:r>
      <w:r w:rsidR="004D0A6F" w:rsidRPr="00B6778D">
        <w:t>reaction temperature,</w:t>
      </w:r>
      <w:r w:rsidR="00F73E62">
        <w:t xml:space="preserve"> </w:t>
      </w:r>
      <w:r w:rsidR="00F73E62" w:rsidRPr="00B6778D">
        <w:t xml:space="preserve">pressure, </w:t>
      </w:r>
      <w:r w:rsidR="004D0A6F" w:rsidRPr="00B6778D">
        <w:t xml:space="preserve">catalyst loading and </w:t>
      </w:r>
      <w:r w:rsidR="00C61143" w:rsidRPr="00B6778D">
        <w:t xml:space="preserve">reaction </w:t>
      </w:r>
      <w:r w:rsidR="004D0A6F" w:rsidRPr="00B6778D">
        <w:t>time</w:t>
      </w:r>
      <w:r w:rsidR="00F73E62">
        <w:t>,</w:t>
      </w:r>
      <w:r w:rsidR="004D0A6F" w:rsidRPr="00B6778D">
        <w:t xml:space="preserve"> have been established as </w:t>
      </w:r>
      <w:r w:rsidR="00F73E62">
        <w:t>significant</w:t>
      </w:r>
      <w:r w:rsidR="00F73E62" w:rsidRPr="00B6778D">
        <w:t xml:space="preserve"> </w:t>
      </w:r>
      <w:r w:rsidR="004D0A6F" w:rsidRPr="00B6778D">
        <w:t xml:space="preserve">variables affecting reaction responses using OFAT method. </w:t>
      </w:r>
      <w:r w:rsidR="00987CBD" w:rsidRPr="00B6778D">
        <w:t>The</w:t>
      </w:r>
      <w:r w:rsidR="004D0A6F" w:rsidRPr="00B6778D">
        <w:t xml:space="preserve"> regression models </w:t>
      </w:r>
      <w:r w:rsidR="00987CBD" w:rsidRPr="00B6778D">
        <w:t>o</w:t>
      </w:r>
      <w:r w:rsidR="008765B2">
        <w:t>f BO conversion and BC yield have</w:t>
      </w:r>
      <w:r w:rsidR="00987CBD" w:rsidRPr="00B6778D">
        <w:t xml:space="preserve"> been developed by the use of RSM in the established significant variables. The use of OFAT method at the optimum reaction conditions at  </w:t>
      </w:r>
      <w:r w:rsidR="008E3F94" w:rsidRPr="00B6778D">
        <w:t xml:space="preserve">75 bar, </w:t>
      </w:r>
      <w:r w:rsidR="00EA0EBD" w:rsidRPr="00EA0EBD">
        <w:t xml:space="preserve">135 </w:t>
      </w:r>
      <w:r w:rsidR="00EA0EBD" w:rsidRPr="00EA0EBD">
        <w:rPr>
          <w:vertAlign w:val="superscript"/>
        </w:rPr>
        <w:t>o</w:t>
      </w:r>
      <w:r w:rsidR="00EA0EBD" w:rsidRPr="00EA0EBD">
        <w:t>C</w:t>
      </w:r>
      <w:r w:rsidR="00987CBD" w:rsidRPr="00B6778D">
        <w:t xml:space="preserve">, 10% (w/w) catalyst loading in 20 h reaction time </w:t>
      </w:r>
      <w:r w:rsidR="00CB10A7">
        <w:t>have resulted in</w:t>
      </w:r>
      <w:r w:rsidR="00987CBD" w:rsidRPr="00B6778D">
        <w:t xml:space="preserve"> </w:t>
      </w:r>
      <w:r w:rsidR="00942D80">
        <w:t xml:space="preserve">84% </w:t>
      </w:r>
      <w:r w:rsidR="00942D80" w:rsidRPr="00B6778D">
        <w:t xml:space="preserve">BO </w:t>
      </w:r>
      <w:r w:rsidR="00987CBD" w:rsidRPr="00B6778D">
        <w:t xml:space="preserve">conversion and </w:t>
      </w:r>
      <w:r w:rsidR="00942D80">
        <w:t>64</w:t>
      </w:r>
      <w:r w:rsidR="00942D80" w:rsidRPr="00B6778D">
        <w:t>%</w:t>
      </w:r>
      <w:r w:rsidR="00942D80">
        <w:t xml:space="preserve"> </w:t>
      </w:r>
      <w:r w:rsidR="00987CBD" w:rsidRPr="00B6778D">
        <w:t>BC yield</w:t>
      </w:r>
      <w:r w:rsidR="00987CBD" w:rsidRPr="00B6778D">
        <w:rPr>
          <w:noProof/>
        </w:rPr>
        <w:t>.</w:t>
      </w:r>
      <w:r w:rsidR="00823049" w:rsidRPr="00B6778D">
        <w:rPr>
          <w:noProof/>
        </w:rPr>
        <w:t xml:space="preserve"> </w:t>
      </w:r>
      <w:r w:rsidR="008E3F94" w:rsidRPr="00B6778D">
        <w:rPr>
          <w:noProof/>
        </w:rPr>
        <w:t>Conversely</w:t>
      </w:r>
      <w:r w:rsidR="008E3F94" w:rsidRPr="00B6778D">
        <w:t xml:space="preserve">, the use </w:t>
      </w:r>
      <w:r w:rsidR="00C61143" w:rsidRPr="00B6778D">
        <w:t xml:space="preserve">of </w:t>
      </w:r>
      <w:r w:rsidR="008E3F94" w:rsidRPr="00B6778D">
        <w:t xml:space="preserve">RSM numerical </w:t>
      </w:r>
      <w:r w:rsidR="008E3F94" w:rsidRPr="008765B2">
        <w:rPr>
          <w:noProof/>
        </w:rPr>
        <w:t>optimis</w:t>
      </w:r>
      <w:r w:rsidRPr="008765B2">
        <w:rPr>
          <w:noProof/>
        </w:rPr>
        <w:t>ation</w:t>
      </w:r>
      <w:r w:rsidR="00C61143" w:rsidRPr="00B6778D">
        <w:t xml:space="preserve"> </w:t>
      </w:r>
      <w:r w:rsidR="00CB10A7">
        <w:t xml:space="preserve">has </w:t>
      </w:r>
      <w:r w:rsidR="00C61143" w:rsidRPr="00B6778D">
        <w:t>identified</w:t>
      </w:r>
      <w:r w:rsidRPr="00B6778D">
        <w:t xml:space="preserve"> the optimum c</w:t>
      </w:r>
      <w:r w:rsidR="00C61143" w:rsidRPr="00B6778D">
        <w:t xml:space="preserve">onditions </w:t>
      </w:r>
      <w:r w:rsidR="00152545" w:rsidRPr="00B6778D">
        <w:t xml:space="preserve">to be </w:t>
      </w:r>
      <w:r w:rsidR="00FF4357" w:rsidRPr="00B6778D">
        <w:t>90</w:t>
      </w:r>
      <w:r w:rsidR="00152545" w:rsidRPr="00B6778D">
        <w:t xml:space="preserve"> bar, </w:t>
      </w:r>
      <w:r w:rsidR="00FF4357" w:rsidRPr="00B6778D">
        <w:t>408 K, 15% (w/w) catalyst loading in 20</w:t>
      </w:r>
      <w:r w:rsidR="00152545" w:rsidRPr="00B6778D">
        <w:t xml:space="preserve"> h reaction time and </w:t>
      </w:r>
      <w:r w:rsidR="008765B2">
        <w:t xml:space="preserve">with </w:t>
      </w:r>
      <w:r w:rsidR="00FF4357" w:rsidRPr="00B6778D">
        <w:t>BC yield of 66.5</w:t>
      </w:r>
      <w:r w:rsidR="00C61143" w:rsidRPr="00B6778D">
        <w:t>%</w:t>
      </w:r>
      <w:r w:rsidR="00152545" w:rsidRPr="00B6778D">
        <w:t xml:space="preserve"> </w:t>
      </w:r>
      <w:r w:rsidR="00C61143" w:rsidRPr="00B6778D">
        <w:t xml:space="preserve">and </w:t>
      </w:r>
      <w:r w:rsidR="00152545" w:rsidRPr="00B6778D">
        <w:t>BO conve</w:t>
      </w:r>
      <w:r w:rsidR="00FF4357" w:rsidRPr="00B6778D">
        <w:t>rsion of 91.4</w:t>
      </w:r>
      <w:r w:rsidR="00C61143" w:rsidRPr="00B6778D">
        <w:t>%</w:t>
      </w:r>
      <w:r w:rsidRPr="00B6778D">
        <w:t>. The predicted optimum conditions have been validated experimentally with</w:t>
      </w:r>
      <w:r w:rsidR="00C61143" w:rsidRPr="00B6778D">
        <w:t xml:space="preserve"> 1.45% and 1.52% relative error for both BO conversion and BC yield, respectively</w:t>
      </w:r>
      <w:r w:rsidRPr="00B6778D">
        <w:t>. Ce-La-Zr</w:t>
      </w:r>
      <w:r w:rsidR="00C61143" w:rsidRPr="00B6778D">
        <w:t>/G</w:t>
      </w:r>
      <w:r w:rsidRPr="00B6778D">
        <w:t xml:space="preserve">O catalyst has been recycled easily and reused several times without any reduction in its catalytic </w:t>
      </w:r>
      <w:r w:rsidRPr="00B6778D">
        <w:lastRenderedPageBreak/>
        <w:t xml:space="preserve">performance. This detailed and systematic study clearly illustrates an efficient and greener route for </w:t>
      </w:r>
      <w:r w:rsidR="00C61143" w:rsidRPr="00B6778D">
        <w:t xml:space="preserve">butylene </w:t>
      </w:r>
      <w:r w:rsidRPr="00B6778D">
        <w:t>carbonate synthesis using Ce-La-Zr</w:t>
      </w:r>
      <w:r w:rsidR="00C61143" w:rsidRPr="00B6778D">
        <w:t>/G</w:t>
      </w:r>
      <w:r w:rsidRPr="00B6778D">
        <w:t xml:space="preserve">O catalyst </w:t>
      </w:r>
      <w:r w:rsidRPr="008765B2">
        <w:rPr>
          <w:i/>
        </w:rPr>
        <w:t>via</w:t>
      </w:r>
      <w:r w:rsidRPr="00B6778D">
        <w:t xml:space="preserve"> CO</w:t>
      </w:r>
      <w:r w:rsidRPr="00B6778D">
        <w:rPr>
          <w:vertAlign w:val="subscript"/>
        </w:rPr>
        <w:t>2</w:t>
      </w:r>
      <w:r w:rsidRPr="00B6778D">
        <w:t xml:space="preserve"> </w:t>
      </w:r>
      <w:r w:rsidRPr="008765B2">
        <w:rPr>
          <w:noProof/>
        </w:rPr>
        <w:t>utilisation</w:t>
      </w:r>
      <w:r w:rsidRPr="00B6778D">
        <w:t>.</w:t>
      </w:r>
    </w:p>
    <w:p w:rsidR="00ED54F1" w:rsidRPr="00ED54F1" w:rsidRDefault="00ED54F1" w:rsidP="00ED54F1">
      <w:pPr>
        <w:jc w:val="both"/>
        <w:rPr>
          <w:b/>
        </w:rPr>
      </w:pPr>
      <w:r w:rsidRPr="008765B2">
        <w:rPr>
          <w:b/>
          <w:noProof/>
        </w:rPr>
        <w:t>Acknowledgements</w:t>
      </w:r>
    </w:p>
    <w:p w:rsidR="00C61143" w:rsidRDefault="00ED54F1" w:rsidP="00ED54F1">
      <w:pPr>
        <w:jc w:val="both"/>
      </w:pPr>
      <w:r>
        <w:t>The authors would like to acknowledge London South Bank University (LSBU), The British University in Egypt (BUE) and PATIB venture for funding this research.</w:t>
      </w:r>
    </w:p>
    <w:p w:rsidR="00ED54F1" w:rsidRPr="00B6778D" w:rsidRDefault="00ED54F1" w:rsidP="00ED54F1">
      <w:pPr>
        <w:jc w:val="both"/>
      </w:pPr>
    </w:p>
    <w:p w:rsidR="00133C55" w:rsidRPr="00B6778D" w:rsidRDefault="00133C55" w:rsidP="00FB6D14">
      <w:pPr>
        <w:pStyle w:val="Heading1"/>
        <w:rPr>
          <w:i/>
        </w:rPr>
      </w:pPr>
      <w:r w:rsidRPr="00B6778D">
        <w:t xml:space="preserve">7. </w:t>
      </w:r>
      <w:r w:rsidR="000A2167" w:rsidRPr="00B6778D">
        <w:t>References</w:t>
      </w:r>
    </w:p>
    <w:p w:rsidR="00CB10A7" w:rsidRPr="00CB10A7" w:rsidRDefault="00BA1179" w:rsidP="00CB10A7">
      <w:pPr>
        <w:widowControl w:val="0"/>
        <w:autoSpaceDE w:val="0"/>
        <w:autoSpaceDN w:val="0"/>
        <w:adjustRightInd w:val="0"/>
        <w:ind w:left="640" w:hanging="640"/>
        <w:rPr>
          <w:noProof/>
          <w:szCs w:val="24"/>
        </w:rPr>
      </w:pPr>
      <w:r w:rsidRPr="00B6778D">
        <w:fldChar w:fldCharType="begin" w:fldLock="1"/>
      </w:r>
      <w:r w:rsidRPr="00B6778D">
        <w:instrText xml:space="preserve">ADDIN Mendeley Bibliography CSL_BIBLIOGRAPHY </w:instrText>
      </w:r>
      <w:r w:rsidRPr="00B6778D">
        <w:fldChar w:fldCharType="separate"/>
      </w:r>
      <w:r w:rsidR="00CB10A7" w:rsidRPr="00CB10A7">
        <w:rPr>
          <w:noProof/>
          <w:szCs w:val="24"/>
        </w:rPr>
        <w:t>[1]</w:t>
      </w:r>
      <w:r w:rsidR="00CB10A7" w:rsidRPr="00CB10A7">
        <w:rPr>
          <w:noProof/>
          <w:szCs w:val="24"/>
        </w:rPr>
        <w:tab/>
        <w:t>M. Aresta, A. Dibenedetto, Utilisation of CO</w:t>
      </w:r>
      <w:r w:rsidR="00CB10A7" w:rsidRPr="00942D80">
        <w:rPr>
          <w:noProof/>
          <w:szCs w:val="24"/>
          <w:vertAlign w:val="subscript"/>
        </w:rPr>
        <w:t>2</w:t>
      </w:r>
      <w:r w:rsidR="00CB10A7" w:rsidRPr="00CB10A7">
        <w:rPr>
          <w:noProof/>
          <w:szCs w:val="24"/>
        </w:rPr>
        <w:t xml:space="preserve"> as a chemical feedstock: opportunities and challenges, Dalt. Trans. (2007) 2975. doi:10.1039/b700658f.</w:t>
      </w:r>
    </w:p>
    <w:p w:rsidR="00CB10A7" w:rsidRPr="00CB10A7" w:rsidRDefault="00CB10A7" w:rsidP="00CB10A7">
      <w:pPr>
        <w:widowControl w:val="0"/>
        <w:autoSpaceDE w:val="0"/>
        <w:autoSpaceDN w:val="0"/>
        <w:adjustRightInd w:val="0"/>
        <w:ind w:left="640" w:hanging="640"/>
        <w:rPr>
          <w:noProof/>
          <w:szCs w:val="24"/>
        </w:rPr>
      </w:pPr>
      <w:r w:rsidRPr="00CB10A7">
        <w:rPr>
          <w:noProof/>
          <w:szCs w:val="24"/>
        </w:rPr>
        <w:t>[2]</w:t>
      </w:r>
      <w:r w:rsidRPr="00CB10A7">
        <w:rPr>
          <w:noProof/>
          <w:szCs w:val="24"/>
        </w:rPr>
        <w:tab/>
        <w:t>J. Peng, S. Wang, H.J. Yang, B. Ban, Z. Wei, L. Wang, L. Bo, Chemical fixation of CO</w:t>
      </w:r>
      <w:r w:rsidRPr="00942D80">
        <w:rPr>
          <w:noProof/>
          <w:szCs w:val="24"/>
          <w:vertAlign w:val="subscript"/>
        </w:rPr>
        <w:t>2</w:t>
      </w:r>
      <w:r>
        <w:rPr>
          <w:noProof/>
          <w:szCs w:val="24"/>
        </w:rPr>
        <w:t xml:space="preserve"> </w:t>
      </w:r>
      <w:r w:rsidRPr="00CB10A7">
        <w:rPr>
          <w:noProof/>
          <w:szCs w:val="24"/>
        </w:rPr>
        <w:t>to cyclic carbonate catalyzed by new environmental- friendly bifunctional bis-β-cyclodextrin derivatives, Catal. Today. (2018). doi:10.1016/j.cattod.2018.06.020.</w:t>
      </w:r>
    </w:p>
    <w:p w:rsidR="00CB10A7" w:rsidRPr="00CB10A7" w:rsidRDefault="00CB10A7" w:rsidP="00CB10A7">
      <w:pPr>
        <w:widowControl w:val="0"/>
        <w:autoSpaceDE w:val="0"/>
        <w:autoSpaceDN w:val="0"/>
        <w:adjustRightInd w:val="0"/>
        <w:ind w:left="640" w:hanging="640"/>
        <w:rPr>
          <w:noProof/>
          <w:szCs w:val="24"/>
        </w:rPr>
      </w:pPr>
      <w:r w:rsidRPr="00CB10A7">
        <w:rPr>
          <w:noProof/>
          <w:szCs w:val="24"/>
        </w:rPr>
        <w:t>[3]</w:t>
      </w:r>
      <w:r w:rsidRPr="00CB10A7">
        <w:rPr>
          <w:noProof/>
          <w:szCs w:val="24"/>
        </w:rPr>
        <w:tab/>
        <w:t>M. Aresta, A. Dibenedetto, E. Quaranta, Reaction mechanisms in carbon dioxide conversion, 2015. doi:10.1007/978-3-662-46831-9.</w:t>
      </w:r>
    </w:p>
    <w:p w:rsidR="00CB10A7" w:rsidRPr="00CB10A7" w:rsidRDefault="00CB10A7" w:rsidP="00CB10A7">
      <w:pPr>
        <w:widowControl w:val="0"/>
        <w:autoSpaceDE w:val="0"/>
        <w:autoSpaceDN w:val="0"/>
        <w:adjustRightInd w:val="0"/>
        <w:ind w:left="640" w:hanging="640"/>
        <w:rPr>
          <w:noProof/>
          <w:szCs w:val="24"/>
        </w:rPr>
      </w:pPr>
      <w:r w:rsidRPr="00CB10A7">
        <w:rPr>
          <w:noProof/>
          <w:szCs w:val="24"/>
        </w:rPr>
        <w:t>[4]</w:t>
      </w:r>
      <w:r w:rsidRPr="00CB10A7">
        <w:rPr>
          <w:noProof/>
          <w:szCs w:val="24"/>
        </w:rPr>
        <w:tab/>
        <w:t>M. Aresta, A. Angelini, The carbon dioxide molecule and the effects of its interaction with electrophiles and nucleophiles, in: Carbon Dioxide and Organometallics, 2015: pp. 1–38. doi:10.1007/3418_2015_93.</w:t>
      </w:r>
    </w:p>
    <w:p w:rsidR="00CB10A7" w:rsidRPr="00CB10A7" w:rsidRDefault="00CB10A7" w:rsidP="00CB10A7">
      <w:pPr>
        <w:widowControl w:val="0"/>
        <w:autoSpaceDE w:val="0"/>
        <w:autoSpaceDN w:val="0"/>
        <w:adjustRightInd w:val="0"/>
        <w:ind w:left="640" w:hanging="640"/>
        <w:rPr>
          <w:noProof/>
          <w:szCs w:val="24"/>
        </w:rPr>
      </w:pPr>
      <w:r w:rsidRPr="00CB10A7">
        <w:rPr>
          <w:noProof/>
          <w:szCs w:val="24"/>
        </w:rPr>
        <w:t>[5]</w:t>
      </w:r>
      <w:r w:rsidRPr="00CB10A7">
        <w:rPr>
          <w:noProof/>
          <w:szCs w:val="24"/>
        </w:rPr>
        <w:tab/>
        <w:t>S.-I. Fujita, M. Arai, B.M. Bhanage, Transformation and Utilization of Carbon Dioxide to Value-Added Products over Heterogeneous Catalysts, in: Transform. Util. Carbon Dioxide, 2014: pp. 39–53. doi:10.1007/978-3-642-44988-8_2.</w:t>
      </w:r>
    </w:p>
    <w:p w:rsidR="00CB10A7" w:rsidRPr="00CB10A7" w:rsidRDefault="00CB10A7" w:rsidP="00CB10A7">
      <w:pPr>
        <w:widowControl w:val="0"/>
        <w:autoSpaceDE w:val="0"/>
        <w:autoSpaceDN w:val="0"/>
        <w:adjustRightInd w:val="0"/>
        <w:ind w:left="640" w:hanging="640"/>
        <w:rPr>
          <w:noProof/>
          <w:szCs w:val="24"/>
        </w:rPr>
      </w:pPr>
      <w:r w:rsidRPr="00CB10A7">
        <w:rPr>
          <w:noProof/>
          <w:szCs w:val="24"/>
        </w:rPr>
        <w:t>[6]</w:t>
      </w:r>
      <w:r w:rsidRPr="00CB10A7">
        <w:rPr>
          <w:noProof/>
          <w:szCs w:val="24"/>
        </w:rPr>
        <w:tab/>
        <w:t>M. North, R. Pasquale, C. Young, Synthesis of cyclic carbonates from epoxides and CO</w:t>
      </w:r>
      <w:r w:rsidRPr="00942D80">
        <w:rPr>
          <w:noProof/>
          <w:szCs w:val="24"/>
          <w:vertAlign w:val="subscript"/>
        </w:rPr>
        <w:t>2</w:t>
      </w:r>
      <w:r w:rsidRPr="00CB10A7">
        <w:rPr>
          <w:noProof/>
          <w:szCs w:val="24"/>
        </w:rPr>
        <w:t>, Green Chem. 12 (2010) 1514. doi:10.1039/c0gc00065e.</w:t>
      </w:r>
    </w:p>
    <w:p w:rsidR="00CB10A7" w:rsidRPr="00CB10A7" w:rsidRDefault="00CB10A7">
      <w:pPr>
        <w:widowControl w:val="0"/>
        <w:autoSpaceDE w:val="0"/>
        <w:autoSpaceDN w:val="0"/>
        <w:adjustRightInd w:val="0"/>
        <w:ind w:left="640" w:hanging="640"/>
        <w:rPr>
          <w:noProof/>
          <w:szCs w:val="24"/>
        </w:rPr>
      </w:pPr>
      <w:r w:rsidRPr="00CB10A7">
        <w:rPr>
          <w:noProof/>
          <w:szCs w:val="24"/>
        </w:rPr>
        <w:t>[7]</w:t>
      </w:r>
      <w:r w:rsidRPr="00CB10A7">
        <w:rPr>
          <w:noProof/>
          <w:szCs w:val="24"/>
        </w:rPr>
        <w:tab/>
        <w:t>A.-A.G. Shaikh, S. Sivaram, Organic Carbonates, Chem. Rev. 96 (1996) 951–976. doi:10.1021/cr950067i.</w:t>
      </w:r>
    </w:p>
    <w:p w:rsidR="00CB10A7" w:rsidRPr="00CB10A7" w:rsidRDefault="00CB10A7" w:rsidP="00CB10A7">
      <w:pPr>
        <w:widowControl w:val="0"/>
        <w:autoSpaceDE w:val="0"/>
        <w:autoSpaceDN w:val="0"/>
        <w:adjustRightInd w:val="0"/>
        <w:ind w:left="640" w:hanging="640"/>
        <w:rPr>
          <w:noProof/>
          <w:szCs w:val="24"/>
        </w:rPr>
      </w:pPr>
      <w:r w:rsidRPr="00CB10A7">
        <w:rPr>
          <w:noProof/>
          <w:szCs w:val="24"/>
        </w:rPr>
        <w:t>[8]</w:t>
      </w:r>
      <w:r w:rsidRPr="00CB10A7">
        <w:rPr>
          <w:noProof/>
          <w:szCs w:val="24"/>
        </w:rPr>
        <w:tab/>
        <w:t>V. Onyenkeadi, S. Kellici, B. Saha, Greener synthesis of 1,2-butylene carbonate from CO</w:t>
      </w:r>
      <w:r w:rsidRPr="00942D80">
        <w:rPr>
          <w:noProof/>
          <w:szCs w:val="24"/>
          <w:vertAlign w:val="subscript"/>
        </w:rPr>
        <w:t>2</w:t>
      </w:r>
      <w:r w:rsidRPr="00CB10A7">
        <w:rPr>
          <w:noProof/>
          <w:szCs w:val="24"/>
        </w:rPr>
        <w:t xml:space="preserve"> using graphene-inorganic nanocomposite catalyst, Energy. 165 (2018) 867–876. doi:10.1016/j.energy.2018.09.135.</w:t>
      </w:r>
    </w:p>
    <w:p w:rsidR="00CB10A7" w:rsidRPr="00CB10A7" w:rsidRDefault="00CB10A7" w:rsidP="00CB10A7">
      <w:pPr>
        <w:widowControl w:val="0"/>
        <w:autoSpaceDE w:val="0"/>
        <w:autoSpaceDN w:val="0"/>
        <w:adjustRightInd w:val="0"/>
        <w:ind w:left="640" w:hanging="640"/>
        <w:rPr>
          <w:noProof/>
          <w:szCs w:val="24"/>
        </w:rPr>
      </w:pPr>
      <w:r w:rsidRPr="00CB10A7">
        <w:rPr>
          <w:noProof/>
          <w:szCs w:val="24"/>
        </w:rPr>
        <w:t>[9]</w:t>
      </w:r>
      <w:r w:rsidRPr="00CB10A7">
        <w:rPr>
          <w:noProof/>
          <w:szCs w:val="24"/>
        </w:rPr>
        <w:tab/>
        <w:t>C. Soldano, A. Mahmood, E. Dujardin, Production, properties and potential of graphene, Carbon N. Y. 48 (2010) 2127–2150. doi:10.1016/j.carbon.2010.01.058.</w:t>
      </w:r>
    </w:p>
    <w:p w:rsidR="00CB10A7" w:rsidRPr="00CB10A7" w:rsidRDefault="00CB10A7" w:rsidP="00CB10A7">
      <w:pPr>
        <w:widowControl w:val="0"/>
        <w:autoSpaceDE w:val="0"/>
        <w:autoSpaceDN w:val="0"/>
        <w:adjustRightInd w:val="0"/>
        <w:ind w:left="640" w:hanging="640"/>
        <w:rPr>
          <w:noProof/>
          <w:szCs w:val="24"/>
        </w:rPr>
      </w:pPr>
      <w:r w:rsidRPr="00CB10A7">
        <w:rPr>
          <w:noProof/>
          <w:szCs w:val="24"/>
        </w:rPr>
        <w:t>[10]</w:t>
      </w:r>
      <w:r w:rsidRPr="00CB10A7">
        <w:rPr>
          <w:noProof/>
          <w:szCs w:val="24"/>
        </w:rPr>
        <w:tab/>
        <w:t>A.K. Geim, K.S. Novoselov, The rise of graphene, Nat. Mater. 6 (2007) 183–191. doi:10.1038/nmat1849.</w:t>
      </w:r>
    </w:p>
    <w:p w:rsidR="00CB10A7" w:rsidRPr="00CB10A7" w:rsidRDefault="00CB10A7" w:rsidP="00CB10A7">
      <w:pPr>
        <w:widowControl w:val="0"/>
        <w:autoSpaceDE w:val="0"/>
        <w:autoSpaceDN w:val="0"/>
        <w:adjustRightInd w:val="0"/>
        <w:ind w:left="640" w:hanging="640"/>
        <w:rPr>
          <w:noProof/>
          <w:szCs w:val="24"/>
        </w:rPr>
      </w:pPr>
      <w:r w:rsidRPr="00CB10A7">
        <w:rPr>
          <w:noProof/>
          <w:szCs w:val="24"/>
        </w:rPr>
        <w:t>[11]</w:t>
      </w:r>
      <w:r w:rsidRPr="00CB10A7">
        <w:rPr>
          <w:noProof/>
          <w:szCs w:val="24"/>
        </w:rPr>
        <w:tab/>
        <w:t>S. Stankovich, D.A. Dikin, G.H.B. Dommett, K.M. Kohlhaas, E.J. Zimney, E.A. Stach, R.D. Piner, S.B.T. Nguyen, R.S. Ruoff, Graphene-based composite materials, Nature. 442 (2006) 282–286. doi:10.1038/nature04969.</w:t>
      </w:r>
    </w:p>
    <w:p w:rsidR="00CB10A7" w:rsidRPr="00CB10A7" w:rsidRDefault="00CB10A7" w:rsidP="00CB10A7">
      <w:pPr>
        <w:widowControl w:val="0"/>
        <w:autoSpaceDE w:val="0"/>
        <w:autoSpaceDN w:val="0"/>
        <w:adjustRightInd w:val="0"/>
        <w:ind w:left="640" w:hanging="640"/>
        <w:rPr>
          <w:noProof/>
          <w:szCs w:val="24"/>
        </w:rPr>
      </w:pPr>
      <w:r w:rsidRPr="00CB10A7">
        <w:rPr>
          <w:noProof/>
          <w:szCs w:val="24"/>
        </w:rPr>
        <w:lastRenderedPageBreak/>
        <w:t>[12]</w:t>
      </w:r>
      <w:r w:rsidRPr="00CB10A7">
        <w:rPr>
          <w:noProof/>
          <w:szCs w:val="24"/>
        </w:rPr>
        <w:tab/>
        <w:t>A.I. Adeleye, S. Kellici, T. Heil, D. Morgan, M. Vickers, B. Saha, Greener synthesis of propylene carbonate using graphene-inorganic nanocomposite catalysts, Catal. Today. 256 (2015) 347–357. doi:10.1016/j.cattod.2014.12.032.</w:t>
      </w:r>
    </w:p>
    <w:p w:rsidR="00CB10A7" w:rsidRPr="00CB10A7" w:rsidRDefault="00CB10A7" w:rsidP="00CB10A7">
      <w:pPr>
        <w:widowControl w:val="0"/>
        <w:autoSpaceDE w:val="0"/>
        <w:autoSpaceDN w:val="0"/>
        <w:adjustRightInd w:val="0"/>
        <w:ind w:left="640" w:hanging="640"/>
        <w:rPr>
          <w:noProof/>
          <w:szCs w:val="24"/>
        </w:rPr>
      </w:pPr>
      <w:r w:rsidRPr="00CB10A7">
        <w:rPr>
          <w:noProof/>
          <w:szCs w:val="24"/>
        </w:rPr>
        <w:t>[13]</w:t>
      </w:r>
      <w:r w:rsidRPr="00CB10A7">
        <w:rPr>
          <w:noProof/>
          <w:szCs w:val="24"/>
        </w:rPr>
        <w:tab/>
        <w:t>R. Saada, S. Kellici, T. Heil, D. Morgan, B. Saha, Greener synthesis of dimethyl carbonate using a novel ceria-zirconia oxide/graphene nanocomposite catalyst, Appl. Catal. B Environ. 168–169 (2015) 353–362. doi:10.1016/j.apcatb.2014.12.013.</w:t>
      </w:r>
    </w:p>
    <w:p w:rsidR="00CB10A7" w:rsidRPr="00CB10A7" w:rsidRDefault="00CB10A7" w:rsidP="00CB10A7">
      <w:pPr>
        <w:widowControl w:val="0"/>
        <w:autoSpaceDE w:val="0"/>
        <w:autoSpaceDN w:val="0"/>
        <w:adjustRightInd w:val="0"/>
        <w:ind w:left="640" w:hanging="640"/>
        <w:rPr>
          <w:noProof/>
          <w:szCs w:val="24"/>
        </w:rPr>
      </w:pPr>
      <w:r w:rsidRPr="00CB10A7">
        <w:rPr>
          <w:noProof/>
          <w:szCs w:val="24"/>
        </w:rPr>
        <w:t>[14]</w:t>
      </w:r>
      <w:r w:rsidRPr="00CB10A7">
        <w:rPr>
          <w:noProof/>
          <w:szCs w:val="24"/>
        </w:rPr>
        <w:tab/>
        <w:t>M.A. Bezerra, R.E. Santelli, E.P. Oliveira, L.S. Villar, L.A. Escaleira, Response surface methodology (RSM) as a tool for optimization in analytical chemistry, Talanta. 76 (2008) 965–977. doi:10.1016/j.talanta.2008.05.019.</w:t>
      </w:r>
    </w:p>
    <w:p w:rsidR="00CB10A7" w:rsidRPr="00CB10A7" w:rsidRDefault="00CB10A7" w:rsidP="00CB10A7">
      <w:pPr>
        <w:widowControl w:val="0"/>
        <w:autoSpaceDE w:val="0"/>
        <w:autoSpaceDN w:val="0"/>
        <w:adjustRightInd w:val="0"/>
        <w:ind w:left="640" w:hanging="640"/>
        <w:rPr>
          <w:noProof/>
          <w:szCs w:val="24"/>
        </w:rPr>
      </w:pPr>
      <w:r w:rsidRPr="00CB10A7">
        <w:rPr>
          <w:noProof/>
          <w:szCs w:val="24"/>
        </w:rPr>
        <w:t>[15]</w:t>
      </w:r>
      <w:r w:rsidRPr="00CB10A7">
        <w:rPr>
          <w:noProof/>
          <w:szCs w:val="24"/>
        </w:rPr>
        <w:tab/>
        <w:t>D.C. Montgomery, Design and Analysis of Experiments, Technometrics. 48 (2006) 158–158. doi:10.1198/tech.2006.s372.</w:t>
      </w:r>
    </w:p>
    <w:p w:rsidR="00CB10A7" w:rsidRPr="00CB10A7" w:rsidRDefault="00CB10A7" w:rsidP="00CB10A7">
      <w:pPr>
        <w:widowControl w:val="0"/>
        <w:autoSpaceDE w:val="0"/>
        <w:autoSpaceDN w:val="0"/>
        <w:adjustRightInd w:val="0"/>
        <w:ind w:left="640" w:hanging="640"/>
        <w:rPr>
          <w:noProof/>
          <w:szCs w:val="24"/>
        </w:rPr>
      </w:pPr>
      <w:r w:rsidRPr="00CB10A7">
        <w:rPr>
          <w:noProof/>
          <w:szCs w:val="24"/>
        </w:rPr>
        <w:t>[16]</w:t>
      </w:r>
      <w:r w:rsidRPr="00CB10A7">
        <w:rPr>
          <w:noProof/>
          <w:szCs w:val="24"/>
        </w:rPr>
        <w:tab/>
        <w:t>D. Baş, İ.H. Boyacı, Modeling and optimization I: Usability of response surface methodology, J. Food Eng. 78 (2007) 836–845. doi:10.1016/j.jfoodeng.2005.11.024.</w:t>
      </w:r>
    </w:p>
    <w:p w:rsidR="00CB10A7" w:rsidRPr="00CB10A7" w:rsidRDefault="00CB10A7" w:rsidP="00CB10A7">
      <w:pPr>
        <w:widowControl w:val="0"/>
        <w:autoSpaceDE w:val="0"/>
        <w:autoSpaceDN w:val="0"/>
        <w:adjustRightInd w:val="0"/>
        <w:ind w:left="640" w:hanging="640"/>
        <w:rPr>
          <w:noProof/>
          <w:szCs w:val="24"/>
        </w:rPr>
      </w:pPr>
      <w:r w:rsidRPr="00CB10A7">
        <w:rPr>
          <w:noProof/>
          <w:szCs w:val="24"/>
        </w:rPr>
        <w:t>[17]</w:t>
      </w:r>
      <w:r w:rsidRPr="00CB10A7">
        <w:rPr>
          <w:noProof/>
          <w:szCs w:val="24"/>
        </w:rPr>
        <w:tab/>
        <w:t>M. Aghbashlo, S. Hosseinpour, M. Tabatabaei, A. Dadak, Fuzzy modeling and optimization of the synthesis of biodiesel from waste cooking oil (WCO) by a low power, high frequency piezo-ultrasonic reactor, Energy. 132 (2017) 65–78. doi:10.1016/j.energy.2017.05.041.</w:t>
      </w:r>
    </w:p>
    <w:p w:rsidR="00CB10A7" w:rsidRPr="00CB10A7" w:rsidRDefault="00CB10A7" w:rsidP="00CB10A7">
      <w:pPr>
        <w:widowControl w:val="0"/>
        <w:autoSpaceDE w:val="0"/>
        <w:autoSpaceDN w:val="0"/>
        <w:adjustRightInd w:val="0"/>
        <w:ind w:left="640" w:hanging="640"/>
        <w:rPr>
          <w:noProof/>
          <w:szCs w:val="24"/>
        </w:rPr>
      </w:pPr>
      <w:r w:rsidRPr="00CB10A7">
        <w:rPr>
          <w:noProof/>
          <w:szCs w:val="24"/>
        </w:rPr>
        <w:t>[18]</w:t>
      </w:r>
      <w:r w:rsidRPr="00CB10A7">
        <w:rPr>
          <w:noProof/>
          <w:szCs w:val="24"/>
        </w:rPr>
        <w:tab/>
        <w:t>H. Omrani, A. Alizadeh, A. Emrouznejad, Finding the optimal combination of power plants alternatives: a multi response Taguchi-neural network using TOPSIS and fuzzy best-worst method, J. Clean. Prod. 203 (2018) 210–223. doi:10.1016/j.jclepro.2018.08.238.</w:t>
      </w:r>
    </w:p>
    <w:p w:rsidR="00CB10A7" w:rsidRPr="00CB10A7" w:rsidRDefault="00CB10A7" w:rsidP="00CB10A7">
      <w:pPr>
        <w:widowControl w:val="0"/>
        <w:autoSpaceDE w:val="0"/>
        <w:autoSpaceDN w:val="0"/>
        <w:adjustRightInd w:val="0"/>
        <w:ind w:left="640" w:hanging="640"/>
        <w:rPr>
          <w:noProof/>
          <w:szCs w:val="24"/>
        </w:rPr>
      </w:pPr>
      <w:r w:rsidRPr="00CB10A7">
        <w:rPr>
          <w:noProof/>
          <w:szCs w:val="24"/>
        </w:rPr>
        <w:t>[19]</w:t>
      </w:r>
      <w:r w:rsidRPr="00CB10A7">
        <w:rPr>
          <w:noProof/>
          <w:szCs w:val="24"/>
        </w:rPr>
        <w:tab/>
        <w:t>M. Sillanpää, M.C. Ncibi, A. Matilainen, Advanced oxidation processes for the removal of natural organic matter from drinking water sources: A comprehensive review, J. Environ. Manage. 208 (2018) 56–76. doi:10.1016/j.jenvman.2017.12.009.</w:t>
      </w:r>
    </w:p>
    <w:p w:rsidR="00CB10A7" w:rsidRPr="00CB10A7" w:rsidRDefault="00CB10A7" w:rsidP="00CB10A7">
      <w:pPr>
        <w:widowControl w:val="0"/>
        <w:autoSpaceDE w:val="0"/>
        <w:autoSpaceDN w:val="0"/>
        <w:adjustRightInd w:val="0"/>
        <w:ind w:left="640" w:hanging="640"/>
        <w:rPr>
          <w:noProof/>
          <w:szCs w:val="24"/>
        </w:rPr>
      </w:pPr>
      <w:r w:rsidRPr="00CB10A7">
        <w:rPr>
          <w:noProof/>
          <w:szCs w:val="24"/>
        </w:rPr>
        <w:t>[20]</w:t>
      </w:r>
      <w:r w:rsidRPr="00CB10A7">
        <w:rPr>
          <w:noProof/>
          <w:szCs w:val="24"/>
        </w:rPr>
        <w:tab/>
        <w:t>M. Anitha, S.K. Kamarudin, N.T. Kofli, The potential of glycerol as a value-added commodity, Chem. Eng. J. 295 (2016) 119–130. doi:10.1016/j.cej.2016.03.012.</w:t>
      </w:r>
    </w:p>
    <w:p w:rsidR="00CB10A7" w:rsidRPr="00CB10A7" w:rsidRDefault="00CB10A7" w:rsidP="00CB10A7">
      <w:pPr>
        <w:widowControl w:val="0"/>
        <w:autoSpaceDE w:val="0"/>
        <w:autoSpaceDN w:val="0"/>
        <w:adjustRightInd w:val="0"/>
        <w:ind w:left="640" w:hanging="640"/>
        <w:rPr>
          <w:noProof/>
          <w:szCs w:val="24"/>
        </w:rPr>
      </w:pPr>
      <w:r w:rsidRPr="00CB10A7">
        <w:rPr>
          <w:noProof/>
          <w:szCs w:val="24"/>
        </w:rPr>
        <w:t>[21]</w:t>
      </w:r>
      <w:r w:rsidRPr="00CB10A7">
        <w:rPr>
          <w:noProof/>
          <w:szCs w:val="24"/>
        </w:rPr>
        <w:tab/>
        <w:t>R. Bo, X. Ma, Y. Feng, Q. Zhu, Y. Huang, Z. Liu, C. Liu, Z. Gao, Y. Hu, D. Wang, Optimization on conditions of Lycium barbarum polysaccharides liposome by RSM and its effects on the peritoneal macrophages function, Carbohydr. Polym. 117 (2015) 215–222. doi:10.1016/j.carbpol.2014.09.060.</w:t>
      </w:r>
    </w:p>
    <w:p w:rsidR="00CB10A7" w:rsidRPr="00CB10A7" w:rsidRDefault="00CB10A7" w:rsidP="00CB10A7">
      <w:pPr>
        <w:widowControl w:val="0"/>
        <w:autoSpaceDE w:val="0"/>
        <w:autoSpaceDN w:val="0"/>
        <w:adjustRightInd w:val="0"/>
        <w:ind w:left="640" w:hanging="640"/>
        <w:rPr>
          <w:noProof/>
          <w:szCs w:val="24"/>
        </w:rPr>
      </w:pPr>
      <w:r w:rsidRPr="00CB10A7">
        <w:rPr>
          <w:noProof/>
          <w:szCs w:val="24"/>
        </w:rPr>
        <w:t>[22]</w:t>
      </w:r>
      <w:r w:rsidRPr="00CB10A7">
        <w:rPr>
          <w:noProof/>
          <w:szCs w:val="24"/>
        </w:rPr>
        <w:tab/>
        <w:t>O. Aboelazayem, M. Gadalla, B. Saha, Biodiesel production from waste cooking oil via supercritical methanol: Optimisation and reactor simulation, Renew. Energy. 124 (2018) 144–154. doi:10.1016/j.renene.2017.06.076.</w:t>
      </w:r>
    </w:p>
    <w:p w:rsidR="00CB10A7" w:rsidRPr="00CB10A7" w:rsidRDefault="00CB10A7" w:rsidP="00CB10A7">
      <w:pPr>
        <w:widowControl w:val="0"/>
        <w:autoSpaceDE w:val="0"/>
        <w:autoSpaceDN w:val="0"/>
        <w:adjustRightInd w:val="0"/>
        <w:ind w:left="640" w:hanging="640"/>
        <w:rPr>
          <w:noProof/>
          <w:szCs w:val="24"/>
        </w:rPr>
      </w:pPr>
      <w:r w:rsidRPr="00CB10A7">
        <w:rPr>
          <w:noProof/>
          <w:szCs w:val="24"/>
        </w:rPr>
        <w:t>[23]</w:t>
      </w:r>
      <w:r w:rsidRPr="00CB10A7">
        <w:rPr>
          <w:noProof/>
          <w:szCs w:val="24"/>
        </w:rPr>
        <w:tab/>
        <w:t xml:space="preserve">A.I. Khuri, S. Mukhopadhyay, Response surface methodology, Wiley Interdiscip. Rev. </w:t>
      </w:r>
      <w:r w:rsidRPr="00CB10A7">
        <w:rPr>
          <w:noProof/>
          <w:szCs w:val="24"/>
        </w:rPr>
        <w:lastRenderedPageBreak/>
        <w:t>Comput. Stat. 2 (2010) 128–149. doi:10.1002/wics.73.</w:t>
      </w:r>
    </w:p>
    <w:p w:rsidR="00CB10A7" w:rsidRPr="00CB10A7" w:rsidRDefault="00CB10A7" w:rsidP="00CB10A7">
      <w:pPr>
        <w:widowControl w:val="0"/>
        <w:autoSpaceDE w:val="0"/>
        <w:autoSpaceDN w:val="0"/>
        <w:adjustRightInd w:val="0"/>
        <w:ind w:left="640" w:hanging="640"/>
        <w:rPr>
          <w:noProof/>
          <w:szCs w:val="24"/>
        </w:rPr>
      </w:pPr>
      <w:r w:rsidRPr="00CB10A7">
        <w:rPr>
          <w:noProof/>
          <w:szCs w:val="24"/>
        </w:rPr>
        <w:t>[24]</w:t>
      </w:r>
      <w:r w:rsidRPr="00CB10A7">
        <w:rPr>
          <w:noProof/>
          <w:szCs w:val="24"/>
        </w:rPr>
        <w:tab/>
        <w:t>A. Witek-Krowiak, K. Chojnacka, D. Podstawczyk, A. Dawiec, K. Pokomeda, Application of response surface methodology and artificial neural network methods in modelling and optimization of biosorption process, Bioresour. Technol. (2014). doi:10.1016/j.biortech.2014.01.021.</w:t>
      </w:r>
    </w:p>
    <w:p w:rsidR="00CB10A7" w:rsidRPr="00CB10A7" w:rsidRDefault="00CB10A7" w:rsidP="00CB10A7">
      <w:pPr>
        <w:widowControl w:val="0"/>
        <w:autoSpaceDE w:val="0"/>
        <w:autoSpaceDN w:val="0"/>
        <w:adjustRightInd w:val="0"/>
        <w:ind w:left="640" w:hanging="640"/>
        <w:rPr>
          <w:noProof/>
          <w:szCs w:val="24"/>
        </w:rPr>
      </w:pPr>
      <w:r w:rsidRPr="00CB10A7">
        <w:rPr>
          <w:noProof/>
          <w:szCs w:val="24"/>
        </w:rPr>
        <w:t>[25]</w:t>
      </w:r>
      <w:r w:rsidRPr="00CB10A7">
        <w:rPr>
          <w:noProof/>
          <w:szCs w:val="24"/>
        </w:rPr>
        <w:tab/>
        <w:t>G. Chi, S. Hu, Y. Yang, T. Chen, Response surface methodology with prediction uncertainty: A multi-objective optimisation approach, Chem. Eng. Res. Des. 90 (2012) 1235–1244. doi:10.1016/j.cherd.2011.12.012.</w:t>
      </w:r>
    </w:p>
    <w:p w:rsidR="00CB10A7" w:rsidRPr="00CB10A7" w:rsidRDefault="00CB10A7" w:rsidP="00CB10A7">
      <w:pPr>
        <w:widowControl w:val="0"/>
        <w:autoSpaceDE w:val="0"/>
        <w:autoSpaceDN w:val="0"/>
        <w:adjustRightInd w:val="0"/>
        <w:ind w:left="640" w:hanging="640"/>
        <w:rPr>
          <w:noProof/>
          <w:szCs w:val="24"/>
        </w:rPr>
      </w:pPr>
      <w:r w:rsidRPr="00CB10A7">
        <w:rPr>
          <w:noProof/>
          <w:szCs w:val="24"/>
        </w:rPr>
        <w:t>[26]</w:t>
      </w:r>
      <w:r w:rsidRPr="00CB10A7">
        <w:rPr>
          <w:noProof/>
          <w:szCs w:val="24"/>
        </w:rPr>
        <w:tab/>
        <w:t>H. Jaliliannosrati, N.A.S. Amin, A. Talebian-Kiakalaieh, I. Noshadi, Microwave assisted biodiesel production from Jatropha curcas L. seed by two-step in situ process: Optimization using response surface methodology, Bioresour. Technol. 136 (2013) 565–573. doi:10.1016/j.biortech.2013.02.078.</w:t>
      </w:r>
    </w:p>
    <w:p w:rsidR="00CB10A7" w:rsidRPr="00CB10A7" w:rsidRDefault="00CB10A7" w:rsidP="00CB10A7">
      <w:pPr>
        <w:widowControl w:val="0"/>
        <w:autoSpaceDE w:val="0"/>
        <w:autoSpaceDN w:val="0"/>
        <w:adjustRightInd w:val="0"/>
        <w:ind w:left="640" w:hanging="640"/>
        <w:rPr>
          <w:noProof/>
          <w:szCs w:val="24"/>
        </w:rPr>
      </w:pPr>
      <w:r w:rsidRPr="00CB10A7">
        <w:rPr>
          <w:noProof/>
          <w:szCs w:val="24"/>
        </w:rPr>
        <w:t>[27]</w:t>
      </w:r>
      <w:r w:rsidRPr="00CB10A7">
        <w:rPr>
          <w:noProof/>
          <w:szCs w:val="24"/>
        </w:rPr>
        <w:tab/>
        <w:t>O. Aboelazayem, M. Gadalla, B. Saha, Valorisation of high acid value waste cooking oil into biodiesel using supercritical methanolysis: Experimental assessment and statistical optimisation on typical Egyptian feedstock, Energy. 162 (2018) 408–420. doi:10.1016/j.energy.2018.07.194.</w:t>
      </w:r>
    </w:p>
    <w:p w:rsidR="00CB10A7" w:rsidRPr="00CB10A7" w:rsidRDefault="00CB10A7" w:rsidP="00CB10A7">
      <w:pPr>
        <w:widowControl w:val="0"/>
        <w:autoSpaceDE w:val="0"/>
        <w:autoSpaceDN w:val="0"/>
        <w:adjustRightInd w:val="0"/>
        <w:ind w:left="640" w:hanging="640"/>
        <w:rPr>
          <w:noProof/>
          <w:szCs w:val="24"/>
        </w:rPr>
      </w:pPr>
      <w:r w:rsidRPr="00CB10A7">
        <w:rPr>
          <w:noProof/>
          <w:szCs w:val="24"/>
        </w:rPr>
        <w:t>[28]</w:t>
      </w:r>
      <w:r w:rsidRPr="00CB10A7">
        <w:rPr>
          <w:noProof/>
          <w:szCs w:val="24"/>
        </w:rPr>
        <w:tab/>
        <w:t>R. Saada, O. AboElazayem, S. Kellici, T. Heil, D. Morgan, G.I. Lampronti, B. Saha, Greener synthesis of dimethyl carbonate using a novel tin-zirconia/graphene nanocomposite catalyst, Appl. Catal. B Environ. 226 (2018) 451–462. doi:10.1016/j.apcatb.2017.12.081.</w:t>
      </w:r>
    </w:p>
    <w:p w:rsidR="00CB10A7" w:rsidRPr="00CB10A7" w:rsidRDefault="00CB10A7" w:rsidP="00CB10A7">
      <w:pPr>
        <w:widowControl w:val="0"/>
        <w:autoSpaceDE w:val="0"/>
        <w:autoSpaceDN w:val="0"/>
        <w:adjustRightInd w:val="0"/>
        <w:ind w:left="640" w:hanging="640"/>
        <w:rPr>
          <w:noProof/>
          <w:szCs w:val="24"/>
        </w:rPr>
      </w:pPr>
      <w:r w:rsidRPr="00CB10A7">
        <w:rPr>
          <w:noProof/>
          <w:szCs w:val="24"/>
        </w:rPr>
        <w:t>[29]</w:t>
      </w:r>
      <w:r w:rsidRPr="00CB10A7">
        <w:rPr>
          <w:noProof/>
          <w:szCs w:val="24"/>
        </w:rPr>
        <w:tab/>
        <w:t>K.B. Rasal, G.D. Yadav, R. Koskinen, R. Keiski, Solventless synthesis of cyclic carbonates by direct utilization of CO</w:t>
      </w:r>
      <w:r w:rsidRPr="00942D80">
        <w:rPr>
          <w:noProof/>
          <w:szCs w:val="24"/>
          <w:vertAlign w:val="subscript"/>
        </w:rPr>
        <w:t>2</w:t>
      </w:r>
      <w:r w:rsidRPr="00CB10A7">
        <w:rPr>
          <w:noProof/>
          <w:szCs w:val="24"/>
        </w:rPr>
        <w:t>using nanocrystalline lithium promoted magnesia, Mol. Catal. 451 (2018) 200–208. doi:10.1016/j.mcat.2018.01.012.</w:t>
      </w:r>
    </w:p>
    <w:p w:rsidR="00CB10A7" w:rsidRPr="00CB10A7" w:rsidRDefault="00CB10A7" w:rsidP="00CB10A7">
      <w:pPr>
        <w:widowControl w:val="0"/>
        <w:autoSpaceDE w:val="0"/>
        <w:autoSpaceDN w:val="0"/>
        <w:adjustRightInd w:val="0"/>
        <w:ind w:left="640" w:hanging="640"/>
        <w:rPr>
          <w:noProof/>
          <w:szCs w:val="24"/>
        </w:rPr>
      </w:pPr>
      <w:r w:rsidRPr="00CB10A7">
        <w:rPr>
          <w:noProof/>
          <w:szCs w:val="24"/>
        </w:rPr>
        <w:t>[30]</w:t>
      </w:r>
      <w:r w:rsidRPr="00CB10A7">
        <w:rPr>
          <w:noProof/>
          <w:szCs w:val="24"/>
        </w:rPr>
        <w:tab/>
        <w:t>K. Yamaguchi, K. Ebitani, T. Yoshida, H. Yoshida, K. Kaneda, Mg-Al mixed oxides as highly active acid-base catalysts for cycloaddition of carbon dioxide to epoxides, J. Am. Chem. Soc. 121 (1999) 4526–4527. doi:10.1021/ja9902165.</w:t>
      </w:r>
    </w:p>
    <w:p w:rsidR="00CB10A7" w:rsidRPr="00CB10A7" w:rsidRDefault="00CB10A7" w:rsidP="00CB10A7">
      <w:pPr>
        <w:widowControl w:val="0"/>
        <w:autoSpaceDE w:val="0"/>
        <w:autoSpaceDN w:val="0"/>
        <w:adjustRightInd w:val="0"/>
        <w:ind w:left="640" w:hanging="640"/>
        <w:rPr>
          <w:noProof/>
          <w:szCs w:val="24"/>
        </w:rPr>
      </w:pPr>
      <w:r w:rsidRPr="00CB10A7">
        <w:rPr>
          <w:noProof/>
          <w:szCs w:val="24"/>
        </w:rPr>
        <w:t>[31]</w:t>
      </w:r>
      <w:r w:rsidRPr="00CB10A7">
        <w:rPr>
          <w:noProof/>
          <w:szCs w:val="24"/>
        </w:rPr>
        <w:tab/>
        <w:t>T. Sakakura, K. Kohno, The synthesis of organic carbonates from carbon dioxide, Chem. Commun. (2009) 1312. doi:10.1039/b819997c.</w:t>
      </w:r>
    </w:p>
    <w:p w:rsidR="00CB10A7" w:rsidRPr="00CB10A7" w:rsidRDefault="00CB10A7" w:rsidP="00CB10A7">
      <w:pPr>
        <w:widowControl w:val="0"/>
        <w:autoSpaceDE w:val="0"/>
        <w:autoSpaceDN w:val="0"/>
        <w:adjustRightInd w:val="0"/>
        <w:ind w:left="640" w:hanging="640"/>
        <w:rPr>
          <w:noProof/>
          <w:szCs w:val="24"/>
        </w:rPr>
      </w:pPr>
      <w:r w:rsidRPr="00CB10A7">
        <w:rPr>
          <w:noProof/>
          <w:szCs w:val="24"/>
        </w:rPr>
        <w:t>[32]</w:t>
      </w:r>
      <w:r w:rsidRPr="00CB10A7">
        <w:rPr>
          <w:noProof/>
          <w:szCs w:val="24"/>
        </w:rPr>
        <w:tab/>
        <w:t>M. Liu, J. Lan, L. Liang, J. Sun, M. Arai, Heterogeneous catalytic conversion of CO</w:t>
      </w:r>
      <w:r w:rsidRPr="00942D80">
        <w:rPr>
          <w:noProof/>
          <w:szCs w:val="24"/>
          <w:vertAlign w:val="subscript"/>
        </w:rPr>
        <w:t>2</w:t>
      </w:r>
      <w:r w:rsidRPr="00CB10A7">
        <w:rPr>
          <w:noProof/>
          <w:szCs w:val="24"/>
        </w:rPr>
        <w:t xml:space="preserve"> and epoxides to cyclic carbonates over multifunctional tri-s-triazine terminal-linked ionic liquids, J. Catal. (2017). doi:10.1016/J.JCAT.2016.11.038.</w:t>
      </w:r>
    </w:p>
    <w:p w:rsidR="00A26724" w:rsidRPr="00B6778D" w:rsidRDefault="00CB10A7" w:rsidP="00942D80">
      <w:pPr>
        <w:widowControl w:val="0"/>
        <w:autoSpaceDE w:val="0"/>
        <w:autoSpaceDN w:val="0"/>
        <w:adjustRightInd w:val="0"/>
        <w:ind w:left="640" w:hanging="640"/>
      </w:pPr>
      <w:r w:rsidRPr="00CB10A7">
        <w:rPr>
          <w:noProof/>
          <w:szCs w:val="24"/>
        </w:rPr>
        <w:t>[33]</w:t>
      </w:r>
      <w:r w:rsidRPr="00CB10A7">
        <w:rPr>
          <w:noProof/>
          <w:szCs w:val="24"/>
        </w:rPr>
        <w:tab/>
        <w:t>A.I. Adeleye, D. Patel, D. Niyogi, B. Saha, Efficient and greener synthesis of propylene carbonate from carbon dioxide and propylene oxide, Ind. Eng. Chem. Res. 53 (2014) 18647–18657. doi:10.1021/ie500345z.</w:t>
      </w:r>
      <w:r w:rsidR="00BA1179" w:rsidRPr="00B6778D">
        <w:fldChar w:fldCharType="end"/>
      </w:r>
    </w:p>
    <w:sectPr w:rsidR="00A26724" w:rsidRPr="00B6778D" w:rsidSect="0049408C">
      <w:pgSz w:w="11907" w:h="16839"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1074" w:rsidRDefault="00741074">
      <w:pPr>
        <w:spacing w:line="240" w:lineRule="auto"/>
      </w:pPr>
      <w:r>
        <w:separator/>
      </w:r>
    </w:p>
    <w:p w:rsidR="00741074" w:rsidRDefault="00741074"/>
  </w:endnote>
  <w:endnote w:type="continuationSeparator" w:id="0">
    <w:p w:rsidR="00741074" w:rsidRDefault="00741074">
      <w:pPr>
        <w:spacing w:line="240" w:lineRule="auto"/>
      </w:pPr>
      <w:r>
        <w:continuationSeparator/>
      </w:r>
    </w:p>
    <w:p w:rsidR="00741074" w:rsidRDefault="007410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08C" w:rsidRDefault="0049408C" w:rsidP="00537EAE">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49408C" w:rsidRDefault="0049408C" w:rsidP="00537EAE">
    <w:pPr>
      <w:pStyle w:val="Footer"/>
    </w:pPr>
  </w:p>
  <w:p w:rsidR="0049408C" w:rsidRDefault="0049408C" w:rsidP="00537EAE"/>
  <w:p w:rsidR="0049408C" w:rsidRDefault="0049408C"/>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692926"/>
      <w:docPartObj>
        <w:docPartGallery w:val="Page Numbers (Bottom of Page)"/>
        <w:docPartUnique/>
      </w:docPartObj>
    </w:sdtPr>
    <w:sdtEndPr>
      <w:rPr>
        <w:noProof/>
      </w:rPr>
    </w:sdtEndPr>
    <w:sdtContent>
      <w:p w:rsidR="0049408C" w:rsidRDefault="0049408C">
        <w:pPr>
          <w:pStyle w:val="Footer"/>
          <w:jc w:val="right"/>
        </w:pPr>
        <w:r>
          <w:fldChar w:fldCharType="begin"/>
        </w:r>
        <w:r>
          <w:instrText xml:space="preserve"> PAGE   \* MERGEFORMAT </w:instrText>
        </w:r>
        <w:r>
          <w:fldChar w:fldCharType="separate"/>
        </w:r>
        <w:r w:rsidR="00DA122B">
          <w:rPr>
            <w:noProof/>
          </w:rPr>
          <w:t>1</w:t>
        </w:r>
        <w:r>
          <w:rPr>
            <w:noProof/>
          </w:rPr>
          <w:fldChar w:fldCharType="end"/>
        </w:r>
      </w:p>
    </w:sdtContent>
  </w:sdt>
  <w:p w:rsidR="0049408C" w:rsidRDefault="0049408C">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8527138"/>
      <w:docPartObj>
        <w:docPartGallery w:val="Page Numbers (Bottom of Page)"/>
        <w:docPartUnique/>
      </w:docPartObj>
    </w:sdtPr>
    <w:sdtEndPr>
      <w:rPr>
        <w:noProof/>
      </w:rPr>
    </w:sdtEndPr>
    <w:sdtContent>
      <w:p w:rsidR="0049408C" w:rsidRDefault="0049408C">
        <w:pPr>
          <w:pStyle w:val="Footer"/>
          <w:jc w:val="right"/>
        </w:pPr>
        <w:r>
          <w:fldChar w:fldCharType="begin"/>
        </w:r>
        <w:r>
          <w:instrText xml:space="preserve"> PAGE   \* MERGEFORMAT </w:instrText>
        </w:r>
        <w:r>
          <w:fldChar w:fldCharType="separate"/>
        </w:r>
        <w:r w:rsidR="00DA122B">
          <w:rPr>
            <w:noProof/>
          </w:rPr>
          <w:t>2</w:t>
        </w:r>
        <w:r>
          <w:rPr>
            <w:noProof/>
          </w:rPr>
          <w:fldChar w:fldCharType="end"/>
        </w:r>
      </w:p>
    </w:sdtContent>
  </w:sdt>
  <w:p w:rsidR="0049408C" w:rsidRDefault="0049408C">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408C" w:rsidRDefault="0049408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1074" w:rsidRDefault="00741074">
      <w:pPr>
        <w:spacing w:line="240" w:lineRule="auto"/>
      </w:pPr>
      <w:r>
        <w:separator/>
      </w:r>
    </w:p>
    <w:p w:rsidR="00741074" w:rsidRDefault="00741074"/>
  </w:footnote>
  <w:footnote w:type="continuationSeparator" w:id="0">
    <w:p w:rsidR="00741074" w:rsidRDefault="00741074">
      <w:pPr>
        <w:spacing w:line="240" w:lineRule="auto"/>
      </w:pPr>
      <w:r>
        <w:continuationSeparator/>
      </w:r>
    </w:p>
    <w:p w:rsidR="00741074" w:rsidRDefault="00741074"/>
  </w:footnote>
  <w:footnote w:id="1">
    <w:p w:rsidR="0049408C" w:rsidRDefault="0049408C" w:rsidP="00380357">
      <w:pPr>
        <w:pStyle w:val="FootnoteText"/>
      </w:pPr>
      <w:r>
        <w:rPr>
          <w:rStyle w:val="FootnoteReference"/>
        </w:rPr>
        <w:footnoteRef/>
      </w:r>
      <w:r>
        <w:t xml:space="preserve"> Corresponding author</w:t>
      </w:r>
    </w:p>
    <w:p w:rsidR="0049408C" w:rsidRDefault="0049408C" w:rsidP="00380357">
      <w:pPr>
        <w:pStyle w:val="FootnoteText"/>
      </w:pPr>
      <w:r>
        <w:t>Centre for Energy and Environment Research, School of Engineering, London South Bank University, 103 Borough Road, London, SE1 0AA, UK. Email: b.saha@lsbu.ac.uk; Telephone number: +44-(0)207 815 7190.</w:t>
      </w:r>
    </w:p>
  </w:footnote>
  <w:footnote w:id="2">
    <w:p w:rsidR="0049408C" w:rsidRDefault="0049408C" w:rsidP="00942D80">
      <w:pPr>
        <w:pStyle w:val="FootnoteText"/>
        <w:jc w:val="both"/>
      </w:pPr>
      <w:r>
        <w:rPr>
          <w:rStyle w:val="FootnoteReference"/>
        </w:rPr>
        <w:footnoteRef/>
      </w:r>
      <w:r>
        <w:t xml:space="preserve"> Abbreviations: BC, </w:t>
      </w:r>
      <w:r w:rsidRPr="00D42091">
        <w:t>butylene carbonate;</w:t>
      </w:r>
      <w:r>
        <w:t xml:space="preserve"> BO, </w:t>
      </w:r>
      <w:r w:rsidRPr="00D42091">
        <w:t>butylene oxide; CO</w:t>
      </w:r>
      <w:r w:rsidRPr="00FB6D14">
        <w:rPr>
          <w:vertAlign w:val="subscript"/>
        </w:rPr>
        <w:t>2</w:t>
      </w:r>
      <w:r w:rsidRPr="00D42091">
        <w:t>,</w:t>
      </w:r>
      <w:r>
        <w:t xml:space="preserve"> carbon dioxide;</w:t>
      </w:r>
      <w:r w:rsidRPr="00D42091">
        <w:t xml:space="preserve"> </w:t>
      </w:r>
      <w:r w:rsidRPr="00A3375E">
        <w:t>RSM, response surface methodology; BBD, box-Behnken design;</w:t>
      </w:r>
      <w:r>
        <w:t xml:space="preserve"> OFAT,</w:t>
      </w:r>
      <w:r w:rsidRPr="00043865">
        <w:t xml:space="preserve"> one factor at a time</w:t>
      </w:r>
      <w:r>
        <w:t>; ANOVA, a</w:t>
      </w:r>
      <w:r w:rsidRPr="00043865">
        <w:t>nalysis of variance</w:t>
      </w:r>
      <w:r>
        <w:t xml:space="preserve">; S, significance; NS, not significance; HS, highly significance; </w:t>
      </w:r>
      <w:r w:rsidRPr="00D42091">
        <w:t>CHFS, Continuous hydrothermal flow synthesis; Ce-LA-Zr/GO, Ceria lanthana and zirconia graphene oxide; Ce-La-Zr-O, Ceria and lanthana doped zirconia; BET, Brunauer–Emmett–Teller</w:t>
      </w:r>
      <w:r>
        <w:t>;</w:t>
      </w:r>
      <w:r w:rsidRPr="00D42091">
        <w:t xml:space="preserve"> GO, graphene oxide; FID, Flame ionization detector; GC, Gas chromatograph</w:t>
      </w:r>
      <w:r>
        <w:t xml:space="preserve">; </w:t>
      </w:r>
      <w:r w:rsidRPr="00D42091">
        <w:t>MEL Chemicals, Magnesium Elektron Limited Chemicals; PO,  propylene oxide; PC, propylene carbonate; t,  time; scCO</w:t>
      </w:r>
      <w:r w:rsidRPr="008A6299">
        <w:rPr>
          <w:vertAlign w:val="subscript"/>
        </w:rPr>
        <w:t>2</w:t>
      </w:r>
      <w:r w:rsidRPr="00D42091">
        <w:t>, Supercritical CO</w:t>
      </w:r>
      <w:r w:rsidRPr="00942D80">
        <w:rPr>
          <w:vertAlign w:val="subscript"/>
        </w:rPr>
        <w:t>2</w:t>
      </w:r>
      <w:r w:rsidRPr="00D42091">
        <w:t>; SCF, Supercritical fluid, NGP, Natural graphite powder; HCL, Hydrochloric acid; H</w:t>
      </w:r>
      <w:r w:rsidRPr="00A3375E">
        <w:rPr>
          <w:vertAlign w:val="subscript"/>
        </w:rPr>
        <w:t>2</w:t>
      </w:r>
      <w:r w:rsidRPr="00D42091">
        <w:t>SO</w:t>
      </w:r>
      <w:r w:rsidRPr="00A3375E">
        <w:rPr>
          <w:vertAlign w:val="subscript"/>
        </w:rPr>
        <w:t>4</w:t>
      </w:r>
      <w:r>
        <w:t>, Sulphuric acid; NaNO</w:t>
      </w:r>
      <w:r w:rsidRPr="00A3375E">
        <w:rPr>
          <w:vertAlign w:val="subscript"/>
        </w:rPr>
        <w:t>3</w:t>
      </w:r>
      <w:r>
        <w:t>, sodium nitrate; K</w:t>
      </w:r>
      <w:r w:rsidRPr="00A3375E">
        <w:rPr>
          <w:vertAlign w:val="subscript"/>
        </w:rPr>
        <w:t>2</w:t>
      </w:r>
      <w:r>
        <w:t>O</w:t>
      </w:r>
      <w:r w:rsidRPr="00A3375E">
        <w:rPr>
          <w:vertAlign w:val="subscript"/>
        </w:rPr>
        <w:t>2</w:t>
      </w:r>
      <w:r>
        <w:t>,</w:t>
      </w:r>
      <w:r w:rsidRPr="00D42091">
        <w:t xml:space="preserve"> potassium hydroxide pellet; H</w:t>
      </w:r>
      <w:r w:rsidRPr="00A3375E">
        <w:rPr>
          <w:vertAlign w:val="subscript"/>
        </w:rPr>
        <w:t>2</w:t>
      </w:r>
      <w:r w:rsidRPr="00D42091">
        <w:t>O</w:t>
      </w:r>
      <w:r w:rsidRPr="00A3375E">
        <w:rPr>
          <w:vertAlign w:val="subscript"/>
        </w:rPr>
        <w:t>2</w:t>
      </w:r>
      <w:r w:rsidRPr="00D42091">
        <w:t>, Hydrogen peroxide; C</w:t>
      </w:r>
      <w:r w:rsidRPr="00A3375E">
        <w:rPr>
          <w:vertAlign w:val="subscript"/>
        </w:rPr>
        <w:t>3</w:t>
      </w:r>
      <w:r w:rsidRPr="00D42091">
        <w:t>H</w:t>
      </w:r>
      <w:r w:rsidRPr="00A3375E">
        <w:rPr>
          <w:vertAlign w:val="subscript"/>
        </w:rPr>
        <w:t>6</w:t>
      </w:r>
      <w:r w:rsidRPr="00D42091">
        <w:t>O</w:t>
      </w:r>
      <w:r>
        <w:t>,</w:t>
      </w:r>
      <w:r w:rsidRPr="00D42091">
        <w:t xml:space="preserve"> Acetone; C</w:t>
      </w:r>
      <w:r w:rsidRPr="00A3375E">
        <w:rPr>
          <w:vertAlign w:val="subscript"/>
        </w:rPr>
        <w:t>8</w:t>
      </w:r>
      <w:r w:rsidRPr="00D42091">
        <w:t>H</w:t>
      </w:r>
      <w:r w:rsidRPr="00A3375E">
        <w:rPr>
          <w:vertAlign w:val="subscript"/>
        </w:rPr>
        <w:t>18</w:t>
      </w:r>
      <w:r w:rsidRPr="00D42091">
        <w:t>, Octane; KMnO</w:t>
      </w:r>
      <w:r w:rsidRPr="00A3375E">
        <w:rPr>
          <w:vertAlign w:val="subscript"/>
        </w:rPr>
        <w:t>4</w:t>
      </w:r>
      <w:r w:rsidRPr="00D42091">
        <w:t>, Potassium permanganate; CH</w:t>
      </w:r>
      <w:r w:rsidRPr="00A3375E">
        <w:rPr>
          <w:vertAlign w:val="subscript"/>
        </w:rPr>
        <w:t>3</w:t>
      </w:r>
      <w:r w:rsidRPr="00D42091">
        <w:t>OH, Methanol; Ce(NO</w:t>
      </w:r>
      <w:r w:rsidRPr="00A3375E">
        <w:rPr>
          <w:vertAlign w:val="subscript"/>
        </w:rPr>
        <w:t>3</w:t>
      </w:r>
      <w:r w:rsidRPr="00D42091">
        <w:t>)</w:t>
      </w:r>
      <w:r w:rsidRPr="00A3375E">
        <w:rPr>
          <w:vertAlign w:val="subscript"/>
        </w:rPr>
        <w:t>3</w:t>
      </w:r>
      <w:r w:rsidRPr="00D42091">
        <w:t>·6H</w:t>
      </w:r>
      <w:r w:rsidRPr="00A3375E">
        <w:rPr>
          <w:vertAlign w:val="subscript"/>
        </w:rPr>
        <w:t>2</w:t>
      </w:r>
      <w:r w:rsidRPr="00D42091">
        <w:t>O, Cerium(III) nitrate hexahydrate; La(NO</w:t>
      </w:r>
      <w:r w:rsidRPr="00A3375E">
        <w:rPr>
          <w:vertAlign w:val="subscript"/>
        </w:rPr>
        <w:t>3</w:t>
      </w:r>
      <w:r w:rsidRPr="00D42091">
        <w:t>)</w:t>
      </w:r>
      <w:r w:rsidRPr="00A3375E">
        <w:rPr>
          <w:vertAlign w:val="subscript"/>
        </w:rPr>
        <w:t>3</w:t>
      </w:r>
      <w:r w:rsidRPr="00D42091">
        <w:rPr>
          <w:rFonts w:ascii="Cambria Math" w:hAnsi="Cambria Math" w:cs="Cambria Math"/>
        </w:rPr>
        <w:t>⋅</w:t>
      </w:r>
      <w:r w:rsidRPr="00D42091">
        <w:t>6H</w:t>
      </w:r>
      <w:r w:rsidRPr="00A3375E">
        <w:rPr>
          <w:vertAlign w:val="subscript"/>
        </w:rPr>
        <w:t>2</w:t>
      </w:r>
      <w:r w:rsidRPr="00D42091">
        <w:t>O, Lanthanum (</w:t>
      </w:r>
      <w:r w:rsidRPr="005F0127">
        <w:t>III) nitrate hexahydrate; ZrO(NO</w:t>
      </w:r>
      <w:r w:rsidRPr="005F0127">
        <w:rPr>
          <w:vertAlign w:val="subscript"/>
        </w:rPr>
        <w:t>3</w:t>
      </w:r>
      <w:r w:rsidRPr="005F0127">
        <w:t>)</w:t>
      </w:r>
      <w:r w:rsidRPr="005F0127">
        <w:rPr>
          <w:vertAlign w:val="subscript"/>
        </w:rPr>
        <w:t>2</w:t>
      </w:r>
      <w:r w:rsidRPr="005F0127">
        <w:t>·xH</w:t>
      </w:r>
      <w:r w:rsidRPr="005F0127">
        <w:rPr>
          <w:vertAlign w:val="subscript"/>
        </w:rPr>
        <w:t>2</w:t>
      </w:r>
      <w:r w:rsidRPr="005F0127">
        <w:t>O, Zirconium (IV) oxynitrate hydrate; DMC, dimethyl carbonate; RC, reactor controller; IV, inlet valve; TC, thermocouple; PG, pressure gauge; SM, stirring motor; GOV, gas outlet valve; GIV, gas inlet valve; SV, sampling valve; SCFP, supercritical fluid pump; CIV, CO</w:t>
      </w:r>
      <w:r w:rsidRPr="005F0127">
        <w:rPr>
          <w:vertAlign w:val="subscript"/>
        </w:rPr>
        <w:t>2</w:t>
      </w:r>
      <w:r w:rsidRPr="005F0127">
        <w:t xml:space="preserve"> inlet valve; CC, CO</w:t>
      </w:r>
      <w:r w:rsidRPr="005F0127">
        <w:rPr>
          <w:vertAlign w:val="subscript"/>
        </w:rPr>
        <w:t>2</w:t>
      </w:r>
      <w:r w:rsidRPr="005F0127">
        <w:t xml:space="preserve"> Cylinder.</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935B0A"/>
    <w:multiLevelType w:val="hybridMultilevel"/>
    <w:tmpl w:val="994A1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90524EE"/>
    <w:multiLevelType w:val="multilevel"/>
    <w:tmpl w:val="6B52990E"/>
    <w:lvl w:ilvl="0">
      <w:start w:val="1"/>
      <w:numFmt w:val="decimal"/>
      <w:lvlText w:val="%1.0"/>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6EA16906"/>
    <w:multiLevelType w:val="hybridMultilevel"/>
    <w:tmpl w:val="BD70EC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E87616"/>
    <w:multiLevelType w:val="hybridMultilevel"/>
    <w:tmpl w:val="E24866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7A6B3D55"/>
    <w:multiLevelType w:val="hybridMultilevel"/>
    <w:tmpl w:val="F6DAA7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zQ1MDI3srSwNDc3NjBW0lEKTi0uzszPAymwrAUAYqllwiwAAAA="/>
  </w:docVars>
  <w:rsids>
    <w:rsidRoot w:val="00133C55"/>
    <w:rsid w:val="000033FD"/>
    <w:rsid w:val="000072AA"/>
    <w:rsid w:val="00013348"/>
    <w:rsid w:val="0003079F"/>
    <w:rsid w:val="00031521"/>
    <w:rsid w:val="00035697"/>
    <w:rsid w:val="00037A79"/>
    <w:rsid w:val="00043865"/>
    <w:rsid w:val="00053BB9"/>
    <w:rsid w:val="00064C5F"/>
    <w:rsid w:val="00064DA0"/>
    <w:rsid w:val="00067A23"/>
    <w:rsid w:val="00084A1C"/>
    <w:rsid w:val="000A2167"/>
    <w:rsid w:val="000C50E1"/>
    <w:rsid w:val="000E015C"/>
    <w:rsid w:val="000E0DA0"/>
    <w:rsid w:val="000F32B2"/>
    <w:rsid w:val="000F6FFC"/>
    <w:rsid w:val="00113FDA"/>
    <w:rsid w:val="0012591C"/>
    <w:rsid w:val="00132590"/>
    <w:rsid w:val="00133C55"/>
    <w:rsid w:val="001418BE"/>
    <w:rsid w:val="00147D08"/>
    <w:rsid w:val="00152545"/>
    <w:rsid w:val="00166DDA"/>
    <w:rsid w:val="00185723"/>
    <w:rsid w:val="00187E46"/>
    <w:rsid w:val="001A1BFF"/>
    <w:rsid w:val="001A6A6A"/>
    <w:rsid w:val="001C6EDE"/>
    <w:rsid w:val="001E27FC"/>
    <w:rsid w:val="001E33E8"/>
    <w:rsid w:val="001E511E"/>
    <w:rsid w:val="001F614A"/>
    <w:rsid w:val="002065B7"/>
    <w:rsid w:val="0021216A"/>
    <w:rsid w:val="002256E4"/>
    <w:rsid w:val="00227457"/>
    <w:rsid w:val="00233A32"/>
    <w:rsid w:val="002470F6"/>
    <w:rsid w:val="00247F73"/>
    <w:rsid w:val="0025716D"/>
    <w:rsid w:val="0026608E"/>
    <w:rsid w:val="00273412"/>
    <w:rsid w:val="00291144"/>
    <w:rsid w:val="002A285A"/>
    <w:rsid w:val="002B29CF"/>
    <w:rsid w:val="002C14CE"/>
    <w:rsid w:val="002D47C1"/>
    <w:rsid w:val="002D6134"/>
    <w:rsid w:val="002D7DA8"/>
    <w:rsid w:val="002F72B7"/>
    <w:rsid w:val="00310539"/>
    <w:rsid w:val="00310551"/>
    <w:rsid w:val="00310C23"/>
    <w:rsid w:val="00325560"/>
    <w:rsid w:val="0033776D"/>
    <w:rsid w:val="00346331"/>
    <w:rsid w:val="00347721"/>
    <w:rsid w:val="003504A1"/>
    <w:rsid w:val="00355A04"/>
    <w:rsid w:val="00360B5C"/>
    <w:rsid w:val="00380357"/>
    <w:rsid w:val="003832E8"/>
    <w:rsid w:val="0039449B"/>
    <w:rsid w:val="0039577A"/>
    <w:rsid w:val="003D2DAC"/>
    <w:rsid w:val="003D4254"/>
    <w:rsid w:val="003E5724"/>
    <w:rsid w:val="003F5C28"/>
    <w:rsid w:val="00411627"/>
    <w:rsid w:val="00435A5B"/>
    <w:rsid w:val="004535A6"/>
    <w:rsid w:val="00480A50"/>
    <w:rsid w:val="004924A1"/>
    <w:rsid w:val="0049408C"/>
    <w:rsid w:val="004A2B84"/>
    <w:rsid w:val="004A2E92"/>
    <w:rsid w:val="004C5D88"/>
    <w:rsid w:val="004D0A6F"/>
    <w:rsid w:val="004D17E8"/>
    <w:rsid w:val="004D20D8"/>
    <w:rsid w:val="004E3C32"/>
    <w:rsid w:val="00526AA9"/>
    <w:rsid w:val="0053241F"/>
    <w:rsid w:val="00533BAA"/>
    <w:rsid w:val="00537750"/>
    <w:rsid w:val="00537EAE"/>
    <w:rsid w:val="0056497E"/>
    <w:rsid w:val="00574941"/>
    <w:rsid w:val="00585814"/>
    <w:rsid w:val="005863D2"/>
    <w:rsid w:val="00593051"/>
    <w:rsid w:val="005A7708"/>
    <w:rsid w:val="005B1B51"/>
    <w:rsid w:val="005B3567"/>
    <w:rsid w:val="005B679A"/>
    <w:rsid w:val="005C2AE7"/>
    <w:rsid w:val="005E3E4A"/>
    <w:rsid w:val="005F0127"/>
    <w:rsid w:val="005F0482"/>
    <w:rsid w:val="00607308"/>
    <w:rsid w:val="00612D50"/>
    <w:rsid w:val="006166DD"/>
    <w:rsid w:val="006213A6"/>
    <w:rsid w:val="00622201"/>
    <w:rsid w:val="006307A1"/>
    <w:rsid w:val="00631BED"/>
    <w:rsid w:val="00632C31"/>
    <w:rsid w:val="00640D3E"/>
    <w:rsid w:val="006440B7"/>
    <w:rsid w:val="00647BEE"/>
    <w:rsid w:val="006529D4"/>
    <w:rsid w:val="0065449C"/>
    <w:rsid w:val="00661225"/>
    <w:rsid w:val="00664615"/>
    <w:rsid w:val="00665534"/>
    <w:rsid w:val="00666F3C"/>
    <w:rsid w:val="0067392E"/>
    <w:rsid w:val="006825F0"/>
    <w:rsid w:val="00687B85"/>
    <w:rsid w:val="00691319"/>
    <w:rsid w:val="006A503C"/>
    <w:rsid w:val="006A5329"/>
    <w:rsid w:val="006C1AB5"/>
    <w:rsid w:val="006C1FA7"/>
    <w:rsid w:val="006C25EA"/>
    <w:rsid w:val="006C36C3"/>
    <w:rsid w:val="006C4D2A"/>
    <w:rsid w:val="006D41B9"/>
    <w:rsid w:val="006E6E47"/>
    <w:rsid w:val="006F19BF"/>
    <w:rsid w:val="006F6FCA"/>
    <w:rsid w:val="00700960"/>
    <w:rsid w:val="00726E89"/>
    <w:rsid w:val="00732D4B"/>
    <w:rsid w:val="007333AC"/>
    <w:rsid w:val="00741074"/>
    <w:rsid w:val="007472B3"/>
    <w:rsid w:val="00752DC3"/>
    <w:rsid w:val="00783CD8"/>
    <w:rsid w:val="00785125"/>
    <w:rsid w:val="007B22C1"/>
    <w:rsid w:val="007B562C"/>
    <w:rsid w:val="007C46CF"/>
    <w:rsid w:val="007C46E0"/>
    <w:rsid w:val="007D483B"/>
    <w:rsid w:val="007D51E5"/>
    <w:rsid w:val="0082049A"/>
    <w:rsid w:val="0082088E"/>
    <w:rsid w:val="00822234"/>
    <w:rsid w:val="00823049"/>
    <w:rsid w:val="008315C3"/>
    <w:rsid w:val="00850A05"/>
    <w:rsid w:val="008512FE"/>
    <w:rsid w:val="008765B2"/>
    <w:rsid w:val="008A6299"/>
    <w:rsid w:val="008B07D9"/>
    <w:rsid w:val="008C1011"/>
    <w:rsid w:val="008D32CE"/>
    <w:rsid w:val="008E2A68"/>
    <w:rsid w:val="008E3F94"/>
    <w:rsid w:val="008E40F1"/>
    <w:rsid w:val="008F7F5A"/>
    <w:rsid w:val="00902C7E"/>
    <w:rsid w:val="00904C3B"/>
    <w:rsid w:val="009270D1"/>
    <w:rsid w:val="009324EC"/>
    <w:rsid w:val="00942D80"/>
    <w:rsid w:val="00946E66"/>
    <w:rsid w:val="00947B12"/>
    <w:rsid w:val="00952FC6"/>
    <w:rsid w:val="00955A46"/>
    <w:rsid w:val="00963757"/>
    <w:rsid w:val="0096445A"/>
    <w:rsid w:val="0098634B"/>
    <w:rsid w:val="009867C4"/>
    <w:rsid w:val="00987CBD"/>
    <w:rsid w:val="00997DBB"/>
    <w:rsid w:val="009A50FF"/>
    <w:rsid w:val="009A7AF0"/>
    <w:rsid w:val="009B502E"/>
    <w:rsid w:val="009B561B"/>
    <w:rsid w:val="009C5EAA"/>
    <w:rsid w:val="009E0E0E"/>
    <w:rsid w:val="009F29D9"/>
    <w:rsid w:val="009F77F8"/>
    <w:rsid w:val="00A018A9"/>
    <w:rsid w:val="00A15295"/>
    <w:rsid w:val="00A26724"/>
    <w:rsid w:val="00A308BE"/>
    <w:rsid w:val="00A3096B"/>
    <w:rsid w:val="00A3375E"/>
    <w:rsid w:val="00A4083C"/>
    <w:rsid w:val="00A45223"/>
    <w:rsid w:val="00A513EF"/>
    <w:rsid w:val="00A57A5B"/>
    <w:rsid w:val="00A6011F"/>
    <w:rsid w:val="00A678B1"/>
    <w:rsid w:val="00A7055F"/>
    <w:rsid w:val="00A71428"/>
    <w:rsid w:val="00A74EE8"/>
    <w:rsid w:val="00A759E2"/>
    <w:rsid w:val="00AA1829"/>
    <w:rsid w:val="00AA2E02"/>
    <w:rsid w:val="00AB0336"/>
    <w:rsid w:val="00B021E3"/>
    <w:rsid w:val="00B027CC"/>
    <w:rsid w:val="00B12B88"/>
    <w:rsid w:val="00B12DF0"/>
    <w:rsid w:val="00B156F0"/>
    <w:rsid w:val="00B204BD"/>
    <w:rsid w:val="00B209F1"/>
    <w:rsid w:val="00B41F09"/>
    <w:rsid w:val="00B4694C"/>
    <w:rsid w:val="00B524F5"/>
    <w:rsid w:val="00B61369"/>
    <w:rsid w:val="00B619E0"/>
    <w:rsid w:val="00B633BD"/>
    <w:rsid w:val="00B6343C"/>
    <w:rsid w:val="00B6778D"/>
    <w:rsid w:val="00B77089"/>
    <w:rsid w:val="00B908E2"/>
    <w:rsid w:val="00BA1179"/>
    <w:rsid w:val="00BB47BC"/>
    <w:rsid w:val="00BC0224"/>
    <w:rsid w:val="00BE02A4"/>
    <w:rsid w:val="00C130A7"/>
    <w:rsid w:val="00C15832"/>
    <w:rsid w:val="00C25863"/>
    <w:rsid w:val="00C3556D"/>
    <w:rsid w:val="00C40784"/>
    <w:rsid w:val="00C54315"/>
    <w:rsid w:val="00C55772"/>
    <w:rsid w:val="00C56CA7"/>
    <w:rsid w:val="00C61143"/>
    <w:rsid w:val="00C65BCF"/>
    <w:rsid w:val="00C83256"/>
    <w:rsid w:val="00CB10A7"/>
    <w:rsid w:val="00CC39A9"/>
    <w:rsid w:val="00CD48D5"/>
    <w:rsid w:val="00CD79FF"/>
    <w:rsid w:val="00CF279F"/>
    <w:rsid w:val="00D00759"/>
    <w:rsid w:val="00D22FA4"/>
    <w:rsid w:val="00D367B2"/>
    <w:rsid w:val="00D42091"/>
    <w:rsid w:val="00D54B9C"/>
    <w:rsid w:val="00D55B64"/>
    <w:rsid w:val="00D604B3"/>
    <w:rsid w:val="00D81CA7"/>
    <w:rsid w:val="00D83AA9"/>
    <w:rsid w:val="00D95079"/>
    <w:rsid w:val="00DA122B"/>
    <w:rsid w:val="00DB2F26"/>
    <w:rsid w:val="00DB4C8B"/>
    <w:rsid w:val="00DC12C9"/>
    <w:rsid w:val="00DC2563"/>
    <w:rsid w:val="00DC75B6"/>
    <w:rsid w:val="00DD7E98"/>
    <w:rsid w:val="00DE5952"/>
    <w:rsid w:val="00E1055C"/>
    <w:rsid w:val="00E223E8"/>
    <w:rsid w:val="00E2546C"/>
    <w:rsid w:val="00E26F4F"/>
    <w:rsid w:val="00E33F5A"/>
    <w:rsid w:val="00E41542"/>
    <w:rsid w:val="00E801A2"/>
    <w:rsid w:val="00E83E18"/>
    <w:rsid w:val="00EA0EBD"/>
    <w:rsid w:val="00EA15FA"/>
    <w:rsid w:val="00EB3CF0"/>
    <w:rsid w:val="00EC3E5E"/>
    <w:rsid w:val="00ED1034"/>
    <w:rsid w:val="00ED54F1"/>
    <w:rsid w:val="00ED677E"/>
    <w:rsid w:val="00EF433B"/>
    <w:rsid w:val="00F000F5"/>
    <w:rsid w:val="00F12D89"/>
    <w:rsid w:val="00F26149"/>
    <w:rsid w:val="00F32C30"/>
    <w:rsid w:val="00F34B60"/>
    <w:rsid w:val="00F402D9"/>
    <w:rsid w:val="00F409D5"/>
    <w:rsid w:val="00F42A43"/>
    <w:rsid w:val="00F644A5"/>
    <w:rsid w:val="00F73E62"/>
    <w:rsid w:val="00F80E67"/>
    <w:rsid w:val="00F80E6E"/>
    <w:rsid w:val="00F900CE"/>
    <w:rsid w:val="00F90AA5"/>
    <w:rsid w:val="00F940B1"/>
    <w:rsid w:val="00FA0195"/>
    <w:rsid w:val="00FA2670"/>
    <w:rsid w:val="00FA28D0"/>
    <w:rsid w:val="00FA48AC"/>
    <w:rsid w:val="00FB09C6"/>
    <w:rsid w:val="00FB6D14"/>
    <w:rsid w:val="00FB7C8D"/>
    <w:rsid w:val="00FC5FAD"/>
    <w:rsid w:val="00FD3BA8"/>
    <w:rsid w:val="00FE21C6"/>
    <w:rsid w:val="00FE416E"/>
    <w:rsid w:val="00FF0BEC"/>
    <w:rsid w:val="00FF4357"/>
    <w:rsid w:val="00FF61F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33E499E-1612-4CF9-8235-5FC53808F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2DAC"/>
    <w:pPr>
      <w:spacing w:after="0" w:line="360" w:lineRule="auto"/>
    </w:pPr>
    <w:rPr>
      <w:sz w:val="24"/>
    </w:rPr>
  </w:style>
  <w:style w:type="paragraph" w:styleId="Heading1">
    <w:name w:val="heading 1"/>
    <w:basedOn w:val="Normal"/>
    <w:next w:val="Normal"/>
    <w:link w:val="Heading1Char"/>
    <w:uiPriority w:val="9"/>
    <w:qFormat/>
    <w:rsid w:val="000A2167"/>
    <w:pPr>
      <w:spacing w:line="276" w:lineRule="auto"/>
      <w:contextualSpacing/>
      <w:outlineLvl w:val="0"/>
    </w:pPr>
    <w:rPr>
      <w:rFonts w:ascii="Times" w:eastAsia="Times New Roman" w:hAnsi="Times"/>
      <w:b/>
      <w:noProof/>
      <w:szCs w:val="20"/>
    </w:rPr>
  </w:style>
  <w:style w:type="paragraph" w:styleId="Heading2">
    <w:name w:val="heading 2"/>
    <w:basedOn w:val="Normal"/>
    <w:next w:val="Normal"/>
    <w:link w:val="Heading2Char"/>
    <w:autoRedefine/>
    <w:uiPriority w:val="9"/>
    <w:unhideWhenUsed/>
    <w:qFormat/>
    <w:rsid w:val="00FB6D14"/>
    <w:pPr>
      <w:spacing w:line="480" w:lineRule="auto"/>
      <w:contextualSpacing/>
      <w:outlineLvl w:val="1"/>
    </w:pPr>
    <w:rPr>
      <w:rFonts w:ascii="Times" w:eastAsia="Times New Roman" w:hAnsi="Times"/>
      <w:b/>
      <w:szCs w:val="20"/>
    </w:rPr>
  </w:style>
  <w:style w:type="paragraph" w:styleId="Heading3">
    <w:name w:val="heading 3"/>
    <w:basedOn w:val="Normal"/>
    <w:next w:val="Normal"/>
    <w:link w:val="Heading3Char"/>
    <w:uiPriority w:val="9"/>
    <w:unhideWhenUsed/>
    <w:qFormat/>
    <w:rsid w:val="00FB6D14"/>
    <w:pPr>
      <w:outlineLvl w:val="2"/>
    </w:pPr>
    <w:rPr>
      <w:i/>
    </w:rPr>
  </w:style>
  <w:style w:type="paragraph" w:styleId="Heading4">
    <w:name w:val="heading 4"/>
    <w:basedOn w:val="Normal"/>
    <w:next w:val="Normal"/>
    <w:link w:val="Heading4Char"/>
    <w:uiPriority w:val="9"/>
    <w:unhideWhenUsed/>
    <w:qFormat/>
    <w:rsid w:val="00FB6D14"/>
    <w:pPr>
      <w:spacing w:line="480" w:lineRule="auto"/>
      <w:contextualSpacing/>
      <w:jc w:val="both"/>
      <w:outlineLvl w:val="3"/>
    </w:pPr>
    <w:rPr>
      <w:rFonts w:ascii="Times" w:eastAsia="Times New Roman" w:hAnsi="Times"/>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B6D14"/>
    <w:rPr>
      <w:rFonts w:ascii="Times" w:eastAsia="Times New Roman" w:hAnsi="Times"/>
      <w:b/>
      <w:sz w:val="24"/>
      <w:szCs w:val="20"/>
    </w:rPr>
  </w:style>
  <w:style w:type="character" w:customStyle="1" w:styleId="Heading1Char">
    <w:name w:val="Heading 1 Char"/>
    <w:basedOn w:val="DefaultParagraphFont"/>
    <w:link w:val="Heading1"/>
    <w:uiPriority w:val="9"/>
    <w:rsid w:val="000A2167"/>
    <w:rPr>
      <w:rFonts w:ascii="Times" w:eastAsia="Times New Roman" w:hAnsi="Times"/>
      <w:b/>
      <w:noProof/>
      <w:sz w:val="24"/>
      <w:szCs w:val="20"/>
    </w:rPr>
  </w:style>
  <w:style w:type="character" w:customStyle="1" w:styleId="Heading3Char">
    <w:name w:val="Heading 3 Char"/>
    <w:basedOn w:val="DefaultParagraphFont"/>
    <w:link w:val="Heading3"/>
    <w:uiPriority w:val="9"/>
    <w:rsid w:val="00FB6D14"/>
    <w:rPr>
      <w:i/>
      <w:sz w:val="24"/>
    </w:rPr>
  </w:style>
  <w:style w:type="character" w:customStyle="1" w:styleId="Heading4Char">
    <w:name w:val="Heading 4 Char"/>
    <w:basedOn w:val="DefaultParagraphFont"/>
    <w:link w:val="Heading4"/>
    <w:uiPriority w:val="9"/>
    <w:rsid w:val="00FB6D14"/>
    <w:rPr>
      <w:rFonts w:ascii="Times" w:eastAsia="Times New Roman" w:hAnsi="Times"/>
      <w:i/>
      <w:sz w:val="24"/>
      <w:szCs w:val="20"/>
    </w:rPr>
  </w:style>
  <w:style w:type="paragraph" w:styleId="Footer">
    <w:name w:val="footer"/>
    <w:basedOn w:val="Normal"/>
    <w:link w:val="FooterChar"/>
    <w:uiPriority w:val="99"/>
    <w:unhideWhenUsed/>
    <w:rsid w:val="00133C55"/>
    <w:pPr>
      <w:tabs>
        <w:tab w:val="center" w:pos="4513"/>
        <w:tab w:val="right" w:pos="9026"/>
      </w:tabs>
      <w:spacing w:line="240" w:lineRule="auto"/>
      <w:contextualSpacing/>
      <w:jc w:val="both"/>
    </w:pPr>
    <w:rPr>
      <w:rFonts w:ascii="Times" w:eastAsia="Times New Roman" w:hAnsi="Times"/>
      <w:i/>
      <w:szCs w:val="20"/>
      <w:lang w:val="en-US"/>
    </w:rPr>
  </w:style>
  <w:style w:type="character" w:customStyle="1" w:styleId="FooterChar">
    <w:name w:val="Footer Char"/>
    <w:basedOn w:val="DefaultParagraphFont"/>
    <w:link w:val="Footer"/>
    <w:uiPriority w:val="99"/>
    <w:rsid w:val="00133C55"/>
    <w:rPr>
      <w:rFonts w:ascii="Times" w:eastAsia="Times New Roman" w:hAnsi="Times"/>
      <w:i/>
      <w:sz w:val="24"/>
      <w:szCs w:val="20"/>
      <w:lang w:val="en-US"/>
    </w:rPr>
  </w:style>
  <w:style w:type="character" w:styleId="PageNumber">
    <w:name w:val="page number"/>
    <w:basedOn w:val="DefaultParagraphFont"/>
    <w:rsid w:val="00133C55"/>
  </w:style>
  <w:style w:type="paragraph" w:styleId="BalloonText">
    <w:name w:val="Balloon Text"/>
    <w:basedOn w:val="Normal"/>
    <w:link w:val="BalloonTextChar"/>
    <w:uiPriority w:val="99"/>
    <w:semiHidden/>
    <w:unhideWhenUsed/>
    <w:rsid w:val="00133C5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3C55"/>
    <w:rPr>
      <w:rFonts w:ascii="Segoe UI" w:hAnsi="Segoe UI" w:cs="Segoe UI"/>
      <w:sz w:val="18"/>
      <w:szCs w:val="18"/>
    </w:rPr>
  </w:style>
  <w:style w:type="paragraph" w:styleId="Header">
    <w:name w:val="header"/>
    <w:basedOn w:val="Normal"/>
    <w:link w:val="HeaderChar"/>
    <w:uiPriority w:val="99"/>
    <w:unhideWhenUsed/>
    <w:rsid w:val="003D2DAC"/>
    <w:pPr>
      <w:tabs>
        <w:tab w:val="center" w:pos="4513"/>
        <w:tab w:val="right" w:pos="9026"/>
      </w:tabs>
      <w:spacing w:line="240" w:lineRule="auto"/>
    </w:pPr>
  </w:style>
  <w:style w:type="character" w:customStyle="1" w:styleId="HeaderChar">
    <w:name w:val="Header Char"/>
    <w:basedOn w:val="DefaultParagraphFont"/>
    <w:link w:val="Header"/>
    <w:uiPriority w:val="99"/>
    <w:rsid w:val="003D2DAC"/>
    <w:rPr>
      <w:sz w:val="24"/>
    </w:rPr>
  </w:style>
  <w:style w:type="paragraph" w:styleId="ListParagraph">
    <w:name w:val="List Paragraph"/>
    <w:basedOn w:val="Normal"/>
    <w:uiPriority w:val="34"/>
    <w:qFormat/>
    <w:rsid w:val="0003079F"/>
    <w:pPr>
      <w:ind w:left="720"/>
      <w:contextualSpacing/>
    </w:pPr>
  </w:style>
  <w:style w:type="paragraph" w:styleId="Caption">
    <w:name w:val="caption"/>
    <w:basedOn w:val="Normal"/>
    <w:next w:val="Normal"/>
    <w:uiPriority w:val="35"/>
    <w:unhideWhenUsed/>
    <w:qFormat/>
    <w:rsid w:val="00435A5B"/>
    <w:pPr>
      <w:spacing w:after="200" w:line="240" w:lineRule="auto"/>
    </w:pPr>
    <w:rPr>
      <w:b/>
      <w:bCs/>
      <w:color w:val="4F81BD" w:themeColor="accent1"/>
      <w:sz w:val="18"/>
      <w:szCs w:val="18"/>
    </w:rPr>
  </w:style>
  <w:style w:type="paragraph" w:styleId="FootnoteText">
    <w:name w:val="footnote text"/>
    <w:basedOn w:val="Normal"/>
    <w:link w:val="FootnoteTextChar"/>
    <w:uiPriority w:val="99"/>
    <w:unhideWhenUsed/>
    <w:rsid w:val="00D367B2"/>
    <w:pPr>
      <w:spacing w:line="240" w:lineRule="auto"/>
    </w:pPr>
    <w:rPr>
      <w:sz w:val="20"/>
      <w:szCs w:val="20"/>
    </w:rPr>
  </w:style>
  <w:style w:type="character" w:customStyle="1" w:styleId="FootnoteTextChar">
    <w:name w:val="Footnote Text Char"/>
    <w:basedOn w:val="DefaultParagraphFont"/>
    <w:link w:val="FootnoteText"/>
    <w:uiPriority w:val="99"/>
    <w:rsid w:val="00D367B2"/>
    <w:rPr>
      <w:sz w:val="20"/>
      <w:szCs w:val="20"/>
    </w:rPr>
  </w:style>
  <w:style w:type="character" w:styleId="FootnoteReference">
    <w:name w:val="footnote reference"/>
    <w:basedOn w:val="DefaultParagraphFont"/>
    <w:uiPriority w:val="99"/>
    <w:semiHidden/>
    <w:unhideWhenUsed/>
    <w:rsid w:val="00D367B2"/>
    <w:rPr>
      <w:vertAlign w:val="superscript"/>
    </w:rPr>
  </w:style>
  <w:style w:type="paragraph" w:styleId="NormalWeb">
    <w:name w:val="Normal (Web)"/>
    <w:basedOn w:val="Normal"/>
    <w:uiPriority w:val="99"/>
    <w:semiHidden/>
    <w:unhideWhenUsed/>
    <w:rsid w:val="00DD7E98"/>
    <w:pPr>
      <w:spacing w:before="100" w:beforeAutospacing="1" w:after="100" w:afterAutospacing="1" w:line="240" w:lineRule="auto"/>
    </w:pPr>
    <w:rPr>
      <w:rFonts w:eastAsiaTheme="minorEastAsia"/>
      <w:szCs w:val="24"/>
      <w:lang w:eastAsia="en-GB"/>
    </w:rPr>
  </w:style>
  <w:style w:type="paragraph" w:customStyle="1" w:styleId="BBAuthorName">
    <w:name w:val="BB_Author_Name"/>
    <w:basedOn w:val="Normal"/>
    <w:next w:val="BCAuthorAddress"/>
    <w:rsid w:val="008E40F1"/>
    <w:pPr>
      <w:spacing w:after="240" w:line="480" w:lineRule="auto"/>
      <w:jc w:val="center"/>
    </w:pPr>
    <w:rPr>
      <w:rFonts w:ascii="Times" w:eastAsia="Times New Roman" w:hAnsi="Times"/>
      <w:i/>
      <w:szCs w:val="20"/>
    </w:rPr>
  </w:style>
  <w:style w:type="paragraph" w:customStyle="1" w:styleId="BATitle">
    <w:name w:val="BA_Title"/>
    <w:basedOn w:val="Normal"/>
    <w:next w:val="BBAuthorName"/>
    <w:rsid w:val="008E40F1"/>
    <w:pPr>
      <w:spacing w:before="720" w:after="360" w:line="480" w:lineRule="auto"/>
      <w:jc w:val="center"/>
    </w:pPr>
    <w:rPr>
      <w:rFonts w:eastAsia="Times New Roman"/>
      <w:sz w:val="44"/>
      <w:szCs w:val="20"/>
    </w:rPr>
  </w:style>
  <w:style w:type="paragraph" w:customStyle="1" w:styleId="BCAuthorAddress">
    <w:name w:val="BC_Author_Address"/>
    <w:basedOn w:val="Normal"/>
    <w:next w:val="Normal"/>
    <w:rsid w:val="008E40F1"/>
    <w:pPr>
      <w:spacing w:after="240" w:line="480" w:lineRule="auto"/>
      <w:jc w:val="center"/>
    </w:pPr>
    <w:rPr>
      <w:rFonts w:ascii="Times" w:eastAsia="Times New Roman" w:hAnsi="Times"/>
      <w:szCs w:val="20"/>
    </w:rPr>
  </w:style>
  <w:style w:type="paragraph" w:customStyle="1" w:styleId="BDAbstract">
    <w:name w:val="BD_Abstract"/>
    <w:basedOn w:val="Normal"/>
    <w:next w:val="Normal"/>
    <w:rsid w:val="008E40F1"/>
    <w:pPr>
      <w:spacing w:before="360" w:after="360" w:line="480" w:lineRule="auto"/>
      <w:jc w:val="both"/>
    </w:pPr>
    <w:rPr>
      <w:rFonts w:ascii="Times" w:eastAsia="Times New Roman" w:hAnsi="Times"/>
      <w:szCs w:val="20"/>
    </w:rPr>
  </w:style>
  <w:style w:type="paragraph" w:customStyle="1" w:styleId="BGKeywords">
    <w:name w:val="BG_Keywords"/>
    <w:basedOn w:val="Normal"/>
    <w:rsid w:val="008E40F1"/>
    <w:pPr>
      <w:spacing w:after="80" w:line="480" w:lineRule="auto"/>
      <w:jc w:val="both"/>
    </w:pPr>
    <w:rPr>
      <w:rFonts w:ascii="Times" w:eastAsia="Times New Roman" w:hAnsi="Times"/>
      <w:szCs w:val="20"/>
    </w:rPr>
  </w:style>
  <w:style w:type="table" w:styleId="TableGrid">
    <w:name w:val="Table Grid"/>
    <w:basedOn w:val="TableNormal"/>
    <w:uiPriority w:val="59"/>
    <w:rsid w:val="00B677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MainText">
    <w:name w:val="TA_Main_Text"/>
    <w:basedOn w:val="Normal"/>
    <w:link w:val="TAMainTextChar"/>
    <w:rsid w:val="0065449C"/>
    <w:pPr>
      <w:spacing w:line="480" w:lineRule="auto"/>
      <w:ind w:firstLine="202"/>
      <w:jc w:val="both"/>
    </w:pPr>
    <w:rPr>
      <w:rFonts w:ascii="Times" w:eastAsia="Times New Roman" w:hAnsi="Times"/>
      <w:szCs w:val="20"/>
    </w:rPr>
  </w:style>
  <w:style w:type="character" w:customStyle="1" w:styleId="TAMainTextChar">
    <w:name w:val="TA_Main_Text Char"/>
    <w:basedOn w:val="DefaultParagraphFont"/>
    <w:link w:val="TAMainText"/>
    <w:rsid w:val="0065449C"/>
    <w:rPr>
      <w:rFonts w:ascii="Times" w:eastAsia="Times New Roman" w:hAnsi="Times"/>
      <w:sz w:val="24"/>
      <w:szCs w:val="20"/>
    </w:rPr>
  </w:style>
  <w:style w:type="table" w:customStyle="1" w:styleId="TableGridLight1">
    <w:name w:val="Table Grid Light1"/>
    <w:basedOn w:val="TableNormal"/>
    <w:uiPriority w:val="40"/>
    <w:rsid w:val="00C8325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Figures">
    <w:name w:val="table of figures"/>
    <w:basedOn w:val="Normal"/>
    <w:next w:val="Normal"/>
    <w:uiPriority w:val="99"/>
    <w:unhideWhenUsed/>
    <w:rsid w:val="00A7055F"/>
  </w:style>
  <w:style w:type="character" w:styleId="Hyperlink">
    <w:name w:val="Hyperlink"/>
    <w:basedOn w:val="DefaultParagraphFont"/>
    <w:uiPriority w:val="99"/>
    <w:unhideWhenUsed/>
    <w:rsid w:val="00A7055F"/>
    <w:rPr>
      <w:color w:val="0000FF" w:themeColor="hyperlink"/>
      <w:u w:val="single"/>
    </w:rPr>
  </w:style>
  <w:style w:type="paragraph" w:styleId="Revision">
    <w:name w:val="Revision"/>
    <w:hidden/>
    <w:uiPriority w:val="99"/>
    <w:semiHidden/>
    <w:rsid w:val="00310C2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3042912">
      <w:bodyDiv w:val="1"/>
      <w:marLeft w:val="0"/>
      <w:marRight w:val="0"/>
      <w:marTop w:val="0"/>
      <w:marBottom w:val="0"/>
      <w:divBdr>
        <w:top w:val="none" w:sz="0" w:space="0" w:color="auto"/>
        <w:left w:val="none" w:sz="0" w:space="0" w:color="auto"/>
        <w:bottom w:val="none" w:sz="0" w:space="0" w:color="auto"/>
        <w:right w:val="none" w:sz="0" w:space="0" w:color="auto"/>
      </w:divBdr>
    </w:div>
    <w:div w:id="1884445103">
      <w:bodyDiv w:val="1"/>
      <w:marLeft w:val="0"/>
      <w:marRight w:val="0"/>
      <w:marTop w:val="0"/>
      <w:marBottom w:val="0"/>
      <w:divBdr>
        <w:top w:val="none" w:sz="0" w:space="0" w:color="auto"/>
        <w:left w:val="none" w:sz="0" w:space="0" w:color="auto"/>
        <w:bottom w:val="none" w:sz="0" w:space="0" w:color="auto"/>
        <w:right w:val="none" w:sz="0" w:space="0" w:color="auto"/>
      </w:divBdr>
    </w:div>
    <w:div w:id="1975595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3.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footer" Target="footer3.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chart" Target="charts/chart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582329481542081"/>
          <c:y val="3.0072294924438386E-2"/>
          <c:w val="0.76282852143482072"/>
          <c:h val="0.78074438611840191"/>
        </c:manualLayout>
      </c:layout>
      <c:barChart>
        <c:barDir val="col"/>
        <c:grouping val="clustered"/>
        <c:varyColors val="0"/>
        <c:ser>
          <c:idx val="0"/>
          <c:order val="0"/>
          <c:tx>
            <c:strRef>
              <c:f>Time!$K$180</c:f>
              <c:strCache>
                <c:ptCount val="1"/>
                <c:pt idx="0">
                  <c:v> Conversion of BO [%]</c:v>
                </c:pt>
              </c:strCache>
            </c:strRef>
          </c:tx>
          <c:spPr>
            <a:solidFill>
              <a:srgbClr val="C00000"/>
            </a:solidFill>
          </c:spPr>
          <c:invertIfNegative val="0"/>
          <c:val>
            <c:numRef>
              <c:f>Time!$K$181:$K$186</c:f>
              <c:numCache>
                <c:formatCode>General</c:formatCode>
                <c:ptCount val="6"/>
                <c:pt idx="0">
                  <c:v>91.4</c:v>
                </c:pt>
                <c:pt idx="1">
                  <c:v>91.4</c:v>
                </c:pt>
                <c:pt idx="2">
                  <c:v>91.4</c:v>
                </c:pt>
                <c:pt idx="3">
                  <c:v>91.4</c:v>
                </c:pt>
                <c:pt idx="4">
                  <c:v>91.4</c:v>
                </c:pt>
                <c:pt idx="5">
                  <c:v>91.4</c:v>
                </c:pt>
              </c:numCache>
            </c:numRef>
          </c:val>
          <c:extLst>
            <c:ext xmlns:c16="http://schemas.microsoft.com/office/drawing/2014/chart" uri="{C3380CC4-5D6E-409C-BE32-E72D297353CC}">
              <c16:uniqueId val="{00000000-4A0C-41CC-8A61-F40E1476BACB}"/>
            </c:ext>
          </c:extLst>
        </c:ser>
        <c:ser>
          <c:idx val="2"/>
          <c:order val="1"/>
          <c:tx>
            <c:strRef>
              <c:f>Time!$M$180</c:f>
              <c:strCache>
                <c:ptCount val="1"/>
                <c:pt idx="0">
                  <c:v>Selectivity [%]</c:v>
                </c:pt>
              </c:strCache>
            </c:strRef>
          </c:tx>
          <c:spPr>
            <a:solidFill>
              <a:srgbClr val="0070C0"/>
            </a:solidFill>
            <a:ln w="15875" cap="rnd">
              <a:noFill/>
            </a:ln>
          </c:spPr>
          <c:invertIfNegative val="0"/>
          <c:cat>
            <c:strRef>
              <c:f>'E:\LSBU PhD\victor\[Graph for figure.xlsx]Catalyst reusability.'!$G$6:$G$11</c:f>
              <c:strCache>
                <c:ptCount val="6"/>
                <c:pt idx="0">
                  <c:v>Run 1</c:v>
                </c:pt>
                <c:pt idx="1">
                  <c:v>Run 2</c:v>
                </c:pt>
                <c:pt idx="2">
                  <c:v>Run 3</c:v>
                </c:pt>
                <c:pt idx="3">
                  <c:v>Run 4</c:v>
                </c:pt>
                <c:pt idx="4">
                  <c:v>Run 5</c:v>
                </c:pt>
                <c:pt idx="5">
                  <c:v>Run 6</c:v>
                </c:pt>
              </c:strCache>
            </c:strRef>
          </c:cat>
          <c:val>
            <c:numRef>
              <c:f>Time!$M$181:$M$186</c:f>
              <c:numCache>
                <c:formatCode>General</c:formatCode>
                <c:ptCount val="6"/>
                <c:pt idx="0">
                  <c:v>72.757111597374177</c:v>
                </c:pt>
                <c:pt idx="1">
                  <c:v>72.757111597374177</c:v>
                </c:pt>
                <c:pt idx="2">
                  <c:v>72.757111597374177</c:v>
                </c:pt>
                <c:pt idx="3">
                  <c:v>72.757111597374177</c:v>
                </c:pt>
                <c:pt idx="4">
                  <c:v>72.757111597374177</c:v>
                </c:pt>
                <c:pt idx="5">
                  <c:v>72.757111597374177</c:v>
                </c:pt>
              </c:numCache>
            </c:numRef>
          </c:val>
          <c:extLst>
            <c:ext xmlns:c16="http://schemas.microsoft.com/office/drawing/2014/chart" uri="{C3380CC4-5D6E-409C-BE32-E72D297353CC}">
              <c16:uniqueId val="{00000000-5D99-4961-A98F-8207AC228B44}"/>
            </c:ext>
          </c:extLst>
        </c:ser>
        <c:ser>
          <c:idx val="1"/>
          <c:order val="2"/>
          <c:tx>
            <c:strRef>
              <c:f>Time!$L$180</c:f>
              <c:strCache>
                <c:ptCount val="1"/>
                <c:pt idx="0">
                  <c:v>Yield of BC [%]</c:v>
                </c:pt>
              </c:strCache>
            </c:strRef>
          </c:tx>
          <c:spPr>
            <a:solidFill>
              <a:srgbClr val="92D050"/>
            </a:solidFill>
            <a:ln>
              <a:noFill/>
            </a:ln>
          </c:spPr>
          <c:invertIfNegative val="0"/>
          <c:cat>
            <c:strRef>
              <c:f>'E:\LSBU PhD\victor\[Graph for figure.xlsx]Catalyst reusability.'!$G$6:$G$11</c:f>
              <c:strCache>
                <c:ptCount val="6"/>
                <c:pt idx="0">
                  <c:v>Run 1</c:v>
                </c:pt>
                <c:pt idx="1">
                  <c:v>Run 2</c:v>
                </c:pt>
                <c:pt idx="2">
                  <c:v>Run 3</c:v>
                </c:pt>
                <c:pt idx="3">
                  <c:v>Run 4</c:v>
                </c:pt>
                <c:pt idx="4">
                  <c:v>Run 5</c:v>
                </c:pt>
                <c:pt idx="5">
                  <c:v>Run 6</c:v>
                </c:pt>
              </c:strCache>
            </c:strRef>
          </c:cat>
          <c:val>
            <c:numRef>
              <c:f>Time!$L$181:$L$186</c:f>
              <c:numCache>
                <c:formatCode>General</c:formatCode>
                <c:ptCount val="6"/>
                <c:pt idx="0">
                  <c:v>66.5</c:v>
                </c:pt>
                <c:pt idx="1">
                  <c:v>66.5</c:v>
                </c:pt>
                <c:pt idx="2">
                  <c:v>66.5</c:v>
                </c:pt>
                <c:pt idx="3">
                  <c:v>66.5</c:v>
                </c:pt>
                <c:pt idx="4">
                  <c:v>66.5</c:v>
                </c:pt>
                <c:pt idx="5">
                  <c:v>66.5</c:v>
                </c:pt>
              </c:numCache>
            </c:numRef>
          </c:val>
          <c:extLst>
            <c:ext xmlns:c16="http://schemas.microsoft.com/office/drawing/2014/chart" uri="{C3380CC4-5D6E-409C-BE32-E72D297353CC}">
              <c16:uniqueId val="{00000001-5D99-4961-A98F-8207AC228B44}"/>
            </c:ext>
          </c:extLst>
        </c:ser>
        <c:dLbls>
          <c:showLegendKey val="0"/>
          <c:showVal val="0"/>
          <c:showCatName val="0"/>
          <c:showSerName val="0"/>
          <c:showPercent val="0"/>
          <c:showBubbleSize val="0"/>
        </c:dLbls>
        <c:gapWidth val="150"/>
        <c:axId val="200064384"/>
        <c:axId val="130926080"/>
      </c:barChart>
      <c:catAx>
        <c:axId val="200064384"/>
        <c:scaling>
          <c:orientation val="minMax"/>
        </c:scaling>
        <c:delete val="0"/>
        <c:axPos val="b"/>
        <c:title>
          <c:tx>
            <c:rich>
              <a:bodyPr/>
              <a:lstStyle/>
              <a:p>
                <a:pPr>
                  <a:defRPr sz="1200">
                    <a:latin typeface="Times New Roman" pitchFamily="18" charset="0"/>
                    <a:cs typeface="Times New Roman" pitchFamily="18" charset="0"/>
                  </a:defRPr>
                </a:pPr>
                <a:r>
                  <a:rPr lang="en-GB" sz="1200">
                    <a:latin typeface="Times New Roman" pitchFamily="18" charset="0"/>
                    <a:cs typeface="Times New Roman" pitchFamily="18" charset="0"/>
                  </a:rPr>
                  <a:t>Catalyst</a:t>
                </a:r>
                <a:r>
                  <a:rPr lang="en-GB" sz="1200" baseline="0">
                    <a:latin typeface="Times New Roman" pitchFamily="18" charset="0"/>
                    <a:cs typeface="Times New Roman" pitchFamily="18" charset="0"/>
                  </a:rPr>
                  <a:t> Reusablity Runs</a:t>
                </a:r>
                <a:endParaRPr lang="en-GB" sz="1200">
                  <a:latin typeface="Times New Roman" pitchFamily="18" charset="0"/>
                  <a:cs typeface="Times New Roman" pitchFamily="18" charset="0"/>
                </a:endParaRPr>
              </a:p>
            </c:rich>
          </c:tx>
          <c:layout>
            <c:manualLayout>
              <c:xMode val="edge"/>
              <c:yMode val="edge"/>
              <c:x val="0.25774700148297064"/>
              <c:y val="0.88497601848939622"/>
            </c:manualLayout>
          </c:layout>
          <c:overlay val="0"/>
        </c:title>
        <c:numFmt formatCode="General" sourceLinked="1"/>
        <c:majorTickMark val="none"/>
        <c:minorTickMark val="out"/>
        <c:tickLblPos val="nextTo"/>
        <c:spPr>
          <a:ln>
            <a:solidFill>
              <a:schemeClr val="tx1"/>
            </a:solidFill>
          </a:ln>
        </c:spPr>
        <c:txPr>
          <a:bodyPr/>
          <a:lstStyle/>
          <a:p>
            <a:pPr>
              <a:defRPr sz="1200">
                <a:latin typeface="Times New Roman" panose="02020603050405020304" pitchFamily="18" charset="0"/>
                <a:cs typeface="Times New Roman" panose="02020603050405020304" pitchFamily="18" charset="0"/>
              </a:defRPr>
            </a:pPr>
            <a:endParaRPr lang="en-US"/>
          </a:p>
        </c:txPr>
        <c:crossAx val="130926080"/>
        <c:crosses val="autoZero"/>
        <c:auto val="1"/>
        <c:lblAlgn val="ctr"/>
        <c:lblOffset val="100"/>
        <c:noMultiLvlLbl val="0"/>
      </c:catAx>
      <c:valAx>
        <c:axId val="130926080"/>
        <c:scaling>
          <c:orientation val="minMax"/>
          <c:max val="100"/>
          <c:min val="0"/>
        </c:scaling>
        <c:delete val="0"/>
        <c:axPos val="l"/>
        <c:title>
          <c:tx>
            <c:rich>
              <a:bodyPr rot="-5400000" vert="horz"/>
              <a:lstStyle/>
              <a:p>
                <a:pPr>
                  <a:defRPr sz="1200"/>
                </a:pPr>
                <a:r>
                  <a:rPr lang="en-GB" sz="1200">
                    <a:latin typeface="Times New Roman" pitchFamily="18" charset="0"/>
                    <a:cs typeface="Times New Roman" pitchFamily="18" charset="0"/>
                  </a:rPr>
                  <a:t> Percentage [%]</a:t>
                </a:r>
              </a:p>
            </c:rich>
          </c:tx>
          <c:layout>
            <c:manualLayout>
              <c:xMode val="edge"/>
              <c:yMode val="edge"/>
              <c:x val="2.7779254865869041E-3"/>
              <c:y val="0.2534459193030455"/>
            </c:manualLayout>
          </c:layout>
          <c:overlay val="0"/>
        </c:title>
        <c:numFmt formatCode="General" sourceLinked="1"/>
        <c:majorTickMark val="out"/>
        <c:minorTickMark val="none"/>
        <c:tickLblPos val="nextTo"/>
        <c:spPr>
          <a:ln w="19050">
            <a:solidFill>
              <a:schemeClr val="tx1"/>
            </a:solidFill>
          </a:ln>
        </c:spPr>
        <c:txPr>
          <a:bodyPr/>
          <a:lstStyle/>
          <a:p>
            <a:pPr>
              <a:defRPr sz="1200">
                <a:latin typeface="Times New Roman" pitchFamily="18" charset="0"/>
                <a:cs typeface="Times New Roman" pitchFamily="18" charset="0"/>
              </a:defRPr>
            </a:pPr>
            <a:endParaRPr lang="en-US"/>
          </a:p>
        </c:txPr>
        <c:crossAx val="200064384"/>
        <c:crosses val="autoZero"/>
        <c:crossBetween val="between"/>
        <c:majorUnit val="20"/>
      </c:valAx>
      <c:spPr>
        <a:noFill/>
        <a:ln w="19050">
          <a:solidFill>
            <a:schemeClr val="tx1"/>
          </a:solidFill>
        </a:ln>
      </c:spPr>
    </c:plotArea>
    <c:legend>
      <c:legendPos val="b"/>
      <c:layout>
        <c:manualLayout>
          <c:xMode val="edge"/>
          <c:yMode val="edge"/>
          <c:x val="8.1168762995534646E-2"/>
          <c:y val="0.92993885227760231"/>
          <c:w val="0.89999986365340701"/>
          <c:h val="6.6389740411266995E-2"/>
        </c:manualLayout>
      </c:layout>
      <c:overlay val="0"/>
    </c:legend>
    <c:plotVisOnly val="1"/>
    <c:dispBlanksAs val="gap"/>
    <c:showDLblsOverMax val="0"/>
  </c:chart>
  <c:spPr>
    <a:noFill/>
    <a:ln w="19050">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BA535-8D96-47CB-A169-D2E14CBD5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32</Pages>
  <Words>19868</Words>
  <Characters>113250</Characters>
  <Application>Microsoft Office Word</Application>
  <DocSecurity>0</DocSecurity>
  <Lines>943</Lines>
  <Paragraphs>265</Paragraphs>
  <ScaleCrop>false</ScaleCrop>
  <HeadingPairs>
    <vt:vector size="2" baseType="variant">
      <vt:variant>
        <vt:lpstr>Title</vt:lpstr>
      </vt:variant>
      <vt:variant>
        <vt:i4>1</vt:i4>
      </vt:variant>
    </vt:vector>
  </HeadingPairs>
  <TitlesOfParts>
    <vt:vector size="1" baseType="lpstr">
      <vt:lpstr/>
    </vt:vector>
  </TitlesOfParts>
  <Company>London South Bank University</Company>
  <LinksUpToDate>false</LinksUpToDate>
  <CharactersWithSpaces>132853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Onyenkeadi, Victor Nnamdi</dc:creator>
  <cp:lastModifiedBy>Saha, Basu</cp:lastModifiedBy>
  <cp:revision>6</cp:revision>
  <cp:lastPrinted>2019-01-31T13:51:00Z</cp:lastPrinted>
  <dcterms:created xsi:type="dcterms:W3CDTF">2019-02-18T18:45:00Z</dcterms:created>
  <dcterms:modified xsi:type="dcterms:W3CDTF">2019-02-18T19:39:00Z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inDIP File ID">
    <vt:lpwstr>3e500c90-aa65-4d30-887e-644cdf668917</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http://www.zotero.org/styles/biomass-and-bioenergy</vt:lpwstr>
  </property>
  <property fmtid="{D5CDD505-2E9C-101B-9397-08002B2CF9AE}" pid="10" name="Mendeley Recent Style Name 3_1">
    <vt:lpwstr>Biomass and Bioenergy</vt:lpwstr>
  </property>
  <property fmtid="{D5CDD505-2E9C-101B-9397-08002B2CF9AE}" pid="11" name="Mendeley Recent Style Id 4_1">
    <vt:lpwstr>http://www.zotero.org/styles/bioresource-technology</vt:lpwstr>
  </property>
  <property fmtid="{D5CDD505-2E9C-101B-9397-08002B2CF9AE}" pid="12" name="Mendeley Recent Style Name 4_1">
    <vt:lpwstr>Bioresource Technology</vt:lpwstr>
  </property>
  <property fmtid="{D5CDD505-2E9C-101B-9397-08002B2CF9AE}" pid="13" name="Mendeley Recent Style Id 5_1">
    <vt:lpwstr>http://www.zotero.org/styles/catalysis-today</vt:lpwstr>
  </property>
  <property fmtid="{D5CDD505-2E9C-101B-9397-08002B2CF9AE}" pid="14" name="Mendeley Recent Style Name 5_1">
    <vt:lpwstr>Catalysis Today</vt:lpwstr>
  </property>
  <property fmtid="{D5CDD505-2E9C-101B-9397-08002B2CF9AE}" pid="15" name="Mendeley Recent Style Id 6_1">
    <vt:lpwstr>http://www.zotero.org/styles/chicago-author-date</vt:lpwstr>
  </property>
  <property fmtid="{D5CDD505-2E9C-101B-9397-08002B2CF9AE}" pid="16" name="Mendeley Recent Style Name 6_1">
    <vt:lpwstr>Chicago Manual of Style 17th edition (author-date)</vt:lpwstr>
  </property>
  <property fmtid="{D5CDD505-2E9C-101B-9397-08002B2CF9AE}" pid="17" name="Mendeley Recent Style Id 7_1">
    <vt:lpwstr>http://www.zotero.org/styles/harvard-cite-them-right</vt:lpwstr>
  </property>
  <property fmtid="{D5CDD505-2E9C-101B-9397-08002B2CF9AE}" pid="18" name="Mendeley Recent Style Name 7_1">
    <vt:lpwstr>Cite Them Right 10th edition - Harvard</vt:lpwstr>
  </property>
  <property fmtid="{D5CDD505-2E9C-101B-9397-08002B2CF9AE}" pid="19" name="Mendeley Recent Style Id 8_1">
    <vt:lpwstr>http://www.zotero.org/styles/ieee</vt:lpwstr>
  </property>
  <property fmtid="{D5CDD505-2E9C-101B-9397-08002B2CF9AE}" pid="20" name="Mendeley Recent Style Name 8_1">
    <vt:lpwstr>IEEE</vt:lpwstr>
  </property>
  <property fmtid="{D5CDD505-2E9C-101B-9397-08002B2CF9AE}" pid="21" name="Mendeley Recent Style Id 9_1">
    <vt:lpwstr>http://www.zotero.org/styles/renewable-energy</vt:lpwstr>
  </property>
  <property fmtid="{D5CDD505-2E9C-101B-9397-08002B2CF9AE}" pid="22" name="Mendeley Recent Style Name 9_1">
    <vt:lpwstr>Renewable Energy</vt:lpwstr>
  </property>
  <property fmtid="{D5CDD505-2E9C-101B-9397-08002B2CF9AE}" pid="23" name="Mendeley Document_1">
    <vt:lpwstr>True</vt:lpwstr>
  </property>
  <property fmtid="{D5CDD505-2E9C-101B-9397-08002B2CF9AE}" pid="24" name="Mendeley Unique User Id_1">
    <vt:lpwstr>acca180e-8023-31f9-a446-bb79efda3fca</vt:lpwstr>
  </property>
  <property fmtid="{D5CDD505-2E9C-101B-9397-08002B2CF9AE}" pid="25" name="Mendeley Citation Style_1">
    <vt:lpwstr>http://www.zotero.org/styles/catalysis-today</vt:lpwstr>
  </property>
</Properties>
</file>