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E659" w14:textId="77777777" w:rsidR="005D192A" w:rsidRPr="00943DFA" w:rsidRDefault="00195130" w:rsidP="00195130">
      <w:pPr>
        <w:pStyle w:val="Heading1"/>
        <w:spacing w:before="240" w:after="240" w:line="360" w:lineRule="auto"/>
        <w:ind w:left="0"/>
        <w:rPr>
          <w:color w:val="0D0D0D" w:themeColor="text1" w:themeTint="F2"/>
        </w:rPr>
      </w:pPr>
      <w:r w:rsidRPr="00943DFA">
        <w:rPr>
          <w:color w:val="0D0D0D" w:themeColor="text1" w:themeTint="F2"/>
        </w:rPr>
        <w:t>The effects of IPO firms’ characteristics on SEC reviews of IPO registration statements</w:t>
      </w:r>
    </w:p>
    <w:p w14:paraId="32E4268A" w14:textId="77777777" w:rsidR="005D192A" w:rsidRPr="00943DFA" w:rsidRDefault="005D192A" w:rsidP="005D192A">
      <w:pPr>
        <w:pStyle w:val="Heading1"/>
        <w:spacing w:before="240" w:after="240" w:line="360" w:lineRule="auto"/>
        <w:ind w:left="0"/>
        <w:jc w:val="center"/>
        <w:rPr>
          <w:color w:val="0D0D0D" w:themeColor="text1" w:themeTint="F2"/>
          <w:u w:val="single"/>
        </w:rPr>
      </w:pPr>
      <w:r w:rsidRPr="00943DFA">
        <w:rPr>
          <w:color w:val="0D0D0D" w:themeColor="text1" w:themeTint="F2"/>
          <w:u w:val="single"/>
        </w:rPr>
        <w:t>Abstract</w:t>
      </w:r>
    </w:p>
    <w:p w14:paraId="3628CBA6" w14:textId="0F7CF630" w:rsidR="005D192A" w:rsidRPr="00943DFA" w:rsidRDefault="00943DFA" w:rsidP="00943DFA">
      <w:pPr>
        <w:pStyle w:val="Heading1"/>
        <w:spacing w:before="240" w:after="240" w:line="360" w:lineRule="auto"/>
        <w:ind w:left="0"/>
        <w:jc w:val="both"/>
        <w:rPr>
          <w:b w:val="0"/>
          <w:bCs w:val="0"/>
          <w:color w:val="0D0D0D" w:themeColor="text1" w:themeTint="F2"/>
        </w:rPr>
        <w:sectPr w:rsidR="005D192A" w:rsidRPr="00943DFA" w:rsidSect="00373B60">
          <w:pgSz w:w="11906" w:h="16838"/>
          <w:pgMar w:top="1440" w:right="1440" w:bottom="1440" w:left="1276" w:header="708" w:footer="708" w:gutter="0"/>
          <w:cols w:space="708"/>
          <w:docGrid w:linePitch="360"/>
        </w:sectPr>
      </w:pPr>
      <w:r w:rsidRPr="00943DFA">
        <w:rPr>
          <w:b w:val="0"/>
          <w:bCs w:val="0"/>
          <w:color w:val="0D0D0D" w:themeColor="text1" w:themeTint="F2"/>
        </w:rPr>
        <w:t>This study investigates how a host of IPO firm characteristics affect the extensiveness of SEC reviews of S-1 filings, as indicated by the duration of the IPO process, the number of comment letters issued by the SEC on each S-1 filing, the number of comments within comment letters and the number of themes commented upon the initial S-1 filings issued by the SEC. This study identifies that the SEC spend more time reviewing S-1 filings, issue more comment letters, more comments and wider range of themes for initial S-1 filings prepared by bigger IPO firms. Older IPO firms experience longer SEC review duration and receive more comment letters. Regarding the impact of IPO firms’ business complexity, the results reveal that SEC reviews are likely to be more extensive when reviewing IPO firms who have greater complexity in their business. In terms of financial health, IPO firms having a higher probability of bankruptcy are identified to have longer SEC reviews, receive more comment letters, more comments and more themes in the comment letters. More profitable IPO firms are also observed to experience longer SEC reviews. The results also reveal that shorter review times are experienced by IPO firms using more external financing. With regard to auditor quality, this study observes shorter reviewing time and fewer comments are experienced by IPO firms audited by Big4 auditors. Overall, the findings suggest that SEC reviews are likely to be more extensive when IPO firms display characteristics that indicate potential deficiencies in the informational quality of their IPO registration statements.</w:t>
      </w:r>
      <w:r w:rsidRPr="00943DFA">
        <w:rPr>
          <w:b w:val="0"/>
          <w:bCs w:val="0"/>
          <w:color w:val="0D0D0D" w:themeColor="text1" w:themeTint="F2"/>
        </w:rPr>
        <w:t xml:space="preserve"> </w:t>
      </w:r>
      <w:r w:rsidRPr="00943DFA">
        <w:rPr>
          <w:b w:val="0"/>
          <w:bCs w:val="0"/>
          <w:color w:val="0D0D0D" w:themeColor="text1" w:themeTint="F2"/>
        </w:rPr>
        <w:t>In addition, the results suggest that IPO firms incur higher cost of remediation when receiving comments on core accounting issues, non-core accounting issues, business issues, and disclosure issues, as compared with other issues. Furthermore, comments on core accounting issues are observed to have the highest cost of remediation. The results also suggest that, during the period of the global financial crisis, SEC reviews became disproportionately more extensive for bigger IPO firms, IPO firms having higher external financing, and IPO firms with a higher probability of bankruptcy.</w:t>
      </w:r>
    </w:p>
    <w:p w14:paraId="79F8AD62" w14:textId="77777777" w:rsidR="00195130" w:rsidRPr="00943DFA" w:rsidRDefault="00195130" w:rsidP="00195130">
      <w:pPr>
        <w:pStyle w:val="Heading1"/>
        <w:spacing w:before="240" w:after="240" w:line="360" w:lineRule="auto"/>
        <w:ind w:left="0"/>
        <w:rPr>
          <w:color w:val="0D0D0D" w:themeColor="text1" w:themeTint="F2"/>
        </w:rPr>
      </w:pPr>
      <w:r w:rsidRPr="00943DFA">
        <w:rPr>
          <w:color w:val="0D0D0D" w:themeColor="text1" w:themeTint="F2"/>
        </w:rPr>
        <w:lastRenderedPageBreak/>
        <w:t xml:space="preserve"> </w:t>
      </w:r>
    </w:p>
    <w:p w14:paraId="54207326" w14:textId="26B9BFB2" w:rsidR="00195130" w:rsidRPr="00943DFA" w:rsidRDefault="00195130" w:rsidP="00195130">
      <w:pPr>
        <w:pStyle w:val="ListParagraph"/>
        <w:numPr>
          <w:ilvl w:val="1"/>
          <w:numId w:val="37"/>
        </w:numPr>
        <w:spacing w:before="240" w:after="240" w:line="360" w:lineRule="auto"/>
        <w:outlineLvl w:val="1"/>
        <w:rPr>
          <w:b/>
          <w:color w:val="0D0D0D" w:themeColor="text1" w:themeTint="F2"/>
        </w:rPr>
      </w:pPr>
      <w:bookmarkStart w:id="0" w:name="_Toc50694176"/>
      <w:bookmarkStart w:id="1" w:name="_Toc50713964"/>
      <w:bookmarkStart w:id="2" w:name="_Toc69749255"/>
      <w:r w:rsidRPr="00943DFA">
        <w:rPr>
          <w:b/>
          <w:color w:val="0D0D0D" w:themeColor="text1" w:themeTint="F2"/>
        </w:rPr>
        <w:t>Introduction</w:t>
      </w:r>
      <w:bookmarkEnd w:id="0"/>
      <w:bookmarkEnd w:id="1"/>
      <w:bookmarkEnd w:id="2"/>
    </w:p>
    <w:p w14:paraId="7BEE5E08" w14:textId="77777777" w:rsidR="00195130" w:rsidRPr="00943DFA" w:rsidRDefault="00195130" w:rsidP="00195130">
      <w:pPr>
        <w:spacing w:after="240" w:line="360" w:lineRule="auto"/>
        <w:jc w:val="both"/>
        <w:rPr>
          <w:color w:val="0D0D0D" w:themeColor="text1" w:themeTint="F2"/>
          <w:lang w:eastAsia="en-US"/>
        </w:rPr>
      </w:pPr>
      <w:r w:rsidRPr="00943DFA">
        <w:rPr>
          <w:color w:val="0D0D0D" w:themeColor="text1" w:themeTint="F2"/>
          <w:lang w:eastAsia="en-US"/>
        </w:rPr>
        <w:t>This study aims to examine how the extensiveness of SEC reviews of S-1 filings, as indicated by the duration of the SEC, the number of SEC comment letters, the number of comments and the range of themes mentioned in the letters, relates to IPO firms’ characteristics. S-1 filings are registration statements prepared by firms going public in the U.S., which provide information about the initial-public-offering (IPO) firm’s financial health, business strategy, competitive advantage in their industry and financial prospects. The U.S. Securities and Exchange Commission (SEC) is an independent agency of the United States federal government, whose key responsibility is conducting a careful review of IPO firms’ prospectuses in order to ensure that IPO firms are reporting “meaningful financial and other information to the public</w:t>
      </w:r>
      <w:r w:rsidRPr="00943DFA">
        <w:rPr>
          <w:color w:val="0D0D0D" w:themeColor="text1" w:themeTint="F2"/>
          <w:shd w:val="clear" w:color="auto" w:fill="FFFFFF" w:themeFill="background1"/>
          <w:lang w:eastAsia="en-US"/>
        </w:rPr>
        <w:t>” (SEC, 2013).</w:t>
      </w:r>
      <w:r w:rsidRPr="00943DFA">
        <w:rPr>
          <w:color w:val="0D0D0D" w:themeColor="text1" w:themeTint="F2"/>
          <w:lang w:eastAsia="en-US"/>
        </w:rPr>
        <w:t xml:space="preserve"> In almost every comment letter, SEC reviewers express that “…the purpose of our review process is to assist you in your compliance with the applicable disclosure requirements and to enhance the overall disclosure in your filing”. </w:t>
      </w:r>
    </w:p>
    <w:p w14:paraId="029A41F6" w14:textId="77777777" w:rsidR="00195130" w:rsidRPr="00943DFA" w:rsidRDefault="00195130" w:rsidP="00195130">
      <w:pPr>
        <w:spacing w:after="240" w:line="360" w:lineRule="auto"/>
        <w:jc w:val="both"/>
        <w:rPr>
          <w:color w:val="0D0D0D" w:themeColor="text1" w:themeTint="F2"/>
        </w:rPr>
      </w:pPr>
      <w:r w:rsidRPr="00943DFA">
        <w:rPr>
          <w:color w:val="0D0D0D" w:themeColor="text1" w:themeTint="F2"/>
          <w:lang w:eastAsia="en-US"/>
        </w:rPr>
        <w:t xml:space="preserve">Generally speaking, </w:t>
      </w:r>
      <w:r w:rsidRPr="00943DFA">
        <w:rPr>
          <w:color w:val="0D0D0D" w:themeColor="text1" w:themeTint="F2"/>
        </w:rPr>
        <w:t>SEC reviews of IPO registration statement play an important role since they aim to improve disclosure quality within U.S. IPO markets.</w:t>
      </w:r>
      <w:r w:rsidRPr="00943DFA">
        <w:rPr>
          <w:color w:val="0D0D0D" w:themeColor="text1" w:themeTint="F2"/>
          <w:lang w:eastAsia="en-US"/>
        </w:rPr>
        <w:t xml:space="preserve"> The IPO environment is characterised by high levels of information asymmetry which may induce IPO firms to make insufficient or misleading disclosures to maximise the proceeds of the offering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IPO process","type":"article-journal","volume":"22"},"uris":["http://www.mendeley.com/documents/?uuid=efcd684f-bf42-48a7-9e9b-bc3ae01b1e13"]}],"mendeley":{"formattedCitation":"(B. Li &amp; Liu, 2017)","manualFormatting":"(Li &amp; Liu, 2017)","plainTextFormattedCitation":"(B. Li &amp; Liu, 2017)","previouslyFormattedCitation":"(B. Li &amp; Liu,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(Li &amp; Liu, 2017)</w:t>
      </w:r>
      <w:r w:rsidRPr="00943DFA">
        <w:rPr>
          <w:color w:val="0D0D0D" w:themeColor="text1" w:themeTint="F2"/>
          <w:lang w:eastAsia="en-US"/>
        </w:rPr>
        <w:fldChar w:fldCharType="end"/>
      </w:r>
      <w:r w:rsidRPr="00943DFA">
        <w:rPr>
          <w:color w:val="0D0D0D" w:themeColor="text1" w:themeTint="F2"/>
          <w:lang w:eastAsia="en-US"/>
        </w:rPr>
        <w:t xml:space="preserve">. Therefore, understanding SEC review process for S-1 filings, especially the determinants of the review (e.g. IPO firms’ characteristics), is important since investors rely on the information discloses through S-1 filings when making investment decisions. S-1 filings typically contain an extensive amount of intangible information about the IPO firm’s future strategy and possible problems which will likely affect investors’ evaluations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{"citationItems":[{"id":"ITEM-1","itemData":{"ISBN":"0304-405X","ISSN":"0304405X","abstract":"Form S-1 is the first SEC filing in the initial public offering (IPO) process. The tone of the S-1, in terms of its definitiveness in characterizing the firm's business strategy and operations, should affect investors' ability to value the IPO. We find that IPOs with high levels of uncertain text have higher first-day returns, absolute offer price revisions, and subsequent volatility. Our findings provide empirical evidence for the theoretical models of uncertainty, bookbuilding, and prospect theory. © 2013 Elsevier B.V.","author":[{"dropping-particle":"","family":"Loughran","given":"Tim","non-dropping-particle":"","parse-names":false,"suffix":""},{"dropping-particle":"","family":"McDonald","given":"Bill","non-dropping-particle":"","parse-names":false,"suffix":""}],"container-title":"Journal of Financial Economics","id":"ITEM-1","issue":"2","issued":{"date-parts":[["2013"]]},"page":"307-326","publisher":"Elsevier","title":"IPO first-day returns, offer price revisions, volatility, and form S-1 language","type":"article-journal","volume":"109"},"uris":["http://www.mendeley.com/documents/?uuid=d7b3b137-1f93-4635-aed2-872307cace0b"]}],"mendeley":{"formattedCitation":"(Loughran &amp; McDonald, 2013)","plainTextFormattedCitation":"(Loughran &amp; McDonald, 2013)","previouslyFormattedCitation":"(Loughran &amp; McDonald, 2013)"},"properties":{"noteIndex":0},"schema":"https://github.com/citation-style-language/schema/raw/master/csl-citation.json"}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(Loughran &amp; McDonald, 2013)</w:t>
      </w:r>
      <w:r w:rsidRPr="00943DFA">
        <w:rPr>
          <w:color w:val="0D0D0D" w:themeColor="text1" w:themeTint="F2"/>
          <w:lang w:eastAsia="en-US"/>
        </w:rPr>
        <w:fldChar w:fldCharType="end"/>
      </w:r>
      <w:r w:rsidRPr="00943DFA">
        <w:rPr>
          <w:color w:val="0D0D0D" w:themeColor="text1" w:themeTint="F2"/>
          <w:lang w:eastAsia="en-US"/>
        </w:rPr>
        <w:t xml:space="preserve">. </w:t>
      </w:r>
    </w:p>
    <w:p w14:paraId="72E120F4" w14:textId="77777777" w:rsidR="00195130" w:rsidRPr="00943DFA" w:rsidRDefault="00195130" w:rsidP="00195130">
      <w:pPr>
        <w:pStyle w:val="ListParagraph"/>
        <w:spacing w:before="240" w:after="240" w:line="360" w:lineRule="auto"/>
        <w:ind w:left="0"/>
        <w:contextualSpacing w:val="0"/>
        <w:jc w:val="both"/>
        <w:rPr>
          <w:rFonts w:eastAsia="Times New Roman"/>
          <w:color w:val="0D0D0D" w:themeColor="text1" w:themeTint="F2"/>
        </w:rPr>
      </w:pPr>
      <w:r w:rsidRPr="00943DFA">
        <w:rPr>
          <w:color w:val="0D0D0D" w:themeColor="text1" w:themeTint="F2"/>
        </w:rPr>
        <w:t xml:space="preserve">Public interest theory, developed by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{"citationItems":[{"id":"ITEM-1","itemData":{"author":[{"dropping-particle":"","family":"Pigou","given":"Arthur Cecil","non-dropping-particle":"","parse-names":false,"suffix":""}],"id":"ITEM-1","issued":{"date-parts":[["1932"]]},"publisher":"Macmillan and Co","publisher-place":"London","title":"The Economics of Welfare","type":"book"},"uris":["http://www.mendeley.com/documents/?uuid=304c7af4-9171-4656-88bf-8929093bf30b"]}],"mendeley":{"formattedCitation":"(Pigou, 1932)","manualFormatting":"Pigou (1932)","plainTextFormattedCitation":"(Pigou, 1932)","previouslyFormattedCitation":"(Pigou, 1932)"},"properties":{"noteIndex":0},"schema":"https://github.com/citation-style-language/schema/raw/master/csl-citation.json"}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Pigou (1932)</w:t>
      </w:r>
      <w:r w:rsidRPr="00943DFA">
        <w:rPr>
          <w:color w:val="0D0D0D" w:themeColor="text1" w:themeTint="F2"/>
        </w:rPr>
        <w:fldChar w:fldCharType="end"/>
      </w:r>
      <w:r w:rsidRPr="00943DFA">
        <w:rPr>
          <w:color w:val="0D0D0D" w:themeColor="text1" w:themeTint="F2"/>
        </w:rPr>
        <w:t xml:space="preserve">, suggests that regulatory bodies are neutral and aim to protect the interests of society as a whole, rather than those of individuals in weak and inefficient markets. </w:t>
      </w:r>
      <w:r w:rsidRPr="00943DFA">
        <w:rPr>
          <w:color w:val="0D0D0D" w:themeColor="text1" w:themeTint="F2"/>
          <w:lang w:eastAsia="en-US"/>
        </w:rPr>
        <w:t xml:space="preserve">There are a growing number of studies providing evidence that SEC reviews are sensitive to firms’ characteristics as indicators of potential informational deficiencies. For example, prior research identify that SEC reviews of corporate disclosure are likely to more extensive for bigger firms (Cassell et al., 2013;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{"citationItems":[{"id":"ITEM-1","itemData":{"author":[{"dropping-particle":"","family":"Cassell","given":"Cory A","non-dropping-particle":"","parse-names":false,"suffix":""},{"dropping-particle":"","family":"Cunningham","given":"Lauren M","non-dropping-particle":"","parse-names":false,"suffix":""},{"dropping-particle":"","family":"Lisic","given":"L. L.","non-dropping-particle":"","parse-names":false,"suffix":""}],"container-title":"Review of Accounting Studies","id":"ITEM-1","issue":"1252-1276","issued":{"date-parts":[["2019"]]},"title":"The Consequences of Writing Not So Readable Responses to SEC Comment Letters","type":"article-journal","volume":"24"},"uris":["http://www.mendeley.com/documents/?uuid=38f86cdd-b6d2-4684-a4f2-c823de87a16e"]}],"mendeley":{"formattedCitation":"(Cory A Cassell et al., 2019)","manualFormatting":"Cassell et al., 2019; Cunningham &amp; Leidner, 2019; Eiler &amp; Kutcher, 2016; Ertimur &amp; Nondorf, 2006; Heese et al., 2017; Johnston &amp; Petacchi, 2017; Li &amp; Liu, 2017; Wang, 2016)","plainTextFormattedCitation":"(Cory A Cassell et al., 2019)","previouslyFormattedCitation":"(Cory A Cassell et al., 2019)"},"properties":{"noteIndex":0},"schema":"https://github.com/citation-style-language/schema/raw/master/csl-citation.json"}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Cassell et al., 2019;</w:t>
      </w:r>
      <w:r w:rsidRPr="00943DFA">
        <w:rPr>
          <w:noProof/>
          <w:color w:val="0D0D0D" w:themeColor="text1" w:themeTint="F2"/>
        </w:rPr>
        <w:t xml:space="preserve"> </w:t>
      </w:r>
      <w:r w:rsidRPr="00943DFA">
        <w:rPr>
          <w:rFonts w:eastAsia="Times New Roman"/>
          <w:noProof/>
          <w:color w:val="0D0D0D" w:themeColor="text1" w:themeTint="F2"/>
        </w:rPr>
        <w:t xml:space="preserve">Cunningham &amp; Leidner, 2019; </w:t>
      </w:r>
      <w:r w:rsidRPr="00943DFA">
        <w:rPr>
          <w:noProof/>
          <w:color w:val="0D0D0D" w:themeColor="text1" w:themeTint="F2"/>
        </w:rPr>
        <w:t>Eiler &amp; Kutcher, 2016</w:t>
      </w:r>
      <w:r w:rsidRPr="00943DFA">
        <w:rPr>
          <w:rFonts w:eastAsia="Times New Roman"/>
          <w:noProof/>
          <w:color w:val="0D0D0D" w:themeColor="text1" w:themeTint="F2"/>
        </w:rPr>
        <w:t xml:space="preserve">; </w:t>
      </w:r>
      <w:r w:rsidRPr="00943DFA">
        <w:rPr>
          <w:rFonts w:eastAsia="Times New Roman"/>
          <w:noProof/>
          <w:color w:val="0D0D0D" w:themeColor="text1" w:themeTint="F2"/>
        </w:rPr>
        <w:fldChar w:fldCharType="begin" w:fldLock="1"/>
      </w:r>
      <w:r w:rsidRPr="00943DFA">
        <w:rPr>
          <w:rFonts w:eastAsia="Times New Roman"/>
          <w:noProof/>
          <w:color w:val="0D0D0D" w:themeColor="text1" w:themeTint="F2"/>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 Duke University","id":"ITEM-1","issued":{"date-parts":[["2006"]]},"note":"3","title":"IPO Firms and the SEC Comment Letter Process","type":"report"},"uris":["http://www.mendeley.com/documents/?uuid=01b61a32-44a8-4cff-b503-d4d5cb89a0fb"]}],"mendeley":{"formattedCitation":"(Ertimur &amp; Nondorf, 2006a)","manualFormatting":"Ertimur &amp; Nondorf, 2006","plainTextFormattedCitation":"(Ertimur &amp; Nondorf, 2006a)","previouslyFormattedCitation":"(Ertimur &amp; Nondorf, 2006a)"},"properties":{"noteIndex":0},"schema":"https://github.com/citation-style-language/schema/raw/master/csl-citation.json"}</w:instrText>
      </w:r>
      <w:r w:rsidRPr="00943DFA">
        <w:rPr>
          <w:rFonts w:eastAsia="Times New Roman"/>
          <w:noProof/>
          <w:color w:val="0D0D0D" w:themeColor="text1" w:themeTint="F2"/>
        </w:rPr>
        <w:fldChar w:fldCharType="separate"/>
      </w:r>
      <w:r w:rsidRPr="00943DFA">
        <w:rPr>
          <w:rFonts w:eastAsia="Times New Roman"/>
          <w:noProof/>
          <w:color w:val="0D0D0D" w:themeColor="text1" w:themeTint="F2"/>
        </w:rPr>
        <w:t>Ertimur &amp; Nondorf, 2006</w:t>
      </w:r>
      <w:r w:rsidRPr="00943DFA">
        <w:rPr>
          <w:rFonts w:eastAsia="Times New Roman"/>
          <w:noProof/>
          <w:color w:val="0D0D0D" w:themeColor="text1" w:themeTint="F2"/>
        </w:rPr>
        <w:fldChar w:fldCharType="end"/>
      </w:r>
      <w:r w:rsidRPr="00943DFA">
        <w:rPr>
          <w:rFonts w:eastAsia="Times New Roman"/>
          <w:noProof/>
          <w:color w:val="0D0D0D" w:themeColor="text1" w:themeTint="F2"/>
        </w:rPr>
        <w:t xml:space="preserve">; Heese et al., 2017; </w:t>
      </w:r>
      <w:r w:rsidRPr="00943DFA">
        <w:rPr>
          <w:rFonts w:eastAsia="Times New Roman"/>
          <w:noProof/>
          <w:color w:val="0D0D0D" w:themeColor="text1" w:themeTint="F2"/>
        </w:rPr>
        <w:lastRenderedPageBreak/>
        <w:t>Johnston &amp; Petacchi, 2017; Li &amp; Liu, 2017; Wang, 2016)</w:t>
      </w:r>
      <w:r w:rsidRPr="00943DFA">
        <w:rPr>
          <w:rFonts w:eastAsia="Times New Roman"/>
          <w:color w:val="0D0D0D" w:themeColor="text1" w:themeTint="F2"/>
        </w:rPr>
        <w:fldChar w:fldCharType="end"/>
      </w:r>
      <w:r w:rsidRPr="00943DFA">
        <w:rPr>
          <w:rFonts w:eastAsia="Times New Roman"/>
          <w:color w:val="0D0D0D" w:themeColor="text1" w:themeTint="F2"/>
        </w:rPr>
        <w:t xml:space="preserve">, perhaps because bigger firms are likely to be more complicated (Boone et al., 2013; Chaplinsky et al., 2017) and more likely to display reporting violations (Correia, 2014). </w:t>
      </w:r>
    </w:p>
    <w:p w14:paraId="41BA1F63"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rFonts w:eastAsia="Times New Roman"/>
          <w:color w:val="0D0D0D" w:themeColor="text1" w:themeTint="F2"/>
        </w:rPr>
        <w:t>In terms of firm age, older firms, who might</w:t>
      </w:r>
      <w:r w:rsidRPr="00943DFA">
        <w:rPr>
          <w:color w:val="0D0D0D" w:themeColor="text1" w:themeTint="F2"/>
        </w:rPr>
        <w:t xml:space="preserve"> have </w:t>
      </w:r>
      <w:r w:rsidRPr="00943DFA">
        <w:rPr>
          <w:rFonts w:eastAsia="Times New Roman"/>
          <w:color w:val="0D0D0D" w:themeColor="text1" w:themeTint="F2"/>
        </w:rPr>
        <w:t xml:space="preserve">greater weaknesses derived from their diversified and complicated operations (Chaplinsky et al., 2017; Doyle et al., 2007), are identified to experience more extensive SEC reviews (Baugh et al., 2017; Cassell et al., 2013; Chen &amp; Johnston, 2010; </w:t>
      </w:r>
      <w:proofErr w:type="spellStart"/>
      <w:r w:rsidRPr="00943DFA">
        <w:rPr>
          <w:rFonts w:eastAsia="Times New Roman"/>
          <w:color w:val="0D0D0D" w:themeColor="text1" w:themeTint="F2"/>
        </w:rPr>
        <w:t>Colaco</w:t>
      </w:r>
      <w:proofErr w:type="spellEnd"/>
      <w:r w:rsidRPr="00943DFA">
        <w:rPr>
          <w:rFonts w:eastAsia="Times New Roman"/>
          <w:color w:val="0D0D0D" w:themeColor="text1" w:themeTint="F2"/>
        </w:rPr>
        <w:t xml:space="preserve"> et al., 2018; </w:t>
      </w:r>
      <w:proofErr w:type="spellStart"/>
      <w:r w:rsidRPr="00943DFA">
        <w:rPr>
          <w:rFonts w:eastAsia="Times New Roman"/>
          <w:color w:val="0D0D0D" w:themeColor="text1" w:themeTint="F2"/>
        </w:rPr>
        <w:t>Heese</w:t>
      </w:r>
      <w:proofErr w:type="spellEnd"/>
      <w:r w:rsidRPr="00943DFA">
        <w:rPr>
          <w:rFonts w:eastAsia="Times New Roman"/>
          <w:color w:val="0D0D0D" w:themeColor="text1" w:themeTint="F2"/>
        </w:rPr>
        <w:t xml:space="preserve"> et al., 2017; Johnston &amp; </w:t>
      </w:r>
      <w:proofErr w:type="spellStart"/>
      <w:r w:rsidRPr="00943DFA">
        <w:rPr>
          <w:rFonts w:eastAsia="Times New Roman"/>
          <w:color w:val="0D0D0D" w:themeColor="text1" w:themeTint="F2"/>
        </w:rPr>
        <w:t>Petacchi</w:t>
      </w:r>
      <w:proofErr w:type="spellEnd"/>
      <w:r w:rsidRPr="00943DFA">
        <w:rPr>
          <w:rFonts w:eastAsia="Times New Roman"/>
          <w:color w:val="0D0D0D" w:themeColor="text1" w:themeTint="F2"/>
        </w:rPr>
        <w:t>, 2017). Concerning business complexity, empirical findings demonstrate that fi</w:t>
      </w:r>
      <w:r w:rsidRPr="00943DFA">
        <w:rPr>
          <w:color w:val="0D0D0D" w:themeColor="text1" w:themeTint="F2"/>
          <w:lang w:eastAsia="en-US"/>
        </w:rPr>
        <w:t>rms with greater complexity in their businesses, who have greater sales growth, more business segments, and who conduct restructuring and M&amp;A activities, attract greater SEC scrutiny (Baugh et al., 2017; Cassell et al., 2013</w:t>
      </w:r>
      <w:r w:rsidRPr="00943DFA">
        <w:rPr>
          <w:color w:val="0D0D0D" w:themeColor="text1" w:themeTint="F2"/>
        </w:rPr>
        <w:t xml:space="preserve">; </w:t>
      </w:r>
      <w:proofErr w:type="spellStart"/>
      <w:r w:rsidRPr="00943DFA">
        <w:rPr>
          <w:color w:val="0D0D0D" w:themeColor="text1" w:themeTint="F2"/>
          <w:lang w:eastAsia="en-US"/>
        </w:rPr>
        <w:t>Duro</w:t>
      </w:r>
      <w:proofErr w:type="spellEnd"/>
      <w:r w:rsidRPr="00943DFA">
        <w:rPr>
          <w:color w:val="0D0D0D" w:themeColor="text1" w:themeTint="F2"/>
          <w:lang w:eastAsia="en-US"/>
        </w:rPr>
        <w:t xml:space="preserve"> et al., 2017;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2017;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{"citationItems":[{"id":"ITEM-1","itemData":{"author":[{"dropping-particle":"","family":"Wang","given":"Qian","non-dropping-particle":"","parse-names":false,"suffix":""}],"container-title":"Journal of Accounting and Public Policy","id":"ITEM-1","issue":"2","issued":{"date-parts":[["2016"]]},"page":"109-133","publisher":"Elsevier Inc.","title":"Determinants of segment disclosure deficiencies and the effect of the SEC comment letter process","type":"article-journal","volume":"35"},"uris":["http://www.mendeley.com/documents/?uuid=91cfdfb9-8157-4540-8d03-7dd2af28c48c"]}],"mendeley":{"formattedCitation":"(Wang, 2016)","manualFormatting":"Wang, 2016)","plainTextFormattedCitation":"(Wang, 2016)","previouslyFormattedCitation":"(Wang, 2016)"},"properties":{"noteIndex":0},"schema":"https://github.com/citation-style-language/schema/raw/master/csl-citation.json"}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Wang, 2016)</w:t>
      </w:r>
      <w:r w:rsidRPr="00943DFA">
        <w:rPr>
          <w:color w:val="0D0D0D" w:themeColor="text1" w:themeTint="F2"/>
          <w:lang w:eastAsia="en-US"/>
        </w:rPr>
        <w:fldChar w:fldCharType="end"/>
      </w:r>
      <w:r w:rsidRPr="00943DFA">
        <w:rPr>
          <w:color w:val="0D0D0D" w:themeColor="text1" w:themeTint="F2"/>
          <w:lang w:eastAsia="en-US"/>
        </w:rPr>
        <w:t>, perhaps because these firms have a weaker informational environment and low reporting quality (</w:t>
      </w:r>
      <w:r w:rsidRPr="00943DFA">
        <w:rPr>
          <w:noProof/>
          <w:color w:val="0D0D0D" w:themeColor="text1" w:themeTint="F2"/>
          <w:lang w:eastAsia="en-US"/>
        </w:rPr>
        <w:t xml:space="preserve">Cassell et al., 2013; </w:t>
      </w:r>
      <w:r w:rsidRPr="00943DFA">
        <w:rPr>
          <w:color w:val="0D0D0D" w:themeColor="text1" w:themeTint="F2"/>
          <w:lang w:eastAsia="en-US"/>
        </w:rPr>
        <w:t>Jiang et al., 2005</w:t>
      </w:r>
      <w:r w:rsidRPr="00943DFA">
        <w:rPr>
          <w:noProof/>
          <w:color w:val="0D0D0D" w:themeColor="text1" w:themeTint="F2"/>
          <w:lang w:eastAsia="en-US"/>
        </w:rPr>
        <w:t>)</w:t>
      </w:r>
      <w:r w:rsidRPr="00943DFA">
        <w:rPr>
          <w:color w:val="0D0D0D" w:themeColor="text1" w:themeTint="F2"/>
          <w:lang w:eastAsia="en-US"/>
        </w:rPr>
        <w:t xml:space="preserve">. </w:t>
      </w:r>
    </w:p>
    <w:p w14:paraId="1C52F55B" w14:textId="77777777" w:rsidR="00195130" w:rsidRPr="00943DFA" w:rsidRDefault="00195130" w:rsidP="00195130">
      <w:pPr>
        <w:pStyle w:val="ListParagraph"/>
        <w:spacing w:before="240" w:after="240" w:line="360" w:lineRule="auto"/>
        <w:ind w:left="0"/>
        <w:contextualSpacing w:val="0"/>
        <w:jc w:val="both"/>
        <w:rPr>
          <w:rFonts w:eastAsia="Times New Roman"/>
          <w:color w:val="0D0D0D" w:themeColor="text1" w:themeTint="F2"/>
        </w:rPr>
      </w:pPr>
      <w:r w:rsidRPr="00943DFA">
        <w:rPr>
          <w:color w:val="0D0D0D" w:themeColor="text1" w:themeTint="F2"/>
          <w:lang w:eastAsia="en-US"/>
        </w:rPr>
        <w:t xml:space="preserve">With regard to financial health, </w:t>
      </w:r>
      <w:r w:rsidRPr="00943DFA">
        <w:rPr>
          <w:rFonts w:eastAsia="Times New Roman"/>
          <w:color w:val="0D0D0D" w:themeColor="text1" w:themeTint="F2"/>
        </w:rPr>
        <w:t>prior research provides evidence that SEC reviews of corporate disclosures are more extensive for firms with complex financial issues or potential issues related to financial health as indicated by higher leverage (</w:t>
      </w:r>
      <w:proofErr w:type="spellStart"/>
      <w:r w:rsidRPr="00943DFA">
        <w:rPr>
          <w:color w:val="0D0D0D" w:themeColor="text1" w:themeTint="F2"/>
          <w:lang w:eastAsia="en-US"/>
        </w:rPr>
        <w:t>Duro</w:t>
      </w:r>
      <w:proofErr w:type="spellEnd"/>
      <w:r w:rsidRPr="00943DFA">
        <w:rPr>
          <w:color w:val="0D0D0D" w:themeColor="text1" w:themeTint="F2"/>
          <w:lang w:eastAsia="en-US"/>
        </w:rPr>
        <w:t xml:space="preserve"> et al., 2017;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{"citationItems":[{"id":"ITEM-1","itemData":{"DOI":"10.2139/ssrn.2474666","ISSN":"1556-5068","abstract":"SEC Comment letters appear to be under-utilized by investors because these largely text-based disclosures are more difficult to access and interpret than other common disclosures. Using a naive Bayesian textual analysis procedure, I classify important SEC comment letters where the signal of importance is significantly negative abnormal returns following comment letter disclosure.  Text analysis alone can identify important letters between 10% and 40% better than chance.  The text analysis signal provides additional power to identify important comment letters over other signals such as insider sales and the presence of revenue recognition related comments.  The incorporation of comment letter information into security prices is more pronounced for comment letters known to have been accessed by investors, using the SEC's EDGAR download logs, providing evidence of investor inattention to important comment letters.","author":[{"dropping-particle":"","family":"Ryans","given":"James","non-dropping-particle":"","parse-names":false,"suffix":""}],"container-title":"38th European Accounting Association Annual Congress 2015 Glasgow","id":"ITEM-1","issue":"2015","issued":{"date-parts":[["2015"]]},"title":"Textual Classification of SEC Comment Letters","type":"article-journal"},"uris":["http://www.mendeley.com/documents/?uuid=d0863e46-e1af-4ca7-8933-bdab66824d10"]}],"mendeley":{"formattedCitation":"(Ryans, 2015)","manualFormatting":"Ryans, 2015)","plainTextFormattedCitation":"(Ryans, 2015)","previouslyFormattedCitation":"(Ryans, 2015)"},"properties":{"noteIndex":0},"schema":"https://github.com/citation-style-language/schema/raw/master/csl-citation.json"}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Ryans, 2015)</w:t>
      </w:r>
      <w:r w:rsidRPr="00943DFA">
        <w:rPr>
          <w:color w:val="0D0D0D" w:themeColor="text1" w:themeTint="F2"/>
          <w:lang w:eastAsia="en-US"/>
        </w:rPr>
        <w:fldChar w:fldCharType="end"/>
      </w:r>
      <w:r w:rsidRPr="00943DFA">
        <w:rPr>
          <w:rFonts w:eastAsia="Times New Roman"/>
          <w:color w:val="0D0D0D" w:themeColor="text1" w:themeTint="F2"/>
        </w:rPr>
        <w:t>, greater probability of bankruptcy (</w:t>
      </w:r>
      <w:r w:rsidRPr="00943DFA">
        <w:rPr>
          <w:color w:val="0D0D0D" w:themeColor="text1" w:themeTint="F2"/>
          <w:lang w:eastAsia="en-US"/>
        </w:rPr>
        <w:t>Cassell et al., 2013)</w:t>
      </w:r>
      <w:r w:rsidRPr="00943DFA">
        <w:rPr>
          <w:rFonts w:eastAsia="Times New Roman"/>
          <w:color w:val="0D0D0D" w:themeColor="text1" w:themeTint="F2"/>
        </w:rPr>
        <w:t>, firms with positive earnings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Business","id":"ITEM-1","issued":{"date-parts":[["2017"]]},"title":"The effect of SEC reviewers on comment letters and financial reporting quality","type":"article-journal"},"uris":["http://www.mendeley.com/documents/?uuid=c7a2e1db-fef8-4c72-baa1-98dd82052a0d"]}],"mendeley":{"formattedCitation":"(Matthew Baugh et al., 2017)","manualFormatting":"Baugh et al., 2017","plainTextFormattedCitation":"(Matthew Baugh et al., 2017)","previouslyFormattedCitation":"(Matthew Baugh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Baugh et al., 2017</w:t>
      </w:r>
      <w:r w:rsidRPr="00943DFA">
        <w:rPr>
          <w:color w:val="0D0D0D" w:themeColor="text1" w:themeTint="F2"/>
          <w:lang w:eastAsia="en-US"/>
        </w:rPr>
        <w:fldChar w:fldCharType="end"/>
      </w:r>
      <w:r w:rsidRPr="00943DFA">
        <w:rPr>
          <w:color w:val="0D0D0D" w:themeColor="text1" w:themeTint="F2"/>
          <w:lang w:eastAsia="en-US"/>
        </w:rPr>
        <w:t>; Wang, 2016) as they are more likely to be disclosing misleading earnings numbers in order to attract investors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{"citationItems":[{"id":"ITEM-1","itemData":{"abstract":"We find evidence that initial public offering (IPO) firms, on average, have high positive issue-year earnings and abnormal accruals, followed by poor long-run earnings and negative abnormal accruals. The IPO year abnormal, and not expected. accruals explain the cross-sectional variation in post-issue earnings and stock returns. The results are robust with respect to alternative abnormal accruals and earnings performance measures. IPO firms adopt more income-increasing depreciation policies when they deviate from similar prior performance same industry non-issuers. and they provide significantly less for uncollectible accounts receivable than their matched non-issuers. The results taken together suggest opportunistic earnings management partially explains the new issues anomaly. [ABSTRACT FROM AUTHOR] Copyright of Review of Accounting Studies is the property of Springer Science &amp; Business Media B.V.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Abstracts.)","author":[{"dropping-particle":"","family":"Teoh","given":"S.H.","non-dropping-particle":"","parse-names":false,"suffix":""},{"dropping-particle":"","family":"Wong","given":"T. J.","non-dropping-particle":"","parse-names":false,"suffix":""},{"dropping-particle":"","family":"Rao","given":"G. R.","non-dropping-particle":"","parse-names":false,"suffix":""}],"container-title":"Review of Accounting Studies","id":"ITEM-1","issue":"1/2","issued":{"date-parts":[["1998"]]},"note":"4","page":"175-208","title":"Are accruals during initial public offerings opportunistic?","type":"article-journal","volume":"3"},"uris":["http://www.mendeley.com/documents/?uuid=9bcab135-1c2b-43e9-8eea-d49b3292ed4a"]}],"mendeley":{"formattedCitation":"(S.H. Teoh, Wong, &amp; Rao, 1998)","manualFormatting":"Teoh et al., 1998a)","plainTextFormattedCitation":"(S.H. Teoh, Wong, &amp; Rao, 1998)","previouslyFormattedCitation":"(S.H. Teoh, Wong, &amp; Rao, 1998)"},"properties":{"noteIndex":0},"schema":"https://github.com/citation-style-language/schema/raw/master/csl-citation.json"}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Teoh et al., 1998a)</w:t>
      </w:r>
      <w:r w:rsidRPr="00943DFA">
        <w:rPr>
          <w:color w:val="0D0D0D" w:themeColor="text1" w:themeTint="F2"/>
          <w:lang w:eastAsia="en-US"/>
        </w:rPr>
        <w:fldChar w:fldCharType="end"/>
      </w:r>
      <w:r w:rsidRPr="00943DFA">
        <w:rPr>
          <w:color w:val="0D0D0D" w:themeColor="text1" w:themeTint="F2"/>
          <w:lang w:eastAsia="en-US"/>
        </w:rPr>
        <w:t xml:space="preserve">, </w:t>
      </w:r>
      <w:r w:rsidRPr="00943DFA">
        <w:rPr>
          <w:rFonts w:eastAsia="Times New Roman"/>
          <w:color w:val="0D0D0D" w:themeColor="text1" w:themeTint="F2"/>
        </w:rPr>
        <w:t>and firms with lower external financing (</w:t>
      </w:r>
      <w:r w:rsidRPr="00943DFA">
        <w:rPr>
          <w:noProof/>
          <w:color w:val="0D0D0D" w:themeColor="text1" w:themeTint="F2"/>
          <w:lang w:eastAsia="en-US"/>
        </w:rPr>
        <w:t xml:space="preserve">Baugh et al., 2017; </w:t>
      </w:r>
      <w:r w:rsidRPr="00943DFA">
        <w:rPr>
          <w:color w:val="0D0D0D" w:themeColor="text1" w:themeTint="F2"/>
          <w:lang w:eastAsia="en-US"/>
        </w:rPr>
        <w:t xml:space="preserve">Cassel et al., 2013;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2013; Wang, 2016</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Business","id":"ITEM-1","issued":{"date-parts":[["2017"]]},"title":"The effect of SEC reviewers on comment letters and financial reporting quality","type":"article-journal"},"uris":["http://www.mendeley.com/documents/?uuid=c7a2e1db-fef8-4c72-baa1-98dd82052a0d"]}],"mendeley":{"formattedCitation":"(Matthew Baugh et al., 2017)","manualFormatting":")","plainTextFormattedCitation":"(Matthew Baugh et al., 2017)","previouslyFormattedCitation":"(Matthew Baugh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w:t>
      </w:r>
      <w:r w:rsidRPr="00943DFA">
        <w:rPr>
          <w:color w:val="0D0D0D" w:themeColor="text1" w:themeTint="F2"/>
          <w:lang w:eastAsia="en-US"/>
        </w:rPr>
        <w:fldChar w:fldCharType="end"/>
      </w:r>
      <w:r w:rsidRPr="00943DFA">
        <w:rPr>
          <w:color w:val="0D0D0D" w:themeColor="text1" w:themeTint="F2"/>
          <w:lang w:eastAsia="en-US"/>
        </w:rPr>
        <w:t xml:space="preserve"> who might have lower disclosure quality and reporting compliance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{"citationItems":[{"id":"ITEM-1","itemData":{"abstract":"This article examines the cross-sectional variation in analysts' published evaluations of firms' disclosure practices. The authors also show that the analysts' ratings are increasing in firm size and in firm performance, and decreasing within the relationship between earings and returns. The Financial Analysts Federation issues an annual report evaluating the disclosure of firms in a variety of industries. The results of their research are generally consistent with existing data on voluntary disclosure.","author":[{"dropping-particle":"","family":"Lang","given":"M.","non-dropping-particle":"","parse-names":false,"suffix":""},{"dropping-particle":"","family":"Lundholm","given":"R.","non-dropping-particle":"","parse-names":false,"suffix":""}],"container-title":"Journal of Accounting Research","id":"ITEM-1","issue":"2","issued":{"date-parts":[["1993"]]},"page":"246-271","title":"Cross-sectional determinants of analyst ratings of corporate disclosures","type":"article-journal","volume":"31"},"uris":["http://www.mendeley.com/documents/?uuid=42f44ade-f51a-4e89-a05e-daec31c5a104"]},{"id":"ITEM-2","itemData":{"ISSN":"13806653","abstract":"Motivated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Studies","id":"ITEM-2","issue":"4","issued":{"date-parts":[["2011"]]},"page":"866-889","title":"The effects of firm size, corporate governance quality, and bad news on disclosure compliance","type":"article-journal","volume":"16"},"uris":["http://www.mendeley.com/documents/?uuid=2c677795-dcd8-4506-87da-1a5ecc2c0b18"]}],"mendeley":{"formattedCitation":"(Ettredge et al., 2011; Lang &amp; Lundholm, 1993)","manualFormatting":"Ettredge et al., 2011; Lang &amp; Lundholm, 1993; Wang, 2016)","plainTextFormattedCitation":"(Ettredge et al., 2011; Lang &amp; Lundholm, 1993)","previouslyFormattedCitation":"(Ettredge et al., 2011; Lang &amp; Lundholm, 1993)"},"properties":{"noteIndex":0},"schema":"https://github.com/citation-style-language/schema/raw/master/csl-citation.json"}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Ettredge et al., 2011; Lang &amp; Lundholm, 1993;</w:t>
      </w:r>
      <w:r w:rsidRPr="00943DFA">
        <w:rPr>
          <w:noProof/>
          <w:color w:val="0D0D0D" w:themeColor="text1" w:themeTint="F2"/>
          <w:lang w:eastAsia="en-US"/>
        </w:rPr>
        <w:t xml:space="preserve"> Wang, 2016</w:t>
      </w:r>
      <w:r w:rsidRPr="00943DFA">
        <w:rPr>
          <w:rFonts w:eastAsia="Times New Roman"/>
          <w:noProof/>
          <w:color w:val="0D0D0D" w:themeColor="text1" w:themeTint="F2"/>
        </w:rPr>
        <w:t>)</w:t>
      </w:r>
      <w:r w:rsidRPr="00943DFA">
        <w:rPr>
          <w:rFonts w:eastAsia="Times New Roman"/>
          <w:color w:val="0D0D0D" w:themeColor="text1" w:themeTint="F2"/>
        </w:rPr>
        <w:fldChar w:fldCharType="end"/>
      </w:r>
      <w:r w:rsidRPr="00943DFA">
        <w:rPr>
          <w:rFonts w:eastAsia="Times New Roman"/>
          <w:color w:val="0D0D0D" w:themeColor="text1" w:themeTint="F2"/>
        </w:rPr>
        <w:t xml:space="preserve">. </w:t>
      </w:r>
    </w:p>
    <w:p w14:paraId="359B561D"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rFonts w:eastAsia="Times New Roman"/>
          <w:color w:val="0D0D0D" w:themeColor="text1" w:themeTint="F2"/>
        </w:rPr>
        <w:t xml:space="preserve">Regarding auditor quality, </w:t>
      </w:r>
      <w:r w:rsidRPr="00943DFA">
        <w:rPr>
          <w:color w:val="0D0D0D" w:themeColor="text1" w:themeTint="F2"/>
          <w:lang w:eastAsia="en-US"/>
        </w:rPr>
        <w:t xml:space="preserve">SEC reviews are observed to be less extensive for firms audited by high-reputable auditors (Cassell et al., 2013; Cassell et al., 2019; </w:t>
      </w:r>
      <w:proofErr w:type="spellStart"/>
      <w:r w:rsidRPr="00943DFA">
        <w:rPr>
          <w:color w:val="0D0D0D" w:themeColor="text1" w:themeTint="F2"/>
          <w:lang w:eastAsia="en-US"/>
        </w:rPr>
        <w:t>Colaco</w:t>
      </w:r>
      <w:proofErr w:type="spellEnd"/>
      <w:r w:rsidRPr="00943DFA">
        <w:rPr>
          <w:color w:val="0D0D0D" w:themeColor="text1" w:themeTint="F2"/>
          <w:lang w:eastAsia="en-US"/>
        </w:rPr>
        <w:t xml:space="preserve"> et al., 2018) suggesting they mitigate reporting problems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{"citationItems":[{"id":"ITEM-1","itemData":{"ISBN":"0165-4101","ISSN":"01654101","abstract":"We show that, contrary to popular belief, initial public offering (IPO) firms report more conservatively. We attribute this to the higher quality reporting demanded of public firms by financial statement users and consequentially higher monitoring by auditors, boards, analysts, rating agencies, press, and litigants, and to greater regulatory scrutiny [Ball, R., Shivakumar, L., 2005. Earnings quality in UK private firms: comparative loss recognition timeliness. Journal of Accounting and Economics 39, 83-128]. We also question the evidence of Teoh et al. [1998b. Earnings management and the subsequent market performance of initial public offerings. Journal of Finance 53, 1935-1974] supporting the alternative hypothesis that managers opportunistically inflate earnings to influence IPO pricing. We conjecture that upward-biased estimates of \"discretionary\" accruals occur in a broad genre of studies on earnings management around similar large transactions and events. © 2008 Elsevier B.V. All rights reserved.","author":[{"dropping-particle":"","family":"Ball","given":"R.","non-dropping-particle":"","parse-names":false,"suffix":""},{"dropping-particle":"","family":"Shivakumar","given":"L.","non-dropping-particle":"","parse-names":false,"suffix":""}],"container-title":"Journal of Accounting and Economics","id":"ITEM-1","issue":"2-3","issued":{"date-parts":[["2008"]]},"note":"4*","page":"324-349","title":"Earnings quality at initial public offerings","type":"article-journal","volume":"45"},"uris":["http://www.mendeley.com/documents/?uuid=58d200ff-d8c3-4469-b74e-446df74096e8"]}],"mendeley":{"formattedCitation":"(Ball &amp; Shivakumar, 2008)","manualFormatting":"Ball &amp; Shivakumar, 2008","plainTextFormattedCitation":"(Ball &amp; Shivakumar, 2008)","previouslyFormattedCitation":"(Ball &amp; Shivakumar, 2008)"},"properties":{"noteIndex":0},"schema":"https://github.com/citation-style-language/schema/raw/master/csl-citation.json"}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Ball &amp; Shivakumar, 2008</w:t>
      </w:r>
      <w:r w:rsidRPr="00943DFA">
        <w:rPr>
          <w:color w:val="0D0D0D" w:themeColor="text1" w:themeTint="F2"/>
          <w:lang w:eastAsia="en-US"/>
        </w:rPr>
        <w:fldChar w:fldCharType="end"/>
      </w:r>
      <w:r w:rsidRPr="00943DFA">
        <w:rPr>
          <w:color w:val="0D0D0D" w:themeColor="text1" w:themeTint="F2"/>
          <w:lang w:eastAsia="en-US"/>
        </w:rPr>
        <w:t xml:space="preserv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hang","given":"X.","non-dropping-particle":"","parse-names":false,"suffix":""},{"dropping-particle":"","family":"Dasgupta","given":"S.","non-dropping-particle":"","parse-names":false,"suffix":""},{"dropping-particle":"","family":"Hilary","given":"G.","non-dropping-particle":"","parse-names":false,"suffix":""}],"container-title":"The Accounting Review","id":"ITEM-1","issue":"4","issued":{"date-parts":[["2008"]]},"page":"1085-1117","title":"The Effect of Auditor Quality on Financing Decisions *","type":"article-journal","volume":"84"},"uris":["http://www.mendeley.com/documents/?uuid=4c392652-fa48-4116-bbcc-7827501bd588"]}],"mendeley":{"formattedCitation":"(Chang, Dasgupta, &amp; Hilary, 2008)","manualFormatting":"Chang et al., 2008","plainTextFormattedCitation":"(Chang, Dasgupta, &amp; Hilary, 2008)","previouslyFormattedCitation":"(Chang, Dasgupta, &amp; Hilary, 2008)"},"properties":{"noteIndex":0},"schema":"https://github.com/citation-style-language/schema/raw/master/csl-citation.json"}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Chang et al., 2008</w:t>
      </w:r>
      <w:r w:rsidRPr="00943DFA">
        <w:rPr>
          <w:color w:val="0D0D0D" w:themeColor="text1" w:themeTint="F2"/>
          <w:lang w:eastAsia="en-US"/>
        </w:rPr>
        <w:fldChar w:fldCharType="end"/>
      </w:r>
      <w:r w:rsidRPr="00943DFA">
        <w:rPr>
          <w:color w:val="0D0D0D" w:themeColor="text1" w:themeTint="F2"/>
          <w:lang w:eastAsia="en-US"/>
        </w:rPr>
        <w:t xml:space="preserv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Research","id":"ITEM-1","issue":"2","issued":{"date-parts":[["2017"]]},"page":"1128-1155","title":"The effect of regulator oversight on firms' information environment: Securities and exchange commission comment letters","type":"article-journal","volume":"34"},"uris":["http://www.mendeley.com/documents/?uuid=6f0a5987-96ef-4573-9c9a-4445f9fb6ad8"]},{"id":"ITEM-2","itemData":{"ISSN":"13806653","author":[{"dropping-particle":"","family":"Li","given":"Bing","non-dropping-particle":"","parse-names":false,"suffix":""},{"dropping-particle":"","family":"Liu","given":"Zhenbin","non-dropping-particle":"","parse-names":false,"suffix":""}],"container-title":"Review of Accounting Studies","id":"ITEM-2","issue":"3","issued":{"date-parts":[["2017"]]},"page":"1229-1260","publisher":"Review of Accounting Studies","title":"The oversight role of regulators: evidence from SEC comment letters in the IPO process","type":"article-journal","volume":"22"},"uris":["http://www.mendeley.com/documents/?uuid=14e67220-7f18-451c-bcec-f870e9e5ce78"]}],"mendeley":{"formattedCitation":"(Johnston &amp; Petacchi, 2017; B. Li &amp; Liu, 2017)","manualFormatting":"Johnston &amp; Petacchi, 2017; Li &amp; Liu, 2017 and","plainTextFormattedCitation":"(Johnston &amp; Petacchi, 2017; B. Li &amp; Liu, 2017)","previouslyFormattedCitation":"(Johnston &amp; Petacchi, 2017; B. Li &amp; Liu,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Johnston &amp; Petacchi, 2017; Li &amp; Liu, 2017 and</w:t>
      </w:r>
      <w:r w:rsidRPr="00943DFA">
        <w:rPr>
          <w:color w:val="0D0D0D" w:themeColor="text1" w:themeTint="F2"/>
          <w:lang w:eastAsia="en-US"/>
        </w:rPr>
        <w:fldChar w:fldCharType="end"/>
      </w:r>
      <w:r w:rsidRPr="00943DFA">
        <w:rPr>
          <w:color w:val="0D0D0D" w:themeColor="text1" w:themeTint="F2"/>
          <w:lang w:eastAsia="en-US"/>
        </w:rPr>
        <w:t xml:space="preserv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enkataraman","given":"R.","non-dropping-particle":"","parse-names":false,"suffix":""},{"dropping-particle":"","family":"Weber","given":"J.","non-dropping-particle":"","parse-names":false,"suffix":""},{"dropping-particle":"","family":"Willenborg","given":"M.","non-dropping-particle":"","parse-names":false,"suffix":""}],"container-title":"Journal of Chemical Information and Modeling","id":"ITEM-1","issue":"March 2005","issued":{"date-parts":[["2005"]]},"page":"1689-1699","title":"Litigation Risk, Audit Fess and Audit Quality : Initial Public Offerings as A Natural Experiment","type":"article-journal"},"uris":["http://www.mendeley.com/documents/?uuid=19d2b5d1-0269-4d79-abec-b454d7329f40"]}],"mendeley":{"formattedCitation":"(Venkataraman, Weber, &amp; Willenborg, 2005)","manualFormatting":"Venkataraman et al., 2005)","plainTextFormattedCitation":"(Venkataraman, Weber, &amp; Willenborg, 2005)","previouslyFormattedCitation":"(Venkataraman, Weber, &amp; Willenborg, 2005)"},"properties":{"noteIndex":0},"schema":"https://github.com/citation-style-language/schema/raw/master/csl-citation.json"}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Venkataraman et al., 2005)</w:t>
      </w:r>
      <w:r w:rsidRPr="00943DFA">
        <w:rPr>
          <w:color w:val="0D0D0D" w:themeColor="text1" w:themeTint="F2"/>
          <w:lang w:eastAsia="en-US"/>
        </w:rPr>
        <w:fldChar w:fldCharType="end"/>
      </w:r>
      <w:r w:rsidRPr="00943DFA">
        <w:rPr>
          <w:color w:val="0D0D0D" w:themeColor="text1" w:themeTint="F2"/>
          <w:lang w:eastAsia="en-US"/>
        </w:rPr>
        <w:t xml:space="preserve">. Finally, the strength of corporate governance arrangements has also been found to play an important role. Prior empirical findings suggest that firms with weak corporate governance, e.g. exhibiting CEO-chairperson duality, tend to experience more extensive SEC reviews (Cassell et al., 2013; </w:t>
      </w:r>
      <w:proofErr w:type="spellStart"/>
      <w:r w:rsidRPr="00943DFA">
        <w:rPr>
          <w:color w:val="0D0D0D" w:themeColor="text1" w:themeTint="F2"/>
          <w:lang w:eastAsia="en-US"/>
        </w:rPr>
        <w:t>Ettredge</w:t>
      </w:r>
      <w:proofErr w:type="spellEnd"/>
      <w:r w:rsidRPr="00943DFA">
        <w:rPr>
          <w:color w:val="0D0D0D" w:themeColor="text1" w:themeTint="F2"/>
          <w:lang w:eastAsia="en-US"/>
        </w:rPr>
        <w:t xml:space="preserve"> et al., 2011;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2017;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Review","id":"ITEM-1","issue":"4","issued":{"date-parts":[["2011"]]},"page":"1415-1444","title":"Determinants of disclosure noncompliance and the effect of the SEC review: Evidence from the 2006 mandated compensation disclosure regulations","type":"article-journal","volume":"86"},"uris":["http://www.mendeley.com/documents/?uuid=e8971756-f262-4b89-b55d-978e24fc4f8c"]}],"mendeley":{"formattedCitation":"(Robinson et al., 2011)","manualFormatting":"Robinson et al., 2011","plainTextFormattedCitation":"(Robinson et al., 2011)","previouslyFormattedCitation":"(Robinson et al., 2011)"},"properties":{"noteIndex":0},"schema":"https://github.com/citation-style-language/schema/raw/master/csl-citation.json"}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Robinson et al., 2011</w:t>
      </w:r>
      <w:r w:rsidRPr="00943DFA">
        <w:rPr>
          <w:color w:val="0D0D0D" w:themeColor="text1" w:themeTint="F2"/>
          <w:lang w:eastAsia="en-US"/>
        </w:rPr>
        <w:fldChar w:fldCharType="end"/>
      </w:r>
      <w:r w:rsidRPr="00943DFA">
        <w:rPr>
          <w:color w:val="0D0D0D" w:themeColor="text1" w:themeTint="F2"/>
          <w:lang w:eastAsia="en-US"/>
        </w:rPr>
        <w:t>) since they are likely to have more potential reporting deficiencies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Research","id":"ITEM-1","issue":"1","issued":{"date-parts":[["1996"]]},"page":"1-36","title":"Causes and consequences of earnings manipulation: An analysis of firms subject to enforcement actions by the SEC","type":"article-journal","volume":"13"},"uris":["http://www.mendeley.com/documents/?uuid=b0b870c6-2960-4888-a546-9bdb2ec59a54"]}],"mendeley":{"formattedCitation":"(P.M. Dechow, Sloan, &amp; Sweeney, 1996)","manualFormatting":"Dechow et al., 1996; ","plainTextFormattedCitation":"(P.M. Dechow, Sloan, &amp; Sweeney, 1996)","previouslyFormattedCitation":"(P.M. Dechow, Sloan, &amp; Sweeney, 1996)"},"properties":{"noteIndex":0},"schema":"https://github.com/citation-style-language/schema/raw/master/csl-citation.json"}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 xml:space="preserve">Dechow et al., 1996; </w:t>
      </w:r>
      <w:r w:rsidRPr="00943DFA">
        <w:rPr>
          <w:color w:val="0D0D0D" w:themeColor="text1" w:themeTint="F2"/>
          <w:lang w:eastAsia="en-US"/>
        </w:rPr>
        <w:fldChar w:fldCharType="end"/>
      </w:r>
      <w:proofErr w:type="spellStart"/>
      <w:r w:rsidRPr="00943DFA">
        <w:rPr>
          <w:color w:val="0D0D0D" w:themeColor="text1" w:themeTint="F2"/>
          <w:lang w:eastAsia="en-US"/>
        </w:rPr>
        <w:t>Ettredge</w:t>
      </w:r>
      <w:proofErr w:type="spellEnd"/>
      <w:r w:rsidRPr="00943DFA">
        <w:rPr>
          <w:color w:val="0D0D0D" w:themeColor="text1" w:themeTint="F2"/>
          <w:lang w:eastAsia="en-US"/>
        </w:rPr>
        <w:t xml:space="preserve"> et al., 2011;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and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Robinson et al., 2011). </w:t>
      </w:r>
    </w:p>
    <w:p w14:paraId="234356E7" w14:textId="77777777" w:rsidR="00195130" w:rsidRPr="00943DFA" w:rsidRDefault="00195130" w:rsidP="00195130">
      <w:pPr>
        <w:pStyle w:val="ListParagraph"/>
        <w:spacing w:before="240" w:after="240" w:line="360" w:lineRule="auto"/>
        <w:ind w:left="0"/>
        <w:contextualSpacing w:val="0"/>
        <w:jc w:val="both"/>
        <w:rPr>
          <w:color w:val="0D0D0D" w:themeColor="text1" w:themeTint="F2"/>
        </w:rPr>
      </w:pPr>
      <w:r w:rsidRPr="00943DFA">
        <w:rPr>
          <w:color w:val="0D0D0D" w:themeColor="text1" w:themeTint="F2"/>
          <w:lang w:eastAsia="en-US"/>
        </w:rPr>
        <w:lastRenderedPageBreak/>
        <w:t xml:space="preserve">While a number of existing studies explore how firm characteristics affect the extensiveness of SEC reviews, as mentioned above, these research mostly examine SEC reviews of annual filings (e.g. 10-K, 20-F, 40-F), 8-K filings, proxy statement filings and filings other than IPO registration statements (i.e. S-1 filings). Findings from the above studies might not generalise to SEC reviews of S-1 filings since S-1 filings contain the information that is more specific to the securities offering. More closely related to this study,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examine effects of IPO firms’ managerial expertise and their corporate governance on SEC reviews on S-1 and SB-2 filings and identify that higher managerial expertise is likely to reduce the number of themes mentioned in SEC comment letters</w:t>
      </w:r>
      <w:r w:rsidRPr="00943DFA">
        <w:rPr>
          <w:color w:val="0D0D0D" w:themeColor="text1" w:themeTint="F2"/>
        </w:rPr>
        <w:t xml:space="preserve">. Another related study is that of </w:t>
      </w:r>
      <w:proofErr w:type="spellStart"/>
      <w:r w:rsidRPr="00943DFA">
        <w:rPr>
          <w:color w:val="0D0D0D" w:themeColor="text1" w:themeTint="F2"/>
        </w:rPr>
        <w:t>Colaco</w:t>
      </w:r>
      <w:proofErr w:type="spellEnd"/>
      <w:r w:rsidRPr="00943DFA">
        <w:rPr>
          <w:color w:val="0D0D0D" w:themeColor="text1" w:themeTint="F2"/>
        </w:rPr>
        <w:t xml:space="preserve"> et al. (2018), who examine the determinants of IPO waiting periods, including the impact of information uncertainty and industry or market characteristics. They identify that firms with greater ex-ante information uncertainty, higher </w:t>
      </w:r>
      <w:proofErr w:type="spellStart"/>
      <w:r w:rsidRPr="00943DFA">
        <w:rPr>
          <w:color w:val="0D0D0D" w:themeColor="text1" w:themeTint="F2"/>
        </w:rPr>
        <w:t>underpricing</w:t>
      </w:r>
      <w:proofErr w:type="spellEnd"/>
      <w:r w:rsidRPr="00943DFA">
        <w:rPr>
          <w:color w:val="0D0D0D" w:themeColor="text1" w:themeTint="F2"/>
        </w:rPr>
        <w:t xml:space="preserve">, and poorer post-IPO performance are likely to have experienced longer waiting periods, which include the period of their SEC review. </w:t>
      </w:r>
    </w:p>
    <w:p w14:paraId="69699084"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rPr>
        <w:t xml:space="preserve">This study differs from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and </w:t>
      </w:r>
      <w:r w:rsidRPr="00943DFA">
        <w:rPr>
          <w:color w:val="0D0D0D" w:themeColor="text1" w:themeTint="F2"/>
        </w:rPr>
        <w:fldChar w:fldCharType="begin" w:fldLock="1"/>
      </w:r>
      <w:r w:rsidRPr="00943DFA">
        <w:rPr>
          <w:color w:val="0D0D0D" w:themeColor="text1" w:themeTint="F2"/>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Colaco et al. (2018)</w:t>
      </w:r>
      <w:r w:rsidRPr="00943DFA">
        <w:rPr>
          <w:color w:val="0D0D0D" w:themeColor="text1" w:themeTint="F2"/>
        </w:rPr>
        <w:fldChar w:fldCharType="end"/>
      </w:r>
      <w:r w:rsidRPr="00943DFA">
        <w:rPr>
          <w:color w:val="0D0D0D" w:themeColor="text1" w:themeTint="F2"/>
          <w:lang w:eastAsia="en-US"/>
        </w:rPr>
        <w:t xml:space="preserve"> in three aspects. First, this study examines a broader range of  IPO firm characteristics potentially impacting SEC reviews of S-1 filings than merely IPO firms’ managerial expertise, corporate governance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and </w:t>
      </w:r>
      <w:r w:rsidRPr="00943DFA">
        <w:rPr>
          <w:color w:val="0D0D0D" w:themeColor="text1" w:themeTint="F2"/>
        </w:rPr>
        <w:t>industry or market characteristics (</w:t>
      </w:r>
      <w:r w:rsidRPr="00943DFA">
        <w:rPr>
          <w:color w:val="0D0D0D" w:themeColor="text1" w:themeTint="F2"/>
        </w:rPr>
        <w:fldChar w:fldCharType="begin" w:fldLock="1"/>
      </w:r>
      <w:r w:rsidRPr="00943DFA">
        <w:rPr>
          <w:color w:val="0D0D0D" w:themeColor="text1" w:themeTint="F2"/>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Colaco et al., 2018)</w:t>
      </w:r>
      <w:r w:rsidRPr="00943DFA">
        <w:rPr>
          <w:color w:val="0D0D0D" w:themeColor="text1" w:themeTint="F2"/>
        </w:rPr>
        <w:fldChar w:fldCharType="end"/>
      </w:r>
      <w:r w:rsidRPr="00943DFA">
        <w:rPr>
          <w:color w:val="0D0D0D" w:themeColor="text1" w:themeTint="F2"/>
        </w:rPr>
        <w:t xml:space="preserve">. Second, this study employs a more recent sample period, which covers recent and important regulatory changes which are likely to have substantially affected SEC reviews, e.g. the </w:t>
      </w:r>
      <w:r w:rsidRPr="00943DFA">
        <w:rPr>
          <w:color w:val="0D0D0D" w:themeColor="text1" w:themeTint="F2"/>
          <w:lang w:eastAsia="en-US"/>
        </w:rPr>
        <w:t>Dodd Frank Act in 2010 and the JOBS Act in 2012</w:t>
      </w:r>
      <w:r w:rsidRPr="00943DFA">
        <w:rPr>
          <w:color w:val="0D0D0D" w:themeColor="text1" w:themeTint="F2"/>
        </w:rPr>
        <w:t xml:space="preserve">. Third, while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examine SEC reviews of S-1 and SB-2 filings, this study focuses only on S-1 filings in order to maintain consistency within the sample and the content analysis. SB-2 is a simplified version of S-1 filings which provides less detailed information about the IPO firm. </w:t>
      </w:r>
    </w:p>
    <w:p w14:paraId="11DA056D" w14:textId="77777777" w:rsidR="00195130" w:rsidRPr="00943DFA" w:rsidRDefault="00195130" w:rsidP="00195130">
      <w:pPr>
        <w:spacing w:after="160" w:line="360" w:lineRule="auto"/>
        <w:jc w:val="both"/>
        <w:rPr>
          <w:color w:val="0D0D0D" w:themeColor="text1" w:themeTint="F2"/>
          <w:lang w:eastAsia="en-US"/>
        </w:rPr>
      </w:pPr>
      <w:r w:rsidRPr="00943DFA">
        <w:rPr>
          <w:color w:val="0D0D0D" w:themeColor="text1" w:themeTint="F2"/>
        </w:rPr>
        <w:t xml:space="preserve">A further related study is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Agarwal et al. (2017)</w:t>
      </w:r>
      <w:r w:rsidRPr="00943DFA">
        <w:rPr>
          <w:color w:val="0D0D0D" w:themeColor="text1" w:themeTint="F2"/>
          <w:lang w:eastAsia="en-US"/>
        </w:rPr>
        <w:fldChar w:fldCharType="end"/>
      </w:r>
      <w:r w:rsidRPr="00943DFA">
        <w:rPr>
          <w:color w:val="0D0D0D" w:themeColor="text1" w:themeTint="F2"/>
          <w:lang w:eastAsia="en-US"/>
        </w:rPr>
        <w:t>, who examine SEC comment letters during a more recent period</w:t>
      </w:r>
      <w:r w:rsidRPr="00943DFA">
        <w:rPr>
          <w:color w:val="0D0D0D" w:themeColor="text1" w:themeTint="F2"/>
        </w:rPr>
        <w:t xml:space="preserve"> </w:t>
      </w:r>
      <w:r w:rsidRPr="00943DFA">
        <w:rPr>
          <w:color w:val="0D0D0D" w:themeColor="text1" w:themeTint="F2"/>
          <w:lang w:eastAsia="en-US"/>
        </w:rPr>
        <w:t xml:space="preserve">2010 to mid-2014. However, their study focuses on the style of SEC comment letters (e.g. tone, percentage of quantitative items), but not the intensity of SEC reviews. Differently to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Agarwal et al. (2017)</w:t>
      </w:r>
      <w:r w:rsidRPr="00943DFA">
        <w:rPr>
          <w:color w:val="0D0D0D" w:themeColor="text1" w:themeTint="F2"/>
          <w:lang w:eastAsia="en-US"/>
        </w:rPr>
        <w:fldChar w:fldCharType="end"/>
      </w:r>
      <w:r w:rsidRPr="00943DFA">
        <w:rPr>
          <w:color w:val="0D0D0D" w:themeColor="text1" w:themeTint="F2"/>
        </w:rPr>
        <w:t xml:space="preserve">, </w:t>
      </w:r>
      <w:r w:rsidRPr="00943DFA">
        <w:rPr>
          <w:color w:val="0D0D0D" w:themeColor="text1" w:themeTint="F2"/>
          <w:lang w:eastAsia="en-US"/>
        </w:rPr>
        <w:t>this study examines differences in the intensity of SEC reviews, which more closely relates to the effectiveness of their review activities, rather than merely the style of their reviews.</w:t>
      </w:r>
    </w:p>
    <w:p w14:paraId="740EE888"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rPr>
        <w:t xml:space="preserve">Motivated by (1) the importance of understanding SEC reviews of S-1 filings, (2) the paucity of research on how the broad range of IPO firm characteristics affect the intensity of SEC S-1 </w:t>
      </w:r>
      <w:r w:rsidRPr="00943DFA">
        <w:rPr>
          <w:color w:val="0D0D0D" w:themeColor="text1" w:themeTint="F2"/>
        </w:rPr>
        <w:lastRenderedPageBreak/>
        <w:t>reviews, specifically, (3) the lack of research on S-1 filings in general, and (4) the lack of research on the impact of recent regulatory changes on S-1 reviews, e.g. the Dodd Frank Act, this study examines the key research question: ‘</w:t>
      </w:r>
      <w:r w:rsidRPr="00943DFA">
        <w:rPr>
          <w:color w:val="0D0D0D" w:themeColor="text1" w:themeTint="F2"/>
          <w:lang w:eastAsia="en-US"/>
        </w:rPr>
        <w:t>How do IPO firm characteristics affect SEC reviews of IPO registration statements?</w:t>
      </w:r>
      <w:r w:rsidRPr="00943DFA">
        <w:rPr>
          <w:color w:val="0D0D0D" w:themeColor="text1" w:themeTint="F2"/>
        </w:rPr>
        <w:t xml:space="preserve">’. </w:t>
      </w:r>
      <w:r w:rsidRPr="00943DFA">
        <w:rPr>
          <w:color w:val="0D0D0D" w:themeColor="text1" w:themeTint="F2"/>
          <w:lang w:eastAsia="en-US"/>
        </w:rPr>
        <w:t xml:space="preserve">To answer the key research question, six broad categories of IPO firm characteristics are considered in this study, namely company size, company age, business complexity, financial health, auditor quality and corporate governance. </w:t>
      </w:r>
    </w:p>
    <w:p w14:paraId="7AFBA39C"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lang w:eastAsia="en-US"/>
        </w:rPr>
        <w:t>A sample of 909 U.S. IPO firms filing S-1 registration statements during the period 12</w:t>
      </w:r>
      <w:r w:rsidRPr="00943DFA">
        <w:rPr>
          <w:color w:val="0D0D0D" w:themeColor="text1" w:themeTint="F2"/>
          <w:vertAlign w:val="superscript"/>
          <w:lang w:eastAsia="en-US"/>
        </w:rPr>
        <w:t>th</w:t>
      </w:r>
      <w:r w:rsidRPr="00943DFA">
        <w:rPr>
          <w:color w:val="0D0D0D" w:themeColor="text1" w:themeTint="F2"/>
          <w:lang w:eastAsia="en-US"/>
        </w:rPr>
        <w:t xml:space="preserve"> May 2005 to 31</w:t>
      </w:r>
      <w:r w:rsidRPr="00943DFA">
        <w:rPr>
          <w:color w:val="0D0D0D" w:themeColor="text1" w:themeTint="F2"/>
          <w:vertAlign w:val="superscript"/>
          <w:lang w:eastAsia="en-US"/>
        </w:rPr>
        <w:t>st</w:t>
      </w:r>
      <w:r w:rsidRPr="00943DFA">
        <w:rPr>
          <w:color w:val="0D0D0D" w:themeColor="text1" w:themeTint="F2"/>
          <w:lang w:eastAsia="en-US"/>
        </w:rPr>
        <w:t xml:space="preserve"> December 2017 is employed. </w:t>
      </w:r>
      <w:r w:rsidRPr="00943DFA">
        <w:rPr>
          <w:color w:val="0D0D0D" w:themeColor="text1" w:themeTint="F2"/>
        </w:rPr>
        <w:t>Four proxies are employed to measure the intensity of SEC reviews, namely: the duration of the IPO process; the number of SEC comment letters; the number of comments; and the range of themes covered within comment letters</w:t>
      </w:r>
      <w:r w:rsidRPr="00943DFA">
        <w:rPr>
          <w:color w:val="0D0D0D" w:themeColor="text1" w:themeTint="F2"/>
          <w:lang w:eastAsia="en-US"/>
        </w:rPr>
        <w:t xml:space="preserve">. Multivariate tests with negative binomial regressions are used to examine relationship between SEC S-1 reviews and IPO firm characteristics. In addition, this study also investigates how issue types mentioned in SEC comment letters affect remediation costs faced by the IPO firm, and </w:t>
      </w:r>
      <w:r w:rsidRPr="00943DFA">
        <w:rPr>
          <w:color w:val="0D0D0D" w:themeColor="text1" w:themeTint="F2"/>
        </w:rPr>
        <w:t>whether the global financial crisis of 2008-2009 has any moderating effect on the sensitivity of SEC reviews to IPO firm characteristics.</w:t>
      </w:r>
    </w:p>
    <w:p w14:paraId="22C0A1C4" w14:textId="77777777" w:rsidR="00195130" w:rsidRPr="00943DFA" w:rsidRDefault="00195130" w:rsidP="00195130">
      <w:pPr>
        <w:spacing w:before="240" w:after="240" w:line="360" w:lineRule="auto"/>
        <w:jc w:val="both"/>
        <w:rPr>
          <w:rFonts w:eastAsia="Calibri"/>
          <w:color w:val="0D0D0D" w:themeColor="text1" w:themeTint="F2"/>
        </w:rPr>
      </w:pPr>
      <w:r w:rsidRPr="00943DFA">
        <w:rPr>
          <w:rFonts w:eastAsia="Calibri"/>
          <w:color w:val="0D0D0D" w:themeColor="text1" w:themeTint="F2"/>
          <w:lang w:eastAsia="en-US"/>
        </w:rPr>
        <w:t xml:space="preserve">The results show that bigger IPO firms are likely to: experience longer SEC reviews; receive more comment letters; more comments; and comments on a wider range of themes. Older IPO firms are also identified to experience a longer SEC review duration and receive more comment letters. This study also observes that SEC reviews are likely to be more extensive for firms having greater business complexity. Specifically, a wider range of themes in SEC comment letters is observed for IPO firms having more business segments. Firms conducting M&amp;As are also likely to receive more comments and comments on a wider range of themes. However, the duration of SEC reviews is identified to be longer for IPO firms having lower sales growth who might have less business complexity, perhaps expressing the SEC’s concern that these firms are incentivised to </w:t>
      </w:r>
      <w:r w:rsidRPr="00943DFA">
        <w:rPr>
          <w:rFonts w:eastAsia="Calibri"/>
          <w:color w:val="0D0D0D" w:themeColor="text1" w:themeTint="F2"/>
        </w:rPr>
        <w:t xml:space="preserve">manipulate downward their sales in order to qualify for EGC status under the JOBS Act. </w:t>
      </w:r>
    </w:p>
    <w:p w14:paraId="530AAD0D" w14:textId="77777777" w:rsidR="00195130" w:rsidRPr="00943DFA" w:rsidRDefault="00195130" w:rsidP="00195130">
      <w:pPr>
        <w:spacing w:before="240" w:after="240" w:line="360" w:lineRule="auto"/>
        <w:jc w:val="both"/>
        <w:rPr>
          <w:rFonts w:eastAsia="Calibri"/>
          <w:color w:val="0D0D0D" w:themeColor="text1" w:themeTint="F2"/>
          <w:lang w:eastAsia="en-US"/>
        </w:rPr>
      </w:pPr>
      <w:r w:rsidRPr="00943DFA">
        <w:rPr>
          <w:rFonts w:eastAsia="Calibri"/>
          <w:color w:val="0D0D0D" w:themeColor="text1" w:themeTint="F2"/>
        </w:rPr>
        <w:t xml:space="preserve">The results also show that the extensiveness of SEC reviews is greater for firms with poor financial health or with potential issues related to the reporting of financial health, as </w:t>
      </w:r>
      <w:r w:rsidRPr="00943DFA">
        <w:rPr>
          <w:rFonts w:eastAsia="Calibri"/>
          <w:color w:val="0D0D0D" w:themeColor="text1" w:themeTint="F2"/>
          <w:lang w:eastAsia="en-US"/>
        </w:rPr>
        <w:t xml:space="preserve">SEC reviews appear to be shorter for IPO firms using more external financing and having positive reported earnings. IPO firms with higher bankruptcy risk are also identified to experience longer SEC review duration, receive more comment letters, more comments and more themes covered in the SEC letters. IPO firms not audited by Big4 auditors are also observed to </w:t>
      </w:r>
      <w:r w:rsidRPr="00943DFA">
        <w:rPr>
          <w:rFonts w:eastAsia="Calibri"/>
          <w:color w:val="0D0D0D" w:themeColor="text1" w:themeTint="F2"/>
          <w:lang w:eastAsia="en-US"/>
        </w:rPr>
        <w:lastRenderedPageBreak/>
        <w:t>experience longer SEC reviews and receive comments on a wider range of themes. Overall, the results highlight that SEC reviews of S-1 filings are more extensive for bigger and older firms, firms having more business segments, lower sales growth, firms conducting M&amp;A activity, with less external financing, positive earnings, greater financial distress and are not audited by high-quality auditors.</w:t>
      </w:r>
    </w:p>
    <w:p w14:paraId="5B9DA530" w14:textId="77777777" w:rsidR="00195130" w:rsidRPr="00943DFA" w:rsidRDefault="00195130" w:rsidP="00195130">
      <w:pPr>
        <w:spacing w:before="240" w:after="240" w:line="360" w:lineRule="auto"/>
        <w:jc w:val="both"/>
        <w:rPr>
          <w:rFonts w:eastAsia="Calibri"/>
          <w:color w:val="0D0D0D" w:themeColor="text1" w:themeTint="F2"/>
          <w:lang w:eastAsia="en-US"/>
        </w:rPr>
      </w:pPr>
      <w:r w:rsidRPr="00943DFA">
        <w:rPr>
          <w:rFonts w:eastAsia="Calibri"/>
          <w:color w:val="0D0D0D" w:themeColor="text1" w:themeTint="F2"/>
          <w:lang w:eastAsia="en-US"/>
        </w:rPr>
        <w:t xml:space="preserve">Moreover, as compared with other possible issues highlighted in SEC comment letters, comments on core accounting issues, non-core accounting issues, business issues and disclosure issues are observed to result in higher remediation costs, and the costs are highest for comments on core accounting issues. Furthermore, this study identifies that, during the period of the global financial crisis, bigger IPO firms, IPO firms having higher external financing, and IPO firms having higher a probability of bankruptcy are more likely to experience greater SEC review extensiveness. </w:t>
      </w:r>
    </w:p>
    <w:p w14:paraId="49D6F7A1"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This study contributes to the extant literature by providing new and broad evidence about how IPO firms’ characteristics affect SEC reviews of S-1 filings. Prior research on the determinants of SEC reviews of IPO registration statements only identify impacts from a narrow range of firm characteristics. e.g. IPO firms’ managerial expertise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the financial crisis </w:t>
      </w:r>
      <w:r w:rsidRPr="00943DFA">
        <w:rPr>
          <w:color w:val="0D0D0D" w:themeColor="text1" w:themeTint="F2"/>
        </w:rPr>
        <w:t>(</w:t>
      </w:r>
      <w:r w:rsidRPr="00943DFA">
        <w:rPr>
          <w:color w:val="0D0D0D" w:themeColor="text1" w:themeTint="F2"/>
        </w:rPr>
        <w:fldChar w:fldCharType="begin" w:fldLock="1"/>
      </w:r>
      <w:r w:rsidRPr="00943DFA">
        <w:rPr>
          <w:color w:val="0D0D0D" w:themeColor="text1" w:themeTint="F2"/>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Colaco et al., 2018)</w:t>
      </w:r>
      <w:r w:rsidRPr="00943DFA">
        <w:rPr>
          <w:color w:val="0D0D0D" w:themeColor="text1" w:themeTint="F2"/>
        </w:rPr>
        <w:fldChar w:fldCharType="end"/>
      </w:r>
      <w:r w:rsidRPr="00943DFA">
        <w:rPr>
          <w:color w:val="0D0D0D" w:themeColor="text1" w:themeTint="F2"/>
          <w:lang w:eastAsia="en-US"/>
        </w:rPr>
        <w:t xml:space="preserve">, and the impact of technology industries and hot markets on the duration of the IPO process </w:t>
      </w:r>
      <w:r w:rsidRPr="00943DFA">
        <w:rPr>
          <w:color w:val="0D0D0D" w:themeColor="text1" w:themeTint="F2"/>
        </w:rPr>
        <w:t>(</w:t>
      </w:r>
      <w:r w:rsidRPr="00943DFA">
        <w:rPr>
          <w:color w:val="0D0D0D" w:themeColor="text1" w:themeTint="F2"/>
        </w:rPr>
        <w:fldChar w:fldCharType="begin" w:fldLock="1"/>
      </w:r>
      <w:r w:rsidRPr="00943DFA">
        <w:rPr>
          <w:color w:val="0D0D0D" w:themeColor="text1" w:themeTint="F2"/>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Colaco et al., 2018)</w:t>
      </w:r>
      <w:r w:rsidRPr="00943DFA">
        <w:rPr>
          <w:color w:val="0D0D0D" w:themeColor="text1" w:themeTint="F2"/>
        </w:rPr>
        <w:fldChar w:fldCharType="end"/>
      </w:r>
      <w:r w:rsidRPr="00943DFA">
        <w:rPr>
          <w:color w:val="0D0D0D" w:themeColor="text1" w:themeTint="F2"/>
          <w:lang w:eastAsia="en-US"/>
        </w:rPr>
        <w:t xml:space="preserve">. Therefore, findings in this study extend the literature by providing evidence on a much broader range of factors. In particular, it is the first to shed light on the impact of company size, firm age, sales growth, the number of segments, financial distress, external financing activities, M&amp;A activities, profits and dual CEO and chair on the extensiveness of SEC S-1 reviews, specifically. These findings are important since they provide a better understanding of SEC reviews of S-1 filings, which is useful to investors, auditors and other stakeholders who rely on SEC reviews to ensure the high quality of S-1 filings, to facilitate their decision-making. In addition, this study, to some extent, </w:t>
      </w:r>
      <w:r w:rsidRPr="00943DFA">
        <w:rPr>
          <w:color w:val="0D0D0D" w:themeColor="text1" w:themeTint="F2"/>
        </w:rPr>
        <w:t>provides IPO issuers with the knowledge of how to speed up SEC review processes. For example, regarding the choice of auditors, the findings suggest that IPO issuers should choose high-quality auditors (e.g. Big 4) to perform audit procedures could shorten IPO approval process. However, the issuer should bear in mind the audit fee premium associated with appointing a Big 4 auditor.</w:t>
      </w:r>
    </w:p>
    <w:p w14:paraId="56E6C97B"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This study also contributes by providing evidence on the sensitivities of SEC S-1 reviews to IPO firms’ characteristics during a more recent period. This is important given important </w:t>
      </w:r>
      <w:r w:rsidRPr="00943DFA">
        <w:rPr>
          <w:color w:val="0D0D0D" w:themeColor="text1" w:themeTint="F2"/>
          <w:lang w:eastAsia="en-US"/>
        </w:rPr>
        <w:lastRenderedPageBreak/>
        <w:t xml:space="preserve">regulatory changes, e.g. the 2010 Dodd Frank Act and the 2012 JOBS Act. In addition, this study also deepens the understanding of the widespread effects of the global financial crisis 2008 – 2009 by providing evidence that SEC reviews are more likely to be more extensive for firms having potential issues in their reporting and funding activities during the financial crisis. Furthermore, this study provides managers and other IPO participants with more information about remediation costs in connection to SEC reviews by identifying that each type of issue mentioned in SEC comment letters is subject to the different levels of remediation cost. Finally, this study also contributes by providing a new coding scheme, which is a useful tool for future research on issues relating to SEC reviews of S-1 filings. </w:t>
      </w:r>
    </w:p>
    <w:p w14:paraId="6ECC6665"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The remainder of this chapter is organised as follows. Section 3.2 reviews the relevant empirical literature. Section 3.3 discusses the data collection and methodology. The empirical results are presented and discussed in Section 3.4, while Section 3.5 concludes the chapter.</w:t>
      </w:r>
    </w:p>
    <w:p w14:paraId="3281346B" w14:textId="77777777" w:rsidR="00195130" w:rsidRPr="00943DFA" w:rsidRDefault="00195130" w:rsidP="00195130">
      <w:pPr>
        <w:pStyle w:val="ListParagraph"/>
        <w:numPr>
          <w:ilvl w:val="1"/>
          <w:numId w:val="37"/>
        </w:numPr>
        <w:spacing w:before="240" w:after="240" w:line="360" w:lineRule="auto"/>
        <w:jc w:val="both"/>
        <w:outlineLvl w:val="1"/>
        <w:rPr>
          <w:b/>
          <w:color w:val="0D0D0D" w:themeColor="text1" w:themeTint="F2"/>
          <w:lang w:eastAsia="en-US"/>
        </w:rPr>
      </w:pPr>
      <w:bookmarkStart w:id="3" w:name="_Toc48203606"/>
      <w:bookmarkStart w:id="4" w:name="_Toc50694177"/>
      <w:bookmarkStart w:id="5" w:name="_Toc50713965"/>
      <w:bookmarkStart w:id="6" w:name="_Toc69749256"/>
      <w:r w:rsidRPr="00943DFA">
        <w:rPr>
          <w:b/>
          <w:color w:val="0D0D0D" w:themeColor="text1" w:themeTint="F2"/>
          <w:lang w:eastAsia="en-US"/>
        </w:rPr>
        <w:t>Literature review</w:t>
      </w:r>
      <w:bookmarkEnd w:id="3"/>
      <w:bookmarkEnd w:id="4"/>
      <w:bookmarkEnd w:id="5"/>
      <w:bookmarkEnd w:id="6"/>
    </w:p>
    <w:p w14:paraId="21C4ACF0" w14:textId="77777777" w:rsidR="00195130" w:rsidRPr="00943DFA" w:rsidRDefault="00195130" w:rsidP="00195130">
      <w:pPr>
        <w:spacing w:before="240" w:after="240" w:line="360" w:lineRule="auto"/>
        <w:jc w:val="both"/>
        <w:rPr>
          <w:color w:val="0D0D0D" w:themeColor="text1" w:themeTint="F2"/>
        </w:rPr>
      </w:pPr>
      <w:bookmarkStart w:id="7" w:name="_Toc48203607"/>
      <w:bookmarkStart w:id="8" w:name="_Toc50694178"/>
      <w:bookmarkStart w:id="9" w:name="_Toc50713966"/>
      <w:r w:rsidRPr="00943DFA">
        <w:rPr>
          <w:color w:val="0D0D0D" w:themeColor="text1" w:themeTint="F2"/>
        </w:rPr>
        <w:t xml:space="preserve">Public interest theory, developed by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{"citationItems":[{"id":"ITEM-1","itemData":{"author":[{"dropping-particle":"","family":"Pigou","given":"Arthur Cecil","non-dropping-particle":"","parse-names":false,"suffix":""}],"id":"ITEM-1","issued":{"date-parts":[["1932"]]},"publisher":"Macmillan and Co","publisher-place":"London","title":"The Economics of Welfare","type":"book"},"uris":["http://www.mendeley.com/documents/?uuid=304c7af4-9171-4656-88bf-8929093bf30b"]}],"mendeley":{"formattedCitation":"(Pigou, 1932)","manualFormatting":"Pigou (1932)","plainTextFormattedCitation":"(Pigou, 1932)","previouslyFormattedCitation":"(Pigou, 1932)"},"properties":{"noteIndex":0},"schema":"https://github.com/citation-style-language/schema/raw/master/csl-citation.json"}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Pigou (1932)</w:t>
      </w:r>
      <w:r w:rsidRPr="00943DFA">
        <w:rPr>
          <w:color w:val="0D0D0D" w:themeColor="text1" w:themeTint="F2"/>
        </w:rPr>
        <w:fldChar w:fldCharType="end"/>
      </w:r>
      <w:r w:rsidRPr="00943DFA">
        <w:rPr>
          <w:color w:val="0D0D0D" w:themeColor="text1" w:themeTint="F2"/>
        </w:rPr>
        <w:t xml:space="preserve">, suggests that regulatory bodies aim to protect the interests of the public as a whole rather than those of any individuals. He argues that the regulatory bodies aim to serve the public interest when they are required by the public to intervene, monitor and reform inefficient practices. Two main assumptions of public interest theory are that (1) markets are very weak and inefficient, and (2) regulatory bodies are neutral arbiters. Applying public interest theory,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Godfrey","given":"Jayne","non-dropping-particle":"","parse-names":false,"suffix":""},{"dropping-particle":"","family":"Hodgson","given":"Allan","non-dropping-particle":"","parse-names":false,"suffix":""},{"dropping-particle":"","family":"Tarca","given":"Ann","non-dropping-particle":"","parse-names":false,"suffix":""},{"dropping-particle":"","family":"Jane","given":"Hamilton","non-dropping-particle":"","parse-names":false,"suffix":""},{"dropping-particle":"","family":"Holmes","given":"Scott","non-dropping-particle":"","parse-names":false,"suffix":""}],"id":"ITEM-1","issued":{"date-parts":[["2010"]]},"publisher":"John Wiley &amp; Sons","publisher-place":"Australia","title":"Accounting Theory","type":"book"},"uris":["http://www.mendeley.com/documents/?uuid=4158fbaa-fc06-4811-a10d-bd705cada11b"]}],"mendeley":{"formattedCitation":"(Godfrey, Hodgson, Tarca, Jane, &amp; Holmes, 2010)","manualFormatting":"Godfrey et al. (2010)","plainTextFormattedCitation":"(Godfrey, Hodgson, Tarca, Jane, &amp; Holmes, 2010)","previouslyFormattedCitation":"(Godfrey, Hodgson, Tarca, Jane, &amp; Holmes, 2010)"},"properties":{"noteIndex":0},"schema":"https://github.com/citation-style-language/schema/raw/master/csl-citation.json"}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Godfrey et al. (2010)</w:t>
      </w:r>
      <w:r w:rsidRPr="00943DFA">
        <w:rPr>
          <w:color w:val="0D0D0D" w:themeColor="text1" w:themeTint="F2"/>
        </w:rPr>
        <w:fldChar w:fldCharType="end"/>
      </w:r>
      <w:r w:rsidRPr="00943DFA">
        <w:rPr>
          <w:color w:val="0D0D0D" w:themeColor="text1" w:themeTint="F2"/>
        </w:rPr>
        <w:t xml:space="preserve"> express that regulatory bodies will intervene in firms’ disclosure processes in order to correct wrongdoings in information reporting, to protect investors, and to gain the confidence of all market participants. Nevertheless, public interest theory might not hold in the real world, as regulatory bodies could be captured by big firms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{"citationItems":[{"id":"ITEM-1","itemData":{"author":[{"dropping-particle":"","family":"Stigler","given":"George J","non-dropping-particle":"","parse-names":false,"suffix":""}],"container-title":"The Bell Journal of Economics and Mangement Science","id":"ITEM-1","issue":"1","issued":{"date-parts":[["1971"]]},"page":"3-21","title":"The theory of economic regulation","type":"article-journal","volume":"2"},"uris":["http://www.mendeley.com/documents/?uuid=6fa6ee39-bc84-41c5-98d7-f82a1b197faf"]}],"mendeley":{"formattedCitation":"(Stigler, 1971)","plainTextFormattedCitation":"(Stigler, 1971)","previouslyFormattedCitation":"(Stigler, 1971)"},"properties":{"noteIndex":0},"schema":"https://github.com/citation-style-language/schema/raw/master/csl-citation.json"}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(Stigler, 1971)</w:t>
      </w:r>
      <w:r w:rsidRPr="00943DFA">
        <w:rPr>
          <w:color w:val="0D0D0D" w:themeColor="text1" w:themeTint="F2"/>
        </w:rPr>
        <w:fldChar w:fldCharType="end"/>
      </w:r>
      <w:r w:rsidRPr="00943DFA">
        <w:rPr>
          <w:color w:val="0D0D0D" w:themeColor="text1" w:themeTint="F2"/>
        </w:rPr>
        <w:t xml:space="preserve"> or lobbied by interest groups </w:t>
      </w:r>
      <w:r w:rsidRPr="00943DFA">
        <w:rPr>
          <w:color w:val="0D0D0D" w:themeColor="text1" w:themeTint="F2"/>
        </w:rPr>
        <w:fldChar w:fldCharType="begin" w:fldLock="1"/>
      </w:r>
      <w:r w:rsidRPr="00943DFA">
        <w:rPr>
          <w:color w:val="0D0D0D" w:themeColor="text1" w:themeTint="F2"/>
        </w:rPr>
        <w:instrText>ADDIN CSL_CITATION {"citationItems":[{"id":"ITEM-1","itemData":{"abstract":"JSTOR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This article provides the beginnings of a positive theory of accounting by exploring those factors influencing management's attitudes on accounting standards which are likely to affect corporate lobbying on accounting standards. Certain factors are expected to affect a firm's cashflows and in turn are affected by accounting standards. These factors are taxes, regulation, management compensation plans, bookkeeping costs, and political costs, and they are combined into a model which predicts that large firms which experience reduced earnings due to changed accounting standards favor the change. All other firms oppose the change if the additional bookkeeping costs justify the cost of lobbying. This prediction was tested using the corporate submissions to the FASB's Discussion Memorandum on General Price Level Adjustments. The empirical","author":[{"dropping-particle":"","family":"Watts","given":"Ross L","non-dropping-particle":"","parse-names":false,"suffix":""},{"dropping-particle":"","family":"Zimmerman","given":"Jerold L","non-dropping-particle":"","parse-names":false,"suffix":""}],"container-title":"The Accounting Review","id":"ITEM-1","issue":"I","issued":{"date-parts":[["1978"]]},"page":"112-134","title":"Towards a positive theory of the determination of accounting standards","type":"article-journal","volume":"53"},"uris":["http://www.mendeley.com/documents/?uuid=e51e0751-b306-44ac-ba79-ca8765a21e49"]}],"mendeley":{"formattedCitation":"(R. L. Watts &amp; Zimmerman, 1978)","manualFormatting":"(Watts &amp; Zimmerman, 1978)","plainTextFormattedCitation":"(R. L. Watts &amp; Zimmerman, 1978)","previouslyFormattedCitation":"(R. L. Watts &amp; Zimmerman, 1978)"},"properties":{"noteIndex":0},"schema":"https://github.com/citation-style-language/schema/raw/master/csl-citation.json"}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(Watts &amp; Zimmerman, 1978)</w:t>
      </w:r>
      <w:r w:rsidRPr="00943DFA">
        <w:rPr>
          <w:color w:val="0D0D0D" w:themeColor="text1" w:themeTint="F2"/>
        </w:rPr>
        <w:fldChar w:fldCharType="end"/>
      </w:r>
      <w:r w:rsidRPr="00943DFA">
        <w:rPr>
          <w:color w:val="0D0D0D" w:themeColor="text1" w:themeTint="F2"/>
        </w:rPr>
        <w:t xml:space="preserve">. </w:t>
      </w:r>
    </w:p>
    <w:p w14:paraId="112B3248"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In support of public interest theory, the prior literature provide evidence that SEC reviews can uncover existing or potential informational deficiencies, such as information uncertainty (</w:t>
      </w:r>
      <w:proofErr w:type="spellStart"/>
      <w:r w:rsidRPr="00943DFA">
        <w:rPr>
          <w:color w:val="0D0D0D" w:themeColor="text1" w:themeTint="F2"/>
        </w:rPr>
        <w:t>Colaco</w:t>
      </w:r>
      <w:proofErr w:type="spellEnd"/>
      <w:r w:rsidRPr="00943DFA">
        <w:rPr>
          <w:color w:val="0D0D0D" w:themeColor="text1" w:themeTint="F2"/>
        </w:rPr>
        <w:t xml:space="preserve"> et al., 2018;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hen","given":"R.","non-dropping-particle":"","parse-names":false,"suffix":""},{"dropping-particle":"","family":"Johnston","given":"R.","non-dropping-particle":"","parse-names":false,"suffix":""}],"container-title":"Working paper. MIT Sloan School of Management","id":"ITEM-1","issued":{"date-parts":[["2010"]]},"title":"The effect of regulator oversight on firms' information environment: Securities and exchange commission comment letters","type":"article-journal"},"uris":["http://www.mendeley.com/documents/?uuid=31cb3f38-3b03-4c18-80a9-efacdd595b49"]}],"mendeley":{"formattedCitation":"(Chen &amp; Johnston, 2010)","manualFormatting":"Chen &amp; Johnston, 2010","plainTextFormattedCitation":"(Chen &amp; Johnston, 2010)","previouslyFormattedCitation":"(Chen &amp; Johnston, 2010)"},"properties":{"noteIndex":0},"schema":"https://github.com/citation-style-language/schema/raw/master/csl-citation.json"}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Chen &amp; Johnston, 2010</w:t>
      </w:r>
      <w:r w:rsidRPr="00943DFA">
        <w:rPr>
          <w:color w:val="0D0D0D" w:themeColor="text1" w:themeTint="F2"/>
          <w:lang w:eastAsia="en-US"/>
        </w:rPr>
        <w:fldChar w:fldCharType="end"/>
      </w:r>
      <w:r w:rsidRPr="00943DFA">
        <w:rPr>
          <w:color w:val="0D0D0D" w:themeColor="text1" w:themeTint="F2"/>
        </w:rPr>
        <w:t xml:space="preserve">), low disclosure quality (Lowry, 2020; Schuldt &amp; Vega, 2018), weak corporate governance (Cassell et al., 2013; </w:t>
      </w:r>
      <w:proofErr w:type="spellStart"/>
      <w:r w:rsidRPr="00943DFA">
        <w:rPr>
          <w:color w:val="0D0D0D" w:themeColor="text1" w:themeTint="F2"/>
        </w:rPr>
        <w:t>Ertimur</w:t>
      </w:r>
      <w:proofErr w:type="spellEnd"/>
      <w:r w:rsidRPr="00943DFA">
        <w:rPr>
          <w:color w:val="0D0D0D" w:themeColor="text1" w:themeTint="F2"/>
        </w:rPr>
        <w:t xml:space="preserve"> and </w:t>
      </w:r>
      <w:proofErr w:type="spellStart"/>
      <w:r w:rsidRPr="00943DFA">
        <w:rPr>
          <w:color w:val="0D0D0D" w:themeColor="text1" w:themeTint="F2"/>
        </w:rPr>
        <w:t>Nondorf</w:t>
      </w:r>
      <w:proofErr w:type="spellEnd"/>
      <w:r w:rsidRPr="00943DFA">
        <w:rPr>
          <w:color w:val="0D0D0D" w:themeColor="text1" w:themeTint="F2"/>
        </w:rPr>
        <w:t xml:space="preserve">,, 2006; </w:t>
      </w:r>
      <w:r w:rsidRPr="00943DFA">
        <w:rPr>
          <w:noProof/>
          <w:color w:val="0D0D0D" w:themeColor="text1" w:themeTint="F2"/>
          <w:lang w:eastAsia="en-US"/>
        </w:rPr>
        <w:t>Ettredge et al., 2011</w:t>
      </w:r>
      <w:r w:rsidRPr="00943DFA">
        <w:rPr>
          <w:color w:val="0D0D0D" w:themeColor="text1" w:themeTint="F2"/>
        </w:rPr>
        <w:t>), and can improve the quality of the information environment (Li &amp; Liu, 2017; Lowry, 2020; Schuldt &amp; Vega, 2018).</w:t>
      </w:r>
    </w:p>
    <w:p w14:paraId="4134A562"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lastRenderedPageBreak/>
        <w:t>The literature investigating the determinants of SEC reviews of firm disclosure is diverse. For the sake of brevity, this study outlines empirical findings in relation to the research questions: How do the IPO firm’s characteristics affect SEC reviews of IPO registration statements? Specifically, this section addresses how SEC reviews are influenced by company size, age, business complexity, financial health, auditor quality and corporate governance quality.</w:t>
      </w:r>
    </w:p>
    <w:p w14:paraId="1BB98768" w14:textId="77777777" w:rsidR="00195130" w:rsidRPr="00943DFA" w:rsidRDefault="00195130" w:rsidP="00195130">
      <w:pPr>
        <w:spacing w:before="240" w:after="240" w:line="360" w:lineRule="auto"/>
        <w:jc w:val="both"/>
        <w:rPr>
          <w:color w:val="0D0D0D" w:themeColor="text1" w:themeTint="F2"/>
          <w:lang w:eastAsia="en-US"/>
        </w:rPr>
      </w:pPr>
      <w:r w:rsidRPr="00943DFA">
        <w:rPr>
          <w:b/>
          <w:color w:val="0D0D0D" w:themeColor="text1" w:themeTint="F2"/>
          <w:lang w:eastAsia="en-US"/>
        </w:rPr>
        <w:t>Company size</w:t>
      </w:r>
    </w:p>
    <w:p w14:paraId="378C5C5A" w14:textId="77777777" w:rsidR="00195130" w:rsidRPr="00943DFA" w:rsidRDefault="00195130" w:rsidP="00195130">
      <w:pPr>
        <w:spacing w:before="240" w:after="240" w:line="360" w:lineRule="auto"/>
        <w:jc w:val="both"/>
        <w:rPr>
          <w:color w:val="0D0D0D" w:themeColor="text1" w:themeTint="F2"/>
          <w:lang w:eastAsia="en-US"/>
        </w:rPr>
      </w:pPr>
      <w:r w:rsidRPr="00943DFA">
        <w:rPr>
          <w:rFonts w:eastAsia="Times New Roman"/>
          <w:color w:val="0D0D0D" w:themeColor="text1" w:themeTint="F2"/>
        </w:rPr>
        <w:t xml:space="preserve">Company size has long been argued to influence regulatory oversight, as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{"citationItems":[{"id":"ITEM-1","itemData":{"author":[{"dropping-particle":"","family":"Skinner","given":"Douglas","non-dropping-particle":"","parse-names":false,"suffix":""}],"container-title":"Journal of Accounting Research","id":"ITEM-1","issue":"1","issued":{"date-parts":[["1994"]]},"page":"38-60","title":"Why firms voluntarily disclose bad business","type":"article-journal","volume":"32"},"uris":["http://www.mendeley.com/documents/?uuid=361e131e-bf6f-4e7b-8fa2-7d602ed4a8f1"]}],"mendeley":{"formattedCitation":"(Skinner, 1994)","manualFormatting":"Skinner (1994)","plainTextFormattedCitation":"(Skinner, 1994)","previouslyFormattedCitation":"(Skinner, 1994)"},"properties":{"noteIndex":0},"schema":"https://github.com/citation-style-language/schema/raw/master/csl-citation.json"}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Skinner (1994)</w:t>
      </w:r>
      <w:r w:rsidRPr="00943DFA">
        <w:rPr>
          <w:rFonts w:eastAsia="Times New Roman"/>
          <w:color w:val="0D0D0D" w:themeColor="text1" w:themeTint="F2"/>
        </w:rPr>
        <w:fldChar w:fldCharType="end"/>
      </w:r>
      <w:r w:rsidRPr="00943DFA">
        <w:rPr>
          <w:rFonts w:eastAsia="Times New Roman"/>
          <w:color w:val="0D0D0D" w:themeColor="text1" w:themeTint="F2"/>
        </w:rPr>
        <w:t xml:space="preserve"> suggests that bigger firms might attract greater regulatory scrutiny.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2011)","manualFormatting":"Ettredge et al. (2011)","plainTextFormattedCitation":"(Ettredge et al., 2011)","previouslyFormattedCitation":"(Ettredge et al., 2011)"},"properties":{"noteIndex":0},"schema":"https://github.com/citation-style-language/schema/raw/master/csl-citation.json"}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Ettredge et al. (2011)</w:t>
      </w:r>
      <w:r w:rsidRPr="00943DFA">
        <w:rPr>
          <w:rFonts w:eastAsia="Times New Roman"/>
          <w:color w:val="0D0D0D" w:themeColor="text1" w:themeTint="F2"/>
        </w:rPr>
        <w:fldChar w:fldCharType="end"/>
      </w:r>
      <w:r w:rsidRPr="00943DFA">
        <w:rPr>
          <w:rFonts w:eastAsia="Times New Roman"/>
          <w:color w:val="0D0D0D" w:themeColor="text1" w:themeTint="F2"/>
        </w:rPr>
        <w:t xml:space="preserve"> suggest that corporate compliance with accounting and disclosure regulation is associated with company size.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Boone","given":"J.P.","non-dropping-particle":"","parse-names":false,"suffix":""},{"dropping-particle":"","family":"Linthicum","given":"C.L.","non-dropping-particle":"","parse-names":false,"suffix":""},{"dropping-particle":"","family":"Poe","given":"A.","non-dropping-particle":"","parse-names":false,"suffix":""}],"container-title":"Accounting Horizons","id":"ITEM-1","issue":"4","issued":{"date-parts":[["2013"]]},"page":"711-736","title":"Characteristics of accounting standards and SEC review comments","type":"article-journal","volume":"27"},"uris":["http://www.mendeley.com/documents/?uuid=1a54e841-058e-43f0-b0b1-4aa1f008948d"]}],"mendeley":{"formattedCitation":"(Boone et al., 2013)","manualFormatting":"Boone et al. (2013)","plainTextFormattedCitation":"(Boone et al., 2013)","previouslyFormattedCitation":"(Boone et al., 2013)"},"properties":{"noteIndex":0},"schema":"https://github.com/citation-style-language/schema/raw/master/csl-citation.json"}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Boone et al. (2013)</w:t>
      </w:r>
      <w:r w:rsidRPr="00943DFA">
        <w:rPr>
          <w:rFonts w:eastAsia="Times New Roman"/>
          <w:color w:val="0D0D0D" w:themeColor="text1" w:themeTint="F2"/>
        </w:rPr>
        <w:fldChar w:fldCharType="end"/>
      </w:r>
      <w:r w:rsidRPr="00943DFA">
        <w:rPr>
          <w:rFonts w:eastAsia="Times New Roman"/>
          <w:color w:val="0D0D0D" w:themeColor="text1" w:themeTint="F2"/>
        </w:rPr>
        <w:t xml:space="preserve"> identify that </w:t>
      </w:r>
      <w:r w:rsidRPr="00943DFA">
        <w:rPr>
          <w:color w:val="0D0D0D" w:themeColor="text1" w:themeTint="F2"/>
          <w:lang w:eastAsia="en-US"/>
        </w:rPr>
        <w:t xml:space="preserve">bigger firms have greater complexity and diversity.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Chaplinsky et al. (2017)</w:t>
      </w:r>
      <w:r w:rsidRPr="00943DFA">
        <w:rPr>
          <w:color w:val="0D0D0D" w:themeColor="text1" w:themeTint="F2"/>
          <w:lang w:eastAsia="en-US"/>
        </w:rPr>
        <w:fldChar w:fldCharType="end"/>
      </w:r>
      <w:r w:rsidRPr="00943DFA">
        <w:rPr>
          <w:color w:val="0D0D0D" w:themeColor="text1" w:themeTint="F2"/>
          <w:lang w:eastAsia="en-US"/>
        </w:rPr>
        <w:t xml:space="preserve"> also find that bigger firms tend to disclose more information. The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{"citationItems":[{"id":"ITEM-1","itemData":{"author":[{"dropping-particle":"","family":"(SEC)","given":"Securities and Exchange Commission","non-dropping-particle":"","parse-names":false,"suffix":""}],"container-title":"Washington, D.C.: SEC","id":"ITEM-1","issued":{"date-parts":[["2006"]]},"title":"Preliminary Review of Filings (Audit 401)","type":"article-journal"},"uris":["http://www.mendeley.com/documents/?uuid=5ee8edc1-bcb4-4b28-8dce-c02eb58b4628"]}],"mendeley":{"formattedCitation":"((SEC), 2006)","manualFormatting":"SEC (2006)","plainTextFormattedCitation":"((SEC), 2006)","previouslyFormattedCitation":"((SEC), 2006)"},"properties":{"noteIndex":0},"schema":"https://github.com/citation-style-language/schema/raw/master/csl-citation.json"}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SEC (2006)</w:t>
      </w:r>
      <w:r w:rsidRPr="00943DFA">
        <w:rPr>
          <w:color w:val="0D0D0D" w:themeColor="text1" w:themeTint="F2"/>
          <w:lang w:eastAsia="en-US"/>
        </w:rPr>
        <w:fldChar w:fldCharType="end"/>
      </w:r>
      <w:r w:rsidRPr="00943DFA">
        <w:rPr>
          <w:color w:val="0D0D0D" w:themeColor="text1" w:themeTint="F2"/>
          <w:lang w:eastAsia="en-US"/>
        </w:rPr>
        <w:t xml:space="preserve"> state that, in accordance with SOX Section 408 paragraph (b), the Division of Corporation Finance shall take company size, based either </w:t>
      </w:r>
      <w:r w:rsidRPr="00943DFA">
        <w:rPr>
          <w:rFonts w:eastAsia="Times New Roman"/>
          <w:color w:val="0D0D0D" w:themeColor="text1" w:themeTint="F2"/>
        </w:rPr>
        <w:t>on market capitalization (SOX section 408 criterion 3) or the level of impact on a sector of the economy (SOX section 408 criterion 5)</w:t>
      </w:r>
      <w:r w:rsidRPr="00943DFA">
        <w:rPr>
          <w:color w:val="0D0D0D" w:themeColor="text1" w:themeTint="F2"/>
          <w:lang w:eastAsia="en-US"/>
        </w:rPr>
        <w:t xml:space="preserve">, as a key criterion for selecting companies for periodic review.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{"citationItems":[{"id":"ITEM-1","itemData":{"DOI":"10.1016/j.jacceco.2014.04.004","ISSN":"01654101","abstract":"In this study, I examine whether firms and executives with long-term political connections through contributions and lobbying incur lower costs from the enforcement actions by the Securities and Exchange Commission (SEC). I find that politically connected firms on average are less likely to be involved in SEC enforcement actions and face lower penalties if they are prosecuted by the SEC. Contributions to politicians in a strong position to put pressure on the SEC are more effective than others at reducing the probability of enforcement and penalties imposed by an enforcement action. Moreover, the amounts paid to lobbyists with prior employment links to the SEC, and the amounts spent on lobbying the SEC directly, are more effective than other lobbying expenditures at reducing enforcement costs faced by firms. © 2014 Elsevier B.V.","author":[{"dropping-particle":"","family":"Correia","given":"M. M.","non-dropping-particle":"","parse-names":false,"suffix":""}],"container-title":"Journal of Accounting and Economics","id":"ITEM-1","issue":"2-3","issued":{"date-parts":[["2014"]]},"page":"241-262","publisher":"Elsevier","title":"Political connections and SEC enforcement","type":"article-journal","volume":"57"},"uris":["http://www.mendeley.com/documents/?uuid=70c16e49-5caf-4381-b8f8-2f1f29de7747"]}],"mendeley":{"formattedCitation":"(Correia, 2014)","manualFormatting":"Correia (2014)","plainTextFormattedCitation":"(Correia, 2014)","previouslyFormattedCitation":"(Correia, 2014)"},"properties":{"noteIndex":0},"schema":"https://github.com/citation-style-language/schema/raw/master/csl-citation.json"}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Correia (2014)</w:t>
      </w:r>
      <w:r w:rsidRPr="00943DFA">
        <w:rPr>
          <w:color w:val="0D0D0D" w:themeColor="text1" w:themeTint="F2"/>
          <w:lang w:eastAsia="en-US"/>
        </w:rPr>
        <w:fldChar w:fldCharType="end"/>
      </w:r>
      <w:r w:rsidRPr="00943DFA">
        <w:rPr>
          <w:color w:val="0D0D0D" w:themeColor="text1" w:themeTint="F2"/>
          <w:lang w:eastAsia="en-US"/>
        </w:rPr>
        <w:t xml:space="preserve"> suggests that bigger firms are more likely to violate federal securities laws, and consequently are identified to have greater probability of SEC enforcements.</w:t>
      </w:r>
    </w:p>
    <w:p w14:paraId="1EBFABAF"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color w:val="0D0D0D" w:themeColor="text1" w:themeTint="F2"/>
          <w:lang w:eastAsia="en-US"/>
        </w:rPr>
        <w:t xml:space="preserve">Regarding the impact of company size on the extensiveness of SEC reviews,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 A. Cassell et al., 2013)","manualFormatting":"Cassell et al. (2013)","plainTextFormattedCitation":"(C. A. Cassell et al., 2013)","previouslyFormattedCitation":"(C. A. Cassell et al., 2013)"},"properties":{"noteIndex":0},"schema":"https://github.com/citation-style-language/schema/raw/master/csl-citation.json"}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Cassell et al. (2013)</w:t>
      </w:r>
      <w:r w:rsidRPr="00943DFA">
        <w:rPr>
          <w:color w:val="0D0D0D" w:themeColor="text1" w:themeTint="F2"/>
          <w:lang w:eastAsia="en-US"/>
        </w:rPr>
        <w:fldChar w:fldCharType="end"/>
      </w:r>
      <w:r w:rsidRPr="00943DFA">
        <w:rPr>
          <w:color w:val="0D0D0D" w:themeColor="text1" w:themeTint="F2"/>
          <w:lang w:eastAsia="en-US"/>
        </w:rPr>
        <w:t xml:space="preserve"> </w:t>
      </w:r>
      <w:r w:rsidRPr="00943DFA">
        <w:rPr>
          <w:rFonts w:eastAsia="Times New Roman"/>
          <w:color w:val="0D0D0D" w:themeColor="text1" w:themeTint="F2"/>
        </w:rPr>
        <w:t xml:space="preserve">identify that bigger firms are more likely to receive SEC comment letters on 10-K filings, experience longer SEC reviews (duration from the first comment letter to the ‘‘no further comment’’ letter) and receive more comment letters from the SEC. Similarly,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{"citationItems":[{"id":"ITEM-1","itemData":{"author":[{"dropping-particle":"","family":"Cassell","given":"Cory A","non-dropping-particle":"","parse-names":false,"suffix":""},{"dropping-particle":"","family":"Cunningham","given":"Lauren M","non-dropping-particle":"","parse-names":false,"suffix":""},{"dropping-particle":"","family":"Lisic","given":"L. L.","non-dropping-particle":"","parse-names":false,"suffix":""}],"container-title":"Review of Accounting Studies","id":"ITEM-1","issue":"1252-1276","issued":{"date-parts":[["2019"]]},"title":"The Consequences of Writing Not So Readable Responses to SEC Comment Letters","type":"article-journal","volume":"24"},"uris":["http://www.mendeley.com/documents/?uuid=38f86cdd-b6d2-4684-a4f2-c823de87a16e"]}],"mendeley":{"formattedCitation":"(Cory A Cassell et al., 2019)","manualFormatting":"Cassell et al. (2019)","plainTextFormattedCitation":"(Cory A Cassell et al., 2019)","previouslyFormattedCitation":"(Cory A Cassell et al., 2019)"},"properties":{"noteIndex":0},"schema":"https://github.com/citation-style-language/schema/raw/master/csl-citation.json"}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Cassell et al. (2019)</w:t>
      </w:r>
      <w:r w:rsidRPr="00943DFA">
        <w:rPr>
          <w:rFonts w:eastAsia="Times New Roman"/>
          <w:color w:val="0D0D0D" w:themeColor="text1" w:themeTint="F2"/>
        </w:rPr>
        <w:fldChar w:fldCharType="end"/>
      </w:r>
      <w:r w:rsidRPr="00943DFA">
        <w:rPr>
          <w:rFonts w:eastAsia="Times New Roman"/>
          <w:color w:val="0D0D0D" w:themeColor="text1" w:themeTint="F2"/>
        </w:rPr>
        <w:t xml:space="preserve"> find a positive relationship between company size and the number of days in SEC review duration and the number of SEC letters </w:t>
      </w:r>
      <w:r w:rsidRPr="00943DFA">
        <w:rPr>
          <w:color w:val="0D0D0D" w:themeColor="text1" w:themeTint="F2"/>
          <w:lang w:eastAsia="en-US"/>
        </w:rPr>
        <w:t>on 10-K filings</w:t>
      </w:r>
      <w:r w:rsidRPr="00943DFA">
        <w:rPr>
          <w:rFonts w:eastAsia="Times New Roman"/>
          <w:color w:val="0D0D0D" w:themeColor="text1" w:themeTint="F2"/>
        </w:rPr>
        <w:t>.</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{"citationItems":[{"id":"ITEM-1","itemData":{"author":[{"dropping-particle":"","family":"Wang","given":"Qian","non-dropping-particle":"","parse-names":false,"suffix":""}],"container-title":"Journal of Accounting and Public Policy","id":"ITEM-1","issue":"2","issued":{"date-parts":[["2016"]]},"page":"109-133","publisher":"Elsevier Inc.","title":"Determinants of segment disclosure deficiencies and the effect of the SEC comment letter process","type":"article-journal","volume":"35"},"uris":["http://www.mendeley.com/documents/?uuid=91cfdfb9-8157-4540-8d03-7dd2af28c48c"]}],"mendeley":{"formattedCitation":"(Wang, 2016)","manualFormatting":" Wang (2016)","plainTextFormattedCitation":"(Wang, 2016)","previouslyFormattedCitation":"(Wang, 2016)"},"properties":{"noteIndex":0},"schema":"https://github.com/citation-style-language/schema/raw/master/csl-citation.json"}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 xml:space="preserve"> Wang (2016)</w:t>
      </w:r>
      <w:r w:rsidRPr="00943DFA">
        <w:rPr>
          <w:rFonts w:eastAsia="Times New Roman"/>
          <w:color w:val="0D0D0D" w:themeColor="text1" w:themeTint="F2"/>
        </w:rPr>
        <w:fldChar w:fldCharType="end"/>
      </w:r>
      <w:r w:rsidRPr="00943DFA">
        <w:rPr>
          <w:rFonts w:eastAsia="Times New Roman"/>
          <w:color w:val="0D0D0D" w:themeColor="text1" w:themeTint="F2"/>
        </w:rPr>
        <w:t xml:space="preserve"> identify that the probability of receiving an SEC comment letter on segment disclosures and amending current reports is higher for bigger firms. Likewise,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 xml:space="preserve">ADDIN CSL_CITATION {"citationItems":[{"id":"ITEM-1","itemData":{"DOI":"10.1016/j.adiac.2016.07.009","ISSN":"0882-6110","author":[{"dropping-particle":"","family":"Eiler","given":"L.","non-dropping-particle":"","parse-names":false,"suffix":""},{"dropping-particle":"","family":"Kutcher","given":"L.","non-dropping-particle":"","parse-names":false,"suffix":""}],"container-title":"Advances in Accounting, incorporating Advances in International Accounting","id":"ITEM-1","issue":"2016","issued":{"date-parts":[["2016"]]},"page":"110-116","publisher":"Elsevier Ltd","title":"Advances in Accounting , incorporating Advances in International Accounting SEC comment letters related to permanently reinvested earnings </w:instrText>
      </w:r>
      <w:r w:rsidRPr="00943DFA">
        <w:rPr>
          <w:rFonts w:ascii="Segoe UI Symbol" w:eastAsia="Times New Roman" w:hAnsi="Segoe UI Symbol" w:cs="Segoe UI Symbol"/>
          <w:color w:val="0D0D0D" w:themeColor="text1" w:themeTint="F2"/>
        </w:rPr>
        <w:instrText>☆</w:instrText>
      </w:r>
      <w:r w:rsidRPr="00943DFA">
        <w:rPr>
          <w:rFonts w:eastAsia="Times New Roman"/>
          <w:color w:val="0D0D0D" w:themeColor="text1" w:themeTint="F2"/>
        </w:rPr>
        <w:instrText>","type":"article-journal","volume":"34"},"uris":["http://www.mendeley.com/documents/?uuid=a313a14c-ee68-4942-b97b-02020ed174be"]}],"mendeley":{"formattedCitation":"(Eiler &amp; Kutcher, 2016)","manualFormatting":"Eiler &amp; Kutcher (2016)","plainTextFormattedCitation":"(Eiler &amp; Kutcher, 2016)","previouslyFormattedCitation":"(Eiler &amp; Kutcher, 2016)"},"properties":{"noteIndex":0},"schema":"https://github.com/citation-style-language/schema/raw/master/csl-citation.json"}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Eiler &amp; Kutcher (2016)</w:t>
      </w:r>
      <w:r w:rsidRPr="00943DFA">
        <w:rPr>
          <w:rFonts w:eastAsia="Times New Roman"/>
          <w:color w:val="0D0D0D" w:themeColor="text1" w:themeTint="F2"/>
        </w:rPr>
        <w:fldChar w:fldCharType="end"/>
      </w:r>
      <w:r w:rsidRPr="00943DFA">
        <w:rPr>
          <w:rFonts w:eastAsia="Times New Roman"/>
          <w:color w:val="0D0D0D" w:themeColor="text1" w:themeTint="F2"/>
        </w:rPr>
        <w:t xml:space="preserve"> also find that bigger firms are more likely to receive PRE-related comment letters.</w:t>
      </w:r>
      <w:r w:rsidRPr="00943DFA">
        <w:rPr>
          <w:rStyle w:val="FootnoteReference"/>
          <w:rFonts w:eastAsia="Times New Roman"/>
          <w:color w:val="0D0D0D" w:themeColor="text1" w:themeTint="F2"/>
        </w:rPr>
        <w:footnoteReference w:id="1"/>
      </w:r>
      <w:r w:rsidRPr="00943DFA">
        <w:rPr>
          <w:rFonts w:eastAsia="Times New Roman"/>
          <w:color w:val="0D0D0D" w:themeColor="text1" w:themeTint="F2"/>
        </w:rPr>
        <w:t xml:space="preserv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Research","id":"ITEM-1","issue":"2","issued":{"date-parts":[["2017"]]},"page":"1128-1155","title":"The effect of regulator oversight on firms' information environment: Securities and exchange commission comment letters","type":"article-journal","volume":"34"},"uris":["http://www.mendeley.com/documents/?uuid=6f0a5987-96ef-4573-9c9a-4445f9fb6ad8"]}],"mendeley":{"formattedCitation":"(Johnston &amp; Petacchi, 2017)","manualFormatting":"Johnston &amp; Petacchi (2017)","plainTextFormattedCitation":"(Johnston &amp; Petacchi, 2017)","previouslyFormattedCitation":"(Johnston &amp; Petacchi,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Johnston &amp; Petacchi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DP12145","id":"ITEM-1","issued":{"date-parts":[["2017"]]},"note":"We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?","type":"article-journal"},"uris":["http://www.mendeley.com/documents/?uuid=1244073f-8151-4447-8b41-8cd7e5d57e28"]}],"mendeley":{"formattedCitation":"(Duro et al., 2017)","manualFormatting":"Duro et al. (2017)","plainTextFormattedCitation":"(Duro et al., 2017)","previouslyFormattedCitation":"(Duro et al.,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 xml:space="preserve">Duro et </w:t>
      </w:r>
      <w:r w:rsidRPr="00943DFA">
        <w:rPr>
          <w:rFonts w:eastAsia="Times New Roman"/>
          <w:noProof/>
          <w:color w:val="0D0D0D" w:themeColor="text1" w:themeTint="F2"/>
        </w:rPr>
        <w:lastRenderedPageBreak/>
        <w:t>al.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2017)","manualFormatting":"Heese et al. (2017)","plainTextFormattedCitation":"(Heese et al., 2017)","previouslyFormattedCitation":"(Heese et al.,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Heese et al.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and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ISBN":"0000000000","author":[{"dropping-particle":"","family":"Cunningham","given":"L.M.","non-dropping-particle":"","parse-names":false,"suffix":""},{"dropping-particle":"","family":"Leidner","given":"J.J.","non-dropping-particle":"","parse-names":false,"suffix":""}],"id":"ITEM-1","issued":{"date-parts":[["2019"]]},"title":"The SEC Filing Review Process : Insights from Accounting Research The SEC Filing Review Process : Insights from Accounting Research","type":"report"},"uris":["http://www.mendeley.com/documents/?uuid=64988dd9-0b7b-4866-8300-300e2fc11bdf"]}],"mendeley":{"formattedCitation":"(Cunningham &amp; Leidner, 2019)","manualFormatting":"Cunningham &amp; Leidner (2019)","plainTextFormattedCitation":"(Cunningham &amp; Leidner, 2019)","previouslyFormattedCitation":"(Cunningham &amp; Leidner, 2019)"},"properties":{"noteIndex":0},"schema":"https://github.com/citation-style-language/schema/raw/master/csl-citation.json"}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Cunningham &amp; Leidner (2019)</w:t>
      </w:r>
      <w:r w:rsidRPr="00943DFA">
        <w:rPr>
          <w:rFonts w:eastAsia="Times New Roman"/>
          <w:color w:val="0D0D0D" w:themeColor="text1" w:themeTint="F2"/>
        </w:rPr>
        <w:fldChar w:fldCharType="end"/>
      </w:r>
      <w:r w:rsidRPr="00943DFA">
        <w:rPr>
          <w:rFonts w:eastAsia="Times New Roman"/>
          <w:color w:val="0D0D0D" w:themeColor="text1" w:themeTint="F2"/>
        </w:rPr>
        <w:t xml:space="preserve"> also identify that bigger firms have a higher probability of receiving comment letters on 10-K filings.</w:t>
      </w:r>
      <w:r w:rsidRPr="00943DFA">
        <w:rPr>
          <w:rStyle w:val="FootnoteReference"/>
          <w:rFonts w:eastAsia="Times New Roman"/>
          <w:color w:val="0D0D0D" w:themeColor="text1" w:themeTint="F2"/>
        </w:rPr>
        <w:footnoteReference w:id="2"/>
      </w:r>
      <w:r w:rsidRPr="00943DFA">
        <w:rPr>
          <w:rFonts w:eastAsia="Times New Roman"/>
          <w:color w:val="0D0D0D" w:themeColor="text1" w:themeTint="F2"/>
        </w:rPr>
        <w:t xml:space="preserve"> </w:t>
      </w:r>
    </w:p>
    <w:p w14:paraId="3A2A1AE3"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IPO process","type":"article-journal","volume":"22"},"uris":["http://www.mendeley.com/documents/?uuid=14e67220-7f18-451c-bcec-f870e9e5ce78"]}],"mendeley":{"formattedCitation":"(B. Li &amp; Liu, 2017)","manualFormatting":"Li &amp; Liu (2017)","plainTextFormattedCitation":"(B. Li &amp; Liu, 2017)","previouslyFormattedCitation":"(B. Li &amp; Liu,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Li &amp; Liu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provide evidence that IPOs receiving comment letters on S-1 and SB-2 filings are bigger than those not receiving comment letters. </w:t>
      </w:r>
      <w:r w:rsidRPr="00943DFA">
        <w:rPr>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Lowry","given":"M.","non-dropping-particle":"","parse-names":false,"suffix":""},{"dropping-particle":"","family":"Michaely","given":"R.","non-dropping-particle":"","parse-names":false,"suffix":""},{"dropping-particle":"","family":"Volkova","given":"E.","non-dropping-particle":"","parse-names":false,"suffix":""}],"container-title":"The Review of Financial Studies","id":"ITEM-1","issued":{"date-parts":[["2020"]]},"title":"Information Revealed through the Regulatory Process : Interactions between the SEC and Companies ahead of Their IPO","type":"article-journal"},"uris":["http://www.mendeley.com/documents/?uuid=1073cdb4-96a8-4857-815c-5661b6266526"]}],"mendeley":{"formattedCitation":"(Lowry et al., 2020)","manualFormatting":"Lowry et al. (2020)","plainTextFormattedCitation":"(Lowry et al., 2020)","previouslyFormattedCitation":"(Lowry et al., 2020)"},"properties":{"noteIndex":0},"schema":"https://github.com/citation-style-language/schema/raw/master/csl-citation.json"}</w:instrText>
      </w:r>
      <w:r w:rsidRPr="00943DFA">
        <w:rPr>
          <w:color w:val="0D0D0D" w:themeColor="text1" w:themeTint="F2"/>
        </w:rPr>
        <w:fldChar w:fldCharType="separate"/>
      </w:r>
      <w:r w:rsidRPr="00943DFA">
        <w:rPr>
          <w:rFonts w:eastAsia="Times New Roman"/>
          <w:noProof/>
          <w:color w:val="0D0D0D" w:themeColor="text1" w:themeTint="F2"/>
        </w:rPr>
        <w:t>Lowry et al. (2020)</w:t>
      </w:r>
      <w:r w:rsidRPr="00943DFA">
        <w:rPr>
          <w:color w:val="0D0D0D" w:themeColor="text1" w:themeTint="F2"/>
        </w:rPr>
        <w:fldChar w:fldCharType="end"/>
      </w:r>
      <w:r w:rsidRPr="00943DFA">
        <w:rPr>
          <w:rFonts w:eastAsia="Times New Roman"/>
          <w:color w:val="0D0D0D" w:themeColor="text1" w:themeTint="F2"/>
        </w:rPr>
        <w:t xml:space="preserve"> show that bigger firms are likely to receive longer comments about revenue recognition, capitalization, liquidity and risk factor issues (in terms of the number of words). Examining IPO registration statements,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 Duke University","id":"ITEM-1","issued":{"date-parts":[["2006"]]},"note":"3","title":"IPO Firms and the SEC Comment Letter Process","type":"report"},"uris":["http://www.mendeley.com/documents/?uuid=01b61a32-44a8-4cff-b503-d4d5cb89a0fb"]}],"mendeley":{"formattedCitation":"(Ertimur &amp; Nondorf, 2006a)","manualFormatting":"Ertimur &amp; Nondorf (2006)","plainTextFormattedCitation":"(Ertimur &amp; Nondorf, 2006a)","previouslyFormattedCitation":"(Ertimur &amp; Nondorf, 2006a)"},"properties":{"noteIndex":0},"schema":"https://github.com/citation-style-language/schema/raw/master/csl-citation.json"}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Ertimur &amp; Nondorf (2006)</w:t>
      </w:r>
      <w:r w:rsidRPr="00943DFA">
        <w:rPr>
          <w:rFonts w:eastAsia="Times New Roman"/>
          <w:color w:val="0D0D0D" w:themeColor="text1" w:themeTint="F2"/>
        </w:rPr>
        <w:fldChar w:fldCharType="end"/>
      </w:r>
      <w:r w:rsidRPr="00943DFA">
        <w:rPr>
          <w:rFonts w:eastAsia="Times New Roman"/>
          <w:color w:val="0D0D0D" w:themeColor="text1" w:themeTint="F2"/>
        </w:rPr>
        <w:t>, find a positive relationship between company size and the range of themes in comment letters on S-1 and SB-2 filings. Overall, prior research supports the view that SEC reviews of corporate disclosures are likely to be more extensive for bigger firms.</w:t>
      </w:r>
    </w:p>
    <w:p w14:paraId="7C5646C9"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The first hypothesis, therefore, is stated in an alternative form, as follows.</w:t>
      </w:r>
    </w:p>
    <w:p w14:paraId="14E6826F"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b/>
          <w:i/>
          <w:color w:val="0D0D0D" w:themeColor="text1" w:themeTint="F2"/>
          <w:lang w:eastAsia="en-US"/>
        </w:rPr>
        <w:t>H1</w:t>
      </w:r>
      <w:r w:rsidRPr="00943DFA">
        <w:rPr>
          <w:b/>
          <w:i/>
          <w:color w:val="0D0D0D" w:themeColor="text1" w:themeTint="F2"/>
          <w:lang w:eastAsia="en-US"/>
        </w:rPr>
        <w:softHyphen/>
      </w:r>
      <w:r w:rsidRPr="00943DFA">
        <w:rPr>
          <w:b/>
          <w:i/>
          <w:color w:val="0D0D0D" w:themeColor="text1" w:themeTint="F2"/>
          <w:lang w:eastAsia="en-US"/>
        </w:rPr>
        <w:softHyphen/>
      </w:r>
      <w:r w:rsidRPr="00943DFA">
        <w:rPr>
          <w:b/>
          <w:i/>
          <w:color w:val="0D0D0D" w:themeColor="text1" w:themeTint="F2"/>
          <w:lang w:eastAsia="en-US"/>
        </w:rPr>
        <w:softHyphen/>
      </w:r>
      <w:r w:rsidRPr="00943DFA">
        <w:rPr>
          <w:b/>
          <w:i/>
          <w:color w:val="0D0D0D" w:themeColor="text1" w:themeTint="F2"/>
          <w:vertAlign w:val="subscript"/>
          <w:lang w:eastAsia="en-US"/>
        </w:rPr>
        <w:t>alternative</w:t>
      </w:r>
      <w:r w:rsidRPr="00943DFA">
        <w:rPr>
          <w:b/>
          <w:i/>
          <w:color w:val="0D0D0D" w:themeColor="text1" w:themeTint="F2"/>
          <w:lang w:eastAsia="en-US"/>
        </w:rPr>
        <w:t xml:space="preserve">: </w:t>
      </w:r>
      <w:r w:rsidRPr="00943DFA">
        <w:rPr>
          <w:i/>
          <w:color w:val="0D0D0D" w:themeColor="text1" w:themeTint="F2"/>
          <w:lang w:eastAsia="en-US"/>
        </w:rPr>
        <w:t>SEC reviews of IPO registration statements are likely to be more extensive for bigger issuers.</w:t>
      </w:r>
    </w:p>
    <w:p w14:paraId="6A26A813" w14:textId="77777777" w:rsidR="00195130" w:rsidRPr="00943DFA" w:rsidRDefault="00195130" w:rsidP="00195130">
      <w:pPr>
        <w:spacing w:before="240" w:after="240" w:line="360" w:lineRule="auto"/>
        <w:jc w:val="both"/>
        <w:rPr>
          <w:rFonts w:eastAsia="Times New Roman"/>
          <w:b/>
          <w:color w:val="0D0D0D" w:themeColor="text1" w:themeTint="F2"/>
        </w:rPr>
      </w:pPr>
      <w:r w:rsidRPr="00943DFA">
        <w:rPr>
          <w:rFonts w:eastAsia="Times New Roman"/>
          <w:b/>
          <w:color w:val="0D0D0D" w:themeColor="text1" w:themeTint="F2"/>
        </w:rPr>
        <w:t>Company age</w:t>
      </w:r>
    </w:p>
    <w:p w14:paraId="680AD33E"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color w:val="0D0D0D" w:themeColor="text1" w:themeTint="F2"/>
        </w:rPr>
        <w:fldChar w:fldCharType="begin" w:fldLock="1"/>
      </w:r>
      <w:r w:rsidRPr="00943DFA">
        <w:rPr>
          <w:rFonts w:eastAsia="Times New Roman"/>
          <w:color w:val="0D0D0D" w:themeColor="text1" w:themeTint="F2"/>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Pr="00943DFA">
        <w:rPr>
          <w:color w:val="0D0D0D" w:themeColor="text1" w:themeTint="F2"/>
        </w:rPr>
        <w:fldChar w:fldCharType="separate"/>
      </w:r>
      <w:r w:rsidRPr="00943DFA">
        <w:rPr>
          <w:rFonts w:eastAsia="Times New Roman"/>
          <w:noProof/>
          <w:color w:val="0D0D0D" w:themeColor="text1" w:themeTint="F2"/>
        </w:rPr>
        <w:t>Chaplinsky et al. (2017)</w:t>
      </w:r>
      <w:r w:rsidRPr="00943DFA">
        <w:rPr>
          <w:color w:val="0D0D0D" w:themeColor="text1" w:themeTint="F2"/>
        </w:rPr>
        <w:fldChar w:fldCharType="end"/>
      </w:r>
      <w:r w:rsidRPr="00943DFA">
        <w:rPr>
          <w:rFonts w:eastAsia="Times New Roman"/>
          <w:color w:val="0D0D0D" w:themeColor="text1" w:themeTint="F2"/>
        </w:rPr>
        <w:t xml:space="preserve"> identify that older IPO firms are likely to disclose more information.</w:t>
      </w:r>
      <w:r w:rsidRPr="00943DFA">
        <w:rPr>
          <w:color w:val="0D0D0D" w:themeColor="text1" w:themeTint="F2"/>
        </w:rPr>
        <w:t xml:space="preserve"> </w:t>
      </w:r>
      <w:r w:rsidRPr="00943DFA">
        <w:rPr>
          <w:color w:val="0D0D0D" w:themeColor="text1" w:themeTint="F2"/>
        </w:rPr>
        <w:fldChar w:fldCharType="begin" w:fldLock="1"/>
      </w:r>
      <w:r w:rsidRPr="00943DFA">
        <w:rPr>
          <w:color w:val="0D0D0D" w:themeColor="text1" w:themeTint="F2"/>
        </w:rPr>
        <w:instrText>ADDIN CSL_CITATION {"citationItems":[{"id":"ITEM-1","itemData":{"ISBN":"0165-4101","ISSN":"01654101","abstract":"We examine determinants of weaknesses in internal control for 779 firms disclosing material weaknesses from August 2002 to 2005. We find that these firms tend to be smaller, younger, financially weaker, more complex, growing rapidly, or undergoing restructuring. Firms with more serious entity-wide control problems are smaller, younger and weaker financially, while firms with less severe, account-specific problems are healthy financially but have complex, diversified, and rapidly changing operations. Finally, we find that the determinants also vary based on the specific reason for the material weakness, consistent with each firm facing their own unique set of internal control challenges. © 2006 Elsevier B.V. All rights reserved.","author":[{"dropping-particle":"","family":"Doyle","given":"J.","non-dropping-particle":"","parse-names":false,"suffix":""},{"dropping-particle":"","family":"Ge","given":"W.","non-dropping-particle":"","parse-names":false,"suffix":""},{"dropping-particle":"","family":"McVay","given":"S.","non-dropping-particle":"","parse-names":false,"suffix":""}],"container-title":"Journal of Accounting and Economics","id":"ITEM-1","issue":"1-2","issued":{"date-parts":[["2007"]]},"page":"193-223","title":"Determinants of weaknesses in internal control over financial reporting","type":"article-journal","volume":"44"},"uris":["http://www.mendeley.com/documents/?uuid=02127812-9abe-4b8c-bec5-5b2e37361d7e"]}],"mendeley":{"formattedCitation":"(Doyle, Ge, &amp; McVay, 2007)","manualFormatting":"Doyle et al. (2007)","plainTextFormattedCitation":"(Doyle, Ge, &amp; McVay, 2007)","previouslyFormattedCitation":"(Doyle, Ge, &amp; McVay, 2007)"},"properties":{"noteIndex":0},"schema":"https://github.com/citation-style-language/schema/raw/master/csl-citation.json"}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Doyle et al. (2007)</w:t>
      </w:r>
      <w:r w:rsidRPr="00943DFA">
        <w:rPr>
          <w:color w:val="0D0D0D" w:themeColor="text1" w:themeTint="F2"/>
        </w:rPr>
        <w:fldChar w:fldCharType="end"/>
      </w:r>
      <w:r w:rsidRPr="00943DFA">
        <w:rPr>
          <w:color w:val="0D0D0D" w:themeColor="text1" w:themeTint="F2"/>
        </w:rPr>
        <w:t xml:space="preserve"> observe that the older firm </w:t>
      </w:r>
      <w:r w:rsidRPr="00943DFA">
        <w:rPr>
          <w:rFonts w:eastAsia="Times New Roman"/>
          <w:color w:val="0D0D0D" w:themeColor="text1" w:themeTint="F2"/>
        </w:rPr>
        <w:t xml:space="preserve">tends to have weaknesses as they are more likely to have weaknesses in their accounting transactions. In line with the expectation that greater scrutiny in the review process might be experienced by older firms, Cassell et al. (2013) find that older firms are more likely to receive comment letters on 10-K filings and also experience higher cost of remediation as indicated by the number of comment letters received during the review process. Similarly,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Chen","given":"R.","non-dropping-particle":"","parse-names":false,"suffix":""},{"dropping-particle":"","family":"Johnston","given":"R.","non-dropping-particle":"","parse-names":false,"suffix":""}],"container-title":"Working paper. MIT Sloan School of Management","id":"ITEM-1","issued":{"date-parts":[["2010"]]},"title":"The effect of regulator oversight on firms' information environment: Securities and exchange commission comment letters","type":"article-journal"},"uris":["http://www.mendeley.com/documents/?uuid=31cb3f38-3b03-4c18-80a9-efacdd595b49"]},{"id":"ITEM-2","itemData":{"ISBN":"7133486296","ISSN":"19113846","PMID":"25246403","abstract":"The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Research","id":"ITEM-2","issue":"2","issued":{"date-parts":[["2017"]]},"page":"1128-1155","title":"The effect of regulator oversight on firms' information environment: Securities and exchange commission comment letters","type":"article-journal","volume":"34"},"uris":["http://www.mendeley.com/documents/?uuid=6f0a5987-96ef-4573-9c9a-4445f9fb6ad8"]}],"mendeley":{"formattedCitation":"(Chen &amp; Johnston, 2010; Johnston &amp; Petacchi, 2017)","manualFormatting":"Chen &amp; Johnston (2010) and Johnston &amp; Petacchi (2017)","plainTextFormattedCitation":"(Chen &amp; Johnston, 2010; Johnston &amp; Petacchi, 2017)","previouslyFormattedCitation":"(Chen &amp; Johnston, 2010; Johnston &amp; Petacchi,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Chen &amp; Johnston (2010) and Johnston &amp; Petacchi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provide evidence that the probability of receiving comment letters on 10-K filings is higher for older firms. </w:t>
      </w:r>
    </w:p>
    <w:p w14:paraId="0256D269"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rFonts w:eastAsia="Times New Roman"/>
          <w:color w:val="0D0D0D" w:themeColor="text1" w:themeTint="F2"/>
        </w:rPr>
        <w:t xml:space="preserve">IPO firms receiving comment letters on 10-K filings are observed to be older than those not receiving any comment letter (Cassell et al., 2013; </w:t>
      </w:r>
      <w:proofErr w:type="spellStart"/>
      <w:r w:rsidRPr="00943DFA">
        <w:rPr>
          <w:rFonts w:eastAsia="Times New Roman"/>
          <w:color w:val="0D0D0D" w:themeColor="text1" w:themeTint="F2"/>
        </w:rPr>
        <w:t>Heese</w:t>
      </w:r>
      <w:proofErr w:type="spellEnd"/>
      <w:r w:rsidRPr="00943DFA">
        <w:rPr>
          <w:rFonts w:eastAsia="Times New Roman"/>
          <w:color w:val="0D0D0D" w:themeColor="text1" w:themeTint="F2"/>
        </w:rPr>
        <w:t xml:space="preserve"> et al., 2017). Likewise,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Business","id":"ITEM-1","issued":{"date-parts":[["2017"]]},"title":"The effect of SEC reviewers on comment letters and financial reporting quality","type":"article-journal"},"uris":["http://www.mendeley.com/documents/?uuid=c7a2e1db-fef8-4c72-baa1-98dd82052a0d"]}],"mendeley":{"formattedCitation":"(Matthew Baugh et al., 2017)","manualFormatting":"Baugh et al. (2017)","plainTextFormattedCitation":"(Matthew Baugh et al., 2017)","previouslyFormattedCitation":"(Matthew Baugh et al.,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Baugh et al.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identify that the sample of firms receiving comment letters on their annual fillings are more mature than the sample of all firms on the </w:t>
      </w:r>
      <w:proofErr w:type="spellStart"/>
      <w:r w:rsidRPr="00943DFA">
        <w:rPr>
          <w:rFonts w:eastAsia="Times New Roman"/>
          <w:color w:val="0D0D0D" w:themeColor="text1" w:themeTint="F2"/>
        </w:rPr>
        <w:t>Compustat</w:t>
      </w:r>
      <w:proofErr w:type="spellEnd"/>
      <w:r w:rsidRPr="00943DFA">
        <w:rPr>
          <w:rFonts w:eastAsia="Times New Roman"/>
          <w:color w:val="0D0D0D" w:themeColor="text1" w:themeTint="F2"/>
        </w:rPr>
        <w:t xml:space="preserve"> database. Focusing on the IPO process,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Colaco et al. (2018)</w:t>
      </w:r>
      <w:r w:rsidRPr="00943DFA">
        <w:rPr>
          <w:rFonts w:eastAsia="Times New Roman"/>
          <w:color w:val="0D0D0D" w:themeColor="text1" w:themeTint="F2"/>
        </w:rPr>
        <w:fldChar w:fldCharType="end"/>
      </w:r>
      <w:r w:rsidRPr="00943DFA">
        <w:rPr>
          <w:rFonts w:eastAsia="Times New Roman"/>
          <w:color w:val="0D0D0D" w:themeColor="text1" w:themeTint="F2"/>
        </w:rPr>
        <w:t xml:space="preserve"> observe that longer IPO waiting periods, which includes SEC </w:t>
      </w:r>
      <w:r w:rsidRPr="00943DFA">
        <w:rPr>
          <w:rFonts w:eastAsia="Times New Roman"/>
          <w:color w:val="0D0D0D" w:themeColor="text1" w:themeTint="F2"/>
        </w:rPr>
        <w:lastRenderedPageBreak/>
        <w:t xml:space="preserve">review process, are likely to be experienced by older firms. Taken together, these findings indicate that older firms are likely to receive more extensive SEC reviews. </w:t>
      </w:r>
    </w:p>
    <w:p w14:paraId="57D2B44D"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Therefore, the second hypothesis, stated in an alternative form, is as follows.</w:t>
      </w:r>
    </w:p>
    <w:p w14:paraId="495BC39E"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b/>
          <w:i/>
          <w:color w:val="0D0D0D" w:themeColor="text1" w:themeTint="F2"/>
          <w:lang w:eastAsia="en-US"/>
        </w:rPr>
        <w:t>H2</w:t>
      </w:r>
      <w:r w:rsidRPr="00943DFA">
        <w:rPr>
          <w:b/>
          <w:i/>
          <w:color w:val="0D0D0D" w:themeColor="text1" w:themeTint="F2"/>
          <w:vertAlign w:val="subscript"/>
          <w:lang w:eastAsia="en-US"/>
        </w:rPr>
        <w:t>alternative</w:t>
      </w:r>
      <w:r w:rsidRPr="00943DFA">
        <w:rPr>
          <w:b/>
          <w:i/>
          <w:color w:val="0D0D0D" w:themeColor="text1" w:themeTint="F2"/>
          <w:lang w:eastAsia="en-US"/>
        </w:rPr>
        <w:t xml:space="preserve">: </w:t>
      </w:r>
      <w:r w:rsidRPr="00943DFA">
        <w:rPr>
          <w:i/>
          <w:color w:val="0D0D0D" w:themeColor="text1" w:themeTint="F2"/>
          <w:lang w:eastAsia="en-US"/>
        </w:rPr>
        <w:t>SEC reviews of IPO registration statements are likely to be more extensive for older issuers.</w:t>
      </w:r>
    </w:p>
    <w:p w14:paraId="606C667A" w14:textId="77777777" w:rsidR="00195130" w:rsidRPr="00943DFA" w:rsidRDefault="00195130" w:rsidP="00195130">
      <w:pPr>
        <w:spacing w:before="240" w:after="240" w:line="360" w:lineRule="auto"/>
        <w:jc w:val="both"/>
        <w:rPr>
          <w:rFonts w:eastAsia="Times New Roman"/>
          <w:b/>
          <w:color w:val="0D0D0D" w:themeColor="text1" w:themeTint="F2"/>
        </w:rPr>
      </w:pPr>
      <w:r w:rsidRPr="00943DFA">
        <w:rPr>
          <w:rFonts w:eastAsia="Times New Roman"/>
          <w:b/>
          <w:color w:val="0D0D0D" w:themeColor="text1" w:themeTint="F2"/>
        </w:rPr>
        <w:t xml:space="preserve">Company complexity </w:t>
      </w:r>
    </w:p>
    <w:p w14:paraId="39A44D9B"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According to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DP12145","id":"ITEM-2","issued":{"date-parts":[["2017"]]},"note":"We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id":"ITEM-3","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Business","id":"ITEM-3","issued":{"date-parts":[["2017"]]},"title":"The effect of SEC reviewers on comment letters and financial reporting quality","type":"article-journal"},"uris":["http://www.mendeley.com/documents/?uuid=c7a2e1db-fef8-4c72-baa1-98dd82052a0d"]}],"mendeley":{"formattedCitation":"(Matthew Baugh et al., 2017; C. A. Cassell et al., 2013; Duro et al., 2017)","manualFormatting":"Baugh et al. (2017), Cassell et al. (2013) and Duro et al. (2017)","plainTextFormattedCitation":"(Matthew Baugh et al., 2017; C. A. Cassell et al., 2013; Duro et al., 2017)","previouslyFormattedCitation":"(Matthew Baugh et al., 2017; C. A. Cassell et al., 2013; Duro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Baugh et al. (2017), Cassell et al. (2013) and Duro et al. (2017)</w:t>
      </w:r>
      <w:r w:rsidRPr="00943DFA">
        <w:rPr>
          <w:color w:val="0D0D0D" w:themeColor="text1" w:themeTint="F2"/>
          <w:lang w:eastAsia="en-US"/>
        </w:rPr>
        <w:fldChar w:fldCharType="end"/>
      </w:r>
      <w:r w:rsidRPr="00943DFA">
        <w:rPr>
          <w:color w:val="0D0D0D" w:themeColor="text1" w:themeTint="F2"/>
          <w:lang w:eastAsia="en-US"/>
        </w:rPr>
        <w:t xml:space="preserve">, company complexity is greater for firms with higher sales growth, more reporting segments, and for firms conducting restructuring and M&amp;A activities. </w:t>
      </w:r>
      <w:r w:rsidRPr="00943DFA">
        <w:rPr>
          <w:noProof/>
          <w:color w:val="0D0D0D" w:themeColor="text1" w:themeTint="F2"/>
          <w:lang w:eastAsia="en-US"/>
        </w:rPr>
        <w:t xml:space="preserve">Cassell et al. (2013) also suggest that company complexity may decrease the quality of financial disclosures. </w:t>
      </w:r>
      <w:r w:rsidRPr="00943DFA">
        <w:rPr>
          <w:noProof/>
          <w:color w:val="0D0D0D" w:themeColor="text1" w:themeTint="F2"/>
          <w:lang w:eastAsia="en-US"/>
        </w:rPr>
        <w:fldChar w:fldCharType="begin" w:fldLock="1"/>
      </w:r>
      <w:r w:rsidRPr="00943DFA">
        <w:rPr>
          <w:noProof/>
          <w:color w:val="0D0D0D" w:themeColor="text1" w:themeTint="F2"/>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Lee, &amp; Zhang, 2005)","manualFormatting":"Jiang et al. (2005)","plainTextFormattedCitation":"(Jiang, Lee, &amp; Zhang, 2005)","previouslyFormattedCitation":"(Jiang, Lee, &amp; Zhang, 2005)"},"properties":{"noteIndex":0},"schema":"https://github.com/citation-style-language/schema/raw/master/csl-citation.json"}</w:instrText>
      </w:r>
      <w:r w:rsidRPr="00943DFA">
        <w:rPr>
          <w:noProof/>
          <w:color w:val="0D0D0D" w:themeColor="text1" w:themeTint="F2"/>
          <w:lang w:eastAsia="en-US"/>
        </w:rPr>
        <w:fldChar w:fldCharType="separate"/>
      </w:r>
      <w:r w:rsidRPr="00943DFA">
        <w:rPr>
          <w:noProof/>
          <w:color w:val="0D0D0D" w:themeColor="text1" w:themeTint="F2"/>
          <w:lang w:eastAsia="en-US"/>
        </w:rPr>
        <w:t>Jiang et al. (2005)</w:t>
      </w:r>
      <w:r w:rsidRPr="00943DFA">
        <w:rPr>
          <w:noProof/>
          <w:color w:val="0D0D0D" w:themeColor="text1" w:themeTint="F2"/>
          <w:lang w:eastAsia="en-US"/>
        </w:rPr>
        <w:fldChar w:fldCharType="end"/>
      </w:r>
      <w:r w:rsidRPr="00943DFA">
        <w:rPr>
          <w:noProof/>
          <w:color w:val="0D0D0D" w:themeColor="text1" w:themeTint="F2"/>
          <w:lang w:eastAsia="en-US"/>
        </w:rPr>
        <w:t xml:space="preserve"> </w:t>
      </w:r>
      <w:r w:rsidRPr="00943DFA">
        <w:rPr>
          <w:color w:val="0D0D0D" w:themeColor="text1" w:themeTint="F2"/>
          <w:lang w:eastAsia="en-US"/>
        </w:rPr>
        <w:t xml:space="preserve">identify that firms with greater expected growth are likely to be operating under conditions of higher information uncertainty, which might attract more SEC scrutiny (Chen &amp; Johnston, 2010; </w:t>
      </w:r>
      <w:proofErr w:type="spellStart"/>
      <w:r w:rsidRPr="00943DFA">
        <w:rPr>
          <w:color w:val="0D0D0D" w:themeColor="text1" w:themeTint="F2"/>
          <w:lang w:eastAsia="en-US"/>
        </w:rPr>
        <w:t>Colaco</w:t>
      </w:r>
      <w:proofErr w:type="spellEnd"/>
      <w:r w:rsidRPr="00943DFA">
        <w:rPr>
          <w:color w:val="0D0D0D" w:themeColor="text1" w:themeTint="F2"/>
          <w:lang w:eastAsia="en-US"/>
        </w:rPr>
        <w:t xml:space="preserve"> et al., 2018;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(2017) also state that firms with high sales growth rates, indicating high growth expectation (Jiang et al., 2005), are often targeted by the SEC for review. </w:t>
      </w:r>
    </w:p>
    <w:p w14:paraId="6F4213BD"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Cassell et al. (2013) find evidence that high complexity increases the extensiveness of SEC reviews of 10-K filings. Specifically, the authors identify that, compared with firms not receiving any comment letters, firms receiving letters have greater business complexity as they have more business segments, and are more likely to conduct restructuring and M&amp;A activities. They also observe that the SEC provide more comment letters for firms conducting M&amp;A activities and wider ranges of themes in the comment letters for firms having more business segments. Likewise,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Business","id":"ITEM-1","issued":{"date-parts":[["2017"]]},"title":"The effect of SEC reviewers on comment letters and financial reporting quality","type":"article-journal"},"uris":["http://www.mendeley.com/documents/?uuid=c7a2e1db-fef8-4c72-baa1-98dd82052a0d"]}],"mendeley":{"formattedCitation":"(Matthew Baugh et al., 2017)","manualFormatting":"Baugh et al. (2017)","plainTextFormattedCitation":"(Matthew Baugh et al., 2017)","previouslyFormattedCitation":"(Matthew Baugh et al., 2017)"},"properties":{"noteIndex":0},"schema":"https://github.com/citation-style-language/schema/raw/master/csl-citation.json"}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Baugh et al. (2017)</w:t>
      </w:r>
      <w:r w:rsidRPr="00943DFA">
        <w:rPr>
          <w:rFonts w:eastAsia="Times New Roman"/>
          <w:color w:val="0D0D0D" w:themeColor="text1" w:themeTint="F2"/>
        </w:rPr>
        <w:fldChar w:fldCharType="end"/>
      </w:r>
      <w:r w:rsidRPr="00943DFA">
        <w:rPr>
          <w:rFonts w:eastAsia="Times New Roman"/>
          <w:color w:val="0D0D0D" w:themeColor="text1" w:themeTint="F2"/>
        </w:rPr>
        <w:t xml:space="preserve"> also observe that the sample of firms receiving comment letters on their annual fillings more frequently restructure their operations and conduct M&amp;A than the sample of all firms on the </w:t>
      </w:r>
      <w:proofErr w:type="spellStart"/>
      <w:r w:rsidRPr="00943DFA">
        <w:rPr>
          <w:rFonts w:eastAsia="Times New Roman"/>
          <w:color w:val="0D0D0D" w:themeColor="text1" w:themeTint="F2"/>
        </w:rPr>
        <w:t>Compustat</w:t>
      </w:r>
      <w:proofErr w:type="spellEnd"/>
      <w:r w:rsidRPr="00943DFA">
        <w:rPr>
          <w:rFonts w:eastAsia="Times New Roman"/>
          <w:color w:val="0D0D0D" w:themeColor="text1" w:themeTint="F2"/>
        </w:rPr>
        <w:t xml:space="preserve"> database</w:t>
      </w:r>
      <w:r w:rsidRPr="00943DFA">
        <w:rPr>
          <w:color w:val="0D0D0D" w:themeColor="text1" w:themeTint="F2"/>
          <w:lang w:eastAsia="en-US"/>
        </w:rPr>
        <w:t xml:space="preserve">. </w:t>
      </w:r>
    </w:p>
    <w:p w14:paraId="54FC3118" w14:textId="77777777" w:rsidR="00195130" w:rsidRPr="00943DFA" w:rsidRDefault="00195130" w:rsidP="00195130">
      <w:pPr>
        <w:spacing w:before="240" w:after="240" w:line="360" w:lineRule="auto"/>
        <w:jc w:val="both"/>
        <w:rPr>
          <w:color w:val="0D0D0D" w:themeColor="text1" w:themeTint="F2"/>
          <w:lang w:eastAsia="en-US"/>
        </w:rPr>
      </w:pP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(2017) identify that the probability of receiving an SEC comment letter </w:t>
      </w:r>
      <w:r w:rsidRPr="00943DFA">
        <w:rPr>
          <w:rFonts w:eastAsia="Times New Roman"/>
          <w:color w:val="0D0D0D" w:themeColor="text1" w:themeTint="F2"/>
        </w:rPr>
        <w:t>on 10-K filings</w:t>
      </w:r>
      <w:r w:rsidRPr="00943DFA">
        <w:rPr>
          <w:color w:val="0D0D0D" w:themeColor="text1" w:themeTint="F2"/>
          <w:lang w:eastAsia="en-US"/>
        </w:rPr>
        <w:t xml:space="preserve"> is higher for firms conducting restructuring or M&amp;A, who may have more complexity in their business. Similarly, </w:t>
      </w:r>
      <w:proofErr w:type="spellStart"/>
      <w:r w:rsidRPr="00943DFA">
        <w:rPr>
          <w:color w:val="0D0D0D" w:themeColor="text1" w:themeTint="F2"/>
          <w:lang w:eastAsia="en-US"/>
        </w:rPr>
        <w:t>Duro</w:t>
      </w:r>
      <w:proofErr w:type="spellEnd"/>
      <w:r w:rsidRPr="00943DFA">
        <w:rPr>
          <w:color w:val="0D0D0D" w:themeColor="text1" w:themeTint="F2"/>
          <w:lang w:eastAsia="en-US"/>
        </w:rPr>
        <w:t xml:space="preserve"> et al. (2017) find evidence that after May 12th, 2005 when SEC began publishing their comment letters and firms’ correspondence, the probability of receiving an SEC comment letter </w:t>
      </w:r>
      <w:r w:rsidRPr="00943DFA">
        <w:rPr>
          <w:rFonts w:eastAsia="Times New Roman"/>
          <w:color w:val="0D0D0D" w:themeColor="text1" w:themeTint="F2"/>
        </w:rPr>
        <w:t>on 10-K filings</w:t>
      </w:r>
      <w:r w:rsidRPr="00943DFA">
        <w:rPr>
          <w:color w:val="0D0D0D" w:themeColor="text1" w:themeTint="F2"/>
          <w:lang w:eastAsia="en-US"/>
        </w:rPr>
        <w:t xml:space="preserve"> is higher for firms conducting M&amp;A.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{"citationItems":[{"id":"ITEM-1","itemData":{"author":[{"dropping-particle":"","family":"Wang","given":"Qian","non-dropping-particle":"","parse-names":false,"suffix":""}],"container-title":"Journal of Accounting and Public Policy","id":"ITEM-1","issue":"2","issued":{"date-parts":[["2016"]]},"page":"109-133","publisher":"Elsevier Inc.","title":"Determinants of segment disclosure deficiencies and the effect of the SEC comment letter process","type":"article-journal","volume":"35"},"uris":["http://www.mendeley.com/documents/?uuid=91cfdfb9-8157-4540-8d03-7dd2af28c48c"]}],"mendeley":{"formattedCitation":"(Wang, 2016)","manualFormatting":"Wang (2016)","plainTextFormattedCitation":"(Wang, 2016)","previouslyFormattedCitation":"(Wang, 2016)"},"properties":{"noteIndex":0},"schema":"https://github.com/citation-style-language/schema/raw/master/csl-citation.json"}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Wang (2016)</w:t>
      </w:r>
      <w:r w:rsidRPr="00943DFA">
        <w:rPr>
          <w:color w:val="0D0D0D" w:themeColor="text1" w:themeTint="F2"/>
          <w:lang w:eastAsia="en-US"/>
        </w:rPr>
        <w:fldChar w:fldCharType="end"/>
      </w:r>
      <w:r w:rsidRPr="00943DFA">
        <w:rPr>
          <w:color w:val="0D0D0D" w:themeColor="text1" w:themeTint="F2"/>
          <w:lang w:eastAsia="en-US"/>
        </w:rPr>
        <w:t xml:space="preserve"> observes that firms engaging in restructuring activities are more likely to have deficient </w:t>
      </w:r>
      <w:r w:rsidRPr="00943DFA">
        <w:rPr>
          <w:color w:val="0D0D0D" w:themeColor="text1" w:themeTint="F2"/>
          <w:lang w:eastAsia="en-US"/>
        </w:rPr>
        <w:lastRenderedPageBreak/>
        <w:t>disclosures as they receive comment letters addressing deficiencies in segmental reports, and are more likely to amend (or commit to amending) the reports. The authors also identify that firms with deficiencies in segmental disclosures are more likely to conduct M&amp;A activities. In general, the empirical findings reveal that the SEC increase the extensiveness of their review for firms with greater complexity in their businesses.</w:t>
      </w:r>
    </w:p>
    <w:p w14:paraId="69F4543C"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The third hypothesis, therefore, is stated in an alternative form, as follows.</w:t>
      </w:r>
    </w:p>
    <w:p w14:paraId="5D507EED" w14:textId="77777777" w:rsidR="00195130" w:rsidRPr="00943DFA" w:rsidRDefault="00195130" w:rsidP="00195130">
      <w:pPr>
        <w:spacing w:before="240" w:after="240" w:line="360" w:lineRule="auto"/>
        <w:jc w:val="both"/>
        <w:rPr>
          <w:i/>
          <w:color w:val="0D0D0D" w:themeColor="text1" w:themeTint="F2"/>
          <w:lang w:eastAsia="en-US"/>
        </w:rPr>
      </w:pPr>
      <w:r w:rsidRPr="00943DFA">
        <w:rPr>
          <w:b/>
          <w:i/>
          <w:color w:val="0D0D0D" w:themeColor="text1" w:themeTint="F2"/>
          <w:lang w:eastAsia="en-US"/>
        </w:rPr>
        <w:t>H3</w:t>
      </w:r>
      <w:r w:rsidRPr="00943DFA">
        <w:rPr>
          <w:b/>
          <w:i/>
          <w:color w:val="0D0D0D" w:themeColor="text1" w:themeTint="F2"/>
          <w:vertAlign w:val="subscript"/>
          <w:lang w:eastAsia="en-US"/>
        </w:rPr>
        <w:t>alternative</w:t>
      </w:r>
      <w:r w:rsidRPr="00943DFA">
        <w:rPr>
          <w:b/>
          <w:i/>
          <w:color w:val="0D0D0D" w:themeColor="text1" w:themeTint="F2"/>
          <w:lang w:eastAsia="en-US"/>
        </w:rPr>
        <w:t xml:space="preserve">: </w:t>
      </w:r>
      <w:r w:rsidRPr="00943DFA">
        <w:rPr>
          <w:i/>
          <w:color w:val="0D0D0D" w:themeColor="text1" w:themeTint="F2"/>
          <w:lang w:eastAsia="en-US"/>
        </w:rPr>
        <w:t>SEC reviews of IPO registration statements are likely to be more extensive for issuers with greater complexity in their business.</w:t>
      </w:r>
    </w:p>
    <w:p w14:paraId="742230F9" w14:textId="77777777" w:rsidR="00195130" w:rsidRPr="00943DFA" w:rsidRDefault="00195130" w:rsidP="00195130">
      <w:pPr>
        <w:spacing w:before="240" w:after="240" w:line="360" w:lineRule="auto"/>
        <w:jc w:val="both"/>
        <w:rPr>
          <w:b/>
          <w:color w:val="0D0D0D" w:themeColor="text1" w:themeTint="F2"/>
          <w:lang w:eastAsia="en-US"/>
        </w:rPr>
      </w:pPr>
    </w:p>
    <w:p w14:paraId="5EBDA95B" w14:textId="77777777" w:rsidR="00195130" w:rsidRPr="00943DFA" w:rsidRDefault="00195130" w:rsidP="00195130">
      <w:pPr>
        <w:spacing w:before="240" w:after="240" w:line="360" w:lineRule="auto"/>
        <w:jc w:val="both"/>
        <w:rPr>
          <w:b/>
          <w:color w:val="0D0D0D" w:themeColor="text1" w:themeTint="F2"/>
          <w:lang w:eastAsia="en-US"/>
        </w:rPr>
      </w:pPr>
      <w:r w:rsidRPr="00943DFA">
        <w:rPr>
          <w:b/>
          <w:color w:val="0D0D0D" w:themeColor="text1" w:themeTint="F2"/>
          <w:lang w:eastAsia="en-US"/>
        </w:rPr>
        <w:t>Financial health</w:t>
      </w:r>
    </w:p>
    <w:p w14:paraId="2D16ED4A"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Building on prior work, this study focuses on firm leverage, financial distress, profitability and needs for external financing as indicators of firms’ financial health. Regarding firm leverage,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{"citationItems":[{"id":"ITEM-1","itemData":{"ISBN":"0165-4101","ISSN":"01654101","PMID":"122","abstract":"Financial reporting and disclosure are potentially important means for management to communicate firm performance and governance to outside investors. We provide a framework for analyzing managers' reporting and disclosure decisions in a capital markets setting, and identify key research questions. We then review current empirical research on disclosure regulation, information intermediaries, and the determinants and economic consequences of corporate disclosure. Our survey concludes that current research has generated a number of useful insights. We identify many fundamental questions that remain unanswered, and changes in the economic environment that raise new questions for research. © 2001 Published by Elsevier Science B.V.","author":[{"dropping-particle":"","family":"Healy","given":"Paul M.","non-dropping-particle":"","parse-names":false,"suffix":""},{"dropping-particle":"","family":"Palepu","given":"Krishna G.","non-dropping-particle":"","parse-names":false,"suffix":""}],"container-title":"Journal of Accounting and Economics","id":"ITEM-1","issue":"1-3","issued":{"date-parts":[["2001"]]},"page":"405-440","title":"Information asymmetry, corporate disclosure, and the capital markets: A review of the empirical disclosure literature","type":"article-journal","volume":"31"},"uris":["http://www.mendeley.com/documents/?uuid=49c6711d-0fc9-4f33-9c7f-851c240cab79"]}],"mendeley":{"formattedCitation":"(Paul M. Healy &amp; Palepu, 2001)","manualFormatting":"Healy &amp; Palepu (2001)","plainTextFormattedCitation":"(Paul M. Healy &amp; Palepu, 2001)","previouslyFormattedCitation":"(Paul M. Healy &amp; Palepu, 2001)"},"properties":{"noteIndex":0},"schema":"https://github.com/citation-style-language/schema/raw/master/csl-citation.json"}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Healy &amp; Palepu (2001)</w:t>
      </w:r>
      <w:r w:rsidRPr="00943DFA">
        <w:rPr>
          <w:color w:val="0D0D0D" w:themeColor="text1" w:themeTint="F2"/>
          <w:lang w:eastAsia="en-US"/>
        </w:rPr>
        <w:fldChar w:fldCharType="end"/>
      </w:r>
      <w:r w:rsidRPr="00943DFA">
        <w:rPr>
          <w:b/>
          <w:color w:val="0D0D0D" w:themeColor="text1" w:themeTint="F2"/>
          <w:lang w:eastAsia="en-US"/>
        </w:rPr>
        <w:t xml:space="preserve"> </w:t>
      </w:r>
      <w:r w:rsidRPr="00943DFA">
        <w:rPr>
          <w:color w:val="0D0D0D" w:themeColor="text1" w:themeTint="F2"/>
          <w:lang w:eastAsia="en-US"/>
        </w:rPr>
        <w:t xml:space="preserve">argue that firms with high leverage ratios are likely to employ accounting methods to boost their profits. Filatotchev (2019) also suggest that leverage ratios are positively associated with the degree of earnings management. In line with arguments about the negative effects of firm leverage on disclosure quality,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{"citationItems":[{"id":"ITEM-1","itemData":{"DOI":"10.2139/ssrn.2474666","ISSN":"1556-5068","abstract":"SEC Comment letters appear to be under-utilized by investors because these largely text-based disclosures are more difficult to access and interpret than other common disclosures. Using a naive Bayesian textual analysis procedure, I classify important SEC comment letters where the signal of importance is significantly negative abnormal returns following comment letter disclosure.  Text analysis alone can identify important letters between 10% and 40% better than chance.  The text analysis signal provides additional power to identify important comment letters over other signals such as insider sales and the presence of revenue recognition related comments.  The incorporation of comment letter information into security prices is more pronounced for comment letters known to have been accessed by investors, using the SEC's EDGAR download logs, providing evidence of investor inattention to important comment letters.","author":[{"dropping-particle":"","family":"Ryans","given":"James","non-dropping-particle":"","parse-names":false,"suffix":""}],"container-title":"38th European Accounting Association Annual Congress 2015 Glasgow","id":"ITEM-1","issue":"2015","issued":{"date-parts":[["2015"]]},"title":"Textual Classification of SEC Comment Letters","type":"article-journal"},"uris":["http://www.mendeley.com/documents/?uuid=d0863e46-e1af-4ca7-8933-bdab66824d10"]}],"mendeley":{"formattedCitation":"(Ryans, 2015)","manualFormatting":"Ryans (2015)","plainTextFormattedCitation":"(Ryans, 2015)","previouslyFormattedCitation":"(Ryans, 2015)"},"properties":{"noteIndex":0},"schema":"https://github.com/citation-style-language/schema/raw/master/csl-citation.json"}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Ryans (2015)</w:t>
      </w:r>
      <w:r w:rsidRPr="00943DFA">
        <w:rPr>
          <w:color w:val="0D0D0D" w:themeColor="text1" w:themeTint="F2"/>
          <w:lang w:eastAsia="en-US"/>
        </w:rPr>
        <w:fldChar w:fldCharType="end"/>
      </w:r>
      <w:r w:rsidRPr="00943DFA">
        <w:rPr>
          <w:color w:val="0D0D0D" w:themeColor="text1" w:themeTint="F2"/>
          <w:lang w:eastAsia="en-US"/>
        </w:rPr>
        <w:t xml:space="preserve"> identify that the probability of receiving comment letters on 10-K filings is greater for firm with higher leverage. Likewise, </w:t>
      </w:r>
      <w:proofErr w:type="spellStart"/>
      <w:r w:rsidRPr="00943DFA">
        <w:rPr>
          <w:color w:val="0D0D0D" w:themeColor="text1" w:themeTint="F2"/>
          <w:lang w:eastAsia="en-US"/>
        </w:rPr>
        <w:t>Duro</w:t>
      </w:r>
      <w:proofErr w:type="spellEnd"/>
      <w:r w:rsidRPr="00943DFA">
        <w:rPr>
          <w:color w:val="0D0D0D" w:themeColor="text1" w:themeTint="F2"/>
          <w:lang w:eastAsia="en-US"/>
        </w:rPr>
        <w:t xml:space="preserve"> et al. (2017) present evidence that after the SEC began publishing their review correspondences in 2005, firms with higher leverage (i.e. have higher debt levels) are more likely to receive SEC comment letters </w:t>
      </w:r>
      <w:r w:rsidRPr="00943DFA">
        <w:rPr>
          <w:rFonts w:eastAsia="Times New Roman"/>
          <w:color w:val="0D0D0D" w:themeColor="text1" w:themeTint="F2"/>
        </w:rPr>
        <w:t>on 10-K filings</w:t>
      </w:r>
      <w:r w:rsidRPr="00943DFA">
        <w:rPr>
          <w:color w:val="0D0D0D" w:themeColor="text1" w:themeTint="F2"/>
          <w:lang w:eastAsia="en-US"/>
        </w:rPr>
        <w:t>.</w:t>
      </w:r>
    </w:p>
    <w:p w14:paraId="6399F291"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Concerning financial distress,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Schwartz","given":"K.","non-dropping-particle":"","parse-names":false,"suffix":""},{"dropping-particle":"","family":"Soo","given":"B.","non-dropping-particle":"","parse-names":false,"suffix":""}],"container-title":"Auditing: A Journal of Practice &amp; Theory","id":"ITEM-1","issue":"1","issued":{"date-parts":[["1995"]]},"page":"125-136","title":"An analysis of form 8-K disclosures of auditor changes by firms approaching bankruptcy","type":"article-journal","volume":"14"},"uris":["http://www.mendeley.com/documents/?uuid=5ac39dbe-61fd-494b-8ad3-64bab74a7988"]}],"mendeley":{"formattedCitation":"(Schwartz &amp; Soo, 1995)","manualFormatting":"Schwartz &amp; Soo (1995)","plainTextFormattedCitation":"(Schwartz &amp; Soo, 1995)","previouslyFormattedCitation":"(Schwartz &amp; Soo, 1995)"},"properties":{"noteIndex":0},"schema":"https://github.com/citation-style-language/schema/raw/master/csl-citation.json"}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Schwartz &amp; Soo (1995)</w:t>
      </w:r>
      <w:r w:rsidRPr="00943DFA">
        <w:rPr>
          <w:color w:val="0D0D0D" w:themeColor="text1" w:themeTint="F2"/>
          <w:lang w:eastAsia="en-US"/>
        </w:rPr>
        <w:fldChar w:fldCharType="end"/>
      </w:r>
      <w:r w:rsidRPr="00943DFA">
        <w:rPr>
          <w:color w:val="0D0D0D" w:themeColor="text1" w:themeTint="F2"/>
          <w:lang w:eastAsia="en-US"/>
        </w:rPr>
        <w:t xml:space="preserve"> observe that more reporting deficiencies are conducted by firms that are close to bankruptcy. The authors also identify that firms in financial distress are less likely to ensure reporting compliance.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Begley","given":"J.","non-dropping-particle":"","parse-names":false,"suffix":""},{"dropping-particle":"","family":"Ming","given":"J.","non-dropping-particle":"","parse-names":false,"suffix":""},{"dropping-particle":"","family":"Watts","given":"S.","non-dropping-particle":"","parse-names":false,"suffix":""}],"container-title":"Review of Accounting Studies","id":"ITEM-1","issued":{"date-parts":[["1996"]]},"page":"267-284","title":"Bankruptcy Classification Errors in the 1980s : An Empirical Analysis of Altman ’ s and Ohlson ’ s Models","type":"article-journal","volume":"1"},"uris":["http://www.mendeley.com/documents/?uuid=8b90a23d-6c00-4280-a27c-7e5c8f97e9cd"]}],"mendeley":{"formattedCitation":"(Begley, Ming, &amp; Watts, 1996)","manualFormatting":"Begley et al. (1996)","plainTextFormattedCitation":"(Begley, Ming, &amp; Watts, 1996)","previouslyFormattedCitation":"(Begley, Ming, &amp; Watts, 1996)"},"properties":{"noteIndex":0},"schema":"https://github.com/citation-style-language/schema/raw/master/csl-citation.json"}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Begley et al. (1996)</w:t>
      </w:r>
      <w:r w:rsidRPr="00943DFA">
        <w:rPr>
          <w:color w:val="0D0D0D" w:themeColor="text1" w:themeTint="F2"/>
          <w:lang w:eastAsia="en-US"/>
        </w:rPr>
        <w:fldChar w:fldCharType="end"/>
      </w:r>
      <w:r w:rsidRPr="00943DFA">
        <w:rPr>
          <w:color w:val="0D0D0D" w:themeColor="text1" w:themeTint="F2"/>
          <w:lang w:eastAsia="en-US"/>
        </w:rPr>
        <w:t xml:space="preserve"> also find that as compared with firms who do not have financial distress, distressed firms are more likely to commit fraud.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Research","id":"ITEM-1","issue":"1","issued":{"date-parts":[["1996"]]},"page":"1-36","title":"Causes and consequences of earnings manipulation: An analysis of firms subject to enforcement actions by the SEC","type":"article-journal","volume":"13"},"uris":["http://www.mendeley.com/documents/?uuid=b0b870c6-2960-4888-a546-9bdb2ec59a54"]},{"id":"ITEM-2","itemData":{"ISSN":"00218456","abstract":"This study examines whether auditors can effectively use nonfinancial measures to assess the reasonableness of financial performance and, thereby, help detect financial statement fraud (hereafter, fraud). If auditors or other interested parties (e.g., directors, lenders, investors, or regulators) can identify nonfinancial measures (e.g., facilities growth) that are correlated with financial measures (e.g., revenue growth), inconsistent patterns between the nonfinancial and financial measures can be used to detect firms with high fraud risk. We find that the difference between financial and nonfinancial performance is significantly greater for firms that committed fraud than for their non-fraud competitors. We also find that this difference is a significant fraud indicator when included in a model containing variables that have previously been linked to the likelihood of fraud. Overall, our results provide empirical evidence suggesting that nonfinancial measures can be effectively used to assess the likelihood of fraud.","author":[{"dropping-particle":"","family":"Brazel","given":"J. F.","non-dropping-particle":"","parse-names":false,"suffix":""},{"dropping-particle":"","family":"Jones","given":"K. L.","non-dropping-particle":"","parse-names":false,"suffix":""},{"dropping-particle":"","family":"Zimbelman","given":"M. F.","non-dropping-particle":"","parse-names":false,"suffix":""}],"container-title":"Journal of Accounting Research","id":"ITEM-2","issue":"5","issued":{"date-parts":[["2009"]]},"page":"1135-1166","title":"Using nonfinancial measures to assess fraud risk","type":"article-journal","volume":"47"},"uris":["http://www.mendeley.com/documents/?uuid=c556d2f6-b043-464e-be3a-23c0329103c1"]}],"mendeley":{"formattedCitation":"(Brazel, Jones, &amp; Zimbelman, 2009; P.M. Dechow et al., 1996)","manualFormatting":"Brazel et al. (2009) and Dechow et al. (1996)","plainTextFormattedCitation":"(Brazel, Jones, &amp; Zimbelman, 2009; P.M. Dechow et al., 1996)","previouslyFormattedCitation":"(Brazel, Jones, &amp; Zimbelman, 2009; P.M. Dechow et al., 1996)"},"properties":{"noteIndex":0},"schema":"https://github.com/citation-style-language/schema/raw/master/csl-citation.json"}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Brazel et al. (2009) and Dechow et al. (1996)</w:t>
      </w:r>
      <w:r w:rsidRPr="00943DFA">
        <w:rPr>
          <w:color w:val="0D0D0D" w:themeColor="text1" w:themeTint="F2"/>
          <w:lang w:eastAsia="en-US"/>
        </w:rPr>
        <w:fldChar w:fldCharType="end"/>
      </w:r>
      <w:r w:rsidRPr="00943DFA">
        <w:rPr>
          <w:color w:val="0D0D0D" w:themeColor="text1" w:themeTint="F2"/>
          <w:lang w:eastAsia="en-US"/>
        </w:rPr>
        <w:t xml:space="preserve"> find that firms in financial distress are more likely to be noncompliant with GAAP. Similarly, </w:t>
      </w:r>
      <w:r w:rsidRPr="00943DFA">
        <w:rPr>
          <w:noProof/>
          <w:color w:val="0D0D0D" w:themeColor="text1" w:themeTint="F2"/>
          <w:lang w:eastAsia="en-US"/>
        </w:rPr>
        <w:t xml:space="preserve">Ettredge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2011)","manualFormatting":"et al. (2011)","plainTextFormattedCitation":"(Ettredge et al., 2011)","previouslyFormattedCitation":"(Ettredge et al., 2011)"},"properties":{"noteIndex":0},"schema":"https://github.com/citation-style-language/schema/raw/master/csl-citation.json"}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et al. (2011)</w:t>
      </w:r>
      <w:r w:rsidRPr="00943DFA">
        <w:rPr>
          <w:color w:val="0D0D0D" w:themeColor="text1" w:themeTint="F2"/>
          <w:lang w:eastAsia="en-US"/>
        </w:rPr>
        <w:fldChar w:fldCharType="end"/>
      </w:r>
      <w:r w:rsidRPr="00943DFA">
        <w:rPr>
          <w:color w:val="0D0D0D" w:themeColor="text1" w:themeTint="F2"/>
          <w:lang w:eastAsia="en-US"/>
        </w:rPr>
        <w:t xml:space="preserve"> suggest that firms in financial distress are less able to comply with reporting requirements as revitalizing profitability catches their managerial attention and is also their priority when investing their meagre financial resources. Supporting potential reporting problems driven by corporate financial distress, Cassell et al. (2013) identify that firms with a higher probability of </w:t>
      </w:r>
      <w:r w:rsidRPr="00943DFA">
        <w:rPr>
          <w:color w:val="0D0D0D" w:themeColor="text1" w:themeTint="F2"/>
          <w:lang w:eastAsia="en-US"/>
        </w:rPr>
        <w:lastRenderedPageBreak/>
        <w:t>bankruptcy have a higher probability of receiving SEC letters and also receive more comment letters on 10-K filings perhaps because they use their financial resources more sparingly when responding to comment letters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2011)","manualFormatting":"Ettredge et al., 2011)","plainTextFormattedCitation":"(Ettredge et al., 2011)","previouslyFormattedCitation":"(Ettredge et al., 2011)"},"properties":{"noteIndex":0},"schema":"https://github.com/citation-style-language/schema/raw/master/csl-citation.json"}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Ettredge et al., 2011)</w:t>
      </w:r>
      <w:r w:rsidRPr="00943DFA">
        <w:rPr>
          <w:color w:val="0D0D0D" w:themeColor="text1" w:themeTint="F2"/>
          <w:lang w:eastAsia="en-US"/>
        </w:rPr>
        <w:fldChar w:fldCharType="end"/>
      </w:r>
      <w:r w:rsidRPr="00943DFA">
        <w:rPr>
          <w:color w:val="0D0D0D" w:themeColor="text1" w:themeTint="F2"/>
          <w:lang w:eastAsia="en-US"/>
        </w:rPr>
        <w:t xml:space="preserve">. </w:t>
      </w:r>
    </w:p>
    <w:p w14:paraId="23FB97D8"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color w:val="0D0D0D" w:themeColor="text1" w:themeTint="F2"/>
          <w:lang w:eastAsia="en-US"/>
        </w:rPr>
        <w:t xml:space="preserve">With regard to profitability or the value of earnings,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{"citationItems":[{"id":"ITEM-1","itemData":{"abstract":"We find evidence that initial public offering (IPO) firms, on average, have high positive issue-year earnings and abnormal accruals, followed by poor long-run earnings and negative abnormal accruals. The IPO year abnormal, and not expected. accruals explain the cross-sectional variation in post-issue earnings and stock returns. The results are robust with respect to alternative abnormal accruals and earnings performance measures. IPO firms adopt more income-increasing depreciation policies when they deviate from similar prior performance same industry non-issuers. and they provide significantly less for uncollectible accounts receivable than their matched non-issuers. The results taken together suggest opportunistic earnings management partially explains the new issues anomaly. [ABSTRACT FROM AUTHOR] Copyright of Review of Accounting Studies is the property of Springer Science &amp; Business Media B.V.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Abstracts.)","author":[{"dropping-particle":"","family":"Teoh","given":"S.H.","non-dropping-particle":"","parse-names":false,"suffix":""},{"dropping-particle":"","family":"Wong","given":"T. J.","non-dropping-particle":"","parse-names":false,"suffix":""},{"dropping-particle":"","family":"Rao","given":"G. R.","non-dropping-particle":"","parse-names":false,"suffix":""}],"container-title":"Review of Accounting Studies","id":"ITEM-1","issue":"1/2","issued":{"date-parts":[["1998"]]},"note":"4","page":"175-208","title":"Are accruals during initial public offerings opportunistic?","type":"article-journal","volume":"3"},"uris":["http://www.mendeley.com/documents/?uuid=9bcab135-1c2b-43e9-8eea-d49b3292ed4a"]}],"mendeley":{"formattedCitation":"(S.H. Teoh et al., 1998)","manualFormatting":"Teoh et al. (1998a)","plainTextFormattedCitation":"(S.H. Teoh et al., 1998)","previouslyFormattedCitation":"(S.H. Teoh et al., 1998)"},"properties":{"noteIndex":0},"schema":"https://github.com/citation-style-language/schema/raw/master/csl-citation.json"}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Teoh et al. (1998a)</w:t>
      </w:r>
      <w:r w:rsidRPr="00943DFA">
        <w:rPr>
          <w:color w:val="0D0D0D" w:themeColor="text1" w:themeTint="F2"/>
          <w:lang w:eastAsia="en-US"/>
        </w:rPr>
        <w:fldChar w:fldCharType="end"/>
      </w:r>
      <w:r w:rsidRPr="00943DFA">
        <w:rPr>
          <w:color w:val="0D0D0D" w:themeColor="text1" w:themeTint="F2"/>
          <w:lang w:eastAsia="en-US"/>
        </w:rPr>
        <w:t xml:space="preserve"> suggest that IPO firms often manipulate accounting information to report more positive earnings, in order to attract investors, during the IPO year.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0165-4101","author":[{"dropping-particle":"","family":"Burgstahler","given":"D.","non-dropping-particle":"","parse-names":false,"suffix":""},{"dropping-particle":"","family":"Dichev","given":"I.","non-dropping-particle":"","parse-names":false,"suffix":""}],"container-title":"Journal of Accounting and Economics","id":"ITEM-1","issued":{"date-parts":[["1997"]]},"page":"99-126","title":"Earnings management to avoid earnings decreases and losses","type":"article-journal","volume":"24"},"uris":["http://www.mendeley.com/documents/?uuid=7d7e4d98-fe5a-4bd7-94e1-3ed74a765a50"]},{"id":"ITEM-2","itemData":{"author":[{"dropping-particle":"","family":"Degeorge","given":"F.","non-dropping-particle":"","parse-names":false,"suffix":""},{"dropping-particle":"","family":"Patel","given":"J.","non-dropping-particle":"","parse-names":false,"suffix":""},{"dropping-particle":"","family":"Zeckhauser","given":"R.","non-dropping-particle":"","parse-names":false,"suffix":""},{"dropping-particle":"","family":"Zeckhauser","given":"R.","non-dropping-particle":"","parse-names":false,"suffix":""}],"container-title":"The Journal of Business","id":"ITEM-2","issue":"1","issued":{"date-parts":[["1999"]]},"page":"1-33","title":"Earnings Management to Exceed Thresholds Earnings Management to Exceed Thresholds *","type":"article-journal","volume":"72"},"uris":["http://www.mendeley.com/documents/?uuid=01296fb1-dd54-4a76-bea1-a9296488b741"]}],"mendeley":{"formattedCitation":"(Burgstahler &amp; Dichev, 1997; Degeorge, Patel, Zeckhauser, &amp; Zeckhauser, 1999)","manualFormatting":"Burgstahler &amp; Dichev (1997) and Degeorge et al. (1999)","plainTextFormattedCitation":"(Burgstahler &amp; Dichev, 1997; Degeorge, Patel, Zeckhauser, &amp; Zeckhauser, 1999)","previouslyFormattedCitation":"(Burgstahler &amp; Dichev, 1997; Degeorge, Patel, Zeckhauser, &amp; Zeckhauser, 1999)"},"properties":{"noteIndex":0},"schema":"https://github.com/citation-style-language/schema/raw/master/csl-citation.json"}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Burgstahler &amp; Dichev (1997) and Degeorge et al. (1999)</w:t>
      </w:r>
      <w:r w:rsidRPr="00943DFA">
        <w:rPr>
          <w:color w:val="0D0D0D" w:themeColor="text1" w:themeTint="F2"/>
          <w:lang w:eastAsia="en-US"/>
        </w:rPr>
        <w:fldChar w:fldCharType="end"/>
      </w:r>
      <w:r w:rsidRPr="00943DFA">
        <w:rPr>
          <w:color w:val="0D0D0D" w:themeColor="text1" w:themeTint="F2"/>
          <w:lang w:eastAsia="en-US"/>
        </w:rPr>
        <w:t xml:space="preserve"> also argue that exceeding positive earnings thresholds incentivises firms to manage their earnings numbers.</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{"citationItems":[{"id":"ITEM-1","itemData":{"ISSN":"01654101","abstract":"This paper explores financial reporting incentives created by an economy's institutional structure. The underlying premise of our analysis is that a country's legal/judicial system, securities laws, and political economy create incentives that influence the behavior of corporate executives, investors, regulators and other market participants. Further, such incentives ultimately shape the properties of reported accounting numbers. We empirically analyze relations between key characteristics of country-level institutions and the asymmetric recognition of economic gains and losses into earnings (i.e., conditional conservatism). We also provide evidence on channels through which specific institutions manifest their influence on observed conservatism. © 2006 Elsevier B.V. All rights reserved.","author":[{"dropping-particle":"","family":"Bushman","given":"R.M.","non-dropping-particle":"","parse-names":false,"suffix":""},{"dropping-particle":"","family":"Piotroski","given":"J.D.","non-dropping-particle":"","parse-names":false,"suffix":""}],"container-title":"Journal of Accounting and Economics","id":"ITEM-1","issue":"1-2","issued":{"date-parts":[["2006"]]},"page":"107-148","title":"Financial reporting incentives for conservative accounting: The influence of legal and political institutions","type":"article-journal","volume":"42"},"uris":["http://www.mendeley.com/documents/?uuid=4e0b0c48-d3ac-4d54-b485-16d14675b326"]}],"mendeley":{"formattedCitation":"(Bushman &amp; Piotroski, 2006)","manualFormatting":" Bushman &amp; Piotroski (2006)","plainTextFormattedCitation":"(Bushman &amp; Piotroski, 2006)","previouslyFormattedCitation":"(Bushman &amp; Piotroski, 2006)"},"properties":{"noteIndex":0},"schema":"https://github.com/citation-style-language/schema/raw/master/csl-citation.json"}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 xml:space="preserve"> Bushman &amp; Piotroski (2006)</w:t>
      </w:r>
      <w:r w:rsidRPr="00943DFA">
        <w:rPr>
          <w:color w:val="0D0D0D" w:themeColor="text1" w:themeTint="F2"/>
          <w:lang w:eastAsia="en-US"/>
        </w:rPr>
        <w:fldChar w:fldCharType="end"/>
      </w:r>
      <w:r w:rsidRPr="00943DFA">
        <w:rPr>
          <w:color w:val="0D0D0D" w:themeColor="text1" w:themeTint="F2"/>
          <w:lang w:eastAsia="en-US"/>
        </w:rPr>
        <w:t xml:space="preserve"> posit that the SEC is more susceptible to political issues derived from financial reporting scandals associated with overstatement rather than understatement of earnings numbers. Supporting the potential negative consequences of incentives to report positive earnings, Wang (2016) identifies that firms receiving SEC comment letters addressing deficient segment reports have higher abnormal profit than those not having the reporting deficiencies.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Business","id":"ITEM-1","issued":{"date-parts":[["2017"]]},"title":"The effect of SEC reviewers on comment letters and financial reporting quality","type":"article-journal"},"uris":["http://www.mendeley.com/documents/?uuid=c7a2e1db-fef8-4c72-baa1-98dd82052a0d"]}],"mendeley":{"formattedCitation":"(Matthew Baugh et al., 2017)","manualFormatting":"Baugh et al. (2017)","plainTextFormattedCitation":"(Matthew Baugh et al., 2017)","previouslyFormattedCitation":"(Matthew Baugh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Baugh et al. (2017)</w:t>
      </w:r>
      <w:r w:rsidRPr="00943DFA">
        <w:rPr>
          <w:color w:val="0D0D0D" w:themeColor="text1" w:themeTint="F2"/>
          <w:lang w:eastAsia="en-US"/>
        </w:rPr>
        <w:fldChar w:fldCharType="end"/>
      </w:r>
      <w:r w:rsidRPr="00943DFA">
        <w:rPr>
          <w:color w:val="0D0D0D" w:themeColor="text1" w:themeTint="F2"/>
          <w:lang w:eastAsia="en-US"/>
        </w:rPr>
        <w:t xml:space="preserve"> observe that </w:t>
      </w:r>
      <w:r w:rsidRPr="00943DFA">
        <w:rPr>
          <w:rFonts w:eastAsia="Times New Roman"/>
          <w:color w:val="0D0D0D" w:themeColor="text1" w:themeTint="F2"/>
        </w:rPr>
        <w:t xml:space="preserve">the sample of firms receiving comment letters on their annual fillings typically report higher profits than the full sample of firms on the </w:t>
      </w:r>
      <w:proofErr w:type="spellStart"/>
      <w:r w:rsidRPr="00943DFA">
        <w:rPr>
          <w:rFonts w:eastAsia="Times New Roman"/>
          <w:color w:val="0D0D0D" w:themeColor="text1" w:themeTint="F2"/>
        </w:rPr>
        <w:t>Compustat</w:t>
      </w:r>
      <w:proofErr w:type="spellEnd"/>
      <w:r w:rsidRPr="00943DFA">
        <w:rPr>
          <w:rFonts w:eastAsia="Times New Roman"/>
          <w:color w:val="0D0D0D" w:themeColor="text1" w:themeTint="F2"/>
        </w:rPr>
        <w:t xml:space="preserve"> database.</w:t>
      </w:r>
    </w:p>
    <w:p w14:paraId="05FCF3EB"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rFonts w:eastAsia="Times New Roman"/>
          <w:color w:val="0D0D0D" w:themeColor="text1" w:themeTint="F2"/>
        </w:rPr>
        <w:t xml:space="preserve">In terms of external financing needs,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{"citationItems":[{"id":"ITEM-1","itemData":{"abstract":"This article examines the cross-sectional variation in analysts' published evaluations of firms' disclosure practices. The authors also show that the analysts' ratings are increasing in firm size and in firm performance, and decreasing within the relationship between earings and returns. The Financial Analysts Federation issues an annual report evaluating the disclosure of firms in a variety of industries. The results of their research are generally consistent with existing data on voluntary disclosure.","author":[{"dropping-particle":"","family":"Lang","given":"M.","non-dropping-particle":"","parse-names":false,"suffix":""},{"dropping-particle":"","family":"Lundholm","given":"R.","non-dropping-particle":"","parse-names":false,"suffix":""}],"container-title":"Journal of Accounting Research","id":"ITEM-1","issue":"2","issued":{"date-parts":[["1993"]]},"page":"246-271","title":"Cross-sectional determinants of analyst ratings of corporate disclosures","type":"article-journal","volume":"31"},"uris":["http://www.mendeley.com/documents/?uuid=42f44ade-f51a-4e89-a05e-daec31c5a104"]},{"id":"ITEM-2","itemData":{"ISSN":"13806653","abstract":"Motivated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Studies","id":"ITEM-2","issue":"4","issued":{"date-parts":[["2011"]]},"page":"866-889","title":"The effects of firm size, corporate governance quality, and bad news on disclosure compliance","type":"article-journal","volume":"16"},"uris":["http://www.mendeley.com/documents/?uuid=2c677795-dcd8-4506-87da-1a5ecc2c0b18"]}],"mendeley":{"formattedCitation":"(Ettredge et al., 2011; Lang &amp; Lundholm, 1993)","manualFormatting":"Ettredge et al. (2011) and Lang &amp; Lundholm (1993)","plainTextFormattedCitation":"(Ettredge et al., 2011; Lang &amp; Lundholm, 1993)","previouslyFormattedCitation":"(Ettredge et al., 2011; Lang &amp; Lundholm, 1993)"},"properties":{"noteIndex":0},"schema":"https://github.com/citation-style-language/schema/raw/master/csl-citation.json"}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Ettredge et al. (2011) and Lang &amp; Lundholm (1993)</w:t>
      </w:r>
      <w:r w:rsidRPr="00943DFA">
        <w:rPr>
          <w:rFonts w:eastAsia="Times New Roman"/>
          <w:color w:val="0D0D0D" w:themeColor="text1" w:themeTint="F2"/>
        </w:rPr>
        <w:fldChar w:fldCharType="end"/>
      </w:r>
      <w:r w:rsidRPr="00943DFA">
        <w:rPr>
          <w:rFonts w:eastAsia="Times New Roman"/>
          <w:color w:val="0D0D0D" w:themeColor="text1" w:themeTint="F2"/>
        </w:rPr>
        <w:t xml:space="preserve"> identify that </w:t>
      </w:r>
      <w:r w:rsidRPr="00943DFA">
        <w:rPr>
          <w:color w:val="0D0D0D" w:themeColor="text1" w:themeTint="F2"/>
          <w:lang w:eastAsia="en-US"/>
        </w:rPr>
        <w:t xml:space="preserve">disclosure quality and reporting compliance are higher when firms have previously issued debt or equity securities. Wang (2016) suggests that firms with funding from external resources (e.g. equity or bond offerings) are likely to develop a more transparent information environment in order to reduce the cost of capital. In agreement with arguments about the positive information effects of external financing, Cassel et al. (2013) find that, as compared with firms not receiving comment letters, firms receiving letters on 10-K filings are less likely to require funding from outside the firms by issuing debt or equity securities. Cassel et al. (2013) and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(2013) also identify that firms who have obtained external financing have lower probabilities of receiving comment letters on 10-K filings. Similarly, Wang (2016) find that firms receiving comment letters about segmental disclosure deficiencies are less likely to require external financing than those not receiving comment letters.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J.","non-dropping-particle":"","parse-names":false,"suffix":""}],"container-title":"Working paper, KAIST College of Business","id":"ITEM-1","issued":{"date-parts":[["2017"]]},"title":"The effect of SEC reviewers on comment letters and financial reporting quality","type":"article-journal"},"uris":["http://www.mendeley.com/documents/?uuid=c7a2e1db-fef8-4c72-baa1-98dd82052a0d"]}],"mendeley":{"formattedCitation":"(Matthew Baugh et al., 2017)","manualFormatting":"Baugh et al. (2017)","plainTextFormattedCitation":"(Matthew Baugh et al., 2017)","previouslyFormattedCitation":"(Matthew Baugh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Baugh et al. (2017)</w:t>
      </w:r>
      <w:r w:rsidRPr="00943DFA">
        <w:rPr>
          <w:color w:val="0D0D0D" w:themeColor="text1" w:themeTint="F2"/>
          <w:lang w:eastAsia="en-US"/>
        </w:rPr>
        <w:fldChar w:fldCharType="end"/>
      </w:r>
      <w:r w:rsidRPr="00943DFA">
        <w:rPr>
          <w:color w:val="0D0D0D" w:themeColor="text1" w:themeTint="F2"/>
          <w:lang w:eastAsia="en-US"/>
        </w:rPr>
        <w:t xml:space="preserve"> also identify that </w:t>
      </w:r>
      <w:r w:rsidRPr="00943DFA">
        <w:rPr>
          <w:rFonts w:eastAsia="Times New Roman"/>
          <w:color w:val="0D0D0D" w:themeColor="text1" w:themeTint="F2"/>
        </w:rPr>
        <w:t xml:space="preserve">firms receiving comment letters on their annual fillings </w:t>
      </w:r>
      <w:r w:rsidRPr="00943DFA">
        <w:rPr>
          <w:color w:val="0D0D0D" w:themeColor="text1" w:themeTint="F2"/>
          <w:lang w:eastAsia="en-US"/>
        </w:rPr>
        <w:t xml:space="preserve">rely less on external financing </w:t>
      </w:r>
      <w:r w:rsidRPr="00943DFA">
        <w:rPr>
          <w:rFonts w:eastAsia="Times New Roman"/>
          <w:color w:val="0D0D0D" w:themeColor="text1" w:themeTint="F2"/>
        </w:rPr>
        <w:t xml:space="preserve">than a sample of all firms on the </w:t>
      </w:r>
      <w:proofErr w:type="spellStart"/>
      <w:r w:rsidRPr="00943DFA">
        <w:rPr>
          <w:rFonts w:eastAsia="Times New Roman"/>
          <w:color w:val="0D0D0D" w:themeColor="text1" w:themeTint="F2"/>
        </w:rPr>
        <w:t>Compustat</w:t>
      </w:r>
      <w:proofErr w:type="spellEnd"/>
      <w:r w:rsidRPr="00943DFA">
        <w:rPr>
          <w:rFonts w:eastAsia="Times New Roman"/>
          <w:color w:val="0D0D0D" w:themeColor="text1" w:themeTint="F2"/>
        </w:rPr>
        <w:t xml:space="preserve"> database.</w:t>
      </w:r>
    </w:p>
    <w:p w14:paraId="5426258F" w14:textId="77777777" w:rsidR="00195130" w:rsidRPr="00943DFA" w:rsidRDefault="00195130" w:rsidP="00195130">
      <w:pPr>
        <w:spacing w:before="240" w:after="240" w:line="360" w:lineRule="auto"/>
        <w:jc w:val="both"/>
        <w:rPr>
          <w:rFonts w:eastAsia="Times New Roman"/>
          <w:color w:val="0D0D0D" w:themeColor="text1" w:themeTint="F2"/>
        </w:rPr>
      </w:pPr>
      <w:r w:rsidRPr="00943DFA">
        <w:rPr>
          <w:rFonts w:eastAsia="Times New Roman"/>
          <w:color w:val="0D0D0D" w:themeColor="text1" w:themeTint="F2"/>
        </w:rPr>
        <w:t>Overall, prior research provides evidence that SEC reviews of IPO registration statements are more extensive for firms with financial problems or deficiencies, as indicated by higher leverage, greater probability of bankruptcy, positive earnings, and lower external financing.</w:t>
      </w:r>
    </w:p>
    <w:p w14:paraId="567BB8B6"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lastRenderedPageBreak/>
        <w:t>This thesis therefore states the fourth hypothesis in an alternative form, as follows.</w:t>
      </w:r>
    </w:p>
    <w:p w14:paraId="636A0F2F" w14:textId="77777777" w:rsidR="00195130" w:rsidRPr="00943DFA" w:rsidRDefault="00195130" w:rsidP="00195130">
      <w:pPr>
        <w:spacing w:before="240" w:after="240" w:line="360" w:lineRule="auto"/>
        <w:jc w:val="both"/>
        <w:rPr>
          <w:b/>
          <w:color w:val="0D0D0D" w:themeColor="text1" w:themeTint="F2"/>
          <w:lang w:eastAsia="en-US"/>
        </w:rPr>
      </w:pPr>
      <w:r w:rsidRPr="00943DFA">
        <w:rPr>
          <w:b/>
          <w:i/>
          <w:color w:val="0D0D0D" w:themeColor="text1" w:themeTint="F2"/>
          <w:lang w:eastAsia="en-US"/>
        </w:rPr>
        <w:t>H4</w:t>
      </w:r>
      <w:r w:rsidRPr="00943DFA">
        <w:rPr>
          <w:b/>
          <w:i/>
          <w:color w:val="0D0D0D" w:themeColor="text1" w:themeTint="F2"/>
          <w:vertAlign w:val="subscript"/>
          <w:lang w:eastAsia="en-US"/>
        </w:rPr>
        <w:t>alternative</w:t>
      </w:r>
      <w:r w:rsidRPr="00943DFA">
        <w:rPr>
          <w:b/>
          <w:i/>
          <w:color w:val="0D0D0D" w:themeColor="text1" w:themeTint="F2"/>
          <w:lang w:eastAsia="en-US"/>
        </w:rPr>
        <w:t xml:space="preserve">: </w:t>
      </w:r>
      <w:r w:rsidRPr="00943DFA">
        <w:rPr>
          <w:i/>
          <w:color w:val="0D0D0D" w:themeColor="text1" w:themeTint="F2"/>
          <w:lang w:eastAsia="en-US"/>
        </w:rPr>
        <w:t>SEC reviews of IPO registration statements are likely to be more extensive for issuers having more fragile financial health.</w:t>
      </w:r>
    </w:p>
    <w:p w14:paraId="76D55B95" w14:textId="77777777" w:rsidR="00195130" w:rsidRPr="00943DFA" w:rsidRDefault="00195130" w:rsidP="00195130">
      <w:pPr>
        <w:spacing w:before="240" w:after="240" w:line="360" w:lineRule="auto"/>
        <w:jc w:val="both"/>
        <w:rPr>
          <w:b/>
          <w:color w:val="0D0D0D" w:themeColor="text1" w:themeTint="F2"/>
          <w:lang w:eastAsia="en-US"/>
        </w:rPr>
      </w:pPr>
      <w:r w:rsidRPr="00943DFA">
        <w:rPr>
          <w:b/>
          <w:color w:val="0D0D0D" w:themeColor="text1" w:themeTint="F2"/>
          <w:lang w:eastAsia="en-US"/>
        </w:rPr>
        <w:t>Auditor quality</w:t>
      </w:r>
    </w:p>
    <w:p w14:paraId="72275757"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According to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{"citationItems":[{"id":"ITEM-1","itemData":{"ISBN":"0165-4101","ISSN":"01654101","PMID":"122","abstract":"Financial reporting and disclosure are potentially important means for management to communicate firm performance and governance to outside investors. We provide a framework for analyzing managers' reporting and disclosure decisions in a capital markets setting, and identify key research questions. We then review current empirical research on disclosure regulation, information intermediaries, and the determinants and economic consequences of corporate disclosure. Our survey concludes that current research has generated a number of useful insights. We identify many fundamental questions that remain unanswered, and changes in the economic environment that raise new questions for research. © 2001 Published by Elsevier Science B.V.","author":[{"dropping-particle":"","family":"Healy","given":"Paul M.","non-dropping-particle":"","parse-names":false,"suffix":""},{"dropping-particle":"","family":"Palepu","given":"Krishna G.","non-dropping-particle":"","parse-names":false,"suffix":""}],"container-title":"Journal of Accounting and Economics","id":"ITEM-1","issue":"1-3","issued":{"date-parts":[["2001"]]},"page":"405-440","title":"Information asymmetry, corporate disclosure, and the capital markets: A review of the empirical disclosure literature","type":"article-journal","volume":"31"},"uris":["http://www.mendeley.com/documents/?uuid=49c6711d-0fc9-4f33-9c7f-851c240cab79"]}],"mendeley":{"formattedCitation":"(Paul M. Healy &amp; Palepu, 2001)","manualFormatting":"Healy &amp; Palepu (2001)","plainTextFormattedCitation":"(Paul M. Healy &amp; Palepu, 2001)","previouslyFormattedCitation":"(Paul M. Healy &amp; Palepu, 2001)"},"properties":{"noteIndex":0},"schema":"https://github.com/citation-style-language/schema/raw/master/csl-citation.json"}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Healy &amp; Palepu (2001)</w:t>
      </w:r>
      <w:r w:rsidRPr="00943DFA">
        <w:rPr>
          <w:color w:val="0D0D0D" w:themeColor="text1" w:themeTint="F2"/>
          <w:lang w:eastAsia="en-US"/>
        </w:rPr>
        <w:fldChar w:fldCharType="end"/>
      </w:r>
      <w:r w:rsidRPr="00943DFA">
        <w:rPr>
          <w:color w:val="0D0D0D" w:themeColor="text1" w:themeTint="F2"/>
          <w:lang w:eastAsia="en-US"/>
        </w:rPr>
        <w:t xml:space="preserve">, in the U.S., one of the key targets of auditing services is ensuring firms’ compliance with accounting regulations when preparing financial reports.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Research","id":"ITEM-1","issue":"2","issued":{"date-parts":[["2017"]]},"page":"1128-1155","title":"The effect of regulator oversight on firms' information environment: Securities and exchange commission comment letters","type":"article-journal","volume":"34"},"uris":["http://www.mendeley.com/documents/?uuid=6f0a5987-96ef-4573-9c9a-4445f9fb6ad8"]},{"id":"ITEM-2","itemData":{"ISSN":"13806653","author":[{"dropping-particle":"","family":"Li","given":"Bing","non-dropping-particle":"","parse-names":false,"suffix":""},{"dropping-particle":"","family":"Liu","given":"Zhenbin","non-dropping-particle":"","parse-names":false,"suffix":""}],"container-title":"Review of Accounting Studies","id":"ITEM-2","issue":"3","issued":{"date-parts":[["2017"]]},"page":"1229-1260","publisher":"Review of Accounting Studies","title":"The oversight role of regulators: evidence from SEC comment letters in the IPO process","type":"article-journal","volume":"22"},"uris":["http://www.mendeley.com/documents/?uuid=14e67220-7f18-451c-bcec-f870e9e5ce78"]}],"mendeley":{"formattedCitation":"(Johnston &amp; Petacchi, 2017; B. Li &amp; Liu, 2017)","manualFormatting":"Johnston &amp; Petacchi (2017) and Li &amp; Liu (2017)","plainTextFormattedCitation":"(Johnston &amp; Petacchi, 2017; B. Li &amp; Liu, 2017)","previouslyFormattedCitation":"(Johnston &amp; Petacchi, 2017; B. Li &amp; Liu,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Johnston &amp; Petacchi (2017) and Li &amp; Liu (2017)</w:t>
      </w:r>
      <w:r w:rsidRPr="00943DFA">
        <w:rPr>
          <w:color w:val="0D0D0D" w:themeColor="text1" w:themeTint="F2"/>
          <w:lang w:eastAsia="en-US"/>
        </w:rPr>
        <w:fldChar w:fldCharType="end"/>
      </w:r>
      <w:r w:rsidRPr="00943DFA">
        <w:rPr>
          <w:color w:val="0D0D0D" w:themeColor="text1" w:themeTint="F2"/>
          <w:lang w:eastAsia="en-US"/>
        </w:rPr>
        <w:t xml:space="preserve"> suggest that firms that are audited by Big 4 auditors tend to be of lower risk and have more standard reports.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{"citationItems":[{"id":"ITEM-1","itemData":{"ISBN":"0165-4101","ISSN":"01654101","abstract":"We show that, contrary to popular belief, initial public offering (IPO) firms report more conservatively. We attribute this to the higher quality reporting demanded of public firms by financial statement users and consequentially higher monitoring by auditors, boards, analysts, rating agencies, press, and litigants, and to greater regulatory scrutiny [Ball, R., Shivakumar, L., 2005. Earnings quality in UK private firms: comparative loss recognition timeliness. Journal of Accounting and Economics 39, 83-128]. We also question the evidence of Teoh et al. [1998b. Earnings management and the subsequent market performance of initial public offerings. Journal of Finance 53, 1935-1974] supporting the alternative hypothesis that managers opportunistically inflate earnings to influence IPO pricing. We conjecture that upward-biased estimates of \"discretionary\" accruals occur in a broad genre of studies on earnings management around similar large transactions and events. © 2008 Elsevier B.V. All rights reserved.","author":[{"dropping-particle":"","family":"Ball","given":"R.","non-dropping-particle":"","parse-names":false,"suffix":""},{"dropping-particle":"","family":"Shivakumar","given":"L.","non-dropping-particle":"","parse-names":false,"suffix":""}],"container-title":"Journal of Accounting and Economics","id":"ITEM-1","issue":"2-3","issued":{"date-parts":[["2008"]]},"note":"4*","page":"324-349","title":"Earnings quality at initial public offerings","type":"article-journal","volume":"45"},"uris":["http://www.mendeley.com/documents/?uuid=58d200ff-d8c3-4469-b74e-446df74096e8"]}],"mendeley":{"formattedCitation":"(Ball &amp; Shivakumar, 2008)","manualFormatting":"Ball &amp; Shivakumar (2008)","plainTextFormattedCitation":"(Ball &amp; Shivakumar, 2008)","previouslyFormattedCitation":"(Ball &amp; Shivakumar, 2008)"},"properties":{"noteIndex":0},"schema":"https://github.com/citation-style-language/schema/raw/master/csl-citation.json"}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Ball &amp; Shivakumar (2008)</w:t>
      </w:r>
      <w:r w:rsidRPr="00943DFA">
        <w:rPr>
          <w:color w:val="0D0D0D" w:themeColor="text1" w:themeTint="F2"/>
          <w:lang w:eastAsia="en-US"/>
        </w:rPr>
        <w:fldChar w:fldCharType="end"/>
      </w:r>
      <w:r w:rsidRPr="00943DFA">
        <w:rPr>
          <w:color w:val="0D0D0D" w:themeColor="text1" w:themeTint="F2"/>
          <w:lang w:eastAsia="en-US"/>
        </w:rPr>
        <w:t xml:space="preserve"> suggest that earnings numbers reported prior to IPOs are likely to be more conservative, explaining that it is likely due to increased auditor monitoring. Similarly,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enkataraman","given":"R.","non-dropping-particle":"","parse-names":false,"suffix":""},{"dropping-particle":"","family":"Weber","given":"J.","non-dropping-particle":"","parse-names":false,"suffix":""},{"dropping-particle":"","family":"Willenborg","given":"M.","non-dropping-particle":"","parse-names":false,"suffix":""}],"container-title":"Journal of Chemical Information and Modeling","id":"ITEM-1","issue":"March 2005","issued":{"date-parts":[["2005"]]},"page":"1689-1699","title":"Litigation Risk, Audit Fess and Audit Quality : Initial Public Offerings as A Natural Experiment","type":"article-journal"},"uris":["http://www.mendeley.com/documents/?uuid=19d2b5d1-0269-4d79-abec-b454d7329f40"]}],"mendeley":{"formattedCitation":"(Venkataraman et al., 2005)","manualFormatting":"Venkataraman et al. (2005)","plainTextFormattedCitation":"(Venkataraman et al., 2005)","previouslyFormattedCitation":"(Venkataraman et al., 2005)"},"properties":{"noteIndex":0},"schema":"https://github.com/citation-style-language/schema/raw/master/csl-citation.json"}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Venkataraman et al. (2005)</w:t>
      </w:r>
      <w:r w:rsidRPr="00943DFA">
        <w:rPr>
          <w:color w:val="0D0D0D" w:themeColor="text1" w:themeTint="F2"/>
          <w:lang w:eastAsia="en-US"/>
        </w:rPr>
        <w:fldChar w:fldCharType="end"/>
      </w:r>
      <w:r w:rsidRPr="00943DFA">
        <w:rPr>
          <w:color w:val="0D0D0D" w:themeColor="text1" w:themeTint="F2"/>
          <w:lang w:eastAsia="en-US"/>
        </w:rPr>
        <w:t xml:space="preserve"> suggest that aggressive income-increasing earnings management may be constrained by high quality auditors.</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{"citationItems":[{"id":"ITEM-1","itemData":{"DOI":"10.1080/09638180.2019.1620113","ISSN":"14684497","abstract":"Using a large sample of domestic and foreign IPOs in the US, we investigate how threats of enforcement by the Securities and Exchange Commission (SEC) and private litigation influence earnings management in IPO prospectuses. We propose that perceptions of foreign institutions may influence SEC enforcement action and private litigation. We provide evidence that enforcement and litigation threats are negatively related to the strength of legal institutions in the foreign IPO’s country of origin. We find earnings management is more pronounced in foreign IPOs from countries with strong legal institutions. We further explore whether earnings management is priced in the IPO market and find no relation between IPO proceeds and earnings management. Our results are consistent with upward earnings management as in Stein (1989), the magnitude of which is reduced when the anticipated cost of enforcement and litigation is higher. Collectively, our results cast doubt on the validity of the bonding hypothesis.","author":[{"dropping-particle":"","family":"Filatotchev","given":"I.","non-dropping-particle":"","parse-names":false,"suffix":""},{"dropping-particle":"","family":"Jona","given":"J.","non-dropping-particle":"","parse-names":false,"suffix":""},{"dropping-particle":"","family":"Livne","given":"G.","non-dropping-particle":"","parse-names":false,"suffix":""}],"container-title":"European Accounting Review","id":"ITEM-1","issue":"0","issued":{"date-parts":[["2019"]]},"page":"1-29","publisher":"Taylor &amp; Francis","title":"Earnings Management in Domestic and Foreign IPOs in the United States: Do Home Country Institutions Matter?","type":"article-journal","volume":"0"},"uris":["http://www.mendeley.com/documents/?uuid=be4862ee-c0d0-4b8c-8e52-44df21e26ff9"]}],"mendeley":{"formattedCitation":"(Filatotchev, Jona, &amp; Livne, 2019)","manualFormatting":" Filatotchev et al. (2019)","plainTextFormattedCitation":"(Filatotchev, Jona, &amp; Livne, 2019)","previouslyFormattedCitation":"(Filatotchev, Jona, &amp; Livne, 2019)"},"properties":{"noteIndex":0},"schema":"https://github.com/citation-style-language/schema/raw/master/csl-citation.json"}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 xml:space="preserve"> Filatotchev et al. (2019)</w:t>
      </w:r>
      <w:r w:rsidRPr="00943DFA">
        <w:rPr>
          <w:color w:val="0D0D0D" w:themeColor="text1" w:themeTint="F2"/>
          <w:lang w:eastAsia="en-US"/>
        </w:rPr>
        <w:fldChar w:fldCharType="end"/>
      </w:r>
      <w:r w:rsidRPr="00943DFA">
        <w:rPr>
          <w:color w:val="0D0D0D" w:themeColor="text1" w:themeTint="F2"/>
          <w:lang w:eastAsia="en-US"/>
        </w:rPr>
        <w:t xml:space="preserve"> provide evidence that firms tend to have lower abnormal accruals when they are audited by high-quality auditors (i.e. Big 6, Big 5 or Big 4 auditors).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hang","given":"X.","non-dropping-particle":"","parse-names":false,"suffix":""},{"dropping-particle":"","family":"Dasgupta","given":"S.","non-dropping-particle":"","parse-names":false,"suffix":""},{"dropping-particle":"","family":"Hilary","given":"G.","non-dropping-particle":"","parse-names":false,"suffix":""}],"container-title":"The Accounting Review","id":"ITEM-1","issue":"4","issued":{"date-parts":[["2008"]]},"page":"1085-1117","title":"The Effect of Auditor Quality on Financing Decisions *","type":"article-journal","volume":"84"},"uris":["http://www.mendeley.com/documents/?uuid=4c392652-fa48-4116-bbcc-7827501bd588"]}],"mendeley":{"formattedCitation":"(Chang et al., 2008)","manualFormatting":"Chang et al. (2008)","plainTextFormattedCitation":"(Chang et al., 2008)","previouslyFormattedCitation":"(Chang et al., 2008)"},"properties":{"noteIndex":0},"schema":"https://github.com/citation-style-language/schema/raw/master/csl-citation.json"}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Chang et al. (2008)</w:t>
      </w:r>
      <w:r w:rsidRPr="00943DFA">
        <w:rPr>
          <w:color w:val="0D0D0D" w:themeColor="text1" w:themeTint="F2"/>
          <w:lang w:eastAsia="en-US"/>
        </w:rPr>
        <w:fldChar w:fldCharType="end"/>
      </w:r>
      <w:r w:rsidRPr="00943DFA">
        <w:rPr>
          <w:color w:val="0D0D0D" w:themeColor="text1" w:themeTint="F2"/>
          <w:lang w:eastAsia="en-US"/>
        </w:rPr>
        <w:t xml:space="preserve"> also observe that higher quality auditors (i.e. Big 4 auditors) are more likely to mitigate accounting problems. </w:t>
      </w:r>
    </w:p>
    <w:p w14:paraId="6A4E9A51"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Consistent with the argument that Big 4 auditors constrain informational deficiencies, Cassell et al. (2013) find evidence that being audited by a Big 4 auditor reduces: the probability of receiving an SEC comment letter; review durations; the number of comment letters; and the range of themes mentioned in comment letters on 10-K filings. Cassell et al. (2019) also observe that firms audited by Big 4 auditors experience lower remediating costs as indicated by the duration of review process and the number of comment letters on 10-K filings. Johnston and </w:t>
      </w:r>
      <w:proofErr w:type="spellStart"/>
      <w:r w:rsidRPr="00943DFA">
        <w:rPr>
          <w:color w:val="0D0D0D" w:themeColor="text1" w:themeTint="F2"/>
          <w:lang w:eastAsia="en-US"/>
        </w:rPr>
        <w:t>Petacchi</w:t>
      </w:r>
      <w:proofErr w:type="spellEnd"/>
      <w:r w:rsidRPr="00943DFA">
        <w:rPr>
          <w:color w:val="0D0D0D" w:themeColor="text1" w:themeTint="F2"/>
          <w:lang w:eastAsia="en-US"/>
        </w:rPr>
        <w:t xml:space="preserve"> (2017) report that firms audited by Big 4 auditors are less likely to receive comment letters on </w:t>
      </w:r>
      <w:r w:rsidRPr="00943DFA">
        <w:rPr>
          <w:rFonts w:eastAsia="Times New Roman"/>
          <w:color w:val="0D0D0D" w:themeColor="text1" w:themeTint="F2"/>
        </w:rPr>
        <w:t>10-K filings</w:t>
      </w:r>
      <w:r w:rsidRPr="00943DFA">
        <w:rPr>
          <w:color w:val="0D0D0D" w:themeColor="text1" w:themeTint="F2"/>
          <w:lang w:eastAsia="en-US"/>
        </w:rPr>
        <w:t xml:space="preserve">. Focusing on IPO firms, </w:t>
      </w:r>
      <w:proofErr w:type="spellStart"/>
      <w:r w:rsidRPr="00943DFA">
        <w:rPr>
          <w:color w:val="0D0D0D" w:themeColor="text1" w:themeTint="F2"/>
          <w:lang w:eastAsia="en-US"/>
        </w:rPr>
        <w:t>Colaco</w:t>
      </w:r>
      <w:proofErr w:type="spellEnd"/>
      <w:r w:rsidRPr="00943DFA">
        <w:rPr>
          <w:color w:val="0D0D0D" w:themeColor="text1" w:themeTint="F2"/>
          <w:lang w:eastAsia="en-US"/>
        </w:rPr>
        <w:t xml:space="preserve"> et al. (2018) provide evidence that high-quality auditors decrease the duration of the IPO process. Taken together, these findings suggest that SEC reviews are less extensive for firms audited by high quality auditors.</w:t>
      </w:r>
    </w:p>
    <w:p w14:paraId="6482FD0D"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The fifth hypothesis, therefore, stated in an alternative form, is as follows.</w:t>
      </w:r>
    </w:p>
    <w:p w14:paraId="1032BD95" w14:textId="77777777" w:rsidR="00195130" w:rsidRPr="00943DFA" w:rsidRDefault="00195130" w:rsidP="00195130">
      <w:pPr>
        <w:spacing w:before="240" w:after="240" w:line="360" w:lineRule="auto"/>
        <w:jc w:val="both"/>
        <w:rPr>
          <w:b/>
          <w:color w:val="0D0D0D" w:themeColor="text1" w:themeTint="F2"/>
          <w:lang w:eastAsia="en-US"/>
        </w:rPr>
      </w:pPr>
      <w:r w:rsidRPr="00943DFA">
        <w:rPr>
          <w:b/>
          <w:i/>
          <w:color w:val="0D0D0D" w:themeColor="text1" w:themeTint="F2"/>
          <w:lang w:eastAsia="en-US"/>
        </w:rPr>
        <w:t>H5</w:t>
      </w:r>
      <w:r w:rsidRPr="00943DFA">
        <w:rPr>
          <w:b/>
          <w:i/>
          <w:color w:val="0D0D0D" w:themeColor="text1" w:themeTint="F2"/>
          <w:vertAlign w:val="subscript"/>
          <w:lang w:eastAsia="en-US"/>
        </w:rPr>
        <w:t>alternative</w:t>
      </w:r>
      <w:r w:rsidRPr="00943DFA">
        <w:rPr>
          <w:b/>
          <w:i/>
          <w:color w:val="0D0D0D" w:themeColor="text1" w:themeTint="F2"/>
          <w:lang w:eastAsia="en-US"/>
        </w:rPr>
        <w:t xml:space="preserve">: </w:t>
      </w:r>
      <w:r w:rsidRPr="00943DFA">
        <w:rPr>
          <w:i/>
          <w:color w:val="0D0D0D" w:themeColor="text1" w:themeTint="F2"/>
          <w:lang w:eastAsia="en-US"/>
        </w:rPr>
        <w:t>SEC reviews of IPO registration statements are likely to be less extensive for issuers that are audited by a Big 4 auditor.</w:t>
      </w:r>
    </w:p>
    <w:p w14:paraId="059FB926" w14:textId="77777777" w:rsidR="00195130" w:rsidRPr="00943DFA" w:rsidRDefault="00195130" w:rsidP="00195130">
      <w:pPr>
        <w:spacing w:before="240" w:after="240" w:line="360" w:lineRule="auto"/>
        <w:jc w:val="both"/>
        <w:rPr>
          <w:b/>
          <w:color w:val="0D0D0D" w:themeColor="text1" w:themeTint="F2"/>
          <w:lang w:eastAsia="en-US"/>
        </w:rPr>
      </w:pPr>
      <w:r w:rsidRPr="00943DFA">
        <w:rPr>
          <w:b/>
          <w:color w:val="0D0D0D" w:themeColor="text1" w:themeTint="F2"/>
          <w:lang w:eastAsia="en-US"/>
        </w:rPr>
        <w:lastRenderedPageBreak/>
        <w:t>Corporate governance</w:t>
      </w:r>
      <w:r w:rsidRPr="00943DFA">
        <w:rPr>
          <w:rStyle w:val="FootnoteReference"/>
          <w:b/>
          <w:color w:val="0D0D0D" w:themeColor="text1" w:themeTint="F2"/>
          <w:lang w:eastAsia="en-US"/>
        </w:rPr>
        <w:footnoteReference w:id="3"/>
      </w:r>
    </w:p>
    <w:p w14:paraId="5B8EAD3C"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{"citationItems":[{"id":"ITEM-1","itemData":{"ISSN":"00218456","abstract":"This study examines whether auditors can effectively use nonfinancial measures to assess the reasonableness of financial performance and, thereby, help detect financial statement fraud (hereafter, fraud). If auditors or other interested parties (e.g., directors, lenders, investors, or regulators) can identify nonfinancial measures (e.g., facilities growth) that are correlated with financial measures (e.g., revenue growth), inconsistent patterns between the nonfinancial and financial measures can be used to detect firms with high fraud risk. We find that the difference between financial and nonfinancial performance is significantly greater for firms that committed fraud than for their non-fraud competitors. We also find that this difference is a significant fraud indicator when included in a model containing variables that have previously been linked to the likelihood of fraud. Overall, our results provide empirical evidence suggesting that nonfinancial measures can be effectively used to assess the likelihood of fraud.","author":[{"dropping-particle":"","family":"Brazel","given":"J. F.","non-dropping-particle":"","parse-names":false,"suffix":""},{"dropping-particle":"","family":"Jones","given":"K. L.","non-dropping-particle":"","parse-names":false,"suffix":""},{"dropping-particle":"","family":"Zimbelman","given":"M. F.","non-dropping-particle":"","parse-names":false,"suffix":""}],"container-title":"Journal of Accounting Research","id":"ITEM-1","issue":"5","issued":{"date-parts":[["2009"]]},"page":"1135-1166","title":"Using nonfinancial measures to assess fraud risk","type":"article-journal","volume":"47"},"uris":["http://www.mendeley.com/documents/?uuid=c556d2f6-b043-464e-be3a-23c0329103c1"]}],"mendeley":{"formattedCitation":"(Brazel et al., 2009)","manualFormatting":"Brazel et al. (2009)","plainTextFormattedCitation":"(Brazel et al., 2009)","previouslyFormattedCitation":"(Brazel et al., 2009)"},"properties":{"noteIndex":0},"schema":"https://github.com/citation-style-language/schema/raw/master/csl-citation.json"}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Brazel et al. (2009)</w:t>
      </w:r>
      <w:r w:rsidRPr="00943DFA">
        <w:rPr>
          <w:color w:val="0D0D0D" w:themeColor="text1" w:themeTint="F2"/>
          <w:lang w:eastAsia="en-US"/>
        </w:rPr>
        <w:fldChar w:fldCharType="end"/>
      </w:r>
      <w:r w:rsidRPr="00943DFA">
        <w:rPr>
          <w:color w:val="0D0D0D" w:themeColor="text1" w:themeTint="F2"/>
          <w:lang w:eastAsia="en-US"/>
        </w:rPr>
        <w:t xml:space="preserve"> suggest that poor quality corporate governance is likely to result in impaired monitoring of corporate disclosure quality and hence increases the chance of fraud.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Desai","given":"H.","non-dropping-particle":"","parse-names":false,"suffix":""},{"dropping-particle":"","family":"Hogan","given":"C.E.","non-dropping-particle":"","parse-names":false,"suffix":""},{"dropping-particle":"","family":"Wilkins","given":"M.S.","non-dropping-particle":"","parse-names":false,"suffix":""},{"dropping-particle":"","family":"Hogan","given":"C.E.","non-dropping-particle":"","parse-names":false,"suffix":""},{"dropping-particle":"","family":"Wilkins","given":"M.S.","non-dropping-particle":"","parse-names":false,"suffix":""}],"container-title":"The Accounting Review","id":"ITEM-1","issue":"1","issued":{"date-parts":[["2006"]]},"page":"83-112","title":"The Reputational Penalty for Aggressive Accounting : Earnings Restatements and Management Turnover","type":"article-journal","volume":"81"},"uris":["http://www.mendeley.com/documents/?uuid=29490051-7811-4bfe-b4aa-eda487ca3835"]}],"mendeley":{"formattedCitation":"(Desai, Hogan, Wilkins, Hogan, &amp; Wilkins, 2006)","manualFormatting":"Desai et al. (2006)","plainTextFormattedCitation":"(Desai, Hogan, Wilkins, Hogan, &amp; Wilkins, 2006)","previouslyFormattedCitation":"(Desai, Hogan, Wilkins, Hogan, &amp; Wilkins, 2006)"},"properties":{"noteIndex":0},"schema":"https://github.com/citation-style-language/schema/raw/master/csl-citation.json"}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Desai et al. (2006)</w:t>
      </w:r>
      <w:r w:rsidRPr="00943DFA">
        <w:rPr>
          <w:color w:val="0D0D0D" w:themeColor="text1" w:themeTint="F2"/>
          <w:lang w:eastAsia="en-US"/>
        </w:rPr>
        <w:fldChar w:fldCharType="end"/>
      </w:r>
      <w:r w:rsidRPr="00943DFA">
        <w:rPr>
          <w:color w:val="0D0D0D" w:themeColor="text1" w:themeTint="F2"/>
          <w:lang w:eastAsia="en-US"/>
        </w:rPr>
        <w:t xml:space="preserve"> identify that firms having a CEO who is simultaneously the chair are likely to have low quality of corporate governance. According to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Research","id":"ITEM-1","issue":"1","issued":{"date-parts":[["1996"]]},"page":"1-36","title":"Causes and consequences of earnings manipulation: An analysis of firms subject to enforcement actions by the SEC","type":"article-journal","volume":"13"},"uris":["http://www.mendeley.com/documents/?uuid=b0b870c6-2960-4888-a546-9bdb2ec59a54"]}],"mendeley":{"formattedCitation":"(P.M. Dechow et al., 1996)","manualFormatting":"Dechow et al. (1996)","plainTextFormattedCitation":"(P.M. Dechow et al., 1996)","previouslyFormattedCitation":"(P.M. Dechow et al., 1996)"},"properties":{"noteIndex":0},"schema":"https://github.com/citation-style-language/schema/raw/master/csl-citation.json"}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Dechow et al. (1996)</w:t>
      </w:r>
      <w:r w:rsidRPr="00943DFA">
        <w:rPr>
          <w:color w:val="0D0D0D" w:themeColor="text1" w:themeTint="F2"/>
          <w:lang w:eastAsia="en-US"/>
        </w:rPr>
        <w:fldChar w:fldCharType="end"/>
      </w:r>
      <w:r w:rsidRPr="00943DFA">
        <w:rPr>
          <w:color w:val="0D0D0D" w:themeColor="text1" w:themeTint="F2"/>
          <w:lang w:eastAsia="en-US"/>
        </w:rPr>
        <w:t xml:space="preserve">, firms conducting earnings management are more likely to have CEO-chair duality. </w:t>
      </w:r>
      <w:proofErr w:type="spellStart"/>
      <w:r w:rsidRPr="00943DFA">
        <w:rPr>
          <w:color w:val="0D0D0D" w:themeColor="text1" w:themeTint="F2"/>
          <w:lang w:eastAsia="en-US"/>
        </w:rPr>
        <w:t>Ettredge</w:t>
      </w:r>
      <w:proofErr w:type="spellEnd"/>
      <w:r w:rsidRPr="00943DFA">
        <w:rPr>
          <w:color w:val="0D0D0D" w:themeColor="text1" w:themeTint="F2"/>
          <w:lang w:eastAsia="en-US"/>
        </w:rPr>
        <w:t xml:space="preserve"> et al. (2011) also identify that low quality corporate governance, due to CEO-chair duality, is likely to decrease disclosure compliance. Robinson et al. (2011) identify that firms having a CEO who simultaneously serves as the chair have greater disclosure deficiencies.  Examining IPO firms’ corporate governance,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and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suggest that the board’s ability to monitor is likely to be impaired if a member of management serves as the chair. </w:t>
      </w:r>
    </w:p>
    <w:p w14:paraId="0B98CD1D"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Review","id":"ITEM-1","issue":"4","issued":{"date-parts":[["2011"]]},"page":"1415-1444","title":"Determinants of disclosure noncompliance and the effect of the SEC review: Evidence from the 2006 mandated compensation disclosure regulations","type":"article-journal","volume":"86"},"uris":["http://www.mendeley.com/documents/?uuid=e8971756-f262-4b89-b55d-978e24fc4f8c"]}],"mendeley":{"formattedCitation":"(Robinson et al., 2011)","manualFormatting":"Robinson et al. (2011)","plainTextFormattedCitation":"(Robinson et al., 2011)","previouslyFormattedCitation":"(Robinson et al., 2011)"},"properties":{"noteIndex":0},"schema":"https://github.com/citation-style-language/schema/raw/master/csl-citation.json"}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Robinson et al. (2011)</w:t>
      </w:r>
      <w:r w:rsidRPr="00943DFA">
        <w:rPr>
          <w:color w:val="0D0D0D" w:themeColor="text1" w:themeTint="F2"/>
          <w:lang w:eastAsia="en-US"/>
        </w:rPr>
        <w:fldChar w:fldCharType="end"/>
      </w:r>
      <w:r w:rsidRPr="00943DFA">
        <w:rPr>
          <w:color w:val="0D0D0D" w:themeColor="text1" w:themeTint="F2"/>
          <w:lang w:eastAsia="en-US"/>
        </w:rPr>
        <w:t xml:space="preserve"> identify that firms with weak corporate governance, as indicated by CEO-chair duality, receive more comments in the SEC letters. </w:t>
      </w:r>
      <w:proofErr w:type="spellStart"/>
      <w:r w:rsidRPr="00943DFA">
        <w:rPr>
          <w:color w:val="0D0D0D" w:themeColor="text1" w:themeTint="F2"/>
          <w:lang w:eastAsia="en-US"/>
        </w:rPr>
        <w:t>Ettredge</w:t>
      </w:r>
      <w:proofErr w:type="spellEnd"/>
      <w:r w:rsidRPr="00943DFA">
        <w:rPr>
          <w:color w:val="0D0D0D" w:themeColor="text1" w:themeTint="F2"/>
          <w:lang w:eastAsia="en-US"/>
        </w:rPr>
        <w:t xml:space="preserve"> et al. (2011) consistently observe that the probability of receiving a comment letter is lower when firms have separation between the CEO and chair position. Cassell et al. (2013) provide evidence that lower quality corporate governance, proxied by CEO-chair duality increases: the probability of receiving an SEC letter; the range of themes addressed in SEC letters; the review duration; and the number of comment letters issued to firms on their 10-K filings.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(2017) identify that firms receiving SEC letters </w:t>
      </w:r>
      <w:r w:rsidRPr="00943DFA">
        <w:rPr>
          <w:rFonts w:eastAsia="Times New Roman"/>
          <w:color w:val="0D0D0D" w:themeColor="text1" w:themeTint="F2"/>
        </w:rPr>
        <w:t>on 10-K filings</w:t>
      </w:r>
      <w:r w:rsidRPr="00943DFA">
        <w:rPr>
          <w:color w:val="0D0D0D" w:themeColor="text1" w:themeTint="F2"/>
          <w:lang w:eastAsia="en-US"/>
        </w:rPr>
        <w:t xml:space="preserve"> are more likely to have CEO-chair duality. Taken together, these findings indicate that firms with weak corporate governance, as indicated by CEO-chair duality, are likely to experience a more extensive SEC review.</w:t>
      </w:r>
    </w:p>
    <w:p w14:paraId="00017DBF"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The sixth hypothesis is therefore specified, in an alternative form, as follows.</w:t>
      </w:r>
    </w:p>
    <w:p w14:paraId="5441C24E" w14:textId="77777777" w:rsidR="00195130" w:rsidRPr="00943DFA" w:rsidRDefault="00195130" w:rsidP="00195130">
      <w:pPr>
        <w:spacing w:before="240" w:after="240" w:line="360" w:lineRule="auto"/>
        <w:jc w:val="both"/>
        <w:rPr>
          <w:b/>
          <w:color w:val="0D0D0D" w:themeColor="text1" w:themeTint="F2"/>
          <w:lang w:eastAsia="en-US"/>
        </w:rPr>
      </w:pPr>
      <w:r w:rsidRPr="00943DFA">
        <w:rPr>
          <w:b/>
          <w:i/>
          <w:color w:val="0D0D0D" w:themeColor="text1" w:themeTint="F2"/>
          <w:lang w:eastAsia="en-US"/>
        </w:rPr>
        <w:t>H6</w:t>
      </w:r>
      <w:r w:rsidRPr="00943DFA">
        <w:rPr>
          <w:b/>
          <w:i/>
          <w:color w:val="0D0D0D" w:themeColor="text1" w:themeTint="F2"/>
          <w:vertAlign w:val="subscript"/>
          <w:lang w:eastAsia="en-US"/>
        </w:rPr>
        <w:t>alternative</w:t>
      </w:r>
      <w:r w:rsidRPr="00943DFA">
        <w:rPr>
          <w:b/>
          <w:i/>
          <w:color w:val="0D0D0D" w:themeColor="text1" w:themeTint="F2"/>
          <w:lang w:eastAsia="en-US"/>
        </w:rPr>
        <w:t xml:space="preserve">: </w:t>
      </w:r>
      <w:r w:rsidRPr="00943DFA">
        <w:rPr>
          <w:i/>
          <w:color w:val="0D0D0D" w:themeColor="text1" w:themeTint="F2"/>
          <w:lang w:eastAsia="en-US"/>
        </w:rPr>
        <w:t>SEC reviews of IPO registration statements are likely to be more extensive for issuers with duality between the CEO and Chair positions.</w:t>
      </w:r>
    </w:p>
    <w:p w14:paraId="60AE0E75" w14:textId="77777777" w:rsidR="00195130" w:rsidRPr="00943DFA" w:rsidRDefault="00195130" w:rsidP="005E696B">
      <w:pPr>
        <w:pStyle w:val="ListParagraph"/>
        <w:numPr>
          <w:ilvl w:val="1"/>
          <w:numId w:val="37"/>
        </w:numPr>
        <w:spacing w:before="240" w:after="240" w:line="360" w:lineRule="auto"/>
        <w:ind w:left="284"/>
        <w:jc w:val="both"/>
        <w:outlineLvl w:val="1"/>
        <w:rPr>
          <w:b/>
          <w:color w:val="0D0D0D" w:themeColor="text1" w:themeTint="F2"/>
          <w:lang w:eastAsia="en-US"/>
        </w:rPr>
      </w:pPr>
      <w:bookmarkStart w:id="10" w:name="_Toc69749257"/>
      <w:r w:rsidRPr="00943DFA">
        <w:rPr>
          <w:b/>
          <w:color w:val="0D0D0D" w:themeColor="text1" w:themeTint="F2"/>
          <w:lang w:eastAsia="en-US"/>
        </w:rPr>
        <w:t>Research design</w:t>
      </w:r>
      <w:bookmarkEnd w:id="7"/>
      <w:bookmarkEnd w:id="8"/>
      <w:bookmarkEnd w:id="9"/>
      <w:bookmarkEnd w:id="10"/>
      <w:r w:rsidRPr="00943DFA">
        <w:rPr>
          <w:b/>
          <w:color w:val="0D0D0D" w:themeColor="text1" w:themeTint="F2"/>
          <w:lang w:eastAsia="en-US"/>
        </w:rPr>
        <w:t xml:space="preserve"> </w:t>
      </w:r>
      <w:bookmarkStart w:id="11" w:name="_Toc48203608"/>
      <w:bookmarkStart w:id="12" w:name="_Toc50694179"/>
      <w:bookmarkStart w:id="13" w:name="_Toc50713967"/>
      <w:bookmarkStart w:id="14" w:name="_Toc69749258"/>
    </w:p>
    <w:p w14:paraId="0BADD6DB" w14:textId="5F53E815" w:rsidR="00195130" w:rsidRPr="00943DFA" w:rsidRDefault="00195130" w:rsidP="005E696B">
      <w:pPr>
        <w:pStyle w:val="ListParagraph"/>
        <w:numPr>
          <w:ilvl w:val="1"/>
          <w:numId w:val="38"/>
        </w:numPr>
        <w:spacing w:before="240" w:after="240" w:line="360" w:lineRule="auto"/>
        <w:ind w:left="709"/>
        <w:jc w:val="both"/>
        <w:outlineLvl w:val="1"/>
        <w:rPr>
          <w:b/>
          <w:color w:val="0D0D0D" w:themeColor="text1" w:themeTint="F2"/>
          <w:lang w:eastAsia="en-US"/>
        </w:rPr>
      </w:pPr>
      <w:r w:rsidRPr="00943DFA">
        <w:rPr>
          <w:b/>
          <w:color w:val="0D0D0D" w:themeColor="text1" w:themeTint="F2"/>
          <w:lang w:eastAsia="en-US"/>
        </w:rPr>
        <w:lastRenderedPageBreak/>
        <w:t>Sample selection</w:t>
      </w:r>
      <w:bookmarkEnd w:id="11"/>
      <w:bookmarkEnd w:id="12"/>
      <w:bookmarkEnd w:id="13"/>
      <w:bookmarkEnd w:id="14"/>
    </w:p>
    <w:p w14:paraId="2718486E" w14:textId="71CA62A3" w:rsidR="00195130" w:rsidRPr="00943DFA" w:rsidRDefault="00195130" w:rsidP="00195130">
      <w:pPr>
        <w:pStyle w:val="ListParagraph"/>
        <w:spacing w:after="240" w:line="360" w:lineRule="auto"/>
        <w:ind w:left="0"/>
        <w:contextualSpacing w:val="0"/>
        <w:jc w:val="both"/>
        <w:rPr>
          <w:color w:val="0D0D0D" w:themeColor="text1" w:themeTint="F2"/>
          <w:lang w:eastAsia="en-US"/>
        </w:rPr>
      </w:pPr>
      <w:bookmarkStart w:id="15" w:name="_Ref50694022"/>
      <w:bookmarkStart w:id="16" w:name="_Toc50708209"/>
      <w:r w:rsidRPr="00943DFA">
        <w:rPr>
          <w:color w:val="0D0D0D" w:themeColor="text1" w:themeTint="F2"/>
          <w:lang w:eastAsia="en-US"/>
        </w:rPr>
        <w:t xml:space="preserve">Employing the Thomson Reuters Eikon database, the initial sample is formed from the population of IPOs who filed their </w:t>
      </w:r>
      <w:r w:rsidRPr="00943DFA">
        <w:rPr>
          <w:bCs/>
          <w:color w:val="0D0D0D" w:themeColor="text1" w:themeTint="F2"/>
          <w:lang w:eastAsia="en-US"/>
        </w:rPr>
        <w:t>registration statements</w:t>
      </w:r>
      <w:r w:rsidRPr="00943DFA">
        <w:rPr>
          <w:color w:val="0D0D0D" w:themeColor="text1" w:themeTint="F2"/>
          <w:lang w:eastAsia="en-US"/>
        </w:rPr>
        <w:t xml:space="preserve"> during the period 12</w:t>
      </w:r>
      <w:r w:rsidRPr="00943DFA">
        <w:rPr>
          <w:color w:val="0D0D0D" w:themeColor="text1" w:themeTint="F2"/>
          <w:vertAlign w:val="superscript"/>
          <w:lang w:eastAsia="en-US"/>
        </w:rPr>
        <w:t>th</w:t>
      </w:r>
      <w:r w:rsidRPr="00943DFA">
        <w:rPr>
          <w:color w:val="0D0D0D" w:themeColor="text1" w:themeTint="F2"/>
          <w:lang w:eastAsia="en-US"/>
        </w:rPr>
        <w:t xml:space="preserve"> May 2005 to 31</w:t>
      </w:r>
      <w:r w:rsidRPr="00943DFA">
        <w:rPr>
          <w:color w:val="0D0D0D" w:themeColor="text1" w:themeTint="F2"/>
          <w:vertAlign w:val="superscript"/>
          <w:lang w:eastAsia="en-US"/>
        </w:rPr>
        <w:t>st</w:t>
      </w:r>
      <w:r w:rsidRPr="00943DFA">
        <w:rPr>
          <w:color w:val="0D0D0D" w:themeColor="text1" w:themeTint="F2"/>
          <w:lang w:eastAsia="en-US"/>
        </w:rPr>
        <w:t xml:space="preserve"> December 2017 on NASDAQ, NYSE and American Stock Exchange (AMEX).</w:t>
      </w:r>
      <w:r w:rsidRPr="00943DFA">
        <w:rPr>
          <w:rStyle w:val="FootnoteReference"/>
          <w:color w:val="0D0D0D" w:themeColor="text1" w:themeTint="F2"/>
        </w:rPr>
        <w:footnoteReference w:id="4"/>
      </w:r>
      <w:r w:rsidRPr="00943DFA">
        <w:rPr>
          <w:color w:val="0D0D0D" w:themeColor="text1" w:themeTint="F2"/>
          <w:lang w:eastAsia="en-US"/>
        </w:rPr>
        <w:t xml:space="preserve"> Following previous studies in the IPO context, this study includes only IPO firms offering common shares, and eliminates IPOs with offering price less than $5 per share, American Depositary Receipts (ADRs) and financial firms, unit issues and simultaneous offerings </w:t>
      </w:r>
      <w:r w:rsidRPr="00943DFA">
        <w:rPr>
          <w:rStyle w:val="normaltextrun"/>
          <w:color w:val="0D0D0D" w:themeColor="text1" w:themeTint="F2"/>
          <w:shd w:val="clear" w:color="auto" w:fill="FFFFFF"/>
        </w:rPr>
        <w:t>(</w:t>
      </w:r>
      <w:proofErr w:type="spellStart"/>
      <w:r w:rsidRPr="00943DFA">
        <w:rPr>
          <w:rStyle w:val="normaltextrun"/>
          <w:color w:val="0D0D0D" w:themeColor="text1" w:themeTint="F2"/>
          <w:shd w:val="clear" w:color="auto" w:fill="FFFFFF"/>
        </w:rPr>
        <w:t>Gounopoulos</w:t>
      </w:r>
      <w:proofErr w:type="spellEnd"/>
      <w:r w:rsidRPr="00943DFA">
        <w:rPr>
          <w:rStyle w:val="normaltextrun"/>
          <w:color w:val="0D0D0D" w:themeColor="text1" w:themeTint="F2"/>
          <w:shd w:val="clear" w:color="auto" w:fill="FFFFFF"/>
        </w:rPr>
        <w:t> and Pham, 2017, 2018; Lee, 2011; Li and Liu, 2017; Sletten et al., 2018)</w:t>
      </w:r>
      <w:r w:rsidRPr="00943DFA">
        <w:rPr>
          <w:color w:val="0D0D0D" w:themeColor="text1" w:themeTint="F2"/>
          <w:lang w:eastAsia="en-US"/>
        </w:rPr>
        <w:t xml:space="preserve">. Since the focus is on the S-1 review process, IPO filing registration statements on forms </w:t>
      </w:r>
      <w:r w:rsidR="00313836" w:rsidRPr="00943DFA">
        <w:rPr>
          <w:color w:val="0D0D0D" w:themeColor="text1" w:themeTint="F2"/>
          <w:lang w:eastAsia="en-US"/>
        </w:rPr>
        <w:t xml:space="preserve">(e.g., </w:t>
      </w:r>
      <w:r w:rsidR="005E696B" w:rsidRPr="00943DFA">
        <w:rPr>
          <w:color w:val="0D0D0D" w:themeColor="text1" w:themeTint="F2"/>
          <w:lang w:eastAsia="en-US"/>
        </w:rPr>
        <w:t xml:space="preserve">SB-2, </w:t>
      </w:r>
      <w:r w:rsidR="00313836" w:rsidRPr="00943DFA">
        <w:rPr>
          <w:color w:val="0D0D0D" w:themeColor="text1" w:themeTint="F2"/>
          <w:lang w:eastAsia="en-US"/>
        </w:rPr>
        <w:t>S-3</w:t>
      </w:r>
      <w:r w:rsidR="005E696B" w:rsidRPr="00943DFA">
        <w:rPr>
          <w:color w:val="0D0D0D" w:themeColor="text1" w:themeTint="F2"/>
          <w:lang w:eastAsia="en-US"/>
        </w:rPr>
        <w:t xml:space="preserve">) </w:t>
      </w:r>
      <w:r w:rsidRPr="00943DFA">
        <w:rPr>
          <w:color w:val="0D0D0D" w:themeColor="text1" w:themeTint="F2"/>
          <w:lang w:eastAsia="en-US"/>
        </w:rPr>
        <w:t xml:space="preserve">other than S-1 are excluded to ensure the consistency within the sample. </w:t>
      </w:r>
    </w:p>
    <w:p w14:paraId="31B6A1F9" w14:textId="559F42F2" w:rsidR="00A80138" w:rsidRPr="00943DFA" w:rsidRDefault="00195130" w:rsidP="00195130">
      <w:pPr>
        <w:pStyle w:val="ListParagraph"/>
        <w:spacing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The final sample contains 909 IPO firms. </w:t>
      </w:r>
      <w:r w:rsidRPr="00943DFA">
        <w:rPr>
          <w:rFonts w:eastAsia="Times New Roman"/>
          <w:color w:val="0D0D0D" w:themeColor="text1" w:themeTint="F2"/>
        </w:rPr>
        <w:t>Of these, 710 IPO firms receive SEC comment letters on their initial S-1 filings</w:t>
      </w:r>
      <w:r w:rsidR="00301CB1" w:rsidRPr="00943DFA">
        <w:rPr>
          <w:rFonts w:eastAsia="Times New Roman"/>
          <w:color w:val="0D0D0D" w:themeColor="text1" w:themeTint="F2"/>
        </w:rPr>
        <w:t>, consisting of 2</w:t>
      </w:r>
      <w:r w:rsidR="007A0653" w:rsidRPr="00943DFA">
        <w:rPr>
          <w:rFonts w:eastAsia="Times New Roman"/>
          <w:color w:val="0D0D0D" w:themeColor="text1" w:themeTint="F2"/>
        </w:rPr>
        <w:t>4</w:t>
      </w:r>
      <w:r w:rsidR="00301CB1" w:rsidRPr="00943DFA">
        <w:rPr>
          <w:rFonts w:eastAsia="Times New Roman"/>
          <w:color w:val="0D0D0D" w:themeColor="text1" w:themeTint="F2"/>
        </w:rPr>
        <w:t>,</w:t>
      </w:r>
      <w:r w:rsidR="007A0653" w:rsidRPr="00943DFA">
        <w:rPr>
          <w:rFonts w:eastAsia="Times New Roman"/>
          <w:color w:val="0D0D0D" w:themeColor="text1" w:themeTint="F2"/>
        </w:rPr>
        <w:t>205</w:t>
      </w:r>
      <w:r w:rsidR="00301CB1" w:rsidRPr="00943DFA">
        <w:rPr>
          <w:rFonts w:eastAsia="Times New Roman"/>
          <w:color w:val="0D0D0D" w:themeColor="text1" w:themeTint="F2"/>
        </w:rPr>
        <w:t xml:space="preserve"> comments</w:t>
      </w:r>
      <w:r w:rsidRPr="00943DFA">
        <w:rPr>
          <w:rFonts w:eastAsia="Times New Roman"/>
          <w:color w:val="0D0D0D" w:themeColor="text1" w:themeTint="F2"/>
        </w:rPr>
        <w:t>.</w:t>
      </w:r>
      <w:r w:rsidRPr="00943DFA">
        <w:rPr>
          <w:color w:val="0D0D0D" w:themeColor="text1" w:themeTint="F2"/>
          <w:lang w:eastAsia="en-US"/>
        </w:rPr>
        <w:t xml:space="preserve"> </w:t>
      </w:r>
      <w:r w:rsidR="00301CB1" w:rsidRPr="00943DFA">
        <w:rPr>
          <w:color w:val="0D0D0D" w:themeColor="text1" w:themeTint="F2"/>
          <w:lang w:eastAsia="en-US"/>
        </w:rPr>
        <w:t>Figure 1</w:t>
      </w:r>
      <w:r w:rsidR="002523E5" w:rsidRPr="00943DFA">
        <w:rPr>
          <w:color w:val="0D0D0D" w:themeColor="text1" w:themeTint="F2"/>
          <w:lang w:eastAsia="en-US"/>
        </w:rPr>
        <w:t xml:space="preserve"> demonstrates the distribution of the number of SEC comments in initial SEC comment letters</w:t>
      </w:r>
      <w:r w:rsidR="00301CB1" w:rsidRPr="00943DFA">
        <w:rPr>
          <w:color w:val="0D0D0D" w:themeColor="text1" w:themeTint="F2"/>
          <w:lang w:eastAsia="en-US"/>
        </w:rPr>
        <w:t xml:space="preserve"> </w:t>
      </w:r>
      <w:r w:rsidR="00A80138" w:rsidRPr="00943DFA">
        <w:rPr>
          <w:color w:val="0D0D0D" w:themeColor="text1" w:themeTint="F2"/>
          <w:lang w:eastAsia="en-US"/>
        </w:rPr>
        <w:t xml:space="preserve">relating to the IPO sample. </w:t>
      </w:r>
      <w:r w:rsidR="00C575C6" w:rsidRPr="00943DFA">
        <w:rPr>
          <w:color w:val="0D0D0D" w:themeColor="text1" w:themeTint="F2"/>
          <w:lang w:eastAsia="en-US"/>
        </w:rPr>
        <w:t xml:space="preserve">The initial comment letter from the SEC most frequently comprises </w:t>
      </w:r>
      <w:r w:rsidR="00AC7DE5" w:rsidRPr="00943DFA">
        <w:rPr>
          <w:color w:val="0D0D0D" w:themeColor="text1" w:themeTint="F2"/>
          <w:lang w:eastAsia="en-US"/>
        </w:rPr>
        <w:t>fewer than 10 comments</w:t>
      </w:r>
      <w:r w:rsidR="00C575C6" w:rsidRPr="00943DFA">
        <w:rPr>
          <w:color w:val="0D0D0D" w:themeColor="text1" w:themeTint="F2"/>
          <w:lang w:eastAsia="en-US"/>
        </w:rPr>
        <w:t xml:space="preserve">, as illustrated in Figure 1, but the range varies from fewer than </w:t>
      </w:r>
      <w:r w:rsidR="00AC7DE5" w:rsidRPr="00943DFA">
        <w:rPr>
          <w:color w:val="0D0D0D" w:themeColor="text1" w:themeTint="F2"/>
          <w:lang w:eastAsia="en-US"/>
        </w:rPr>
        <w:t>10</w:t>
      </w:r>
      <w:r w:rsidR="00C575C6" w:rsidRPr="00943DFA">
        <w:rPr>
          <w:color w:val="0D0D0D" w:themeColor="text1" w:themeTint="F2"/>
          <w:lang w:eastAsia="en-US"/>
        </w:rPr>
        <w:t xml:space="preserve"> </w:t>
      </w:r>
      <w:r w:rsidR="00AC7DE5" w:rsidRPr="00943DFA">
        <w:rPr>
          <w:color w:val="0D0D0D" w:themeColor="text1" w:themeTint="F2"/>
          <w:lang w:eastAsia="en-US"/>
        </w:rPr>
        <w:t>comment</w:t>
      </w:r>
      <w:r w:rsidR="00C575C6" w:rsidRPr="00943DFA">
        <w:rPr>
          <w:color w:val="0D0D0D" w:themeColor="text1" w:themeTint="F2"/>
          <w:lang w:eastAsia="en-US"/>
        </w:rPr>
        <w:t xml:space="preserve">s to more than </w:t>
      </w:r>
      <w:r w:rsidR="00AC7DE5" w:rsidRPr="00943DFA">
        <w:rPr>
          <w:color w:val="0D0D0D" w:themeColor="text1" w:themeTint="F2"/>
          <w:lang w:eastAsia="en-US"/>
        </w:rPr>
        <w:t xml:space="preserve">100 comments, suggesting </w:t>
      </w:r>
      <w:r w:rsidR="00C575C6" w:rsidRPr="00943DFA">
        <w:rPr>
          <w:color w:val="0D0D0D" w:themeColor="text1" w:themeTint="F2"/>
          <w:lang w:eastAsia="en-US"/>
        </w:rPr>
        <w:t xml:space="preserve">a substantial cross-sectional dispersion in </w:t>
      </w:r>
      <w:r w:rsidR="00AC7DE5" w:rsidRPr="00943DFA">
        <w:rPr>
          <w:color w:val="0D0D0D" w:themeColor="text1" w:themeTint="F2"/>
          <w:lang w:eastAsia="en-US"/>
        </w:rPr>
        <w:t>the number of comments</w:t>
      </w:r>
      <w:r w:rsidR="00C575C6" w:rsidRPr="00943DFA">
        <w:rPr>
          <w:color w:val="0D0D0D" w:themeColor="text1" w:themeTint="F2"/>
          <w:lang w:eastAsia="en-US"/>
        </w:rPr>
        <w:t>.</w:t>
      </w:r>
    </w:p>
    <w:p w14:paraId="042F518C" w14:textId="2CD77FB9" w:rsidR="00AC7DE5" w:rsidRPr="00943DFA" w:rsidRDefault="00AC7DE5" w:rsidP="00195130">
      <w:pPr>
        <w:pStyle w:val="ListParagraph"/>
        <w:spacing w:after="240" w:line="360" w:lineRule="auto"/>
        <w:ind w:left="0"/>
        <w:contextualSpacing w:val="0"/>
        <w:jc w:val="both"/>
        <w:rPr>
          <w:color w:val="0D0D0D" w:themeColor="text1" w:themeTint="F2"/>
          <w:lang w:eastAsia="en-US"/>
        </w:rPr>
      </w:pPr>
      <w:r w:rsidRPr="00943DFA">
        <w:rPr>
          <w:color w:val="0D0D0D" w:themeColor="text1" w:themeTint="F2"/>
          <w:lang w:eastAsia="en-US"/>
        </w:rPr>
        <w:t>Figure 1. Histogram illustrating the number of SEC comments in initial SEC comment letters</w:t>
      </w:r>
    </w:p>
    <w:p w14:paraId="6FBAA9E1" w14:textId="0756F5F1" w:rsidR="00AC7DE5" w:rsidRPr="00943DFA" w:rsidRDefault="00AC7DE5" w:rsidP="00195130">
      <w:pPr>
        <w:pStyle w:val="ListParagraph"/>
        <w:spacing w:after="240" w:line="360" w:lineRule="auto"/>
        <w:ind w:left="0"/>
        <w:contextualSpacing w:val="0"/>
        <w:jc w:val="both"/>
        <w:rPr>
          <w:color w:val="0D0D0D" w:themeColor="text1" w:themeTint="F2"/>
          <w:lang w:eastAsia="en-US"/>
        </w:rPr>
      </w:pPr>
      <w:r w:rsidRPr="00943DFA">
        <w:rPr>
          <w:noProof/>
          <w:color w:val="0D0D0D" w:themeColor="text1" w:themeTint="F2"/>
          <w:lang w:eastAsia="en-US"/>
        </w:rPr>
        <w:lastRenderedPageBreak/>
        <w:drawing>
          <wp:inline distT="0" distB="0" distL="0" distR="0" wp14:anchorId="2E25DD7E" wp14:editId="05EE0088">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1E5BAC0" w14:textId="04E05F65" w:rsidR="00301CB1" w:rsidRPr="00943DFA" w:rsidRDefault="00195130" w:rsidP="00195130">
      <w:pPr>
        <w:pStyle w:val="ListParagraph"/>
        <w:spacing w:after="240" w:line="360" w:lineRule="auto"/>
        <w:ind w:left="0"/>
        <w:contextualSpacing w:val="0"/>
        <w:jc w:val="both"/>
        <w:rPr>
          <w:color w:val="0D0D0D" w:themeColor="text1" w:themeTint="F2"/>
          <w:lang w:eastAsia="en-US"/>
        </w:rPr>
      </w:pPr>
      <w:r w:rsidRPr="00943DFA">
        <w:rPr>
          <w:color w:val="0D0D0D" w:themeColor="text1" w:themeTint="F2"/>
          <w:lang w:eastAsia="en-US"/>
        </w:rPr>
        <w:t>SEC comment letters are manually collected from the EDGAR database.</w:t>
      </w:r>
      <w:r w:rsidRPr="00943DFA">
        <w:rPr>
          <w:rStyle w:val="FootnoteReference"/>
          <w:color w:val="0D0D0D" w:themeColor="text1" w:themeTint="F2"/>
          <w:lang w:eastAsia="en-US"/>
        </w:rPr>
        <w:footnoteReference w:id="5"/>
      </w:r>
      <w:r w:rsidRPr="00943DFA">
        <w:rPr>
          <w:color w:val="0D0D0D" w:themeColor="text1" w:themeTint="F2"/>
          <w:lang w:eastAsia="en-US"/>
        </w:rPr>
        <w:t xml:space="preserve"> The date of initial S-1 filings and IPO effective dates are </w:t>
      </w:r>
      <w:r w:rsidR="00F37A29" w:rsidRPr="00943DFA">
        <w:rPr>
          <w:color w:val="0D0D0D" w:themeColor="text1" w:themeTint="F2"/>
          <w:lang w:eastAsia="en-US"/>
        </w:rPr>
        <w:t xml:space="preserve">manually </w:t>
      </w:r>
      <w:r w:rsidRPr="00943DFA">
        <w:rPr>
          <w:color w:val="0D0D0D" w:themeColor="text1" w:themeTint="F2"/>
          <w:lang w:eastAsia="en-US"/>
        </w:rPr>
        <w:t xml:space="preserve">collected from </w:t>
      </w:r>
      <w:r w:rsidR="00F37A29" w:rsidRPr="00943DFA">
        <w:rPr>
          <w:color w:val="0D0D0D" w:themeColor="text1" w:themeTint="F2"/>
          <w:lang w:eastAsia="en-US"/>
        </w:rPr>
        <w:t>EDGAR database</w:t>
      </w:r>
      <w:r w:rsidRPr="00943DFA">
        <w:rPr>
          <w:color w:val="0D0D0D" w:themeColor="text1" w:themeTint="F2"/>
          <w:lang w:eastAsia="en-US"/>
        </w:rPr>
        <w:t xml:space="preserve">. Accounting data are obtained from the </w:t>
      </w:r>
      <w:proofErr w:type="spellStart"/>
      <w:r w:rsidRPr="00943DFA">
        <w:rPr>
          <w:color w:val="0D0D0D" w:themeColor="text1" w:themeTint="F2"/>
          <w:lang w:eastAsia="en-US"/>
        </w:rPr>
        <w:t>Compustat</w:t>
      </w:r>
      <w:proofErr w:type="spellEnd"/>
      <w:r w:rsidRPr="00943DFA">
        <w:rPr>
          <w:color w:val="0D0D0D" w:themeColor="text1" w:themeTint="F2"/>
          <w:lang w:eastAsia="en-US"/>
        </w:rPr>
        <w:t xml:space="preserve"> North America while corporate governance data are collected from Thomson Reuters Eikon.</w:t>
      </w:r>
    </w:p>
    <w:p w14:paraId="76780ACF" w14:textId="398A1B02" w:rsidR="00195130" w:rsidRPr="00943DFA" w:rsidRDefault="00195130" w:rsidP="005E696B">
      <w:pPr>
        <w:pStyle w:val="ListParagraph"/>
        <w:numPr>
          <w:ilvl w:val="1"/>
          <w:numId w:val="38"/>
        </w:numPr>
        <w:spacing w:before="240" w:after="240" w:line="360" w:lineRule="auto"/>
        <w:ind w:left="567"/>
        <w:contextualSpacing w:val="0"/>
        <w:outlineLvl w:val="2"/>
        <w:rPr>
          <w:b/>
          <w:color w:val="0D0D0D" w:themeColor="text1" w:themeTint="F2"/>
        </w:rPr>
      </w:pPr>
      <w:bookmarkStart w:id="17" w:name="_Toc50713968"/>
      <w:bookmarkStart w:id="18" w:name="_Toc69749259"/>
      <w:bookmarkStart w:id="19" w:name="_Toc48203609"/>
      <w:bookmarkStart w:id="20" w:name="_Toc50694180"/>
      <w:bookmarkEnd w:id="15"/>
      <w:bookmarkEnd w:id="16"/>
      <w:r w:rsidRPr="00943DFA">
        <w:rPr>
          <w:rFonts w:eastAsia="Times New Roman"/>
          <w:b/>
          <w:bCs/>
          <w:color w:val="0D0D0D" w:themeColor="text1" w:themeTint="F2"/>
        </w:rPr>
        <w:t>Coding of SEC comment letters</w:t>
      </w:r>
      <w:bookmarkEnd w:id="17"/>
      <w:bookmarkEnd w:id="18"/>
    </w:p>
    <w:p w14:paraId="7643A154" w14:textId="7C370A09"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To examine the types of issues mentioned in the initial SEC comment letters</w:t>
      </w:r>
      <w:r w:rsidRPr="00943DFA">
        <w:rPr>
          <w:rFonts w:eastAsia="Times New Roman"/>
          <w:color w:val="0D0D0D" w:themeColor="text1" w:themeTint="F2"/>
        </w:rPr>
        <w:t>, manual content analysis of themes is performed on a training sample of comments from initial comment letters,</w:t>
      </w:r>
      <w:r w:rsidRPr="00943DFA">
        <w:rPr>
          <w:rFonts w:eastAsia="Times New Roman"/>
          <w:color w:val="0D0D0D" w:themeColor="text1" w:themeTint="F2"/>
          <w:vertAlign w:val="superscript"/>
        </w:rPr>
        <w:t xml:space="preserve"> </w:t>
      </w:r>
      <w:r w:rsidRPr="00943DFA">
        <w:rPr>
          <w:rFonts w:eastAsia="Times New Roman"/>
          <w:color w:val="0D0D0D" w:themeColor="text1" w:themeTint="F2"/>
        </w:rPr>
        <w:t>then Naïve Bayes machine learning is employed to code the full sample of 710 SEC comment letters.</w:t>
      </w:r>
      <w:r w:rsidRPr="00943DFA">
        <w:rPr>
          <w:rStyle w:val="FootnoteReference"/>
          <w:rFonts w:eastAsia="Times New Roman"/>
          <w:color w:val="0D0D0D" w:themeColor="text1" w:themeTint="F2"/>
        </w:rPr>
        <w:footnoteReference w:id="6"/>
      </w:r>
      <w:r w:rsidRPr="00943DFA">
        <w:rPr>
          <w:rFonts w:eastAsia="Times New Roman"/>
          <w:color w:val="0D0D0D" w:themeColor="text1" w:themeTint="F2"/>
        </w:rPr>
        <w:t xml:space="preserve"> </w:t>
      </w:r>
      <w:r w:rsidRPr="00943DFA">
        <w:rPr>
          <w:color w:val="0D0D0D" w:themeColor="text1" w:themeTint="F2"/>
        </w:rPr>
        <w:t xml:space="preserve">Most research examining themes in SEC comment letters conduct manual coding and therefore examine only a small sample. For instance, </w:t>
      </w:r>
      <w:r w:rsidRPr="00943DFA">
        <w:rPr>
          <w:color w:val="0D0D0D" w:themeColor="text1" w:themeTint="F2"/>
        </w:rPr>
        <w:fldChar w:fldCharType="begin" w:fldLock="1"/>
      </w:r>
      <w:r w:rsidRPr="00943DFA">
        <w:rPr>
          <w:color w:val="0D0D0D" w:themeColor="text1" w:themeTint="F2"/>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 Duke University","id":"ITEM-1","issued":{"date-parts":[["2006"]]},"note":"3","title":"IPO Firms and the SEC Comment Letter Process","type":"report"},"uris":["http://www.mendeley.com/documents/?uuid=01b61a32-44a8-4cff-b503-d4d5cb89a0fb"]}],"mendeley":{"formattedCitation":"(Ertimur &amp; Nondorf, 2006a)","manualFormatting":"Ertimur &amp; Nondorf (2006)","plainTextFormattedCitation":"(Ertimur &amp; Nondorf, 2006a)","previouslyFormattedCitation":"(Ertimur &amp; Nondorf, 2006a)"},"properties":{"noteIndex":0},"schema":"https://github.com/citation-style-language/schema/raw/master/csl-citation.json"}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Ertimur &amp; Nondorf (2006)</w:t>
      </w:r>
      <w:r w:rsidRPr="00943DFA">
        <w:rPr>
          <w:color w:val="0D0D0D" w:themeColor="text1" w:themeTint="F2"/>
        </w:rPr>
        <w:fldChar w:fldCharType="end"/>
      </w:r>
      <w:r w:rsidRPr="00943DFA">
        <w:rPr>
          <w:color w:val="0D0D0D" w:themeColor="text1" w:themeTint="F2"/>
        </w:rPr>
        <w:t xml:space="preserve"> carry out manual coding on 95 SEC comment letters addressing issues in S-1 and SB-2 filings, and </w:t>
      </w:r>
      <w:r w:rsidRPr="00943DFA">
        <w:rPr>
          <w:color w:val="0D0D0D" w:themeColor="text1" w:themeTint="F2"/>
        </w:rPr>
        <w:fldChar w:fldCharType="begin" w:fldLock="1"/>
      </w:r>
      <w:r w:rsidRPr="00943DFA">
        <w:rPr>
          <w:color w:val="0D0D0D" w:themeColor="text1" w:themeTint="F2"/>
        </w:rPr>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Research","id":"ITEM-1","issue":"2","issued":{"date-parts":[["2017"]]},"page":"1128-1155","title":"The effect of regulator oversight on firms' information environment: Securities and exchange commission comment letters","type":"article-journal","volume":"34"},"uris":["http://www.mendeley.com/documents/?uuid=6f0a5987-96ef-4573-9c9a-4445f9fb6ad8"]}],"mendeley":{"formattedCitation":"(Johnston &amp; Petacchi, 2017)","manualFormatting":"Johnston &amp; Petacchi (2017)","plainTextFormattedCitation":"(Johnston &amp; Petacchi, 2017)","previouslyFormattedCitation":"(Johnston &amp; Petacchi, 2017)"},"properties":{"noteIndex":0},"schema":"https://github.com/citation-style-language/schema/raw/master/csl-citation.json"}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Johnston &amp; Petacchi (2017)</w:t>
      </w:r>
      <w:r w:rsidRPr="00943DFA">
        <w:rPr>
          <w:color w:val="0D0D0D" w:themeColor="text1" w:themeTint="F2"/>
        </w:rPr>
        <w:fldChar w:fldCharType="end"/>
      </w:r>
      <w:r w:rsidRPr="00943DFA">
        <w:rPr>
          <w:color w:val="0D0D0D" w:themeColor="text1" w:themeTint="F2"/>
        </w:rPr>
        <w:t xml:space="preserve"> manually code 157 SEC comment letters addressing issues in 10-K and 10-Q filings. While coding conducted by human coders may have higher level of accuracy, it has two main limitations including; small sample size due to concern about cost and time-</w:t>
      </w:r>
      <w:r w:rsidRPr="00943DFA">
        <w:rPr>
          <w:color w:val="0D0D0D" w:themeColor="text1" w:themeTint="F2"/>
        </w:rPr>
        <w:lastRenderedPageBreak/>
        <w:t xml:space="preserve">consumption, and problems with reliability due to the subjective nature of the coding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{"citationItems":[{"id":"ITEM-1","itemData":{"author":[{"dropping-particle":"","family":"Core","given":"J.E.","non-dropping-particle":"","parse-names":false,"suffix":""}],"container-title":"Journal of Accounting and Economics","id":"ITEM-1","issued":{"date-parts":[["2001"]]},"page":"441-456","title":"A review of the empirical disclosure literature discussion","type":"article-journal","volume":"31"},"uris":["http://www.mendeley.com/documents/?uuid=b315cf7f-9d1e-42b4-b514-be256a19f250"]}],"mendeley":{"formattedCitation":"(Core, 2001)","plainTextFormattedCitation":"(Core, 2001)","previouslyFormattedCitation":"(Core, 2001)"},"properties":{"noteIndex":0},"schema":"https://github.com/citation-style-language/schema/raw/master/csl-citation.json"}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(Core, 2001)</w:t>
      </w:r>
      <w:r w:rsidRPr="00943DFA">
        <w:rPr>
          <w:color w:val="0D0D0D" w:themeColor="text1" w:themeTint="F2"/>
        </w:rPr>
        <w:fldChar w:fldCharType="end"/>
      </w:r>
      <w:r w:rsidRPr="00943DFA">
        <w:rPr>
          <w:color w:val="0D0D0D" w:themeColor="text1" w:themeTint="F2"/>
        </w:rPr>
        <w:t xml:space="preserve">. Especially, limited sample size may lessen the power of empirical tests as well as the possibility to generalise the findings. </w:t>
      </w:r>
    </w:p>
    <w:p w14:paraId="2821466B" w14:textId="0ABA976F" w:rsidR="00745EB9" w:rsidRPr="00943DFA" w:rsidRDefault="00195130" w:rsidP="001B2E68">
      <w:pPr>
        <w:spacing w:before="240" w:after="240" w:line="360" w:lineRule="auto"/>
        <w:jc w:val="both"/>
        <w:rPr>
          <w:color w:val="0D0D0D" w:themeColor="text1" w:themeTint="F2"/>
        </w:rPr>
      </w:pPr>
      <w:r w:rsidRPr="00943DFA">
        <w:rPr>
          <w:color w:val="0D0D0D" w:themeColor="text1" w:themeTint="F2"/>
        </w:rPr>
        <w:t xml:space="preserve">An alternative technique, which may transcend the limitations of human coders, is computer-aided content analysis </w:t>
      </w:r>
      <w:r w:rsidRPr="00943DFA">
        <w:rPr>
          <w:color w:val="0D0D0D" w:themeColor="text1" w:themeTint="F2"/>
        </w:rPr>
        <w:fldChar w:fldCharType="begin" w:fldLock="1"/>
      </w:r>
      <w:r w:rsidRPr="00943DFA">
        <w:rPr>
          <w:color w:val="0D0D0D" w:themeColor="text1" w:themeTint="F2"/>
        </w:rPr>
        <w:instrText>ADDIN CSL_CITATION {"citationItems":[{"id":"ITEM-1","itemData":{"DOI":"10.1111/j.1475-679X.2010.00382.x","ISSN":"00218456","abstract":"This paper examines the information content of the forward-looking statements (FLS) in the Management Discussion and Analysis section (MD&amp;amp;A) of 10-K and 10-Q filings using a Naïve Bayesian machine learning algorithm. I find that firms with better current performance, lower accruals, smaller size, lower market-to-book ratio, less return volatility, lower MD&amp;amp;A Fog index, and longer history tend to have more positive FLSs. The average tone of the FLS is positively associated with future earnings even after controlling for other determinants of future performance. The results also show that, despite increased regulations aimed at strengthening MD&amp;amp;A disclosures, there is no systematic change in the information content of MD&amp;amp;As over time. In addition, the tone in MD&amp;amp;As seems to mitigate the mispricing of accruals. When managers &amp;apos;warn&amp;apos; about the future performance implications of accruals (i.e., the MD&amp;amp;A tone is positive (negative) when accruals are negative (positive)), accruals are not associated with future returns. The tone measures based on three commonly used dictionaries (Diction, General Inquirer, and the Linguistic Inquiry and Word Count) do not positively predict future performance. This result suggests that these dictionaries might not work well for analyzing corporate filings.","author":[{"dropping-particle":"","family":"Li","given":"Feng","non-dropping-particle":"","parse-names":false,"suffix":""}],"container-title":"Journal of Accounting Research","id":"ITEM-1","issue":"5","issued":{"date-parts":[["2010"]]},"page":"1049-1102","title":"The information content of forward- looking statements in corporate filings-A naïve bayesian machine learning approach","type":"article-journal","volume":"48"},"uris":["http://www.mendeley.com/documents/?uuid=05fab0bc-b7bc-481f-93bc-e08ed2eceff7"]}],"mendeley":{"formattedCitation":"(F. Li, 2010)","manualFormatting":"(Li, 2010)","plainTextFormattedCitation":"(F. Li, 2010)","previouslyFormattedCitation":"(F. Li, 2010)"},"properties":{"noteIndex":0},"schema":"https://github.com/citation-style-language/schema/raw/master/csl-citation.json"}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(Li, 2010)</w:t>
      </w:r>
      <w:r w:rsidRPr="00943DFA">
        <w:rPr>
          <w:color w:val="0D0D0D" w:themeColor="text1" w:themeTint="F2"/>
        </w:rPr>
        <w:fldChar w:fldCharType="end"/>
      </w:r>
      <w:r w:rsidRPr="00943DFA">
        <w:rPr>
          <w:color w:val="0D0D0D" w:themeColor="text1" w:themeTint="F2"/>
        </w:rPr>
        <w:t xml:space="preserve">. </w:t>
      </w:r>
      <w:r w:rsidR="00745EB9" w:rsidRPr="00943DFA">
        <w:rPr>
          <w:color w:val="0D0D0D" w:themeColor="text1" w:themeTint="F2"/>
        </w:rPr>
        <w:t>This approach is less costly and less subjective than manual coding. Specifically, this study employs</w:t>
      </w:r>
      <w:r w:rsidRPr="00943DFA">
        <w:rPr>
          <w:color w:val="0D0D0D" w:themeColor="text1" w:themeTint="F2"/>
        </w:rPr>
        <w:t xml:space="preserve"> statistical inference bas</w:t>
      </w:r>
      <w:r w:rsidR="00745EB9" w:rsidRPr="00943DFA">
        <w:rPr>
          <w:color w:val="0D0D0D" w:themeColor="text1" w:themeTint="F2"/>
        </w:rPr>
        <w:t>ing</w:t>
      </w:r>
      <w:r w:rsidRPr="00943DFA">
        <w:rPr>
          <w:color w:val="0D0D0D" w:themeColor="text1" w:themeTint="F2"/>
        </w:rPr>
        <w:t xml:space="preserve"> on some specific machine learning algorithm</w:t>
      </w:r>
      <w:r w:rsidR="00745EB9" w:rsidRPr="00943DFA">
        <w:rPr>
          <w:color w:val="0D0D0D" w:themeColor="text1" w:themeTint="F2"/>
        </w:rPr>
        <w:t xml:space="preserve"> </w:t>
      </w:r>
      <w:r w:rsidRPr="00943DFA">
        <w:rPr>
          <w:color w:val="0D0D0D" w:themeColor="text1" w:themeTint="F2"/>
        </w:rPr>
        <w:t xml:space="preserve">to infer and categorise coding units in a text </w:t>
      </w:r>
      <w:r w:rsidRPr="00943DFA">
        <w:rPr>
          <w:color w:val="0D0D0D" w:themeColor="text1" w:themeTint="F2"/>
        </w:rPr>
        <w:fldChar w:fldCharType="begin" w:fldLock="1"/>
      </w:r>
      <w:r w:rsidRPr="00943DFA">
        <w:rPr>
          <w:color w:val="0D0D0D" w:themeColor="text1" w:themeTint="F2"/>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approach.","author":[{"dropping-particle":"","family":"Manning","given":"C. D.","non-dropping-particle":"","parse-names":false,"suffix":""},{"dropping-particle":"","family":"Schütze","given":"H.","non-dropping-particle":"","parse-names":false,"suffix":""}],"container-title":"The MIT Press","id":"ITEM-1","issued":{"date-parts":[["1999"]]},"publisher":"The MIT Press","publisher-place":"London","title":"Foundations of Statistical Natural Language Processing","type":"book"},"uris":["http://www.mendeley.com/documents/?uuid=e5f88ab5-a945-412b-b06d-bcc46eab04d6"]},{"id":"ITEM-2","itemData":{"ISBN":"0070428077","ISSN":"0264-0414","PMID":"10622353","abstract":"Over the past 50 years the study of Machine Learning has grown from the efforts of a handful of computer en- gineers exploring whether computers could learn to play games, and a field of Statistics that largely ignored computational considerations, to a broad discipline that has produced fundamental statistical-computational theories of learning processes, has designed learning algorithms that are routinely used in commercial sys- tems for speech recognition, computer vision, and a variety of other tasks, and has spun off an industry in data mining to discover hidden regularities in the growing volumes of online data. This document provides a brief and personal view of the discipline that has emerged as Machine Learning, the fundamental questions it addresses, its relationship to other sciences and society, and where it might be headed.","author":[{"dropping-particle":"","family":"Mitchell","given":"T. M.","non-dropping-particle":"","parse-names":false,"suffix":""}],"container-title":"Working paper, Carnegie Mellon University","id":"ITEM-2","issued":{"date-parts":[["2006"]]},"title":"The Discipline of Machine Learning","type":"article-journal"},"uris":["http://www.mendeley.com/documents/?uuid=2e129b4a-0c0d-44ae-935f-559102a034ba"]}],"mendeley":{"formattedCitation":"(Manning &amp; Schütze, 1999; Mitchell, 2006)","plainTextFormattedCitation":"(Manning &amp; Schütze, 1999; Mitchell, 2006)","previouslyFormattedCitation":"(Manning &amp; Schütze, 1999; Mitchell, 2006)"},"properties":{"noteIndex":0},"schema":"https://github.com/citation-style-language/schema/raw/master/csl-citation.json"}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(Manning &amp; Schütze, 1999; Mitchell, 2006)</w:t>
      </w:r>
      <w:r w:rsidRPr="00943DFA">
        <w:rPr>
          <w:color w:val="0D0D0D" w:themeColor="text1" w:themeTint="F2"/>
        </w:rPr>
        <w:fldChar w:fldCharType="end"/>
      </w:r>
      <w:r w:rsidRPr="00943DFA">
        <w:rPr>
          <w:color w:val="0D0D0D" w:themeColor="text1" w:themeTint="F2"/>
        </w:rPr>
        <w:t xml:space="preserve">. </w:t>
      </w:r>
    </w:p>
    <w:p w14:paraId="15470E56" w14:textId="2CBC6E00" w:rsidR="00195130" w:rsidRPr="00943DFA" w:rsidRDefault="00195130" w:rsidP="00195130">
      <w:pPr>
        <w:spacing w:before="240" w:after="240" w:line="360" w:lineRule="auto"/>
        <w:jc w:val="both"/>
        <w:rPr>
          <w:color w:val="0D0D0D" w:themeColor="text1" w:themeTint="F2"/>
        </w:rPr>
      </w:pPr>
      <w:r w:rsidRPr="00943DFA">
        <w:rPr>
          <w:rFonts w:eastAsia="Times New Roman"/>
          <w:color w:val="0D0D0D" w:themeColor="text1" w:themeTint="F2"/>
        </w:rPr>
        <w:t>The detailed coding process</w:t>
      </w:r>
      <w:r w:rsidR="002035BF" w:rsidRPr="00943DFA">
        <w:rPr>
          <w:rFonts w:eastAsia="Times New Roman"/>
          <w:color w:val="0D0D0D" w:themeColor="text1" w:themeTint="F2"/>
        </w:rPr>
        <w:t>, including design of coding scheme, application of Naïve Bayes algorithm and validation of Naïve Bayes algorithm,</w:t>
      </w:r>
      <w:r w:rsidRPr="00943DFA">
        <w:rPr>
          <w:rFonts w:eastAsia="Times New Roman"/>
          <w:color w:val="0D0D0D" w:themeColor="text1" w:themeTint="F2"/>
        </w:rPr>
        <w:t xml:space="preserve"> is presented as follows.</w:t>
      </w:r>
    </w:p>
    <w:p w14:paraId="61FDBE06" w14:textId="77777777" w:rsidR="00195130" w:rsidRPr="00943DFA" w:rsidRDefault="00195130" w:rsidP="00195130">
      <w:pPr>
        <w:spacing w:before="240" w:after="240" w:line="360" w:lineRule="auto"/>
        <w:jc w:val="both"/>
        <w:rPr>
          <w:rFonts w:eastAsia="Times New Roman"/>
          <w:b/>
          <w:color w:val="0D0D0D" w:themeColor="text1" w:themeTint="F2"/>
        </w:rPr>
      </w:pPr>
      <w:r w:rsidRPr="00943DFA">
        <w:rPr>
          <w:rFonts w:eastAsia="Times New Roman"/>
          <w:b/>
          <w:color w:val="0D0D0D" w:themeColor="text1" w:themeTint="F2"/>
        </w:rPr>
        <w:t>Design of coding scheme</w:t>
      </w:r>
    </w:p>
    <w:p w14:paraId="5E6FE2A4" w14:textId="605A6B89"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A</w:t>
      </w:r>
      <w:r w:rsidRPr="00943DFA">
        <w:rPr>
          <w:i/>
          <w:color w:val="0D0D0D" w:themeColor="text1" w:themeTint="F2"/>
        </w:rPr>
        <w:t xml:space="preserve"> </w:t>
      </w:r>
      <w:r w:rsidRPr="00943DFA">
        <w:rPr>
          <w:color w:val="0D0D0D" w:themeColor="text1" w:themeTint="F2"/>
        </w:rPr>
        <w:t xml:space="preserve">self-constructed coding scheme for initial SEC comment letters is designed in order to capture issues mentioned in SEC comment letters. </w:t>
      </w:r>
      <w:r w:rsidRPr="00943DFA">
        <w:rPr>
          <w:rFonts w:eastAsia="Times New Roman"/>
          <w:color w:val="0D0D0D" w:themeColor="text1" w:themeTint="F2"/>
        </w:rPr>
        <w:t xml:space="preserve">This process begins by </w:t>
      </w:r>
      <w:r w:rsidRPr="00943DFA">
        <w:rPr>
          <w:color w:val="0D0D0D" w:themeColor="text1" w:themeTint="F2"/>
        </w:rPr>
        <w:t>following the standard coding procedure with 5 main stages as developed by Weber (1985)</w:t>
      </w:r>
      <w:r w:rsidR="002035BF" w:rsidRPr="00943DFA">
        <w:rPr>
          <w:color w:val="0D0D0D" w:themeColor="text1" w:themeTint="F2"/>
        </w:rPr>
        <w:t xml:space="preserve">. </w:t>
      </w:r>
      <w:r w:rsidRPr="00943DFA">
        <w:rPr>
          <w:color w:val="0D0D0D" w:themeColor="text1" w:themeTint="F2"/>
        </w:rPr>
        <w:t xml:space="preserve">In the first stage, recoding units are defined as themes in each specific comment in the initial SEC comment letters. In each comment, the theme provides information about a certain issue relating to the information quality of initial S-1 filings, as evaluated by the SEC. The comments are extracted from each initial SEC comment letter by following the procedure presented in Appendix 3.2. </w:t>
      </w:r>
    </w:p>
    <w:p w14:paraId="05568E17" w14:textId="09863619"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In the second stage, a random sample of 20 comment letters are chosen and themes are defined for each specific comment in the 20 comment letters.  The themes are determined by identifying keywords in each paragraph of the comment. Keywords in each comment in the initial SEC comment letters are identified and subsequently, these keywords are sorted into groups which represent distinct themes. A name is then given to each key-word group to define the theme. These themes are then summarised to provide a mutually exclusive definition and code for each. In total, 45 distinct thematic codes are developed</w:t>
      </w:r>
      <w:r w:rsidR="002035BF" w:rsidRPr="00943DFA">
        <w:rPr>
          <w:color w:val="0D0D0D" w:themeColor="text1" w:themeTint="F2"/>
        </w:rPr>
        <w:t xml:space="preserve"> (Appendix…)</w:t>
      </w:r>
      <w:r w:rsidRPr="00943DFA">
        <w:rPr>
          <w:color w:val="0D0D0D" w:themeColor="text1" w:themeTint="F2"/>
        </w:rPr>
        <w:t xml:space="preserve">. </w:t>
      </w:r>
    </w:p>
    <w:p w14:paraId="6495BA08" w14:textId="374C4CF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 xml:space="preserve">The thematic codes representing issue types are then grouped into seven general categories including; Core-accounting issues, Non-core-accounting issues, Offering Issues, Business Issues, Corporate Governance Issues, Disclosure Issues and No issues, based on the general context in which the thematic codes are used as well as the list of main chapters and sections within S-1 filings, as required by the SEC. The coding scheme is then tested on another random </w:t>
      </w:r>
      <w:r w:rsidRPr="00943DFA">
        <w:rPr>
          <w:color w:val="0D0D0D" w:themeColor="text1" w:themeTint="F2"/>
        </w:rPr>
        <w:lastRenderedPageBreak/>
        <w:t xml:space="preserve">sample of 20 initial SEC comment letters in order to identify whether further refinement is required (e.g. if there are themes which have been overlooked). </w:t>
      </w:r>
      <w:r w:rsidR="00E7470A" w:rsidRPr="00943DFA">
        <w:rPr>
          <w:color w:val="0D0D0D" w:themeColor="text1" w:themeTint="F2"/>
        </w:rPr>
        <w:t>Percentage distributions of SEC comment topics</w:t>
      </w:r>
      <w:r w:rsidRPr="00943DFA">
        <w:rPr>
          <w:color w:val="0D0D0D" w:themeColor="text1" w:themeTint="F2"/>
        </w:rPr>
        <w:t xml:space="preserve"> </w:t>
      </w:r>
      <w:r w:rsidR="00E7470A" w:rsidRPr="00943DFA">
        <w:rPr>
          <w:color w:val="0D0D0D" w:themeColor="text1" w:themeTint="F2"/>
        </w:rPr>
        <w:t>are</w:t>
      </w:r>
      <w:r w:rsidRPr="00943DFA">
        <w:rPr>
          <w:color w:val="0D0D0D" w:themeColor="text1" w:themeTint="F2"/>
        </w:rPr>
        <w:t xml:space="preserve"> presented in Table </w:t>
      </w:r>
      <w:r w:rsidR="00E7470A" w:rsidRPr="00943DFA">
        <w:rPr>
          <w:color w:val="0D0D0D" w:themeColor="text1" w:themeTint="F2"/>
        </w:rPr>
        <w:t>1</w:t>
      </w:r>
      <w:r w:rsidR="008E0897" w:rsidRPr="00943DFA">
        <w:rPr>
          <w:color w:val="0D0D0D" w:themeColor="text1" w:themeTint="F2"/>
        </w:rPr>
        <w:t xml:space="preserve"> in the training dataset</w:t>
      </w:r>
      <w:r w:rsidRPr="00943DFA">
        <w:rPr>
          <w:color w:val="0D0D0D" w:themeColor="text1" w:themeTint="F2"/>
        </w:rPr>
        <w:t xml:space="preserve">. </w:t>
      </w:r>
      <w:bookmarkStart w:id="21" w:name="_Ref52526121"/>
      <w:r w:rsidRPr="00943DFA">
        <w:rPr>
          <w:color w:val="0D0D0D" w:themeColor="text1" w:themeTint="F2"/>
        </w:rPr>
        <w:t xml:space="preserve">Detailed definitions of </w:t>
      </w:r>
      <w:r w:rsidRPr="00943DFA">
        <w:rPr>
          <w:rFonts w:eastAsia="Times New Roman"/>
          <w:color w:val="0D0D0D" w:themeColor="text1" w:themeTint="F2"/>
        </w:rPr>
        <w:t xml:space="preserve">the </w:t>
      </w:r>
      <w:r w:rsidR="00E7470A" w:rsidRPr="00943DFA">
        <w:rPr>
          <w:rFonts w:eastAsia="Times New Roman"/>
          <w:color w:val="0D0D0D" w:themeColor="text1" w:themeTint="F2"/>
        </w:rPr>
        <w:t>comment topics</w:t>
      </w:r>
      <w:r w:rsidRPr="00943DFA">
        <w:rPr>
          <w:rFonts w:eastAsia="Times New Roman"/>
          <w:color w:val="0D0D0D" w:themeColor="text1" w:themeTint="F2"/>
        </w:rPr>
        <w:t xml:space="preserve"> are provided in Appendix 1</w:t>
      </w:r>
      <w:r w:rsidRPr="00943DFA">
        <w:rPr>
          <w:rFonts w:eastAsia="Times New Roman"/>
          <w:color w:val="0D0D0D" w:themeColor="text1" w:themeTint="F2"/>
        </w:rPr>
        <w:fldChar w:fldCharType="begin"/>
      </w:r>
      <w:r w:rsidRPr="00943DFA">
        <w:rPr>
          <w:rFonts w:eastAsia="Times New Roman"/>
          <w:color w:val="0D0D0D" w:themeColor="text1" w:themeTint="F2"/>
        </w:rPr>
        <w:instrText xml:space="preserve"> REF _Ref50713437 \h  \* MERGEFORMAT </w:instrText>
      </w:r>
      <w:r w:rsidRPr="00943DFA">
        <w:rPr>
          <w:rFonts w:eastAsia="Times New Roman"/>
          <w:color w:val="0D0D0D" w:themeColor="text1" w:themeTint="F2"/>
        </w:rPr>
      </w:r>
      <w:r w:rsidRPr="00943DFA">
        <w:rPr>
          <w:rFonts w:eastAsia="Times New Roman"/>
          <w:color w:val="0D0D0D" w:themeColor="text1" w:themeTint="F2"/>
        </w:rPr>
        <w:fldChar w:fldCharType="end"/>
      </w:r>
      <w:r w:rsidRPr="00943DFA">
        <w:rPr>
          <w:rFonts w:eastAsia="Times New Roman"/>
          <w:color w:val="0D0D0D" w:themeColor="text1" w:themeTint="F2"/>
        </w:rPr>
        <w:t>.</w:t>
      </w:r>
      <w:r w:rsidR="00A71E73" w:rsidRPr="00943DFA">
        <w:rPr>
          <w:rFonts w:eastAsia="Times New Roman"/>
          <w:color w:val="0D0D0D" w:themeColor="text1" w:themeTint="F2"/>
        </w:rPr>
        <w:t xml:space="preserve"> </w:t>
      </w:r>
      <w:r w:rsidR="00186E23" w:rsidRPr="00943DFA">
        <w:rPr>
          <w:rFonts w:eastAsia="Times New Roman"/>
          <w:color w:val="0D0D0D" w:themeColor="text1" w:themeTint="F2"/>
        </w:rPr>
        <w:t xml:space="preserve">Based on the self-constructed coding scheme, </w:t>
      </w:r>
      <w:r w:rsidR="00186E23" w:rsidRPr="00943DFA">
        <w:rPr>
          <w:color w:val="0D0D0D" w:themeColor="text1" w:themeTint="F2"/>
        </w:rPr>
        <w:t>a sub-sample of 4,</w:t>
      </w:r>
      <w:r w:rsidR="00CC120F" w:rsidRPr="00943DFA">
        <w:rPr>
          <w:color w:val="0D0D0D" w:themeColor="text1" w:themeTint="F2"/>
        </w:rPr>
        <w:t>8</w:t>
      </w:r>
      <w:r w:rsidR="00186E23" w:rsidRPr="00943DFA">
        <w:rPr>
          <w:color w:val="0D0D0D" w:themeColor="text1" w:themeTint="F2"/>
        </w:rPr>
        <w:t>0</w:t>
      </w:r>
      <w:r w:rsidR="007A6487" w:rsidRPr="00943DFA">
        <w:rPr>
          <w:color w:val="0D0D0D" w:themeColor="text1" w:themeTint="F2"/>
        </w:rPr>
        <w:t>6</w:t>
      </w:r>
      <w:r w:rsidR="00186E23" w:rsidRPr="00943DFA">
        <w:rPr>
          <w:color w:val="0D0D0D" w:themeColor="text1" w:themeTint="F2"/>
        </w:rPr>
        <w:t xml:space="preserve"> comments from a random sample of 261 comment letters are manually coded. </w:t>
      </w:r>
      <w:r w:rsidR="00186E23" w:rsidRPr="00943DFA">
        <w:rPr>
          <w:rFonts w:eastAsia="Times New Roman"/>
          <w:color w:val="0D0D0D" w:themeColor="text1" w:themeTint="F2"/>
        </w:rPr>
        <w:t>O</w:t>
      </w:r>
      <w:r w:rsidR="00A71E73" w:rsidRPr="00943DFA">
        <w:rPr>
          <w:rFonts w:eastAsia="Times New Roman"/>
          <w:color w:val="0D0D0D" w:themeColor="text1" w:themeTint="F2"/>
        </w:rPr>
        <w:t>f those, 1</w:t>
      </w:r>
      <w:r w:rsidR="0072126D" w:rsidRPr="00943DFA">
        <w:rPr>
          <w:rFonts w:eastAsia="Times New Roman"/>
          <w:color w:val="0D0D0D" w:themeColor="text1" w:themeTint="F2"/>
        </w:rPr>
        <w:t>7</w:t>
      </w:r>
      <w:r w:rsidR="00A71E73" w:rsidRPr="00943DFA">
        <w:rPr>
          <w:rFonts w:eastAsia="Times New Roman"/>
          <w:color w:val="0D0D0D" w:themeColor="text1" w:themeTint="F2"/>
        </w:rPr>
        <w:t>.</w:t>
      </w:r>
      <w:r w:rsidR="007A6487" w:rsidRPr="00943DFA">
        <w:rPr>
          <w:rFonts w:eastAsia="Times New Roman"/>
          <w:color w:val="0D0D0D" w:themeColor="text1" w:themeTint="F2"/>
        </w:rPr>
        <w:t>69</w:t>
      </w:r>
      <w:r w:rsidR="00A71E73" w:rsidRPr="00943DFA">
        <w:rPr>
          <w:rFonts w:eastAsia="Times New Roman"/>
          <w:color w:val="0D0D0D" w:themeColor="text1" w:themeTint="F2"/>
        </w:rPr>
        <w:t xml:space="preserve">% </w:t>
      </w:r>
      <w:r w:rsidR="0072126D" w:rsidRPr="00943DFA">
        <w:rPr>
          <w:rFonts w:eastAsia="Times New Roman"/>
          <w:color w:val="0D0D0D" w:themeColor="text1" w:themeTint="F2"/>
        </w:rPr>
        <w:t xml:space="preserve">of comments </w:t>
      </w:r>
      <w:r w:rsidR="00A71E73" w:rsidRPr="00943DFA">
        <w:rPr>
          <w:rFonts w:eastAsia="Times New Roman"/>
          <w:color w:val="0D0D0D" w:themeColor="text1" w:themeTint="F2"/>
        </w:rPr>
        <w:t xml:space="preserve">are labelled as </w:t>
      </w:r>
      <w:r w:rsidR="0072126D" w:rsidRPr="00943DFA">
        <w:rPr>
          <w:rFonts w:eastAsia="Times New Roman"/>
          <w:color w:val="0D0D0D" w:themeColor="text1" w:themeTint="F2"/>
        </w:rPr>
        <w:t>core-accounting issues</w:t>
      </w:r>
      <w:r w:rsidR="00014EE5" w:rsidRPr="00943DFA">
        <w:rPr>
          <w:rFonts w:eastAsia="Times New Roman"/>
          <w:color w:val="0D0D0D" w:themeColor="text1" w:themeTint="F2"/>
        </w:rPr>
        <w:t xml:space="preserve"> (A)</w:t>
      </w:r>
      <w:r w:rsidR="00A71E73" w:rsidRPr="00943DFA">
        <w:rPr>
          <w:rFonts w:eastAsia="Times New Roman"/>
          <w:color w:val="0D0D0D" w:themeColor="text1" w:themeTint="F2"/>
        </w:rPr>
        <w:t xml:space="preserve">, </w:t>
      </w:r>
      <w:r w:rsidR="0072126D" w:rsidRPr="00943DFA">
        <w:rPr>
          <w:rFonts w:eastAsia="Times New Roman"/>
          <w:color w:val="0D0D0D" w:themeColor="text1" w:themeTint="F2"/>
        </w:rPr>
        <w:t>10.6</w:t>
      </w:r>
      <w:r w:rsidR="002B750D" w:rsidRPr="00943DFA">
        <w:rPr>
          <w:rFonts w:eastAsia="Times New Roman"/>
          <w:color w:val="0D0D0D" w:themeColor="text1" w:themeTint="F2"/>
        </w:rPr>
        <w:t>1</w:t>
      </w:r>
      <w:r w:rsidR="00A71E73" w:rsidRPr="00943DFA">
        <w:rPr>
          <w:rFonts w:eastAsia="Times New Roman"/>
          <w:color w:val="0D0D0D" w:themeColor="text1" w:themeTint="F2"/>
        </w:rPr>
        <w:t xml:space="preserve">% as </w:t>
      </w:r>
      <w:r w:rsidR="0072126D" w:rsidRPr="00943DFA">
        <w:rPr>
          <w:rFonts w:eastAsia="Times New Roman"/>
          <w:color w:val="0D0D0D" w:themeColor="text1" w:themeTint="F2"/>
        </w:rPr>
        <w:t>offering issues</w:t>
      </w:r>
      <w:r w:rsidR="00014EE5" w:rsidRPr="00943DFA">
        <w:rPr>
          <w:rFonts w:eastAsia="Times New Roman"/>
          <w:color w:val="0D0D0D" w:themeColor="text1" w:themeTint="F2"/>
        </w:rPr>
        <w:t xml:space="preserve"> (C)</w:t>
      </w:r>
      <w:r w:rsidR="00A71E73" w:rsidRPr="00943DFA">
        <w:rPr>
          <w:rFonts w:eastAsia="Times New Roman"/>
          <w:color w:val="0D0D0D" w:themeColor="text1" w:themeTint="F2"/>
        </w:rPr>
        <w:t xml:space="preserve">, </w:t>
      </w:r>
      <w:r w:rsidR="0072126D" w:rsidRPr="00943DFA">
        <w:rPr>
          <w:rFonts w:eastAsia="Times New Roman"/>
          <w:color w:val="0D0D0D" w:themeColor="text1" w:themeTint="F2"/>
        </w:rPr>
        <w:t>31.8</w:t>
      </w:r>
      <w:r w:rsidR="002B750D" w:rsidRPr="00943DFA">
        <w:rPr>
          <w:rFonts w:eastAsia="Times New Roman"/>
          <w:color w:val="0D0D0D" w:themeColor="text1" w:themeTint="F2"/>
        </w:rPr>
        <w:t>8</w:t>
      </w:r>
      <w:r w:rsidR="00A71E73" w:rsidRPr="00943DFA">
        <w:rPr>
          <w:rFonts w:eastAsia="Times New Roman"/>
          <w:color w:val="0D0D0D" w:themeColor="text1" w:themeTint="F2"/>
        </w:rPr>
        <w:t xml:space="preserve">% as </w:t>
      </w:r>
      <w:r w:rsidR="0072126D" w:rsidRPr="00943DFA">
        <w:rPr>
          <w:rFonts w:eastAsia="Times New Roman"/>
          <w:color w:val="0D0D0D" w:themeColor="text1" w:themeTint="F2"/>
        </w:rPr>
        <w:t>business issues</w:t>
      </w:r>
      <w:r w:rsidR="00014EE5" w:rsidRPr="00943DFA">
        <w:rPr>
          <w:rFonts w:eastAsia="Times New Roman"/>
          <w:color w:val="0D0D0D" w:themeColor="text1" w:themeTint="F2"/>
        </w:rPr>
        <w:t xml:space="preserve"> (</w:t>
      </w:r>
      <w:r w:rsidR="00CC6426" w:rsidRPr="00943DFA">
        <w:rPr>
          <w:rFonts w:eastAsia="Times New Roman"/>
          <w:color w:val="0D0D0D" w:themeColor="text1" w:themeTint="F2"/>
        </w:rPr>
        <w:t>D)</w:t>
      </w:r>
      <w:r w:rsidR="00A71E73" w:rsidRPr="00943DFA">
        <w:rPr>
          <w:rFonts w:eastAsia="Times New Roman"/>
          <w:color w:val="0D0D0D" w:themeColor="text1" w:themeTint="F2"/>
        </w:rPr>
        <w:t>,</w:t>
      </w:r>
      <w:r w:rsidR="0072126D" w:rsidRPr="00943DFA">
        <w:rPr>
          <w:rFonts w:eastAsia="Times New Roman"/>
          <w:color w:val="0D0D0D" w:themeColor="text1" w:themeTint="F2"/>
        </w:rPr>
        <w:t xml:space="preserve"> and 29.</w:t>
      </w:r>
      <w:r w:rsidR="002B750D" w:rsidRPr="00943DFA">
        <w:rPr>
          <w:rFonts w:eastAsia="Times New Roman"/>
          <w:color w:val="0D0D0D" w:themeColor="text1" w:themeTint="F2"/>
        </w:rPr>
        <w:t>88</w:t>
      </w:r>
      <w:r w:rsidR="0072126D" w:rsidRPr="00943DFA">
        <w:rPr>
          <w:rFonts w:eastAsia="Times New Roman"/>
          <w:color w:val="0D0D0D" w:themeColor="text1" w:themeTint="F2"/>
        </w:rPr>
        <w:t>% as disclosure issues</w:t>
      </w:r>
      <w:r w:rsidR="00CC6426" w:rsidRPr="00943DFA">
        <w:rPr>
          <w:rFonts w:eastAsia="Times New Roman"/>
          <w:color w:val="0D0D0D" w:themeColor="text1" w:themeTint="F2"/>
        </w:rPr>
        <w:t xml:space="preserve"> (F)</w:t>
      </w:r>
      <w:r w:rsidR="0072126D" w:rsidRPr="00943DFA">
        <w:rPr>
          <w:rFonts w:eastAsia="Times New Roman"/>
          <w:color w:val="0D0D0D" w:themeColor="text1" w:themeTint="F2"/>
        </w:rPr>
        <w:t>.</w:t>
      </w:r>
      <w:r w:rsidR="009C5BA7" w:rsidRPr="00943DFA">
        <w:rPr>
          <w:rFonts w:eastAsia="Times New Roman"/>
          <w:color w:val="0D0D0D" w:themeColor="text1" w:themeTint="F2"/>
        </w:rPr>
        <w:t xml:space="preserve"> </w:t>
      </w:r>
      <w:r w:rsidR="00014EE5" w:rsidRPr="00943DFA">
        <w:rPr>
          <w:rFonts w:eastAsia="Times New Roman"/>
          <w:color w:val="0D0D0D" w:themeColor="text1" w:themeTint="F2"/>
        </w:rPr>
        <w:t>C</w:t>
      </w:r>
      <w:r w:rsidR="009C5BA7" w:rsidRPr="00943DFA">
        <w:rPr>
          <w:rFonts w:eastAsia="Times New Roman"/>
          <w:color w:val="0D0D0D" w:themeColor="text1" w:themeTint="F2"/>
        </w:rPr>
        <w:t>omments on non-core-accounting issues</w:t>
      </w:r>
      <w:r w:rsidR="002B750D" w:rsidRPr="00943DFA">
        <w:rPr>
          <w:rFonts w:eastAsia="Times New Roman"/>
          <w:color w:val="0D0D0D" w:themeColor="text1" w:themeTint="F2"/>
        </w:rPr>
        <w:t xml:space="preserve"> (B)</w:t>
      </w:r>
      <w:r w:rsidR="009C5BA7" w:rsidRPr="00943DFA">
        <w:rPr>
          <w:rFonts w:eastAsia="Times New Roman"/>
          <w:color w:val="0D0D0D" w:themeColor="text1" w:themeTint="F2"/>
        </w:rPr>
        <w:t>, corporate governance issues</w:t>
      </w:r>
      <w:r w:rsidR="002B750D" w:rsidRPr="00943DFA">
        <w:rPr>
          <w:rFonts w:eastAsia="Times New Roman"/>
          <w:color w:val="0D0D0D" w:themeColor="text1" w:themeTint="F2"/>
        </w:rPr>
        <w:t xml:space="preserve"> (E)</w:t>
      </w:r>
      <w:r w:rsidR="009C5BA7" w:rsidRPr="00943DFA">
        <w:rPr>
          <w:rFonts w:eastAsia="Times New Roman"/>
          <w:color w:val="0D0D0D" w:themeColor="text1" w:themeTint="F2"/>
        </w:rPr>
        <w:t xml:space="preserve"> and other issues</w:t>
      </w:r>
      <w:r w:rsidR="002B750D" w:rsidRPr="00943DFA">
        <w:rPr>
          <w:rFonts w:eastAsia="Times New Roman"/>
          <w:color w:val="0D0D0D" w:themeColor="text1" w:themeTint="F2"/>
        </w:rPr>
        <w:t xml:space="preserve"> (G)</w:t>
      </w:r>
      <w:r w:rsidR="00A71E73" w:rsidRPr="00943DFA">
        <w:rPr>
          <w:rFonts w:eastAsia="Times New Roman"/>
          <w:color w:val="0D0D0D" w:themeColor="text1" w:themeTint="F2"/>
        </w:rPr>
        <w:t xml:space="preserve"> </w:t>
      </w:r>
      <w:r w:rsidR="00014EE5" w:rsidRPr="00943DFA">
        <w:rPr>
          <w:rFonts w:eastAsia="Times New Roman"/>
          <w:color w:val="0D0D0D" w:themeColor="text1" w:themeTint="F2"/>
        </w:rPr>
        <w:t>combine to</w:t>
      </w:r>
      <w:r w:rsidR="00A71E73" w:rsidRPr="00943DFA">
        <w:rPr>
          <w:rFonts w:eastAsia="Times New Roman"/>
          <w:color w:val="0D0D0D" w:themeColor="text1" w:themeTint="F2"/>
        </w:rPr>
        <w:t xml:space="preserve"> </w:t>
      </w:r>
      <w:r w:rsidR="002E42FE" w:rsidRPr="00943DFA">
        <w:rPr>
          <w:rFonts w:eastAsia="Times New Roman"/>
          <w:color w:val="0D0D0D" w:themeColor="text1" w:themeTint="F2"/>
        </w:rPr>
        <w:t xml:space="preserve">a </w:t>
      </w:r>
      <w:r w:rsidR="00A71E73" w:rsidRPr="00943DFA">
        <w:rPr>
          <w:rFonts w:eastAsia="Times New Roman"/>
          <w:color w:val="0D0D0D" w:themeColor="text1" w:themeTint="F2"/>
        </w:rPr>
        <w:t xml:space="preserve">small percentage of </w:t>
      </w:r>
      <w:r w:rsidR="009C5BA7" w:rsidRPr="00943DFA">
        <w:rPr>
          <w:rFonts w:eastAsia="Times New Roman"/>
          <w:color w:val="0D0D0D" w:themeColor="text1" w:themeTint="F2"/>
        </w:rPr>
        <w:t>the SEC</w:t>
      </w:r>
      <w:r w:rsidR="00A71E73" w:rsidRPr="00943DFA">
        <w:rPr>
          <w:rFonts w:eastAsia="Times New Roman"/>
          <w:color w:val="0D0D0D" w:themeColor="text1" w:themeTint="F2"/>
        </w:rPr>
        <w:t xml:space="preserve"> </w:t>
      </w:r>
      <w:r w:rsidR="009C5BA7" w:rsidRPr="00943DFA">
        <w:rPr>
          <w:rFonts w:eastAsia="Times New Roman"/>
          <w:color w:val="0D0D0D" w:themeColor="text1" w:themeTint="F2"/>
        </w:rPr>
        <w:t>comments</w:t>
      </w:r>
      <w:r w:rsidR="00014EE5" w:rsidRPr="00943DFA">
        <w:rPr>
          <w:rFonts w:eastAsia="Times New Roman"/>
          <w:color w:val="0D0D0D" w:themeColor="text1" w:themeTint="F2"/>
        </w:rPr>
        <w:t xml:space="preserve"> with the total value less than 14%</w:t>
      </w:r>
      <w:r w:rsidR="00A71E73" w:rsidRPr="00943DFA">
        <w:rPr>
          <w:rFonts w:eastAsia="Times New Roman"/>
          <w:color w:val="0D0D0D" w:themeColor="text1" w:themeTint="F2"/>
        </w:rPr>
        <w:t xml:space="preserve">. </w:t>
      </w:r>
      <w:r w:rsidR="00014EE5" w:rsidRPr="00943DFA">
        <w:rPr>
          <w:rFonts w:eastAsia="Times New Roman"/>
          <w:color w:val="0D0D0D" w:themeColor="text1" w:themeTint="F2"/>
        </w:rPr>
        <w:t xml:space="preserve">The total value of </w:t>
      </w:r>
      <w:r w:rsidR="00CC6426" w:rsidRPr="00943DFA">
        <w:rPr>
          <w:rFonts w:eastAsia="Times New Roman"/>
          <w:color w:val="0D0D0D" w:themeColor="text1" w:themeTint="F2"/>
        </w:rPr>
        <w:t>79.</w:t>
      </w:r>
      <w:r w:rsidR="00D9452A" w:rsidRPr="00943DFA">
        <w:rPr>
          <w:rFonts w:eastAsia="Times New Roman"/>
          <w:color w:val="0D0D0D" w:themeColor="text1" w:themeTint="F2"/>
        </w:rPr>
        <w:t>45</w:t>
      </w:r>
      <w:r w:rsidR="00014EE5" w:rsidRPr="00943DFA">
        <w:rPr>
          <w:rFonts w:eastAsia="Times New Roman"/>
          <w:color w:val="0D0D0D" w:themeColor="text1" w:themeTint="F2"/>
        </w:rPr>
        <w:t>% in categories A, D, F</w:t>
      </w:r>
      <w:r w:rsidR="00A71E73" w:rsidRPr="00943DFA">
        <w:rPr>
          <w:rFonts w:eastAsia="Times New Roman"/>
          <w:color w:val="0D0D0D" w:themeColor="text1" w:themeTint="F2"/>
        </w:rPr>
        <w:t xml:space="preserve"> indicates that the majority of the </w:t>
      </w:r>
      <w:r w:rsidR="00014EE5" w:rsidRPr="00943DFA">
        <w:rPr>
          <w:rFonts w:eastAsia="Times New Roman"/>
          <w:color w:val="0D0D0D" w:themeColor="text1" w:themeTint="F2"/>
        </w:rPr>
        <w:t>SEC comments</w:t>
      </w:r>
      <w:r w:rsidR="00A71E73" w:rsidRPr="00943DFA">
        <w:rPr>
          <w:rFonts w:eastAsia="Times New Roman"/>
          <w:color w:val="0D0D0D" w:themeColor="text1" w:themeTint="F2"/>
        </w:rPr>
        <w:t xml:space="preserve"> are about </w:t>
      </w:r>
      <w:r w:rsidR="00014EE5" w:rsidRPr="00943DFA">
        <w:rPr>
          <w:rFonts w:eastAsia="Times New Roman"/>
          <w:color w:val="0D0D0D" w:themeColor="text1" w:themeTint="F2"/>
        </w:rPr>
        <w:t>accounting, business and disclosure issues.</w:t>
      </w:r>
    </w:p>
    <w:p w14:paraId="543487A3" w14:textId="77777777" w:rsidR="00F71928" w:rsidRPr="00943DFA" w:rsidRDefault="00F71928" w:rsidP="00195130">
      <w:pPr>
        <w:pStyle w:val="Caption"/>
        <w:rPr>
          <w:b/>
          <w:i w:val="0"/>
          <w:color w:val="0D0D0D" w:themeColor="text1" w:themeTint="F2"/>
          <w:sz w:val="24"/>
          <w:szCs w:val="24"/>
        </w:rPr>
      </w:pPr>
      <w:bookmarkStart w:id="22" w:name="_Ref52532572"/>
      <w:bookmarkStart w:id="23" w:name="_Toc85100149"/>
      <w:r w:rsidRPr="00943DFA">
        <w:rPr>
          <w:b/>
          <w:i w:val="0"/>
          <w:color w:val="0D0D0D" w:themeColor="text1" w:themeTint="F2"/>
          <w:sz w:val="24"/>
          <w:szCs w:val="24"/>
        </w:rPr>
        <w:br w:type="page"/>
      </w:r>
    </w:p>
    <w:p w14:paraId="51625ABC" w14:textId="1A5D3FC9" w:rsidR="00195130" w:rsidRPr="00943DFA" w:rsidRDefault="00195130" w:rsidP="00195130">
      <w:pPr>
        <w:pStyle w:val="Caption"/>
        <w:rPr>
          <w:b/>
          <w:i w:val="0"/>
          <w:color w:val="0D0D0D" w:themeColor="text1" w:themeTint="F2"/>
          <w:sz w:val="24"/>
          <w:szCs w:val="24"/>
        </w:rPr>
      </w:pPr>
      <w:r w:rsidRPr="00943DFA">
        <w:rPr>
          <w:b/>
          <w:i w:val="0"/>
          <w:color w:val="0D0D0D" w:themeColor="text1" w:themeTint="F2"/>
          <w:sz w:val="24"/>
          <w:szCs w:val="24"/>
        </w:rPr>
        <w:lastRenderedPageBreak/>
        <w:t xml:space="preserve">Table </w:t>
      </w:r>
      <w:bookmarkEnd w:id="21"/>
      <w:bookmarkEnd w:id="22"/>
      <w:r w:rsidR="002035BF" w:rsidRPr="00943DFA">
        <w:rPr>
          <w:b/>
          <w:i w:val="0"/>
          <w:color w:val="0D0D0D" w:themeColor="text1" w:themeTint="F2"/>
          <w:sz w:val="24"/>
          <w:szCs w:val="24"/>
        </w:rPr>
        <w:t>1</w:t>
      </w:r>
      <w:r w:rsidRPr="00943DFA">
        <w:rPr>
          <w:b/>
          <w:i w:val="0"/>
          <w:color w:val="0D0D0D" w:themeColor="text1" w:themeTint="F2"/>
          <w:sz w:val="24"/>
          <w:szCs w:val="24"/>
        </w:rPr>
        <w:t xml:space="preserve">. </w:t>
      </w:r>
      <w:bookmarkEnd w:id="23"/>
      <w:r w:rsidR="002035BF" w:rsidRPr="00943DFA">
        <w:rPr>
          <w:b/>
          <w:i w:val="0"/>
          <w:color w:val="0D0D0D" w:themeColor="text1" w:themeTint="F2"/>
          <w:sz w:val="24"/>
          <w:szCs w:val="24"/>
        </w:rPr>
        <w:t>Percentage distributions of SEC comment topics</w:t>
      </w:r>
      <w:r w:rsidR="008E0897" w:rsidRPr="00943DFA">
        <w:rPr>
          <w:b/>
          <w:i w:val="0"/>
          <w:color w:val="0D0D0D" w:themeColor="text1" w:themeTint="F2"/>
          <w:sz w:val="24"/>
          <w:szCs w:val="24"/>
        </w:rPr>
        <w:t xml:space="preserve"> in the training dataset</w:t>
      </w:r>
    </w:p>
    <w:tbl>
      <w:tblPr>
        <w:tblW w:w="9057" w:type="dxa"/>
        <w:tblInd w:w="15" w:type="dxa"/>
        <w:tblLayout w:type="fixed"/>
        <w:tblLook w:val="04A0" w:firstRow="1" w:lastRow="0" w:firstColumn="1" w:lastColumn="0" w:noHBand="0" w:noVBand="1"/>
      </w:tblPr>
      <w:tblGrid>
        <w:gridCol w:w="772"/>
        <w:gridCol w:w="4175"/>
        <w:gridCol w:w="4110"/>
      </w:tblGrid>
      <w:tr w:rsidR="00943DFA" w:rsidRPr="00943DFA" w14:paraId="6EC66C56" w14:textId="77777777" w:rsidTr="001F6874">
        <w:trPr>
          <w:trHeight w:val="458"/>
        </w:trPr>
        <w:tc>
          <w:tcPr>
            <w:tcW w:w="772" w:type="dxa"/>
            <w:tcBorders>
              <w:top w:val="single" w:sz="12" w:space="0" w:color="auto"/>
              <w:bottom w:val="single" w:sz="12" w:space="0" w:color="000000"/>
              <w:right w:val="nil"/>
            </w:tcBorders>
            <w:shd w:val="clear" w:color="auto" w:fill="auto"/>
            <w:hideMark/>
          </w:tcPr>
          <w:p w14:paraId="453FC9E5" w14:textId="59455461" w:rsidR="00195130" w:rsidRPr="00943DFA" w:rsidRDefault="00195130" w:rsidP="001F6874">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Code</w:t>
            </w:r>
          </w:p>
        </w:tc>
        <w:tc>
          <w:tcPr>
            <w:tcW w:w="4175" w:type="dxa"/>
            <w:tcBorders>
              <w:top w:val="single" w:sz="12" w:space="0" w:color="auto"/>
              <w:left w:val="single" w:sz="4" w:space="0" w:color="auto"/>
              <w:bottom w:val="single" w:sz="12" w:space="0" w:color="000000"/>
              <w:right w:val="single" w:sz="4" w:space="0" w:color="auto"/>
            </w:tcBorders>
            <w:shd w:val="clear" w:color="auto" w:fill="auto"/>
            <w:hideMark/>
          </w:tcPr>
          <w:p w14:paraId="3B3129BD" w14:textId="77777777" w:rsidR="00195130" w:rsidRPr="00943DFA" w:rsidRDefault="00195130" w:rsidP="001F6874">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Issue types</w:t>
            </w:r>
          </w:p>
        </w:tc>
        <w:tc>
          <w:tcPr>
            <w:tcW w:w="4110" w:type="dxa"/>
            <w:tcBorders>
              <w:top w:val="single" w:sz="12" w:space="0" w:color="auto"/>
              <w:left w:val="single" w:sz="4" w:space="0" w:color="auto"/>
              <w:bottom w:val="single" w:sz="12" w:space="0" w:color="000000"/>
            </w:tcBorders>
            <w:shd w:val="clear" w:color="000000" w:fill="FFFFFF"/>
            <w:hideMark/>
          </w:tcPr>
          <w:p w14:paraId="681AFF70" w14:textId="77777777" w:rsidR="00195130" w:rsidRPr="00943DFA" w:rsidRDefault="00195130" w:rsidP="001F6874">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Percentage of issue types</w:t>
            </w:r>
          </w:p>
        </w:tc>
      </w:tr>
      <w:tr w:rsidR="00943DFA" w:rsidRPr="00943DFA" w14:paraId="63E070A5" w14:textId="77777777" w:rsidTr="00373B60">
        <w:trPr>
          <w:trHeight w:val="86"/>
        </w:trPr>
        <w:tc>
          <w:tcPr>
            <w:tcW w:w="4947" w:type="dxa"/>
            <w:gridSpan w:val="2"/>
            <w:tcBorders>
              <w:top w:val="single" w:sz="12" w:space="0" w:color="auto"/>
              <w:bottom w:val="single" w:sz="4" w:space="0" w:color="auto"/>
              <w:right w:val="nil"/>
            </w:tcBorders>
            <w:shd w:val="clear" w:color="auto" w:fill="auto"/>
            <w:vAlign w:val="center"/>
            <w:hideMark/>
          </w:tcPr>
          <w:p w14:paraId="0DA6D886" w14:textId="68695915" w:rsidR="00195130"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A</w:t>
            </w:r>
            <w:r w:rsidR="00195130" w:rsidRPr="00943DFA">
              <w:rPr>
                <w:rFonts w:eastAsia="Times New Roman"/>
                <w:b/>
                <w:bCs/>
                <w:color w:val="0D0D0D" w:themeColor="text1" w:themeTint="F2"/>
                <w:sz w:val="18"/>
                <w:szCs w:val="20"/>
              </w:rPr>
              <w:t>. CORE-ACCOUNTING ISSUES</w:t>
            </w:r>
          </w:p>
        </w:tc>
        <w:tc>
          <w:tcPr>
            <w:tcW w:w="4110" w:type="dxa"/>
            <w:tcBorders>
              <w:top w:val="nil"/>
              <w:left w:val="single" w:sz="4" w:space="0" w:color="auto"/>
              <w:bottom w:val="single" w:sz="4" w:space="0" w:color="auto"/>
            </w:tcBorders>
            <w:shd w:val="clear" w:color="auto" w:fill="auto"/>
            <w:vAlign w:val="center"/>
            <w:hideMark/>
          </w:tcPr>
          <w:p w14:paraId="54CD5270" w14:textId="14747D8D"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17.</w:t>
            </w:r>
            <w:r w:rsidR="00246664" w:rsidRPr="00943DFA">
              <w:rPr>
                <w:rFonts w:eastAsia="Times New Roman"/>
                <w:b/>
                <w:bCs/>
                <w:color w:val="0D0D0D" w:themeColor="text1" w:themeTint="F2"/>
                <w:sz w:val="18"/>
                <w:szCs w:val="20"/>
              </w:rPr>
              <w:t>69</w:t>
            </w:r>
            <w:r w:rsidRPr="00943DFA">
              <w:rPr>
                <w:rFonts w:eastAsia="Times New Roman"/>
                <w:b/>
                <w:bCs/>
                <w:color w:val="0D0D0D" w:themeColor="text1" w:themeTint="F2"/>
                <w:sz w:val="18"/>
                <w:szCs w:val="20"/>
              </w:rPr>
              <w:t>%</w:t>
            </w:r>
          </w:p>
        </w:tc>
      </w:tr>
      <w:tr w:rsidR="00943DFA" w:rsidRPr="00943DFA" w14:paraId="5F257F35" w14:textId="77777777" w:rsidTr="00373B60">
        <w:trPr>
          <w:trHeight w:val="64"/>
        </w:trPr>
        <w:tc>
          <w:tcPr>
            <w:tcW w:w="772" w:type="dxa"/>
            <w:tcBorders>
              <w:top w:val="nil"/>
              <w:bottom w:val="single" w:sz="4" w:space="0" w:color="auto"/>
              <w:right w:val="nil"/>
            </w:tcBorders>
            <w:shd w:val="clear" w:color="000000" w:fill="FFFFFF"/>
            <w:vAlign w:val="center"/>
            <w:hideMark/>
          </w:tcPr>
          <w:p w14:paraId="344E619A"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A1</w:t>
            </w:r>
          </w:p>
        </w:tc>
        <w:tc>
          <w:tcPr>
            <w:tcW w:w="4175" w:type="dxa"/>
            <w:tcBorders>
              <w:top w:val="nil"/>
              <w:left w:val="single" w:sz="4" w:space="0" w:color="auto"/>
              <w:bottom w:val="single" w:sz="4" w:space="0" w:color="auto"/>
              <w:right w:val="nil"/>
            </w:tcBorders>
            <w:shd w:val="clear" w:color="000000" w:fill="FFFFFF"/>
            <w:vAlign w:val="center"/>
            <w:hideMark/>
          </w:tcPr>
          <w:p w14:paraId="3E032DD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Assets</w:t>
            </w:r>
          </w:p>
        </w:tc>
        <w:tc>
          <w:tcPr>
            <w:tcW w:w="4110" w:type="dxa"/>
            <w:tcBorders>
              <w:top w:val="nil"/>
              <w:left w:val="single" w:sz="4" w:space="0" w:color="auto"/>
              <w:bottom w:val="single" w:sz="4" w:space="0" w:color="auto"/>
            </w:tcBorders>
            <w:shd w:val="clear" w:color="000000" w:fill="FFFFFF"/>
            <w:vAlign w:val="center"/>
            <w:hideMark/>
          </w:tcPr>
          <w:p w14:paraId="1B030D64"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2.08%</w:t>
            </w:r>
          </w:p>
        </w:tc>
      </w:tr>
      <w:tr w:rsidR="00943DFA" w:rsidRPr="00943DFA" w14:paraId="69A54C34" w14:textId="77777777" w:rsidTr="00373B60">
        <w:trPr>
          <w:trHeight w:val="83"/>
        </w:trPr>
        <w:tc>
          <w:tcPr>
            <w:tcW w:w="772" w:type="dxa"/>
            <w:tcBorders>
              <w:top w:val="nil"/>
              <w:bottom w:val="single" w:sz="4" w:space="0" w:color="auto"/>
              <w:right w:val="nil"/>
            </w:tcBorders>
            <w:shd w:val="clear" w:color="000000" w:fill="FFFFFF"/>
            <w:vAlign w:val="center"/>
            <w:hideMark/>
          </w:tcPr>
          <w:p w14:paraId="3C8DF1D7"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A2</w:t>
            </w:r>
          </w:p>
        </w:tc>
        <w:tc>
          <w:tcPr>
            <w:tcW w:w="4175" w:type="dxa"/>
            <w:tcBorders>
              <w:top w:val="nil"/>
              <w:left w:val="single" w:sz="4" w:space="0" w:color="auto"/>
              <w:bottom w:val="single" w:sz="4" w:space="0" w:color="auto"/>
              <w:right w:val="single" w:sz="4" w:space="0" w:color="auto"/>
            </w:tcBorders>
            <w:shd w:val="clear" w:color="000000" w:fill="FFFFFF"/>
            <w:vAlign w:val="center"/>
            <w:hideMark/>
          </w:tcPr>
          <w:p w14:paraId="2C8399ED"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Liabilities</w:t>
            </w:r>
          </w:p>
        </w:tc>
        <w:tc>
          <w:tcPr>
            <w:tcW w:w="4110" w:type="dxa"/>
            <w:tcBorders>
              <w:top w:val="nil"/>
              <w:left w:val="single" w:sz="4" w:space="0" w:color="auto"/>
              <w:bottom w:val="single" w:sz="4" w:space="0" w:color="auto"/>
            </w:tcBorders>
            <w:shd w:val="clear" w:color="000000" w:fill="FFFFFF"/>
            <w:vAlign w:val="center"/>
            <w:hideMark/>
          </w:tcPr>
          <w:p w14:paraId="4FB4E440" w14:textId="6BCFEE9E"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0.6</w:t>
            </w:r>
            <w:r w:rsidR="00246664" w:rsidRPr="00943DFA">
              <w:rPr>
                <w:rFonts w:eastAsia="Times New Roman"/>
                <w:color w:val="0D0D0D" w:themeColor="text1" w:themeTint="F2"/>
                <w:sz w:val="18"/>
                <w:szCs w:val="20"/>
              </w:rPr>
              <w:t>5</w:t>
            </w:r>
            <w:r w:rsidRPr="00943DFA">
              <w:rPr>
                <w:rFonts w:eastAsia="Times New Roman"/>
                <w:color w:val="0D0D0D" w:themeColor="text1" w:themeTint="F2"/>
                <w:sz w:val="18"/>
                <w:szCs w:val="20"/>
              </w:rPr>
              <w:t>%</w:t>
            </w:r>
          </w:p>
        </w:tc>
      </w:tr>
      <w:tr w:rsidR="00943DFA" w:rsidRPr="00943DFA" w14:paraId="2B1DE388" w14:textId="77777777" w:rsidTr="00373B60">
        <w:trPr>
          <w:trHeight w:val="157"/>
        </w:trPr>
        <w:tc>
          <w:tcPr>
            <w:tcW w:w="772" w:type="dxa"/>
            <w:tcBorders>
              <w:top w:val="nil"/>
              <w:bottom w:val="single" w:sz="4" w:space="0" w:color="auto"/>
              <w:right w:val="single" w:sz="4" w:space="0" w:color="auto"/>
            </w:tcBorders>
            <w:shd w:val="clear" w:color="000000" w:fill="FFFFFF"/>
            <w:vAlign w:val="center"/>
            <w:hideMark/>
          </w:tcPr>
          <w:p w14:paraId="056968B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A3</w:t>
            </w:r>
          </w:p>
        </w:tc>
        <w:tc>
          <w:tcPr>
            <w:tcW w:w="4175" w:type="dxa"/>
            <w:tcBorders>
              <w:top w:val="nil"/>
              <w:left w:val="nil"/>
              <w:bottom w:val="single" w:sz="4" w:space="0" w:color="auto"/>
              <w:right w:val="nil"/>
            </w:tcBorders>
            <w:shd w:val="clear" w:color="000000" w:fill="FFFFFF"/>
            <w:vAlign w:val="center"/>
            <w:hideMark/>
          </w:tcPr>
          <w:p w14:paraId="37E4128C"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Equity</w:t>
            </w:r>
          </w:p>
        </w:tc>
        <w:tc>
          <w:tcPr>
            <w:tcW w:w="4110" w:type="dxa"/>
            <w:tcBorders>
              <w:top w:val="nil"/>
              <w:left w:val="single" w:sz="4" w:space="0" w:color="auto"/>
              <w:bottom w:val="single" w:sz="4" w:space="0" w:color="auto"/>
            </w:tcBorders>
            <w:shd w:val="clear" w:color="000000" w:fill="FFFFFF"/>
            <w:vAlign w:val="center"/>
            <w:hideMark/>
          </w:tcPr>
          <w:p w14:paraId="43A85050" w14:textId="235645B1"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1.7</w:t>
            </w:r>
            <w:r w:rsidR="00246664" w:rsidRPr="00943DFA">
              <w:rPr>
                <w:rFonts w:eastAsia="Times New Roman"/>
                <w:color w:val="0D0D0D" w:themeColor="text1" w:themeTint="F2"/>
                <w:sz w:val="18"/>
                <w:szCs w:val="20"/>
              </w:rPr>
              <w:t>7</w:t>
            </w:r>
            <w:r w:rsidRPr="00943DFA">
              <w:rPr>
                <w:rFonts w:eastAsia="Times New Roman"/>
                <w:color w:val="0D0D0D" w:themeColor="text1" w:themeTint="F2"/>
                <w:sz w:val="18"/>
                <w:szCs w:val="20"/>
              </w:rPr>
              <w:t>%</w:t>
            </w:r>
          </w:p>
        </w:tc>
      </w:tr>
      <w:tr w:rsidR="00943DFA" w:rsidRPr="00943DFA" w14:paraId="29BEE6AF" w14:textId="77777777" w:rsidTr="00373B60">
        <w:trPr>
          <w:trHeight w:val="76"/>
        </w:trPr>
        <w:tc>
          <w:tcPr>
            <w:tcW w:w="772" w:type="dxa"/>
            <w:tcBorders>
              <w:top w:val="nil"/>
              <w:bottom w:val="single" w:sz="4" w:space="0" w:color="auto"/>
              <w:right w:val="nil"/>
            </w:tcBorders>
            <w:shd w:val="clear" w:color="000000" w:fill="FFFFFF"/>
            <w:vAlign w:val="center"/>
            <w:hideMark/>
          </w:tcPr>
          <w:p w14:paraId="34AEA369"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A4</w:t>
            </w:r>
          </w:p>
        </w:tc>
        <w:tc>
          <w:tcPr>
            <w:tcW w:w="4175" w:type="dxa"/>
            <w:tcBorders>
              <w:top w:val="nil"/>
              <w:left w:val="single" w:sz="4" w:space="0" w:color="auto"/>
              <w:bottom w:val="single" w:sz="4" w:space="0" w:color="auto"/>
              <w:right w:val="nil"/>
            </w:tcBorders>
            <w:shd w:val="clear" w:color="000000" w:fill="FFFFFF"/>
            <w:vAlign w:val="center"/>
            <w:hideMark/>
          </w:tcPr>
          <w:p w14:paraId="2ABFC62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Income</w:t>
            </w:r>
          </w:p>
        </w:tc>
        <w:tc>
          <w:tcPr>
            <w:tcW w:w="4110" w:type="dxa"/>
            <w:tcBorders>
              <w:top w:val="nil"/>
              <w:left w:val="single" w:sz="4" w:space="0" w:color="auto"/>
              <w:bottom w:val="single" w:sz="4" w:space="0" w:color="auto"/>
            </w:tcBorders>
            <w:shd w:val="clear" w:color="000000" w:fill="FFFFFF"/>
            <w:vAlign w:val="center"/>
            <w:hideMark/>
          </w:tcPr>
          <w:p w14:paraId="1A221CFD"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2.31%</w:t>
            </w:r>
          </w:p>
        </w:tc>
      </w:tr>
      <w:tr w:rsidR="00943DFA" w:rsidRPr="00943DFA" w14:paraId="3DA67ECD" w14:textId="77777777" w:rsidTr="00373B60">
        <w:trPr>
          <w:trHeight w:val="64"/>
        </w:trPr>
        <w:tc>
          <w:tcPr>
            <w:tcW w:w="772" w:type="dxa"/>
            <w:tcBorders>
              <w:top w:val="nil"/>
              <w:bottom w:val="single" w:sz="4" w:space="0" w:color="auto"/>
              <w:right w:val="single" w:sz="4" w:space="0" w:color="auto"/>
            </w:tcBorders>
            <w:shd w:val="clear" w:color="000000" w:fill="FFFFFF"/>
            <w:vAlign w:val="center"/>
            <w:hideMark/>
          </w:tcPr>
          <w:p w14:paraId="1BA49A1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A5</w:t>
            </w:r>
          </w:p>
        </w:tc>
        <w:tc>
          <w:tcPr>
            <w:tcW w:w="4175" w:type="dxa"/>
            <w:tcBorders>
              <w:top w:val="nil"/>
              <w:left w:val="nil"/>
              <w:bottom w:val="single" w:sz="4" w:space="0" w:color="auto"/>
              <w:right w:val="single" w:sz="4" w:space="0" w:color="auto"/>
            </w:tcBorders>
            <w:shd w:val="clear" w:color="000000" w:fill="FFFFFF"/>
            <w:vAlign w:val="center"/>
            <w:hideMark/>
          </w:tcPr>
          <w:p w14:paraId="14B77DD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Expense</w:t>
            </w:r>
          </w:p>
        </w:tc>
        <w:tc>
          <w:tcPr>
            <w:tcW w:w="4110" w:type="dxa"/>
            <w:tcBorders>
              <w:top w:val="nil"/>
              <w:left w:val="single" w:sz="4" w:space="0" w:color="auto"/>
              <w:bottom w:val="single" w:sz="4" w:space="0" w:color="auto"/>
            </w:tcBorders>
            <w:shd w:val="clear" w:color="000000" w:fill="FFFFFF"/>
            <w:vAlign w:val="center"/>
            <w:hideMark/>
          </w:tcPr>
          <w:p w14:paraId="5E6401D0" w14:textId="7EE4E95E"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4.</w:t>
            </w:r>
            <w:r w:rsidR="00246664" w:rsidRPr="00943DFA">
              <w:rPr>
                <w:rFonts w:eastAsia="Times New Roman"/>
                <w:color w:val="0D0D0D" w:themeColor="text1" w:themeTint="F2"/>
                <w:sz w:val="18"/>
                <w:szCs w:val="20"/>
              </w:rPr>
              <w:t>58</w:t>
            </w:r>
            <w:r w:rsidRPr="00943DFA">
              <w:rPr>
                <w:rFonts w:eastAsia="Times New Roman"/>
                <w:color w:val="0D0D0D" w:themeColor="text1" w:themeTint="F2"/>
                <w:sz w:val="18"/>
                <w:szCs w:val="20"/>
              </w:rPr>
              <w:t>%</w:t>
            </w:r>
          </w:p>
        </w:tc>
      </w:tr>
      <w:tr w:rsidR="00943DFA" w:rsidRPr="00943DFA" w14:paraId="5F40EEA3" w14:textId="77777777" w:rsidTr="00373B60">
        <w:trPr>
          <w:trHeight w:val="67"/>
        </w:trPr>
        <w:tc>
          <w:tcPr>
            <w:tcW w:w="772" w:type="dxa"/>
            <w:tcBorders>
              <w:top w:val="nil"/>
              <w:bottom w:val="single" w:sz="4" w:space="0" w:color="auto"/>
              <w:right w:val="nil"/>
            </w:tcBorders>
            <w:shd w:val="clear" w:color="000000" w:fill="FFFFFF"/>
            <w:vAlign w:val="center"/>
            <w:hideMark/>
          </w:tcPr>
          <w:p w14:paraId="375B4A1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A6</w:t>
            </w:r>
          </w:p>
        </w:tc>
        <w:tc>
          <w:tcPr>
            <w:tcW w:w="4175" w:type="dxa"/>
            <w:tcBorders>
              <w:top w:val="nil"/>
              <w:left w:val="single" w:sz="4" w:space="0" w:color="auto"/>
              <w:bottom w:val="single" w:sz="4" w:space="0" w:color="auto"/>
              <w:right w:val="nil"/>
            </w:tcBorders>
            <w:shd w:val="clear" w:color="000000" w:fill="FFFFFF"/>
            <w:vAlign w:val="center"/>
            <w:hideMark/>
          </w:tcPr>
          <w:p w14:paraId="44359F4E"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Earnings</w:t>
            </w:r>
          </w:p>
        </w:tc>
        <w:tc>
          <w:tcPr>
            <w:tcW w:w="4110" w:type="dxa"/>
            <w:tcBorders>
              <w:top w:val="nil"/>
              <w:left w:val="single" w:sz="4" w:space="0" w:color="auto"/>
              <w:bottom w:val="single" w:sz="4" w:space="0" w:color="auto"/>
            </w:tcBorders>
            <w:shd w:val="clear" w:color="000000" w:fill="FFFFFF"/>
            <w:vAlign w:val="center"/>
            <w:hideMark/>
          </w:tcPr>
          <w:p w14:paraId="582D5C76" w14:textId="6F2C5D83"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0.6</w:t>
            </w:r>
            <w:r w:rsidR="00246664" w:rsidRPr="00943DFA">
              <w:rPr>
                <w:rFonts w:eastAsia="Times New Roman"/>
                <w:color w:val="0D0D0D" w:themeColor="text1" w:themeTint="F2"/>
                <w:sz w:val="18"/>
                <w:szCs w:val="20"/>
              </w:rPr>
              <w:t>7</w:t>
            </w:r>
            <w:r w:rsidRPr="00943DFA">
              <w:rPr>
                <w:rFonts w:eastAsia="Times New Roman"/>
                <w:color w:val="0D0D0D" w:themeColor="text1" w:themeTint="F2"/>
                <w:sz w:val="18"/>
                <w:szCs w:val="20"/>
              </w:rPr>
              <w:t>%</w:t>
            </w:r>
          </w:p>
        </w:tc>
      </w:tr>
      <w:tr w:rsidR="00943DFA" w:rsidRPr="00943DFA" w14:paraId="570CC494" w14:textId="77777777" w:rsidTr="00373B60">
        <w:trPr>
          <w:trHeight w:val="164"/>
        </w:trPr>
        <w:tc>
          <w:tcPr>
            <w:tcW w:w="772" w:type="dxa"/>
            <w:tcBorders>
              <w:top w:val="nil"/>
              <w:bottom w:val="single" w:sz="4" w:space="0" w:color="auto"/>
              <w:right w:val="nil"/>
            </w:tcBorders>
            <w:shd w:val="clear" w:color="000000" w:fill="FFFFFF"/>
            <w:vAlign w:val="center"/>
            <w:hideMark/>
          </w:tcPr>
          <w:p w14:paraId="590FBFE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A7</w:t>
            </w:r>
          </w:p>
        </w:tc>
        <w:tc>
          <w:tcPr>
            <w:tcW w:w="4175" w:type="dxa"/>
            <w:tcBorders>
              <w:top w:val="nil"/>
              <w:left w:val="single" w:sz="4" w:space="0" w:color="auto"/>
              <w:bottom w:val="single" w:sz="4" w:space="0" w:color="auto"/>
              <w:right w:val="nil"/>
            </w:tcBorders>
            <w:shd w:val="clear" w:color="000000" w:fill="FFFFFF"/>
            <w:vAlign w:val="center"/>
            <w:hideMark/>
          </w:tcPr>
          <w:p w14:paraId="4C41CED8"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Other financial items</w:t>
            </w:r>
          </w:p>
        </w:tc>
        <w:tc>
          <w:tcPr>
            <w:tcW w:w="4110" w:type="dxa"/>
            <w:tcBorders>
              <w:top w:val="nil"/>
              <w:left w:val="single" w:sz="4" w:space="0" w:color="auto"/>
              <w:bottom w:val="single" w:sz="4" w:space="0" w:color="auto"/>
            </w:tcBorders>
            <w:shd w:val="clear" w:color="000000" w:fill="FFFFFF"/>
            <w:vAlign w:val="center"/>
            <w:hideMark/>
          </w:tcPr>
          <w:p w14:paraId="13A90AB7" w14:textId="1A38E59C"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w:t>
            </w:r>
            <w:r w:rsidR="00246664" w:rsidRPr="00943DFA">
              <w:rPr>
                <w:rFonts w:eastAsia="Times New Roman"/>
                <w:color w:val="0D0D0D" w:themeColor="text1" w:themeTint="F2"/>
                <w:sz w:val="18"/>
                <w:szCs w:val="20"/>
              </w:rPr>
              <w:t>27</w:t>
            </w:r>
            <w:r w:rsidRPr="00943DFA">
              <w:rPr>
                <w:rFonts w:eastAsia="Times New Roman"/>
                <w:color w:val="0D0D0D" w:themeColor="text1" w:themeTint="F2"/>
                <w:sz w:val="18"/>
                <w:szCs w:val="20"/>
              </w:rPr>
              <w:t>%</w:t>
            </w:r>
          </w:p>
        </w:tc>
      </w:tr>
      <w:tr w:rsidR="00943DFA" w:rsidRPr="00943DFA" w14:paraId="6CE5ACA1" w14:textId="77777777" w:rsidTr="00373B60">
        <w:trPr>
          <w:trHeight w:val="64"/>
        </w:trPr>
        <w:tc>
          <w:tcPr>
            <w:tcW w:w="772" w:type="dxa"/>
            <w:tcBorders>
              <w:top w:val="nil"/>
              <w:bottom w:val="single" w:sz="12" w:space="0" w:color="auto"/>
              <w:right w:val="single" w:sz="4" w:space="0" w:color="auto"/>
            </w:tcBorders>
            <w:shd w:val="clear" w:color="000000" w:fill="FFFFFF"/>
            <w:vAlign w:val="center"/>
            <w:hideMark/>
          </w:tcPr>
          <w:p w14:paraId="1FDE4127"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A8</w:t>
            </w:r>
          </w:p>
        </w:tc>
        <w:tc>
          <w:tcPr>
            <w:tcW w:w="4175" w:type="dxa"/>
            <w:tcBorders>
              <w:top w:val="nil"/>
              <w:left w:val="nil"/>
              <w:bottom w:val="single" w:sz="12" w:space="0" w:color="auto"/>
              <w:right w:val="nil"/>
            </w:tcBorders>
            <w:shd w:val="clear" w:color="000000" w:fill="FFFFFF"/>
            <w:vAlign w:val="center"/>
            <w:hideMark/>
          </w:tcPr>
          <w:p w14:paraId="2C763169"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Accounting-related transactions/events</w:t>
            </w:r>
          </w:p>
        </w:tc>
        <w:tc>
          <w:tcPr>
            <w:tcW w:w="4110" w:type="dxa"/>
            <w:tcBorders>
              <w:top w:val="nil"/>
              <w:left w:val="single" w:sz="4" w:space="0" w:color="auto"/>
              <w:bottom w:val="single" w:sz="12" w:space="0" w:color="auto"/>
            </w:tcBorders>
            <w:shd w:val="clear" w:color="000000" w:fill="FFFFFF"/>
            <w:vAlign w:val="center"/>
            <w:hideMark/>
          </w:tcPr>
          <w:p w14:paraId="4D52647B" w14:textId="4AC43BC0"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4.</w:t>
            </w:r>
            <w:r w:rsidR="00246664" w:rsidRPr="00943DFA">
              <w:rPr>
                <w:rFonts w:eastAsia="Times New Roman"/>
                <w:color w:val="0D0D0D" w:themeColor="text1" w:themeTint="F2"/>
                <w:sz w:val="18"/>
                <w:szCs w:val="20"/>
              </w:rPr>
              <w:t>37</w:t>
            </w:r>
            <w:r w:rsidRPr="00943DFA">
              <w:rPr>
                <w:rFonts w:eastAsia="Times New Roman"/>
                <w:color w:val="0D0D0D" w:themeColor="text1" w:themeTint="F2"/>
                <w:sz w:val="18"/>
                <w:szCs w:val="20"/>
              </w:rPr>
              <w:t>%</w:t>
            </w:r>
          </w:p>
        </w:tc>
      </w:tr>
      <w:tr w:rsidR="00943DFA" w:rsidRPr="00943DFA" w14:paraId="687E35AE" w14:textId="77777777" w:rsidTr="00373B60">
        <w:trPr>
          <w:trHeight w:val="99"/>
        </w:trPr>
        <w:tc>
          <w:tcPr>
            <w:tcW w:w="4947" w:type="dxa"/>
            <w:gridSpan w:val="2"/>
            <w:tcBorders>
              <w:top w:val="single" w:sz="12" w:space="0" w:color="auto"/>
              <w:bottom w:val="single" w:sz="4" w:space="0" w:color="auto"/>
              <w:right w:val="single" w:sz="4" w:space="0" w:color="000000"/>
            </w:tcBorders>
            <w:shd w:val="clear" w:color="auto" w:fill="auto"/>
            <w:vAlign w:val="center"/>
            <w:hideMark/>
          </w:tcPr>
          <w:p w14:paraId="421C968C" w14:textId="4C1F0171" w:rsidR="00195130"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B</w:t>
            </w:r>
            <w:r w:rsidR="00195130" w:rsidRPr="00943DFA">
              <w:rPr>
                <w:rFonts w:eastAsia="Times New Roman"/>
                <w:b/>
                <w:bCs/>
                <w:color w:val="0D0D0D" w:themeColor="text1" w:themeTint="F2"/>
                <w:sz w:val="18"/>
                <w:szCs w:val="20"/>
              </w:rPr>
              <w:t>. NON-CORE-ACCOUNTING ISSUES</w:t>
            </w:r>
          </w:p>
        </w:tc>
        <w:tc>
          <w:tcPr>
            <w:tcW w:w="4110" w:type="dxa"/>
            <w:tcBorders>
              <w:top w:val="nil"/>
              <w:left w:val="single" w:sz="4" w:space="0" w:color="auto"/>
              <w:bottom w:val="single" w:sz="4" w:space="0" w:color="auto"/>
            </w:tcBorders>
            <w:shd w:val="clear" w:color="auto" w:fill="auto"/>
            <w:vAlign w:val="center"/>
            <w:hideMark/>
          </w:tcPr>
          <w:p w14:paraId="5DC84EA7" w14:textId="77777777"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4.26%</w:t>
            </w:r>
          </w:p>
        </w:tc>
      </w:tr>
      <w:tr w:rsidR="00943DFA" w:rsidRPr="00943DFA" w14:paraId="2FA3DBC6" w14:textId="77777777" w:rsidTr="00373B60">
        <w:trPr>
          <w:trHeight w:val="64"/>
        </w:trPr>
        <w:tc>
          <w:tcPr>
            <w:tcW w:w="772" w:type="dxa"/>
            <w:tcBorders>
              <w:top w:val="nil"/>
              <w:bottom w:val="single" w:sz="4" w:space="0" w:color="auto"/>
              <w:right w:val="single" w:sz="4" w:space="0" w:color="auto"/>
            </w:tcBorders>
            <w:shd w:val="clear" w:color="000000" w:fill="FFFFFF"/>
            <w:vAlign w:val="center"/>
            <w:hideMark/>
          </w:tcPr>
          <w:p w14:paraId="4CDE4C52"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B1</w:t>
            </w:r>
          </w:p>
        </w:tc>
        <w:tc>
          <w:tcPr>
            <w:tcW w:w="4175" w:type="dxa"/>
            <w:tcBorders>
              <w:top w:val="nil"/>
              <w:left w:val="nil"/>
              <w:bottom w:val="single" w:sz="4" w:space="0" w:color="auto"/>
              <w:right w:val="nil"/>
            </w:tcBorders>
            <w:shd w:val="clear" w:color="000000" w:fill="FFFFFF"/>
            <w:vAlign w:val="center"/>
            <w:hideMark/>
          </w:tcPr>
          <w:p w14:paraId="0722C627"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Pro forma financial information</w:t>
            </w:r>
          </w:p>
        </w:tc>
        <w:tc>
          <w:tcPr>
            <w:tcW w:w="4110" w:type="dxa"/>
            <w:tcBorders>
              <w:top w:val="nil"/>
              <w:left w:val="single" w:sz="4" w:space="0" w:color="auto"/>
              <w:bottom w:val="single" w:sz="4" w:space="0" w:color="auto"/>
            </w:tcBorders>
            <w:shd w:val="clear" w:color="000000" w:fill="FFFFFF"/>
            <w:vAlign w:val="center"/>
            <w:hideMark/>
          </w:tcPr>
          <w:p w14:paraId="5C1869E8"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2.48%</w:t>
            </w:r>
          </w:p>
        </w:tc>
      </w:tr>
      <w:tr w:rsidR="00943DFA" w:rsidRPr="00943DFA" w14:paraId="489CDC68" w14:textId="77777777" w:rsidTr="00373B60">
        <w:trPr>
          <w:trHeight w:val="97"/>
        </w:trPr>
        <w:tc>
          <w:tcPr>
            <w:tcW w:w="772" w:type="dxa"/>
            <w:tcBorders>
              <w:top w:val="nil"/>
              <w:bottom w:val="single" w:sz="4" w:space="0" w:color="auto"/>
              <w:right w:val="nil"/>
            </w:tcBorders>
            <w:shd w:val="clear" w:color="000000" w:fill="FFFFFF"/>
            <w:vAlign w:val="center"/>
            <w:hideMark/>
          </w:tcPr>
          <w:p w14:paraId="3C33036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B2</w:t>
            </w:r>
          </w:p>
        </w:tc>
        <w:tc>
          <w:tcPr>
            <w:tcW w:w="4175" w:type="dxa"/>
            <w:tcBorders>
              <w:top w:val="nil"/>
              <w:left w:val="single" w:sz="4" w:space="0" w:color="auto"/>
              <w:bottom w:val="single" w:sz="4" w:space="0" w:color="auto"/>
              <w:right w:val="nil"/>
            </w:tcBorders>
            <w:shd w:val="clear" w:color="000000" w:fill="FFFFFF"/>
            <w:vAlign w:val="center"/>
            <w:hideMark/>
          </w:tcPr>
          <w:p w14:paraId="0C15B93F"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Non-GAAP measure</w:t>
            </w:r>
          </w:p>
        </w:tc>
        <w:tc>
          <w:tcPr>
            <w:tcW w:w="4110" w:type="dxa"/>
            <w:tcBorders>
              <w:top w:val="nil"/>
              <w:left w:val="single" w:sz="4" w:space="0" w:color="auto"/>
              <w:bottom w:val="single" w:sz="4" w:space="0" w:color="auto"/>
            </w:tcBorders>
            <w:shd w:val="clear" w:color="000000" w:fill="FFFFFF"/>
            <w:vAlign w:val="center"/>
            <w:hideMark/>
          </w:tcPr>
          <w:p w14:paraId="387055EB"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1.00%</w:t>
            </w:r>
          </w:p>
        </w:tc>
      </w:tr>
      <w:tr w:rsidR="00943DFA" w:rsidRPr="00943DFA" w14:paraId="76D4F667" w14:textId="77777777" w:rsidTr="00373B60">
        <w:trPr>
          <w:trHeight w:val="64"/>
        </w:trPr>
        <w:tc>
          <w:tcPr>
            <w:tcW w:w="772" w:type="dxa"/>
            <w:tcBorders>
              <w:top w:val="nil"/>
              <w:bottom w:val="single" w:sz="4" w:space="0" w:color="auto"/>
              <w:right w:val="single" w:sz="4" w:space="0" w:color="auto"/>
            </w:tcBorders>
            <w:shd w:val="clear" w:color="000000" w:fill="FFFFFF"/>
            <w:vAlign w:val="center"/>
            <w:hideMark/>
          </w:tcPr>
          <w:p w14:paraId="44C058E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B3</w:t>
            </w:r>
          </w:p>
        </w:tc>
        <w:tc>
          <w:tcPr>
            <w:tcW w:w="4175" w:type="dxa"/>
            <w:tcBorders>
              <w:top w:val="nil"/>
              <w:left w:val="nil"/>
              <w:bottom w:val="single" w:sz="4" w:space="0" w:color="auto"/>
              <w:right w:val="nil"/>
            </w:tcBorders>
            <w:shd w:val="clear" w:color="000000" w:fill="FFFFFF"/>
            <w:vAlign w:val="center"/>
            <w:hideMark/>
          </w:tcPr>
          <w:p w14:paraId="22203917"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Internal controls</w:t>
            </w:r>
          </w:p>
        </w:tc>
        <w:tc>
          <w:tcPr>
            <w:tcW w:w="4110" w:type="dxa"/>
            <w:tcBorders>
              <w:top w:val="nil"/>
              <w:left w:val="single" w:sz="4" w:space="0" w:color="auto"/>
              <w:bottom w:val="single" w:sz="4" w:space="0" w:color="auto"/>
            </w:tcBorders>
            <w:shd w:val="clear" w:color="000000" w:fill="FFFFFF"/>
            <w:vAlign w:val="center"/>
            <w:hideMark/>
          </w:tcPr>
          <w:p w14:paraId="493AFBA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0.31%</w:t>
            </w:r>
          </w:p>
        </w:tc>
      </w:tr>
      <w:tr w:rsidR="00943DFA" w:rsidRPr="00943DFA" w14:paraId="008FDB1D" w14:textId="77777777" w:rsidTr="00373B60">
        <w:trPr>
          <w:trHeight w:val="169"/>
        </w:trPr>
        <w:tc>
          <w:tcPr>
            <w:tcW w:w="772" w:type="dxa"/>
            <w:tcBorders>
              <w:top w:val="nil"/>
              <w:bottom w:val="single" w:sz="12" w:space="0" w:color="auto"/>
              <w:right w:val="single" w:sz="4" w:space="0" w:color="auto"/>
            </w:tcBorders>
            <w:shd w:val="clear" w:color="000000" w:fill="FFFFFF"/>
            <w:vAlign w:val="center"/>
            <w:hideMark/>
          </w:tcPr>
          <w:p w14:paraId="62FDCB39"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B4</w:t>
            </w:r>
          </w:p>
        </w:tc>
        <w:tc>
          <w:tcPr>
            <w:tcW w:w="4175" w:type="dxa"/>
            <w:tcBorders>
              <w:top w:val="nil"/>
              <w:left w:val="nil"/>
              <w:bottom w:val="single" w:sz="12" w:space="0" w:color="auto"/>
              <w:right w:val="single" w:sz="4" w:space="0" w:color="auto"/>
            </w:tcBorders>
            <w:shd w:val="clear" w:color="000000" w:fill="FFFFFF"/>
            <w:vAlign w:val="center"/>
            <w:hideMark/>
          </w:tcPr>
          <w:p w14:paraId="3D6A22A6"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Claims, Commitments and Contingencies</w:t>
            </w:r>
          </w:p>
        </w:tc>
        <w:tc>
          <w:tcPr>
            <w:tcW w:w="4110" w:type="dxa"/>
            <w:tcBorders>
              <w:top w:val="nil"/>
              <w:left w:val="single" w:sz="4" w:space="0" w:color="auto"/>
              <w:bottom w:val="single" w:sz="12" w:space="0" w:color="auto"/>
            </w:tcBorders>
            <w:shd w:val="clear" w:color="000000" w:fill="FFFFFF"/>
            <w:vAlign w:val="center"/>
            <w:hideMark/>
          </w:tcPr>
          <w:p w14:paraId="2BC0051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0.48%</w:t>
            </w:r>
          </w:p>
        </w:tc>
      </w:tr>
      <w:tr w:rsidR="00943DFA" w:rsidRPr="00943DFA" w14:paraId="7B16963C" w14:textId="77777777" w:rsidTr="00373B60">
        <w:trPr>
          <w:trHeight w:val="143"/>
        </w:trPr>
        <w:tc>
          <w:tcPr>
            <w:tcW w:w="4947" w:type="dxa"/>
            <w:gridSpan w:val="2"/>
            <w:tcBorders>
              <w:top w:val="single" w:sz="12" w:space="0" w:color="auto"/>
              <w:bottom w:val="single" w:sz="4" w:space="0" w:color="auto"/>
              <w:right w:val="single" w:sz="4" w:space="0" w:color="000000"/>
            </w:tcBorders>
            <w:shd w:val="clear" w:color="auto" w:fill="auto"/>
            <w:vAlign w:val="center"/>
            <w:hideMark/>
          </w:tcPr>
          <w:p w14:paraId="29D58AE7" w14:textId="682990E0" w:rsidR="00195130"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C</w:t>
            </w:r>
            <w:r w:rsidR="00195130" w:rsidRPr="00943DFA">
              <w:rPr>
                <w:rFonts w:eastAsia="Times New Roman"/>
                <w:b/>
                <w:bCs/>
                <w:color w:val="0D0D0D" w:themeColor="text1" w:themeTint="F2"/>
                <w:sz w:val="18"/>
                <w:szCs w:val="20"/>
              </w:rPr>
              <w:t>. OFFERING ISSUES</w:t>
            </w:r>
          </w:p>
        </w:tc>
        <w:tc>
          <w:tcPr>
            <w:tcW w:w="4110" w:type="dxa"/>
            <w:tcBorders>
              <w:top w:val="nil"/>
              <w:left w:val="single" w:sz="4" w:space="0" w:color="auto"/>
              <w:bottom w:val="single" w:sz="4" w:space="0" w:color="auto"/>
            </w:tcBorders>
            <w:shd w:val="clear" w:color="auto" w:fill="auto"/>
            <w:vAlign w:val="center"/>
            <w:hideMark/>
          </w:tcPr>
          <w:p w14:paraId="003E8F92" w14:textId="01FCFD1C"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10.6</w:t>
            </w:r>
            <w:r w:rsidR="00246664" w:rsidRPr="00943DFA">
              <w:rPr>
                <w:rFonts w:eastAsia="Times New Roman"/>
                <w:b/>
                <w:bCs/>
                <w:color w:val="0D0D0D" w:themeColor="text1" w:themeTint="F2"/>
                <w:sz w:val="18"/>
                <w:szCs w:val="20"/>
              </w:rPr>
              <w:t>1</w:t>
            </w:r>
            <w:r w:rsidRPr="00943DFA">
              <w:rPr>
                <w:rFonts w:eastAsia="Times New Roman"/>
                <w:b/>
                <w:bCs/>
                <w:color w:val="0D0D0D" w:themeColor="text1" w:themeTint="F2"/>
                <w:sz w:val="18"/>
                <w:szCs w:val="20"/>
              </w:rPr>
              <w:t>%</w:t>
            </w:r>
          </w:p>
        </w:tc>
      </w:tr>
      <w:tr w:rsidR="00943DFA" w:rsidRPr="00943DFA" w14:paraId="316D6777" w14:textId="77777777" w:rsidTr="00373B60">
        <w:trPr>
          <w:trHeight w:val="91"/>
        </w:trPr>
        <w:tc>
          <w:tcPr>
            <w:tcW w:w="772" w:type="dxa"/>
            <w:tcBorders>
              <w:top w:val="nil"/>
              <w:bottom w:val="single" w:sz="4" w:space="0" w:color="auto"/>
              <w:right w:val="single" w:sz="4" w:space="0" w:color="auto"/>
            </w:tcBorders>
            <w:shd w:val="clear" w:color="auto" w:fill="auto"/>
            <w:vAlign w:val="center"/>
            <w:hideMark/>
          </w:tcPr>
          <w:p w14:paraId="2C8E7B37"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C1</w:t>
            </w:r>
          </w:p>
        </w:tc>
        <w:tc>
          <w:tcPr>
            <w:tcW w:w="4175" w:type="dxa"/>
            <w:tcBorders>
              <w:top w:val="nil"/>
              <w:left w:val="nil"/>
              <w:bottom w:val="single" w:sz="4" w:space="0" w:color="auto"/>
              <w:right w:val="single" w:sz="4" w:space="0" w:color="auto"/>
            </w:tcBorders>
            <w:shd w:val="clear" w:color="auto" w:fill="auto"/>
            <w:vAlign w:val="center"/>
            <w:hideMark/>
          </w:tcPr>
          <w:p w14:paraId="7119BD87"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Characteristics of offering</w:t>
            </w:r>
          </w:p>
        </w:tc>
        <w:tc>
          <w:tcPr>
            <w:tcW w:w="4110" w:type="dxa"/>
            <w:tcBorders>
              <w:top w:val="nil"/>
              <w:left w:val="single" w:sz="4" w:space="0" w:color="auto"/>
              <w:bottom w:val="single" w:sz="4" w:space="0" w:color="auto"/>
            </w:tcBorders>
            <w:shd w:val="clear" w:color="000000" w:fill="FFFFFF"/>
            <w:vAlign w:val="center"/>
            <w:hideMark/>
          </w:tcPr>
          <w:p w14:paraId="0388C800"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2.02%</w:t>
            </w:r>
          </w:p>
        </w:tc>
      </w:tr>
      <w:tr w:rsidR="00943DFA" w:rsidRPr="00943DFA" w14:paraId="3B30AE57" w14:textId="77777777" w:rsidTr="00373B60">
        <w:trPr>
          <w:trHeight w:val="127"/>
        </w:trPr>
        <w:tc>
          <w:tcPr>
            <w:tcW w:w="772" w:type="dxa"/>
            <w:tcBorders>
              <w:top w:val="nil"/>
              <w:bottom w:val="single" w:sz="4" w:space="0" w:color="auto"/>
              <w:right w:val="nil"/>
            </w:tcBorders>
            <w:shd w:val="clear" w:color="auto" w:fill="auto"/>
            <w:vAlign w:val="center"/>
            <w:hideMark/>
          </w:tcPr>
          <w:p w14:paraId="4D27144D"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C2</w:t>
            </w:r>
          </w:p>
        </w:tc>
        <w:tc>
          <w:tcPr>
            <w:tcW w:w="4175" w:type="dxa"/>
            <w:tcBorders>
              <w:top w:val="nil"/>
              <w:left w:val="single" w:sz="4" w:space="0" w:color="auto"/>
              <w:bottom w:val="single" w:sz="4" w:space="0" w:color="auto"/>
              <w:right w:val="nil"/>
            </w:tcBorders>
            <w:shd w:val="clear" w:color="auto" w:fill="auto"/>
            <w:vAlign w:val="center"/>
            <w:hideMark/>
          </w:tcPr>
          <w:p w14:paraId="6F42A02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Proceed</w:t>
            </w:r>
          </w:p>
        </w:tc>
        <w:tc>
          <w:tcPr>
            <w:tcW w:w="4110" w:type="dxa"/>
            <w:tcBorders>
              <w:top w:val="nil"/>
              <w:left w:val="single" w:sz="4" w:space="0" w:color="auto"/>
              <w:bottom w:val="single" w:sz="4" w:space="0" w:color="auto"/>
            </w:tcBorders>
            <w:shd w:val="clear" w:color="000000" w:fill="FFFFFF"/>
            <w:vAlign w:val="center"/>
            <w:hideMark/>
          </w:tcPr>
          <w:p w14:paraId="6A07756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1.52%</w:t>
            </w:r>
          </w:p>
        </w:tc>
      </w:tr>
      <w:tr w:rsidR="00943DFA" w:rsidRPr="00943DFA" w14:paraId="1679DBCE" w14:textId="77777777" w:rsidTr="00373B60">
        <w:trPr>
          <w:trHeight w:val="64"/>
        </w:trPr>
        <w:tc>
          <w:tcPr>
            <w:tcW w:w="772" w:type="dxa"/>
            <w:tcBorders>
              <w:top w:val="nil"/>
              <w:bottom w:val="single" w:sz="4" w:space="0" w:color="auto"/>
              <w:right w:val="nil"/>
            </w:tcBorders>
            <w:shd w:val="clear" w:color="auto" w:fill="auto"/>
            <w:vAlign w:val="center"/>
            <w:hideMark/>
          </w:tcPr>
          <w:p w14:paraId="559D0DFB"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C3</w:t>
            </w:r>
          </w:p>
        </w:tc>
        <w:tc>
          <w:tcPr>
            <w:tcW w:w="4175" w:type="dxa"/>
            <w:tcBorders>
              <w:top w:val="nil"/>
              <w:left w:val="single" w:sz="4" w:space="0" w:color="auto"/>
              <w:bottom w:val="single" w:sz="4" w:space="0" w:color="auto"/>
              <w:right w:val="nil"/>
            </w:tcBorders>
            <w:shd w:val="clear" w:color="auto" w:fill="auto"/>
            <w:vAlign w:val="center"/>
            <w:hideMark/>
          </w:tcPr>
          <w:p w14:paraId="052E2FE0"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Parties of offering</w:t>
            </w:r>
          </w:p>
        </w:tc>
        <w:tc>
          <w:tcPr>
            <w:tcW w:w="4110" w:type="dxa"/>
            <w:tcBorders>
              <w:top w:val="nil"/>
              <w:left w:val="single" w:sz="4" w:space="0" w:color="auto"/>
              <w:bottom w:val="single" w:sz="4" w:space="0" w:color="auto"/>
            </w:tcBorders>
            <w:shd w:val="clear" w:color="000000" w:fill="FFFFFF"/>
            <w:vAlign w:val="center"/>
            <w:hideMark/>
          </w:tcPr>
          <w:p w14:paraId="57EF681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2.77%</w:t>
            </w:r>
          </w:p>
        </w:tc>
      </w:tr>
      <w:tr w:rsidR="00943DFA" w:rsidRPr="00943DFA" w14:paraId="794F1885" w14:textId="77777777" w:rsidTr="00373B60">
        <w:trPr>
          <w:trHeight w:val="133"/>
        </w:trPr>
        <w:tc>
          <w:tcPr>
            <w:tcW w:w="772" w:type="dxa"/>
            <w:tcBorders>
              <w:top w:val="nil"/>
              <w:bottom w:val="single" w:sz="4" w:space="0" w:color="auto"/>
              <w:right w:val="nil"/>
            </w:tcBorders>
            <w:shd w:val="clear" w:color="auto" w:fill="auto"/>
            <w:vAlign w:val="center"/>
            <w:hideMark/>
          </w:tcPr>
          <w:p w14:paraId="5BF23B4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C4</w:t>
            </w:r>
          </w:p>
        </w:tc>
        <w:tc>
          <w:tcPr>
            <w:tcW w:w="4175" w:type="dxa"/>
            <w:tcBorders>
              <w:top w:val="nil"/>
              <w:left w:val="single" w:sz="4" w:space="0" w:color="auto"/>
              <w:bottom w:val="single" w:sz="4" w:space="0" w:color="auto"/>
              <w:right w:val="single" w:sz="4" w:space="0" w:color="auto"/>
            </w:tcBorders>
            <w:shd w:val="clear" w:color="auto" w:fill="auto"/>
            <w:vAlign w:val="center"/>
            <w:hideMark/>
          </w:tcPr>
          <w:p w14:paraId="76DA3ED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Effect of offering</w:t>
            </w:r>
          </w:p>
        </w:tc>
        <w:tc>
          <w:tcPr>
            <w:tcW w:w="4110" w:type="dxa"/>
            <w:tcBorders>
              <w:top w:val="nil"/>
              <w:left w:val="single" w:sz="4" w:space="0" w:color="auto"/>
              <w:bottom w:val="single" w:sz="4" w:space="0" w:color="auto"/>
            </w:tcBorders>
            <w:shd w:val="clear" w:color="000000" w:fill="FFFFFF"/>
            <w:vAlign w:val="center"/>
            <w:hideMark/>
          </w:tcPr>
          <w:p w14:paraId="2DAA4CB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0.37%</w:t>
            </w:r>
          </w:p>
        </w:tc>
      </w:tr>
      <w:tr w:rsidR="00943DFA" w:rsidRPr="00943DFA" w14:paraId="2FE0D111" w14:textId="77777777" w:rsidTr="00373B60">
        <w:trPr>
          <w:trHeight w:val="120"/>
        </w:trPr>
        <w:tc>
          <w:tcPr>
            <w:tcW w:w="772" w:type="dxa"/>
            <w:tcBorders>
              <w:top w:val="nil"/>
              <w:bottom w:val="single" w:sz="4" w:space="0" w:color="auto"/>
              <w:right w:val="nil"/>
            </w:tcBorders>
            <w:shd w:val="clear" w:color="auto" w:fill="auto"/>
            <w:vAlign w:val="center"/>
            <w:hideMark/>
          </w:tcPr>
          <w:p w14:paraId="6A6C9E0D"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C5</w:t>
            </w:r>
          </w:p>
        </w:tc>
        <w:tc>
          <w:tcPr>
            <w:tcW w:w="4175" w:type="dxa"/>
            <w:tcBorders>
              <w:top w:val="nil"/>
              <w:left w:val="single" w:sz="4" w:space="0" w:color="auto"/>
              <w:bottom w:val="single" w:sz="4" w:space="0" w:color="auto"/>
              <w:right w:val="single" w:sz="4" w:space="0" w:color="auto"/>
            </w:tcBorders>
            <w:shd w:val="clear" w:color="auto" w:fill="auto"/>
            <w:vAlign w:val="center"/>
            <w:hideMark/>
          </w:tcPr>
          <w:p w14:paraId="63F83CC0"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Risk factors (offering)</w:t>
            </w:r>
          </w:p>
        </w:tc>
        <w:tc>
          <w:tcPr>
            <w:tcW w:w="4110" w:type="dxa"/>
            <w:tcBorders>
              <w:top w:val="nil"/>
              <w:left w:val="single" w:sz="4" w:space="0" w:color="auto"/>
              <w:bottom w:val="single" w:sz="4" w:space="0" w:color="auto"/>
            </w:tcBorders>
            <w:shd w:val="clear" w:color="000000" w:fill="FFFFFF"/>
            <w:vAlign w:val="center"/>
            <w:hideMark/>
          </w:tcPr>
          <w:p w14:paraId="453F7E65"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0.50%</w:t>
            </w:r>
          </w:p>
        </w:tc>
      </w:tr>
      <w:tr w:rsidR="00943DFA" w:rsidRPr="00943DFA" w14:paraId="7FFB0D50" w14:textId="77777777" w:rsidTr="00373B60">
        <w:trPr>
          <w:trHeight w:val="165"/>
        </w:trPr>
        <w:tc>
          <w:tcPr>
            <w:tcW w:w="772" w:type="dxa"/>
            <w:tcBorders>
              <w:top w:val="nil"/>
              <w:bottom w:val="single" w:sz="12" w:space="0" w:color="auto"/>
              <w:right w:val="single" w:sz="4" w:space="0" w:color="auto"/>
            </w:tcBorders>
            <w:shd w:val="clear" w:color="auto" w:fill="auto"/>
            <w:vAlign w:val="center"/>
            <w:hideMark/>
          </w:tcPr>
          <w:p w14:paraId="5EC153FD"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C6</w:t>
            </w:r>
          </w:p>
        </w:tc>
        <w:tc>
          <w:tcPr>
            <w:tcW w:w="4175" w:type="dxa"/>
            <w:tcBorders>
              <w:top w:val="nil"/>
              <w:left w:val="nil"/>
              <w:bottom w:val="single" w:sz="12" w:space="0" w:color="auto"/>
              <w:right w:val="nil"/>
            </w:tcBorders>
            <w:shd w:val="clear" w:color="auto" w:fill="auto"/>
            <w:vAlign w:val="center"/>
            <w:hideMark/>
          </w:tcPr>
          <w:p w14:paraId="39BFF072"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Offering-related document</w:t>
            </w:r>
          </w:p>
        </w:tc>
        <w:tc>
          <w:tcPr>
            <w:tcW w:w="4110" w:type="dxa"/>
            <w:tcBorders>
              <w:top w:val="nil"/>
              <w:left w:val="single" w:sz="4" w:space="0" w:color="auto"/>
              <w:bottom w:val="single" w:sz="12" w:space="0" w:color="auto"/>
            </w:tcBorders>
            <w:shd w:val="clear" w:color="000000" w:fill="FFFFFF"/>
            <w:vAlign w:val="center"/>
            <w:hideMark/>
          </w:tcPr>
          <w:p w14:paraId="13780F99" w14:textId="4C1F45ED"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3.</w:t>
            </w:r>
            <w:r w:rsidR="00246664" w:rsidRPr="00943DFA">
              <w:rPr>
                <w:rFonts w:eastAsia="Times New Roman"/>
                <w:color w:val="0D0D0D" w:themeColor="text1" w:themeTint="F2"/>
                <w:sz w:val="18"/>
                <w:szCs w:val="20"/>
              </w:rPr>
              <w:t>43</w:t>
            </w:r>
            <w:r w:rsidRPr="00943DFA">
              <w:rPr>
                <w:rFonts w:eastAsia="Times New Roman"/>
                <w:color w:val="0D0D0D" w:themeColor="text1" w:themeTint="F2"/>
                <w:sz w:val="18"/>
                <w:szCs w:val="20"/>
              </w:rPr>
              <w:t>%</w:t>
            </w:r>
          </w:p>
        </w:tc>
      </w:tr>
      <w:tr w:rsidR="00943DFA" w:rsidRPr="00943DFA" w14:paraId="114925A6" w14:textId="77777777" w:rsidTr="00373B60">
        <w:trPr>
          <w:trHeight w:val="44"/>
        </w:trPr>
        <w:tc>
          <w:tcPr>
            <w:tcW w:w="4947" w:type="dxa"/>
            <w:gridSpan w:val="2"/>
            <w:tcBorders>
              <w:top w:val="single" w:sz="12" w:space="0" w:color="auto"/>
              <w:bottom w:val="single" w:sz="4" w:space="0" w:color="auto"/>
              <w:right w:val="single" w:sz="4" w:space="0" w:color="000000"/>
            </w:tcBorders>
            <w:shd w:val="clear" w:color="auto" w:fill="auto"/>
            <w:vAlign w:val="center"/>
            <w:hideMark/>
          </w:tcPr>
          <w:p w14:paraId="5D3AA0C2" w14:textId="231D1B4E" w:rsidR="00195130"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D</w:t>
            </w:r>
            <w:r w:rsidR="00195130" w:rsidRPr="00943DFA">
              <w:rPr>
                <w:rFonts w:eastAsia="Times New Roman"/>
                <w:b/>
                <w:bCs/>
                <w:color w:val="0D0D0D" w:themeColor="text1" w:themeTint="F2"/>
                <w:sz w:val="18"/>
                <w:szCs w:val="20"/>
              </w:rPr>
              <w:t>. BUSINESS ISSUES</w:t>
            </w:r>
          </w:p>
        </w:tc>
        <w:tc>
          <w:tcPr>
            <w:tcW w:w="4110" w:type="dxa"/>
            <w:tcBorders>
              <w:top w:val="nil"/>
              <w:left w:val="single" w:sz="4" w:space="0" w:color="auto"/>
              <w:bottom w:val="single" w:sz="4" w:space="0" w:color="auto"/>
            </w:tcBorders>
            <w:shd w:val="clear" w:color="auto" w:fill="auto"/>
            <w:vAlign w:val="center"/>
            <w:hideMark/>
          </w:tcPr>
          <w:p w14:paraId="2D36257E" w14:textId="388C4EBA"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31.8</w:t>
            </w:r>
            <w:r w:rsidR="00267BF9" w:rsidRPr="00943DFA">
              <w:rPr>
                <w:rFonts w:eastAsia="Times New Roman"/>
                <w:b/>
                <w:bCs/>
                <w:color w:val="0D0D0D" w:themeColor="text1" w:themeTint="F2"/>
                <w:sz w:val="18"/>
                <w:szCs w:val="20"/>
              </w:rPr>
              <w:t>8</w:t>
            </w:r>
            <w:r w:rsidRPr="00943DFA">
              <w:rPr>
                <w:rFonts w:eastAsia="Times New Roman"/>
                <w:b/>
                <w:bCs/>
                <w:color w:val="0D0D0D" w:themeColor="text1" w:themeTint="F2"/>
                <w:sz w:val="18"/>
                <w:szCs w:val="20"/>
              </w:rPr>
              <w:t>%</w:t>
            </w:r>
          </w:p>
        </w:tc>
      </w:tr>
      <w:tr w:rsidR="00943DFA" w:rsidRPr="00943DFA" w14:paraId="5FB6A88E" w14:textId="77777777" w:rsidTr="00373B60">
        <w:trPr>
          <w:trHeight w:val="76"/>
        </w:trPr>
        <w:tc>
          <w:tcPr>
            <w:tcW w:w="772" w:type="dxa"/>
            <w:tcBorders>
              <w:top w:val="nil"/>
              <w:bottom w:val="single" w:sz="4" w:space="0" w:color="auto"/>
              <w:right w:val="nil"/>
            </w:tcBorders>
            <w:shd w:val="clear" w:color="auto" w:fill="auto"/>
            <w:vAlign w:val="center"/>
            <w:hideMark/>
          </w:tcPr>
          <w:p w14:paraId="3E3600B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D1</w:t>
            </w:r>
          </w:p>
        </w:tc>
        <w:tc>
          <w:tcPr>
            <w:tcW w:w="4175" w:type="dxa"/>
            <w:tcBorders>
              <w:top w:val="nil"/>
              <w:left w:val="single" w:sz="4" w:space="0" w:color="auto"/>
              <w:bottom w:val="single" w:sz="4" w:space="0" w:color="auto"/>
              <w:right w:val="nil"/>
            </w:tcBorders>
            <w:shd w:val="clear" w:color="auto" w:fill="auto"/>
            <w:vAlign w:val="center"/>
            <w:hideMark/>
          </w:tcPr>
          <w:p w14:paraId="38C70550"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Products/Services</w:t>
            </w:r>
          </w:p>
        </w:tc>
        <w:tc>
          <w:tcPr>
            <w:tcW w:w="4110" w:type="dxa"/>
            <w:tcBorders>
              <w:top w:val="nil"/>
              <w:left w:val="single" w:sz="4" w:space="0" w:color="auto"/>
              <w:bottom w:val="single" w:sz="4" w:space="0" w:color="auto"/>
            </w:tcBorders>
            <w:shd w:val="clear" w:color="000000" w:fill="FFFFFF"/>
            <w:vAlign w:val="center"/>
            <w:hideMark/>
          </w:tcPr>
          <w:p w14:paraId="46239FCF" w14:textId="16371AF3"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w:t>
            </w:r>
            <w:r w:rsidR="00246664" w:rsidRPr="00943DFA">
              <w:rPr>
                <w:rFonts w:eastAsia="Times New Roman"/>
                <w:color w:val="0D0D0D" w:themeColor="text1" w:themeTint="F2"/>
                <w:sz w:val="18"/>
                <w:szCs w:val="20"/>
              </w:rPr>
              <w:t>31</w:t>
            </w:r>
            <w:r w:rsidRPr="00943DFA">
              <w:rPr>
                <w:rFonts w:eastAsia="Times New Roman"/>
                <w:color w:val="0D0D0D" w:themeColor="text1" w:themeTint="F2"/>
                <w:sz w:val="18"/>
                <w:szCs w:val="20"/>
              </w:rPr>
              <w:t>%</w:t>
            </w:r>
          </w:p>
        </w:tc>
      </w:tr>
      <w:tr w:rsidR="00943DFA" w:rsidRPr="00943DFA" w14:paraId="3689CFF7" w14:textId="77777777" w:rsidTr="00373B60">
        <w:trPr>
          <w:trHeight w:val="149"/>
        </w:trPr>
        <w:tc>
          <w:tcPr>
            <w:tcW w:w="772" w:type="dxa"/>
            <w:tcBorders>
              <w:top w:val="nil"/>
              <w:bottom w:val="single" w:sz="4" w:space="0" w:color="auto"/>
              <w:right w:val="single" w:sz="4" w:space="0" w:color="auto"/>
            </w:tcBorders>
            <w:shd w:val="clear" w:color="auto" w:fill="auto"/>
            <w:vAlign w:val="center"/>
            <w:hideMark/>
          </w:tcPr>
          <w:p w14:paraId="7D6D400D"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D2</w:t>
            </w:r>
          </w:p>
        </w:tc>
        <w:tc>
          <w:tcPr>
            <w:tcW w:w="4175" w:type="dxa"/>
            <w:tcBorders>
              <w:top w:val="nil"/>
              <w:left w:val="nil"/>
              <w:bottom w:val="single" w:sz="4" w:space="0" w:color="auto"/>
              <w:right w:val="nil"/>
            </w:tcBorders>
            <w:shd w:val="clear" w:color="auto" w:fill="auto"/>
            <w:vAlign w:val="center"/>
            <w:hideMark/>
          </w:tcPr>
          <w:p w14:paraId="633F2536"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External stakeholders</w:t>
            </w:r>
          </w:p>
        </w:tc>
        <w:tc>
          <w:tcPr>
            <w:tcW w:w="4110" w:type="dxa"/>
            <w:tcBorders>
              <w:top w:val="nil"/>
              <w:left w:val="single" w:sz="4" w:space="0" w:color="auto"/>
              <w:bottom w:val="single" w:sz="4" w:space="0" w:color="auto"/>
            </w:tcBorders>
            <w:shd w:val="clear" w:color="000000" w:fill="FFFFFF"/>
            <w:vAlign w:val="center"/>
            <w:hideMark/>
          </w:tcPr>
          <w:p w14:paraId="08837771"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3.95%</w:t>
            </w:r>
          </w:p>
        </w:tc>
      </w:tr>
      <w:tr w:rsidR="00943DFA" w:rsidRPr="00943DFA" w14:paraId="0BAB3521" w14:textId="77777777" w:rsidTr="00373B60">
        <w:trPr>
          <w:trHeight w:val="67"/>
        </w:trPr>
        <w:tc>
          <w:tcPr>
            <w:tcW w:w="772" w:type="dxa"/>
            <w:tcBorders>
              <w:top w:val="nil"/>
              <w:bottom w:val="single" w:sz="4" w:space="0" w:color="auto"/>
              <w:right w:val="nil"/>
            </w:tcBorders>
            <w:shd w:val="clear" w:color="auto" w:fill="auto"/>
            <w:vAlign w:val="center"/>
            <w:hideMark/>
          </w:tcPr>
          <w:p w14:paraId="5FFC0D1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D3</w:t>
            </w:r>
          </w:p>
        </w:tc>
        <w:tc>
          <w:tcPr>
            <w:tcW w:w="4175" w:type="dxa"/>
            <w:tcBorders>
              <w:top w:val="nil"/>
              <w:left w:val="single" w:sz="4" w:space="0" w:color="auto"/>
              <w:bottom w:val="single" w:sz="4" w:space="0" w:color="auto"/>
              <w:right w:val="single" w:sz="4" w:space="0" w:color="auto"/>
            </w:tcBorders>
            <w:shd w:val="clear" w:color="auto" w:fill="auto"/>
            <w:vAlign w:val="center"/>
            <w:hideMark/>
          </w:tcPr>
          <w:p w14:paraId="639048A8"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Business activities</w:t>
            </w:r>
          </w:p>
        </w:tc>
        <w:tc>
          <w:tcPr>
            <w:tcW w:w="4110" w:type="dxa"/>
            <w:tcBorders>
              <w:top w:val="nil"/>
              <w:left w:val="single" w:sz="4" w:space="0" w:color="auto"/>
              <w:bottom w:val="single" w:sz="4" w:space="0" w:color="auto"/>
            </w:tcBorders>
            <w:shd w:val="clear" w:color="000000" w:fill="FFFFFF"/>
            <w:vAlign w:val="center"/>
            <w:hideMark/>
          </w:tcPr>
          <w:p w14:paraId="3140528A" w14:textId="4D03C26E"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6.3</w:t>
            </w:r>
            <w:r w:rsidR="00246664" w:rsidRPr="00943DFA">
              <w:rPr>
                <w:rFonts w:eastAsia="Times New Roman"/>
                <w:color w:val="0D0D0D" w:themeColor="text1" w:themeTint="F2"/>
                <w:sz w:val="18"/>
                <w:szCs w:val="20"/>
              </w:rPr>
              <w:t>7</w:t>
            </w:r>
            <w:r w:rsidRPr="00943DFA">
              <w:rPr>
                <w:rFonts w:eastAsia="Times New Roman"/>
                <w:color w:val="0D0D0D" w:themeColor="text1" w:themeTint="F2"/>
                <w:sz w:val="18"/>
                <w:szCs w:val="20"/>
              </w:rPr>
              <w:t>%</w:t>
            </w:r>
          </w:p>
        </w:tc>
      </w:tr>
      <w:tr w:rsidR="00943DFA" w:rsidRPr="00943DFA" w14:paraId="30E984EC" w14:textId="77777777" w:rsidTr="00373B60">
        <w:trPr>
          <w:trHeight w:val="183"/>
        </w:trPr>
        <w:tc>
          <w:tcPr>
            <w:tcW w:w="772" w:type="dxa"/>
            <w:tcBorders>
              <w:top w:val="nil"/>
              <w:bottom w:val="single" w:sz="4" w:space="0" w:color="auto"/>
              <w:right w:val="single" w:sz="4" w:space="0" w:color="auto"/>
            </w:tcBorders>
            <w:shd w:val="clear" w:color="auto" w:fill="auto"/>
            <w:vAlign w:val="center"/>
            <w:hideMark/>
          </w:tcPr>
          <w:p w14:paraId="4221E0EB"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D4</w:t>
            </w:r>
          </w:p>
        </w:tc>
        <w:tc>
          <w:tcPr>
            <w:tcW w:w="4175" w:type="dxa"/>
            <w:tcBorders>
              <w:top w:val="nil"/>
              <w:left w:val="nil"/>
              <w:bottom w:val="single" w:sz="4" w:space="0" w:color="auto"/>
              <w:right w:val="single" w:sz="4" w:space="0" w:color="auto"/>
            </w:tcBorders>
            <w:shd w:val="clear" w:color="auto" w:fill="auto"/>
            <w:vAlign w:val="center"/>
            <w:hideMark/>
          </w:tcPr>
          <w:p w14:paraId="28BE7E79"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Competition</w:t>
            </w:r>
          </w:p>
        </w:tc>
        <w:tc>
          <w:tcPr>
            <w:tcW w:w="4110" w:type="dxa"/>
            <w:tcBorders>
              <w:top w:val="nil"/>
              <w:left w:val="single" w:sz="4" w:space="0" w:color="auto"/>
              <w:bottom w:val="single" w:sz="4" w:space="0" w:color="auto"/>
            </w:tcBorders>
            <w:shd w:val="clear" w:color="000000" w:fill="FFFFFF"/>
            <w:vAlign w:val="center"/>
            <w:hideMark/>
          </w:tcPr>
          <w:p w14:paraId="2F06BF6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1.37%</w:t>
            </w:r>
          </w:p>
        </w:tc>
      </w:tr>
      <w:tr w:rsidR="00943DFA" w:rsidRPr="00943DFA" w14:paraId="54CED1DB" w14:textId="77777777" w:rsidTr="00373B60">
        <w:trPr>
          <w:trHeight w:val="215"/>
        </w:trPr>
        <w:tc>
          <w:tcPr>
            <w:tcW w:w="772" w:type="dxa"/>
            <w:tcBorders>
              <w:top w:val="nil"/>
              <w:bottom w:val="single" w:sz="4" w:space="0" w:color="auto"/>
              <w:right w:val="single" w:sz="4" w:space="0" w:color="auto"/>
            </w:tcBorders>
            <w:shd w:val="clear" w:color="auto" w:fill="auto"/>
            <w:vAlign w:val="center"/>
            <w:hideMark/>
          </w:tcPr>
          <w:p w14:paraId="099D158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D5</w:t>
            </w:r>
          </w:p>
        </w:tc>
        <w:tc>
          <w:tcPr>
            <w:tcW w:w="4175" w:type="dxa"/>
            <w:tcBorders>
              <w:top w:val="nil"/>
              <w:left w:val="nil"/>
              <w:bottom w:val="single" w:sz="4" w:space="0" w:color="auto"/>
              <w:right w:val="nil"/>
            </w:tcBorders>
            <w:shd w:val="clear" w:color="auto" w:fill="auto"/>
            <w:vAlign w:val="center"/>
            <w:hideMark/>
          </w:tcPr>
          <w:p w14:paraId="6A505E18"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Material Agreements</w:t>
            </w:r>
          </w:p>
        </w:tc>
        <w:tc>
          <w:tcPr>
            <w:tcW w:w="4110" w:type="dxa"/>
            <w:tcBorders>
              <w:top w:val="nil"/>
              <w:left w:val="single" w:sz="4" w:space="0" w:color="auto"/>
              <w:bottom w:val="single" w:sz="4" w:space="0" w:color="auto"/>
            </w:tcBorders>
            <w:shd w:val="clear" w:color="000000" w:fill="FFFFFF"/>
            <w:vAlign w:val="center"/>
            <w:hideMark/>
          </w:tcPr>
          <w:p w14:paraId="2836AE70" w14:textId="4BFD98E0"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3.2</w:t>
            </w:r>
            <w:r w:rsidR="00246664" w:rsidRPr="00943DFA">
              <w:rPr>
                <w:rFonts w:eastAsia="Times New Roman"/>
                <w:color w:val="0D0D0D" w:themeColor="text1" w:themeTint="F2"/>
                <w:sz w:val="18"/>
                <w:szCs w:val="20"/>
              </w:rPr>
              <w:t>3</w:t>
            </w:r>
            <w:r w:rsidRPr="00943DFA">
              <w:rPr>
                <w:rFonts w:eastAsia="Times New Roman"/>
                <w:color w:val="0D0D0D" w:themeColor="text1" w:themeTint="F2"/>
                <w:sz w:val="18"/>
                <w:szCs w:val="20"/>
              </w:rPr>
              <w:t>%</w:t>
            </w:r>
          </w:p>
        </w:tc>
      </w:tr>
      <w:tr w:rsidR="00943DFA" w:rsidRPr="00943DFA" w14:paraId="44C68626" w14:textId="77777777" w:rsidTr="00373B60">
        <w:trPr>
          <w:trHeight w:val="133"/>
        </w:trPr>
        <w:tc>
          <w:tcPr>
            <w:tcW w:w="772" w:type="dxa"/>
            <w:tcBorders>
              <w:top w:val="nil"/>
              <w:bottom w:val="single" w:sz="4" w:space="0" w:color="auto"/>
              <w:right w:val="nil"/>
            </w:tcBorders>
            <w:shd w:val="clear" w:color="auto" w:fill="auto"/>
            <w:vAlign w:val="center"/>
            <w:hideMark/>
          </w:tcPr>
          <w:p w14:paraId="1D55B03A"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D6</w:t>
            </w:r>
          </w:p>
        </w:tc>
        <w:tc>
          <w:tcPr>
            <w:tcW w:w="4175" w:type="dxa"/>
            <w:tcBorders>
              <w:top w:val="nil"/>
              <w:left w:val="single" w:sz="4" w:space="0" w:color="auto"/>
              <w:bottom w:val="single" w:sz="4" w:space="0" w:color="auto"/>
              <w:right w:val="single" w:sz="4" w:space="0" w:color="auto"/>
            </w:tcBorders>
            <w:shd w:val="clear" w:color="auto" w:fill="auto"/>
            <w:vAlign w:val="center"/>
            <w:hideMark/>
          </w:tcPr>
          <w:p w14:paraId="7B566999"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Properties and Facilities</w:t>
            </w:r>
          </w:p>
        </w:tc>
        <w:tc>
          <w:tcPr>
            <w:tcW w:w="4110" w:type="dxa"/>
            <w:tcBorders>
              <w:top w:val="nil"/>
              <w:left w:val="single" w:sz="4" w:space="0" w:color="auto"/>
              <w:bottom w:val="single" w:sz="4" w:space="0" w:color="auto"/>
            </w:tcBorders>
            <w:shd w:val="clear" w:color="000000" w:fill="FFFFFF"/>
            <w:vAlign w:val="center"/>
            <w:hideMark/>
          </w:tcPr>
          <w:p w14:paraId="3D1E0C31" w14:textId="2CB4C94C"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2.2</w:t>
            </w:r>
            <w:r w:rsidR="00246664" w:rsidRPr="00943DFA">
              <w:rPr>
                <w:rFonts w:eastAsia="Times New Roman"/>
                <w:color w:val="0D0D0D" w:themeColor="text1" w:themeTint="F2"/>
                <w:sz w:val="18"/>
                <w:szCs w:val="20"/>
              </w:rPr>
              <w:t>1</w:t>
            </w:r>
            <w:r w:rsidRPr="00943DFA">
              <w:rPr>
                <w:rFonts w:eastAsia="Times New Roman"/>
                <w:color w:val="0D0D0D" w:themeColor="text1" w:themeTint="F2"/>
                <w:sz w:val="18"/>
                <w:szCs w:val="20"/>
              </w:rPr>
              <w:t>%</w:t>
            </w:r>
          </w:p>
        </w:tc>
      </w:tr>
      <w:tr w:rsidR="00943DFA" w:rsidRPr="00943DFA" w14:paraId="7916CCB0" w14:textId="77777777" w:rsidTr="00373B60">
        <w:trPr>
          <w:trHeight w:val="64"/>
        </w:trPr>
        <w:tc>
          <w:tcPr>
            <w:tcW w:w="772" w:type="dxa"/>
            <w:tcBorders>
              <w:top w:val="nil"/>
              <w:bottom w:val="single" w:sz="4" w:space="0" w:color="auto"/>
              <w:right w:val="nil"/>
            </w:tcBorders>
            <w:shd w:val="clear" w:color="auto" w:fill="auto"/>
            <w:vAlign w:val="center"/>
            <w:hideMark/>
          </w:tcPr>
          <w:p w14:paraId="0F152B30"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D7</w:t>
            </w:r>
          </w:p>
        </w:tc>
        <w:tc>
          <w:tcPr>
            <w:tcW w:w="4175" w:type="dxa"/>
            <w:tcBorders>
              <w:top w:val="nil"/>
              <w:left w:val="single" w:sz="4" w:space="0" w:color="auto"/>
              <w:bottom w:val="single" w:sz="4" w:space="0" w:color="auto"/>
              <w:right w:val="nil"/>
            </w:tcBorders>
            <w:shd w:val="clear" w:color="auto" w:fill="auto"/>
            <w:vAlign w:val="center"/>
            <w:hideMark/>
          </w:tcPr>
          <w:p w14:paraId="3A267993"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Risk factors (business)</w:t>
            </w:r>
          </w:p>
        </w:tc>
        <w:tc>
          <w:tcPr>
            <w:tcW w:w="4110" w:type="dxa"/>
            <w:tcBorders>
              <w:top w:val="nil"/>
              <w:left w:val="single" w:sz="4" w:space="0" w:color="auto"/>
              <w:bottom w:val="single" w:sz="4" w:space="0" w:color="auto"/>
            </w:tcBorders>
            <w:shd w:val="clear" w:color="000000" w:fill="FFFFFF"/>
            <w:vAlign w:val="center"/>
            <w:hideMark/>
          </w:tcPr>
          <w:p w14:paraId="7112CB8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5.08%</w:t>
            </w:r>
          </w:p>
        </w:tc>
      </w:tr>
      <w:tr w:rsidR="00943DFA" w:rsidRPr="00943DFA" w14:paraId="3DBC0EBF" w14:textId="77777777" w:rsidTr="00373B60">
        <w:trPr>
          <w:trHeight w:val="125"/>
        </w:trPr>
        <w:tc>
          <w:tcPr>
            <w:tcW w:w="772" w:type="dxa"/>
            <w:tcBorders>
              <w:top w:val="nil"/>
              <w:bottom w:val="single" w:sz="4" w:space="0" w:color="auto"/>
              <w:right w:val="single" w:sz="4" w:space="0" w:color="auto"/>
            </w:tcBorders>
            <w:shd w:val="clear" w:color="auto" w:fill="auto"/>
            <w:vAlign w:val="center"/>
            <w:hideMark/>
          </w:tcPr>
          <w:p w14:paraId="7AB7634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D8</w:t>
            </w:r>
          </w:p>
        </w:tc>
        <w:tc>
          <w:tcPr>
            <w:tcW w:w="4175" w:type="dxa"/>
            <w:tcBorders>
              <w:top w:val="nil"/>
              <w:left w:val="nil"/>
              <w:bottom w:val="single" w:sz="4" w:space="0" w:color="auto"/>
              <w:right w:val="single" w:sz="4" w:space="0" w:color="auto"/>
            </w:tcBorders>
            <w:shd w:val="clear" w:color="auto" w:fill="auto"/>
            <w:vAlign w:val="center"/>
            <w:hideMark/>
          </w:tcPr>
          <w:p w14:paraId="6867EDC2"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Results of operation</w:t>
            </w:r>
          </w:p>
        </w:tc>
        <w:tc>
          <w:tcPr>
            <w:tcW w:w="4110" w:type="dxa"/>
            <w:tcBorders>
              <w:top w:val="nil"/>
              <w:left w:val="single" w:sz="4" w:space="0" w:color="auto"/>
              <w:bottom w:val="single" w:sz="4" w:space="0" w:color="auto"/>
            </w:tcBorders>
            <w:shd w:val="clear" w:color="000000" w:fill="FFFFFF"/>
            <w:vAlign w:val="center"/>
            <w:hideMark/>
          </w:tcPr>
          <w:p w14:paraId="76192562"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5.70%</w:t>
            </w:r>
          </w:p>
        </w:tc>
      </w:tr>
      <w:tr w:rsidR="00943DFA" w:rsidRPr="00943DFA" w14:paraId="52119918" w14:textId="77777777" w:rsidTr="00373B60">
        <w:trPr>
          <w:trHeight w:val="64"/>
        </w:trPr>
        <w:tc>
          <w:tcPr>
            <w:tcW w:w="772" w:type="dxa"/>
            <w:tcBorders>
              <w:top w:val="nil"/>
              <w:bottom w:val="single" w:sz="4" w:space="0" w:color="auto"/>
              <w:right w:val="single" w:sz="4" w:space="0" w:color="auto"/>
            </w:tcBorders>
            <w:shd w:val="clear" w:color="auto" w:fill="auto"/>
            <w:vAlign w:val="center"/>
            <w:hideMark/>
          </w:tcPr>
          <w:p w14:paraId="728E8FD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D9</w:t>
            </w:r>
          </w:p>
        </w:tc>
        <w:tc>
          <w:tcPr>
            <w:tcW w:w="4175" w:type="dxa"/>
            <w:tcBorders>
              <w:top w:val="nil"/>
              <w:left w:val="nil"/>
              <w:bottom w:val="single" w:sz="4" w:space="0" w:color="auto"/>
              <w:right w:val="nil"/>
            </w:tcBorders>
            <w:shd w:val="clear" w:color="auto" w:fill="auto"/>
            <w:vAlign w:val="center"/>
            <w:hideMark/>
          </w:tcPr>
          <w:p w14:paraId="623074B5"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External reports</w:t>
            </w:r>
          </w:p>
        </w:tc>
        <w:tc>
          <w:tcPr>
            <w:tcW w:w="4110" w:type="dxa"/>
            <w:tcBorders>
              <w:top w:val="nil"/>
              <w:left w:val="single" w:sz="4" w:space="0" w:color="auto"/>
              <w:bottom w:val="single" w:sz="4" w:space="0" w:color="auto"/>
            </w:tcBorders>
            <w:shd w:val="clear" w:color="000000" w:fill="FFFFFF"/>
            <w:vAlign w:val="center"/>
            <w:hideMark/>
          </w:tcPr>
          <w:p w14:paraId="77FA22A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1.27%</w:t>
            </w:r>
          </w:p>
        </w:tc>
      </w:tr>
      <w:tr w:rsidR="00943DFA" w:rsidRPr="00943DFA" w14:paraId="14B760D8" w14:textId="77777777" w:rsidTr="00373B60">
        <w:trPr>
          <w:trHeight w:val="103"/>
        </w:trPr>
        <w:tc>
          <w:tcPr>
            <w:tcW w:w="772" w:type="dxa"/>
            <w:tcBorders>
              <w:top w:val="nil"/>
              <w:bottom w:val="single" w:sz="12" w:space="0" w:color="auto"/>
              <w:right w:val="nil"/>
            </w:tcBorders>
            <w:shd w:val="clear" w:color="auto" w:fill="auto"/>
            <w:vAlign w:val="center"/>
            <w:hideMark/>
          </w:tcPr>
          <w:p w14:paraId="082B21F0"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D10</w:t>
            </w:r>
          </w:p>
        </w:tc>
        <w:tc>
          <w:tcPr>
            <w:tcW w:w="4175" w:type="dxa"/>
            <w:tcBorders>
              <w:top w:val="nil"/>
              <w:left w:val="single" w:sz="4" w:space="0" w:color="auto"/>
              <w:bottom w:val="single" w:sz="12" w:space="0" w:color="auto"/>
              <w:right w:val="nil"/>
            </w:tcBorders>
            <w:shd w:val="clear" w:color="auto" w:fill="auto"/>
            <w:vAlign w:val="center"/>
            <w:hideMark/>
          </w:tcPr>
          <w:p w14:paraId="79C19D18"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Status</w:t>
            </w:r>
          </w:p>
        </w:tc>
        <w:tc>
          <w:tcPr>
            <w:tcW w:w="4110" w:type="dxa"/>
            <w:tcBorders>
              <w:top w:val="nil"/>
              <w:left w:val="single" w:sz="4" w:space="0" w:color="auto"/>
              <w:bottom w:val="single" w:sz="12" w:space="0" w:color="auto"/>
            </w:tcBorders>
            <w:shd w:val="clear" w:color="000000" w:fill="FFFFFF"/>
            <w:vAlign w:val="center"/>
            <w:hideMark/>
          </w:tcPr>
          <w:p w14:paraId="13B4A8AB"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0.40%</w:t>
            </w:r>
          </w:p>
        </w:tc>
      </w:tr>
      <w:tr w:rsidR="00943DFA" w:rsidRPr="00943DFA" w14:paraId="0F4A7BC9" w14:textId="77777777" w:rsidTr="00373B60">
        <w:trPr>
          <w:trHeight w:val="157"/>
        </w:trPr>
        <w:tc>
          <w:tcPr>
            <w:tcW w:w="4947" w:type="dxa"/>
            <w:gridSpan w:val="2"/>
            <w:tcBorders>
              <w:top w:val="single" w:sz="12" w:space="0" w:color="auto"/>
              <w:bottom w:val="single" w:sz="4" w:space="0" w:color="auto"/>
              <w:right w:val="single" w:sz="4" w:space="0" w:color="000000"/>
            </w:tcBorders>
            <w:shd w:val="clear" w:color="auto" w:fill="auto"/>
            <w:vAlign w:val="center"/>
            <w:hideMark/>
          </w:tcPr>
          <w:p w14:paraId="5A0B0533" w14:textId="46E4B754" w:rsidR="00195130"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E</w:t>
            </w:r>
            <w:r w:rsidR="00195130" w:rsidRPr="00943DFA">
              <w:rPr>
                <w:rFonts w:eastAsia="Times New Roman"/>
                <w:b/>
                <w:bCs/>
                <w:color w:val="0D0D0D" w:themeColor="text1" w:themeTint="F2"/>
                <w:sz w:val="18"/>
                <w:szCs w:val="20"/>
              </w:rPr>
              <w:t xml:space="preserve">. CORPORATE GOVERNANCE ISSUES </w:t>
            </w:r>
          </w:p>
        </w:tc>
        <w:tc>
          <w:tcPr>
            <w:tcW w:w="4110" w:type="dxa"/>
            <w:tcBorders>
              <w:top w:val="nil"/>
              <w:left w:val="single" w:sz="4" w:space="0" w:color="auto"/>
              <w:bottom w:val="single" w:sz="4" w:space="0" w:color="auto"/>
            </w:tcBorders>
            <w:shd w:val="clear" w:color="auto" w:fill="auto"/>
            <w:vAlign w:val="center"/>
            <w:hideMark/>
          </w:tcPr>
          <w:p w14:paraId="73D36159" w14:textId="2F5EA4FD"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6.</w:t>
            </w:r>
            <w:r w:rsidR="00267BF9" w:rsidRPr="00943DFA">
              <w:rPr>
                <w:rFonts w:eastAsia="Times New Roman"/>
                <w:b/>
                <w:bCs/>
                <w:color w:val="0D0D0D" w:themeColor="text1" w:themeTint="F2"/>
                <w:sz w:val="18"/>
                <w:szCs w:val="20"/>
              </w:rPr>
              <w:t>91</w:t>
            </w:r>
            <w:r w:rsidRPr="00943DFA">
              <w:rPr>
                <w:rFonts w:eastAsia="Times New Roman"/>
                <w:b/>
                <w:bCs/>
                <w:color w:val="0D0D0D" w:themeColor="text1" w:themeTint="F2"/>
                <w:sz w:val="18"/>
                <w:szCs w:val="20"/>
              </w:rPr>
              <w:t>%</w:t>
            </w:r>
          </w:p>
        </w:tc>
      </w:tr>
      <w:tr w:rsidR="00943DFA" w:rsidRPr="00943DFA" w14:paraId="7CA0D0FA" w14:textId="77777777" w:rsidTr="00373B60">
        <w:trPr>
          <w:trHeight w:val="64"/>
        </w:trPr>
        <w:tc>
          <w:tcPr>
            <w:tcW w:w="772" w:type="dxa"/>
            <w:tcBorders>
              <w:top w:val="nil"/>
              <w:bottom w:val="single" w:sz="4" w:space="0" w:color="auto"/>
              <w:right w:val="nil"/>
            </w:tcBorders>
            <w:shd w:val="clear" w:color="auto" w:fill="auto"/>
            <w:vAlign w:val="center"/>
            <w:hideMark/>
          </w:tcPr>
          <w:p w14:paraId="377B8997"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E1</w:t>
            </w:r>
          </w:p>
        </w:tc>
        <w:tc>
          <w:tcPr>
            <w:tcW w:w="4175" w:type="dxa"/>
            <w:tcBorders>
              <w:top w:val="nil"/>
              <w:left w:val="single" w:sz="4" w:space="0" w:color="auto"/>
              <w:bottom w:val="single" w:sz="4" w:space="0" w:color="auto"/>
              <w:right w:val="nil"/>
            </w:tcBorders>
            <w:shd w:val="clear" w:color="auto" w:fill="auto"/>
            <w:vAlign w:val="center"/>
            <w:hideMark/>
          </w:tcPr>
          <w:p w14:paraId="195A28D8"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Managers</w:t>
            </w:r>
          </w:p>
        </w:tc>
        <w:tc>
          <w:tcPr>
            <w:tcW w:w="4110" w:type="dxa"/>
            <w:tcBorders>
              <w:top w:val="nil"/>
              <w:left w:val="single" w:sz="4" w:space="0" w:color="auto"/>
              <w:bottom w:val="single" w:sz="4" w:space="0" w:color="auto"/>
            </w:tcBorders>
            <w:shd w:val="clear" w:color="000000" w:fill="FFFFFF"/>
            <w:vAlign w:val="center"/>
            <w:hideMark/>
          </w:tcPr>
          <w:p w14:paraId="32DDA8C8" w14:textId="32F4971E"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1.3</w:t>
            </w:r>
            <w:r w:rsidR="00267BF9" w:rsidRPr="00943DFA">
              <w:rPr>
                <w:rFonts w:eastAsia="Times New Roman"/>
                <w:color w:val="0D0D0D" w:themeColor="text1" w:themeTint="F2"/>
                <w:sz w:val="18"/>
                <w:szCs w:val="20"/>
              </w:rPr>
              <w:t>3</w:t>
            </w:r>
            <w:r w:rsidRPr="00943DFA">
              <w:rPr>
                <w:rFonts w:eastAsia="Times New Roman"/>
                <w:color w:val="0D0D0D" w:themeColor="text1" w:themeTint="F2"/>
                <w:sz w:val="18"/>
                <w:szCs w:val="20"/>
              </w:rPr>
              <w:t>%</w:t>
            </w:r>
          </w:p>
        </w:tc>
      </w:tr>
      <w:tr w:rsidR="00943DFA" w:rsidRPr="00943DFA" w14:paraId="336B5B69" w14:textId="77777777" w:rsidTr="00373B60">
        <w:trPr>
          <w:trHeight w:val="229"/>
        </w:trPr>
        <w:tc>
          <w:tcPr>
            <w:tcW w:w="772" w:type="dxa"/>
            <w:tcBorders>
              <w:top w:val="nil"/>
              <w:bottom w:val="single" w:sz="4" w:space="0" w:color="auto"/>
              <w:right w:val="nil"/>
            </w:tcBorders>
            <w:shd w:val="clear" w:color="auto" w:fill="auto"/>
            <w:vAlign w:val="center"/>
            <w:hideMark/>
          </w:tcPr>
          <w:p w14:paraId="407DFC3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E2</w:t>
            </w:r>
          </w:p>
        </w:tc>
        <w:tc>
          <w:tcPr>
            <w:tcW w:w="4175" w:type="dxa"/>
            <w:tcBorders>
              <w:top w:val="nil"/>
              <w:left w:val="single" w:sz="4" w:space="0" w:color="auto"/>
              <w:bottom w:val="single" w:sz="4" w:space="0" w:color="auto"/>
              <w:right w:val="nil"/>
            </w:tcBorders>
            <w:shd w:val="clear" w:color="auto" w:fill="auto"/>
            <w:vAlign w:val="center"/>
            <w:hideMark/>
          </w:tcPr>
          <w:p w14:paraId="3C42558D"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Related parties' transactions</w:t>
            </w:r>
          </w:p>
        </w:tc>
        <w:tc>
          <w:tcPr>
            <w:tcW w:w="4110" w:type="dxa"/>
            <w:tcBorders>
              <w:top w:val="nil"/>
              <w:left w:val="single" w:sz="4" w:space="0" w:color="auto"/>
              <w:bottom w:val="single" w:sz="4" w:space="0" w:color="auto"/>
            </w:tcBorders>
            <w:shd w:val="clear" w:color="000000" w:fill="FFFFFF"/>
            <w:vAlign w:val="center"/>
            <w:hideMark/>
          </w:tcPr>
          <w:p w14:paraId="57D8CE3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1.25%</w:t>
            </w:r>
          </w:p>
        </w:tc>
      </w:tr>
      <w:tr w:rsidR="00943DFA" w:rsidRPr="00943DFA" w14:paraId="43B51620" w14:textId="77777777" w:rsidTr="00373B60">
        <w:trPr>
          <w:trHeight w:val="133"/>
        </w:trPr>
        <w:tc>
          <w:tcPr>
            <w:tcW w:w="772" w:type="dxa"/>
            <w:tcBorders>
              <w:top w:val="nil"/>
              <w:bottom w:val="single" w:sz="4" w:space="0" w:color="auto"/>
              <w:right w:val="nil"/>
            </w:tcBorders>
            <w:shd w:val="clear" w:color="auto" w:fill="auto"/>
            <w:vAlign w:val="center"/>
            <w:hideMark/>
          </w:tcPr>
          <w:p w14:paraId="389E9FAA"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E3</w:t>
            </w:r>
          </w:p>
        </w:tc>
        <w:tc>
          <w:tcPr>
            <w:tcW w:w="4175" w:type="dxa"/>
            <w:tcBorders>
              <w:top w:val="nil"/>
              <w:left w:val="single" w:sz="4" w:space="0" w:color="auto"/>
              <w:bottom w:val="single" w:sz="4" w:space="0" w:color="auto"/>
              <w:right w:val="nil"/>
            </w:tcBorders>
            <w:shd w:val="clear" w:color="auto" w:fill="auto"/>
            <w:vAlign w:val="center"/>
            <w:hideMark/>
          </w:tcPr>
          <w:p w14:paraId="38601267" w14:textId="7B03F6E9"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Organizational structure</w:t>
            </w:r>
          </w:p>
        </w:tc>
        <w:tc>
          <w:tcPr>
            <w:tcW w:w="4110" w:type="dxa"/>
            <w:tcBorders>
              <w:top w:val="nil"/>
              <w:left w:val="single" w:sz="4" w:space="0" w:color="auto"/>
              <w:bottom w:val="single" w:sz="4" w:space="0" w:color="auto"/>
            </w:tcBorders>
            <w:shd w:val="clear" w:color="000000" w:fill="FFFFFF"/>
            <w:vAlign w:val="center"/>
            <w:hideMark/>
          </w:tcPr>
          <w:p w14:paraId="58AEC47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0.89%</w:t>
            </w:r>
          </w:p>
        </w:tc>
      </w:tr>
      <w:tr w:rsidR="00943DFA" w:rsidRPr="00943DFA" w14:paraId="7C848489" w14:textId="77777777" w:rsidTr="00373B60">
        <w:trPr>
          <w:trHeight w:val="119"/>
        </w:trPr>
        <w:tc>
          <w:tcPr>
            <w:tcW w:w="772" w:type="dxa"/>
            <w:tcBorders>
              <w:top w:val="nil"/>
              <w:bottom w:val="single" w:sz="4" w:space="0" w:color="auto"/>
              <w:right w:val="nil"/>
            </w:tcBorders>
            <w:shd w:val="clear" w:color="auto" w:fill="auto"/>
            <w:vAlign w:val="center"/>
            <w:hideMark/>
          </w:tcPr>
          <w:p w14:paraId="151EA93D"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E4</w:t>
            </w:r>
          </w:p>
        </w:tc>
        <w:tc>
          <w:tcPr>
            <w:tcW w:w="4175" w:type="dxa"/>
            <w:tcBorders>
              <w:top w:val="nil"/>
              <w:left w:val="single" w:sz="4" w:space="0" w:color="auto"/>
              <w:bottom w:val="single" w:sz="4" w:space="0" w:color="auto"/>
              <w:right w:val="nil"/>
            </w:tcBorders>
            <w:shd w:val="clear" w:color="auto" w:fill="auto"/>
            <w:vAlign w:val="center"/>
            <w:hideMark/>
          </w:tcPr>
          <w:p w14:paraId="544F33F1"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Compensation</w:t>
            </w:r>
          </w:p>
        </w:tc>
        <w:tc>
          <w:tcPr>
            <w:tcW w:w="4110" w:type="dxa"/>
            <w:tcBorders>
              <w:top w:val="nil"/>
              <w:left w:val="single" w:sz="4" w:space="0" w:color="auto"/>
              <w:bottom w:val="single" w:sz="4" w:space="0" w:color="auto"/>
            </w:tcBorders>
            <w:shd w:val="clear" w:color="000000" w:fill="FFFFFF"/>
            <w:vAlign w:val="center"/>
            <w:hideMark/>
          </w:tcPr>
          <w:p w14:paraId="7D8899E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3.14%</w:t>
            </w:r>
          </w:p>
        </w:tc>
      </w:tr>
      <w:tr w:rsidR="00943DFA" w:rsidRPr="00943DFA" w14:paraId="59AF2355" w14:textId="77777777" w:rsidTr="00373B60">
        <w:trPr>
          <w:trHeight w:val="64"/>
        </w:trPr>
        <w:tc>
          <w:tcPr>
            <w:tcW w:w="772" w:type="dxa"/>
            <w:tcBorders>
              <w:top w:val="nil"/>
              <w:bottom w:val="single" w:sz="12" w:space="0" w:color="auto"/>
              <w:right w:val="nil"/>
            </w:tcBorders>
            <w:shd w:val="clear" w:color="auto" w:fill="auto"/>
            <w:vAlign w:val="center"/>
            <w:hideMark/>
          </w:tcPr>
          <w:p w14:paraId="02DD6B58"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E5</w:t>
            </w:r>
          </w:p>
        </w:tc>
        <w:tc>
          <w:tcPr>
            <w:tcW w:w="4175" w:type="dxa"/>
            <w:tcBorders>
              <w:top w:val="nil"/>
              <w:left w:val="single" w:sz="4" w:space="0" w:color="auto"/>
              <w:bottom w:val="single" w:sz="12" w:space="0" w:color="auto"/>
              <w:right w:val="nil"/>
            </w:tcBorders>
            <w:shd w:val="clear" w:color="auto" w:fill="auto"/>
            <w:vAlign w:val="center"/>
            <w:hideMark/>
          </w:tcPr>
          <w:p w14:paraId="036BADE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Employee</w:t>
            </w:r>
          </w:p>
        </w:tc>
        <w:tc>
          <w:tcPr>
            <w:tcW w:w="4110" w:type="dxa"/>
            <w:tcBorders>
              <w:top w:val="nil"/>
              <w:left w:val="single" w:sz="4" w:space="0" w:color="auto"/>
              <w:bottom w:val="single" w:sz="12" w:space="0" w:color="auto"/>
            </w:tcBorders>
            <w:shd w:val="clear" w:color="000000" w:fill="FFFFFF"/>
            <w:vAlign w:val="center"/>
            <w:hideMark/>
          </w:tcPr>
          <w:p w14:paraId="54FBC48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0.29%</w:t>
            </w:r>
          </w:p>
        </w:tc>
      </w:tr>
      <w:tr w:rsidR="00943DFA" w:rsidRPr="00943DFA" w14:paraId="43B350B2" w14:textId="77777777" w:rsidTr="00373B60">
        <w:trPr>
          <w:trHeight w:val="92"/>
        </w:trPr>
        <w:tc>
          <w:tcPr>
            <w:tcW w:w="4947" w:type="dxa"/>
            <w:gridSpan w:val="2"/>
            <w:tcBorders>
              <w:top w:val="single" w:sz="12" w:space="0" w:color="auto"/>
              <w:bottom w:val="single" w:sz="4" w:space="0" w:color="auto"/>
              <w:right w:val="single" w:sz="4" w:space="0" w:color="000000"/>
            </w:tcBorders>
            <w:shd w:val="clear" w:color="auto" w:fill="auto"/>
            <w:vAlign w:val="center"/>
            <w:hideMark/>
          </w:tcPr>
          <w:p w14:paraId="2EEB5C8E" w14:textId="5C73F4E5" w:rsidR="00195130"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F</w:t>
            </w:r>
            <w:r w:rsidR="00195130" w:rsidRPr="00943DFA">
              <w:rPr>
                <w:rFonts w:eastAsia="Times New Roman"/>
                <w:b/>
                <w:bCs/>
                <w:color w:val="0D0D0D" w:themeColor="text1" w:themeTint="F2"/>
                <w:sz w:val="18"/>
                <w:szCs w:val="20"/>
              </w:rPr>
              <w:t>. DISCLOSURE ISSUES</w:t>
            </w:r>
          </w:p>
        </w:tc>
        <w:tc>
          <w:tcPr>
            <w:tcW w:w="4110" w:type="dxa"/>
            <w:tcBorders>
              <w:top w:val="nil"/>
              <w:left w:val="single" w:sz="4" w:space="0" w:color="auto"/>
              <w:bottom w:val="single" w:sz="4" w:space="0" w:color="auto"/>
            </w:tcBorders>
            <w:shd w:val="clear" w:color="auto" w:fill="auto"/>
            <w:vAlign w:val="center"/>
            <w:hideMark/>
          </w:tcPr>
          <w:p w14:paraId="164A83E9" w14:textId="0E7B04C3"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29.</w:t>
            </w:r>
            <w:r w:rsidR="00267BF9" w:rsidRPr="00943DFA">
              <w:rPr>
                <w:rFonts w:eastAsia="Times New Roman"/>
                <w:b/>
                <w:bCs/>
                <w:color w:val="0D0D0D" w:themeColor="text1" w:themeTint="F2"/>
                <w:sz w:val="18"/>
                <w:szCs w:val="20"/>
              </w:rPr>
              <w:t>88</w:t>
            </w:r>
            <w:r w:rsidRPr="00943DFA">
              <w:rPr>
                <w:rFonts w:eastAsia="Times New Roman"/>
                <w:b/>
                <w:bCs/>
                <w:color w:val="0D0D0D" w:themeColor="text1" w:themeTint="F2"/>
                <w:sz w:val="18"/>
                <w:szCs w:val="20"/>
              </w:rPr>
              <w:t>%</w:t>
            </w:r>
          </w:p>
        </w:tc>
      </w:tr>
      <w:tr w:rsidR="00943DFA" w:rsidRPr="00943DFA" w14:paraId="2297BDCD" w14:textId="77777777" w:rsidTr="00373B60">
        <w:trPr>
          <w:trHeight w:val="147"/>
        </w:trPr>
        <w:tc>
          <w:tcPr>
            <w:tcW w:w="772" w:type="dxa"/>
            <w:tcBorders>
              <w:top w:val="nil"/>
              <w:bottom w:val="single" w:sz="4" w:space="0" w:color="auto"/>
              <w:right w:val="single" w:sz="4" w:space="0" w:color="auto"/>
            </w:tcBorders>
            <w:shd w:val="clear" w:color="auto" w:fill="auto"/>
            <w:vAlign w:val="center"/>
            <w:hideMark/>
          </w:tcPr>
          <w:p w14:paraId="512B8857"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F1</w:t>
            </w:r>
          </w:p>
        </w:tc>
        <w:tc>
          <w:tcPr>
            <w:tcW w:w="4175" w:type="dxa"/>
            <w:tcBorders>
              <w:top w:val="nil"/>
              <w:left w:val="nil"/>
              <w:bottom w:val="single" w:sz="4" w:space="0" w:color="auto"/>
              <w:right w:val="nil"/>
            </w:tcBorders>
            <w:shd w:val="clear" w:color="auto" w:fill="auto"/>
            <w:vAlign w:val="center"/>
            <w:hideMark/>
          </w:tcPr>
          <w:p w14:paraId="0E1A5CFB"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Technical information</w:t>
            </w:r>
          </w:p>
        </w:tc>
        <w:tc>
          <w:tcPr>
            <w:tcW w:w="4110" w:type="dxa"/>
            <w:tcBorders>
              <w:top w:val="nil"/>
              <w:left w:val="single" w:sz="4" w:space="0" w:color="auto"/>
              <w:bottom w:val="single" w:sz="4" w:space="0" w:color="auto"/>
            </w:tcBorders>
            <w:shd w:val="clear" w:color="000000" w:fill="FFFFFF"/>
            <w:vAlign w:val="center"/>
            <w:hideMark/>
          </w:tcPr>
          <w:p w14:paraId="246DC7D3" w14:textId="6E48FC73"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1.0</w:t>
            </w:r>
            <w:r w:rsidR="00267BF9" w:rsidRPr="00943DFA">
              <w:rPr>
                <w:rFonts w:eastAsia="Times New Roman"/>
                <w:color w:val="0D0D0D" w:themeColor="text1" w:themeTint="F2"/>
                <w:sz w:val="18"/>
                <w:szCs w:val="20"/>
              </w:rPr>
              <w:t>8</w:t>
            </w:r>
            <w:r w:rsidRPr="00943DFA">
              <w:rPr>
                <w:rFonts w:eastAsia="Times New Roman"/>
                <w:color w:val="0D0D0D" w:themeColor="text1" w:themeTint="F2"/>
                <w:sz w:val="18"/>
                <w:szCs w:val="20"/>
              </w:rPr>
              <w:t>%</w:t>
            </w:r>
          </w:p>
        </w:tc>
      </w:tr>
      <w:tr w:rsidR="00943DFA" w:rsidRPr="00943DFA" w14:paraId="74E2AA85" w14:textId="77777777" w:rsidTr="00373B60">
        <w:trPr>
          <w:trHeight w:val="179"/>
        </w:trPr>
        <w:tc>
          <w:tcPr>
            <w:tcW w:w="772" w:type="dxa"/>
            <w:tcBorders>
              <w:top w:val="nil"/>
              <w:bottom w:val="single" w:sz="4" w:space="0" w:color="auto"/>
              <w:right w:val="nil"/>
            </w:tcBorders>
            <w:shd w:val="clear" w:color="auto" w:fill="auto"/>
            <w:vAlign w:val="center"/>
            <w:hideMark/>
          </w:tcPr>
          <w:p w14:paraId="3259144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F2</w:t>
            </w:r>
          </w:p>
        </w:tc>
        <w:tc>
          <w:tcPr>
            <w:tcW w:w="4175" w:type="dxa"/>
            <w:tcBorders>
              <w:top w:val="nil"/>
              <w:left w:val="single" w:sz="4" w:space="0" w:color="auto"/>
              <w:bottom w:val="single" w:sz="4" w:space="0" w:color="auto"/>
              <w:right w:val="nil"/>
            </w:tcBorders>
            <w:shd w:val="clear" w:color="auto" w:fill="auto"/>
            <w:vAlign w:val="center"/>
            <w:hideMark/>
          </w:tcPr>
          <w:p w14:paraId="1E6BA11E"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Abstract word</w:t>
            </w:r>
          </w:p>
        </w:tc>
        <w:tc>
          <w:tcPr>
            <w:tcW w:w="4110" w:type="dxa"/>
            <w:tcBorders>
              <w:top w:val="nil"/>
              <w:left w:val="single" w:sz="4" w:space="0" w:color="auto"/>
              <w:bottom w:val="single" w:sz="4" w:space="0" w:color="auto"/>
            </w:tcBorders>
            <w:shd w:val="clear" w:color="000000" w:fill="FFFFFF"/>
            <w:vAlign w:val="center"/>
            <w:hideMark/>
          </w:tcPr>
          <w:p w14:paraId="2210ADA7"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1.35%</w:t>
            </w:r>
          </w:p>
        </w:tc>
      </w:tr>
      <w:tr w:rsidR="00943DFA" w:rsidRPr="00943DFA" w14:paraId="1635A1D1" w14:textId="77777777" w:rsidTr="00373B60">
        <w:trPr>
          <w:trHeight w:val="225"/>
        </w:trPr>
        <w:tc>
          <w:tcPr>
            <w:tcW w:w="772" w:type="dxa"/>
            <w:tcBorders>
              <w:top w:val="nil"/>
              <w:bottom w:val="single" w:sz="4" w:space="0" w:color="auto"/>
              <w:right w:val="nil"/>
            </w:tcBorders>
            <w:shd w:val="clear" w:color="auto" w:fill="auto"/>
            <w:vAlign w:val="center"/>
            <w:hideMark/>
          </w:tcPr>
          <w:p w14:paraId="36B49BC4"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F3</w:t>
            </w:r>
          </w:p>
        </w:tc>
        <w:tc>
          <w:tcPr>
            <w:tcW w:w="4175" w:type="dxa"/>
            <w:tcBorders>
              <w:top w:val="nil"/>
              <w:left w:val="single" w:sz="4" w:space="0" w:color="auto"/>
              <w:bottom w:val="single" w:sz="4" w:space="0" w:color="auto"/>
              <w:right w:val="nil"/>
            </w:tcBorders>
            <w:shd w:val="clear" w:color="auto" w:fill="auto"/>
            <w:vAlign w:val="center"/>
            <w:hideMark/>
          </w:tcPr>
          <w:p w14:paraId="49C873F6"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Tone</w:t>
            </w:r>
          </w:p>
        </w:tc>
        <w:tc>
          <w:tcPr>
            <w:tcW w:w="4110" w:type="dxa"/>
            <w:tcBorders>
              <w:top w:val="nil"/>
              <w:left w:val="single" w:sz="4" w:space="0" w:color="auto"/>
              <w:bottom w:val="single" w:sz="4" w:space="0" w:color="auto"/>
            </w:tcBorders>
            <w:shd w:val="clear" w:color="000000" w:fill="FFFFFF"/>
            <w:vAlign w:val="center"/>
            <w:hideMark/>
          </w:tcPr>
          <w:p w14:paraId="2A158254"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0.56%</w:t>
            </w:r>
          </w:p>
        </w:tc>
      </w:tr>
      <w:tr w:rsidR="00943DFA" w:rsidRPr="00943DFA" w14:paraId="66EF17EC" w14:textId="77777777" w:rsidTr="00373B60">
        <w:trPr>
          <w:trHeight w:val="129"/>
        </w:trPr>
        <w:tc>
          <w:tcPr>
            <w:tcW w:w="772" w:type="dxa"/>
            <w:tcBorders>
              <w:top w:val="nil"/>
              <w:bottom w:val="single" w:sz="4" w:space="0" w:color="auto"/>
              <w:right w:val="nil"/>
            </w:tcBorders>
            <w:shd w:val="clear" w:color="auto" w:fill="auto"/>
            <w:vAlign w:val="center"/>
            <w:hideMark/>
          </w:tcPr>
          <w:p w14:paraId="228D857A"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F4</w:t>
            </w:r>
          </w:p>
        </w:tc>
        <w:tc>
          <w:tcPr>
            <w:tcW w:w="4175" w:type="dxa"/>
            <w:tcBorders>
              <w:top w:val="nil"/>
              <w:left w:val="single" w:sz="4" w:space="0" w:color="auto"/>
              <w:bottom w:val="single" w:sz="4" w:space="0" w:color="auto"/>
              <w:right w:val="single" w:sz="4" w:space="0" w:color="auto"/>
            </w:tcBorders>
            <w:shd w:val="clear" w:color="auto" w:fill="auto"/>
            <w:vAlign w:val="center"/>
            <w:hideMark/>
          </w:tcPr>
          <w:p w14:paraId="2A4655CA"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Selective disclosure</w:t>
            </w:r>
          </w:p>
        </w:tc>
        <w:tc>
          <w:tcPr>
            <w:tcW w:w="4110" w:type="dxa"/>
            <w:tcBorders>
              <w:top w:val="nil"/>
              <w:left w:val="single" w:sz="4" w:space="0" w:color="auto"/>
              <w:bottom w:val="single" w:sz="4" w:space="0" w:color="auto"/>
            </w:tcBorders>
            <w:shd w:val="clear" w:color="000000" w:fill="FFFFFF"/>
            <w:vAlign w:val="center"/>
            <w:hideMark/>
          </w:tcPr>
          <w:p w14:paraId="6755F043"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1.08%</w:t>
            </w:r>
          </w:p>
        </w:tc>
      </w:tr>
      <w:tr w:rsidR="00943DFA" w:rsidRPr="00943DFA" w14:paraId="12CF3A93" w14:textId="77777777" w:rsidTr="00373B60">
        <w:trPr>
          <w:trHeight w:val="175"/>
        </w:trPr>
        <w:tc>
          <w:tcPr>
            <w:tcW w:w="772" w:type="dxa"/>
            <w:tcBorders>
              <w:top w:val="nil"/>
              <w:bottom w:val="single" w:sz="4" w:space="0" w:color="auto"/>
              <w:right w:val="single" w:sz="4" w:space="0" w:color="auto"/>
            </w:tcBorders>
            <w:shd w:val="clear" w:color="auto" w:fill="auto"/>
            <w:vAlign w:val="center"/>
            <w:hideMark/>
          </w:tcPr>
          <w:p w14:paraId="7D75B3EA"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F5</w:t>
            </w:r>
          </w:p>
        </w:tc>
        <w:tc>
          <w:tcPr>
            <w:tcW w:w="4175" w:type="dxa"/>
            <w:tcBorders>
              <w:top w:val="nil"/>
              <w:left w:val="nil"/>
              <w:bottom w:val="single" w:sz="4" w:space="0" w:color="auto"/>
              <w:right w:val="nil"/>
            </w:tcBorders>
            <w:shd w:val="clear" w:color="auto" w:fill="auto"/>
            <w:vAlign w:val="center"/>
            <w:hideMark/>
          </w:tcPr>
          <w:p w14:paraId="27840987"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Completeness</w:t>
            </w:r>
          </w:p>
        </w:tc>
        <w:tc>
          <w:tcPr>
            <w:tcW w:w="4110" w:type="dxa"/>
            <w:tcBorders>
              <w:top w:val="nil"/>
              <w:left w:val="single" w:sz="4" w:space="0" w:color="auto"/>
              <w:bottom w:val="single" w:sz="4" w:space="0" w:color="auto"/>
            </w:tcBorders>
            <w:shd w:val="clear" w:color="000000" w:fill="FFFFFF"/>
            <w:vAlign w:val="center"/>
            <w:hideMark/>
          </w:tcPr>
          <w:p w14:paraId="0F6E3AB7" w14:textId="6EB72073"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10.0</w:t>
            </w:r>
            <w:r w:rsidR="00267BF9" w:rsidRPr="00943DFA">
              <w:rPr>
                <w:rFonts w:eastAsia="Times New Roman"/>
                <w:color w:val="0D0D0D" w:themeColor="text1" w:themeTint="F2"/>
                <w:sz w:val="18"/>
                <w:szCs w:val="20"/>
              </w:rPr>
              <w:t>4</w:t>
            </w:r>
            <w:r w:rsidRPr="00943DFA">
              <w:rPr>
                <w:rFonts w:eastAsia="Times New Roman"/>
                <w:color w:val="0D0D0D" w:themeColor="text1" w:themeTint="F2"/>
                <w:sz w:val="18"/>
                <w:szCs w:val="20"/>
              </w:rPr>
              <w:t>%</w:t>
            </w:r>
          </w:p>
        </w:tc>
      </w:tr>
      <w:tr w:rsidR="00943DFA" w:rsidRPr="00943DFA" w14:paraId="03F66A28" w14:textId="77777777" w:rsidTr="00373B60">
        <w:trPr>
          <w:trHeight w:val="207"/>
        </w:trPr>
        <w:tc>
          <w:tcPr>
            <w:tcW w:w="772" w:type="dxa"/>
            <w:tcBorders>
              <w:top w:val="nil"/>
              <w:bottom w:val="single" w:sz="4" w:space="0" w:color="auto"/>
              <w:right w:val="nil"/>
            </w:tcBorders>
            <w:shd w:val="clear" w:color="auto" w:fill="auto"/>
            <w:vAlign w:val="center"/>
            <w:hideMark/>
          </w:tcPr>
          <w:p w14:paraId="3306E6CE"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F6</w:t>
            </w:r>
          </w:p>
        </w:tc>
        <w:tc>
          <w:tcPr>
            <w:tcW w:w="4175" w:type="dxa"/>
            <w:tcBorders>
              <w:top w:val="nil"/>
              <w:left w:val="single" w:sz="4" w:space="0" w:color="auto"/>
              <w:bottom w:val="single" w:sz="4" w:space="0" w:color="auto"/>
              <w:right w:val="single" w:sz="4" w:space="0" w:color="auto"/>
            </w:tcBorders>
            <w:shd w:val="clear" w:color="auto" w:fill="auto"/>
            <w:vAlign w:val="center"/>
            <w:hideMark/>
          </w:tcPr>
          <w:p w14:paraId="2AD138AA"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General information</w:t>
            </w:r>
          </w:p>
        </w:tc>
        <w:tc>
          <w:tcPr>
            <w:tcW w:w="4110" w:type="dxa"/>
            <w:tcBorders>
              <w:top w:val="nil"/>
              <w:left w:val="single" w:sz="4" w:space="0" w:color="auto"/>
              <w:bottom w:val="single" w:sz="4" w:space="0" w:color="auto"/>
            </w:tcBorders>
            <w:shd w:val="clear" w:color="000000" w:fill="FFFFFF"/>
            <w:vAlign w:val="center"/>
            <w:hideMark/>
          </w:tcPr>
          <w:p w14:paraId="3777A4B4" w14:textId="6F474CB3"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6.8</w:t>
            </w:r>
            <w:r w:rsidR="00267BF9" w:rsidRPr="00943DFA">
              <w:rPr>
                <w:rFonts w:eastAsia="Times New Roman"/>
                <w:color w:val="0D0D0D" w:themeColor="text1" w:themeTint="F2"/>
                <w:sz w:val="18"/>
                <w:szCs w:val="20"/>
              </w:rPr>
              <w:t>2</w:t>
            </w:r>
            <w:r w:rsidRPr="00943DFA">
              <w:rPr>
                <w:rFonts w:eastAsia="Times New Roman"/>
                <w:color w:val="0D0D0D" w:themeColor="text1" w:themeTint="F2"/>
                <w:sz w:val="18"/>
                <w:szCs w:val="20"/>
              </w:rPr>
              <w:t>%</w:t>
            </w:r>
          </w:p>
        </w:tc>
      </w:tr>
      <w:tr w:rsidR="00943DFA" w:rsidRPr="00943DFA" w14:paraId="0F682243" w14:textId="77777777" w:rsidTr="00373B60">
        <w:trPr>
          <w:trHeight w:val="125"/>
        </w:trPr>
        <w:tc>
          <w:tcPr>
            <w:tcW w:w="772" w:type="dxa"/>
            <w:tcBorders>
              <w:top w:val="nil"/>
              <w:bottom w:val="single" w:sz="4" w:space="0" w:color="auto"/>
              <w:right w:val="nil"/>
            </w:tcBorders>
            <w:shd w:val="clear" w:color="auto" w:fill="auto"/>
            <w:vAlign w:val="center"/>
            <w:hideMark/>
          </w:tcPr>
          <w:p w14:paraId="1F532F10"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F7</w:t>
            </w:r>
          </w:p>
        </w:tc>
        <w:tc>
          <w:tcPr>
            <w:tcW w:w="4175" w:type="dxa"/>
            <w:tcBorders>
              <w:top w:val="nil"/>
              <w:left w:val="single" w:sz="4" w:space="0" w:color="auto"/>
              <w:bottom w:val="single" w:sz="4" w:space="0" w:color="auto"/>
              <w:right w:val="nil"/>
            </w:tcBorders>
            <w:shd w:val="clear" w:color="auto" w:fill="auto"/>
            <w:vAlign w:val="center"/>
            <w:hideMark/>
          </w:tcPr>
          <w:p w14:paraId="55414AEF"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Inaccurate/inappropriate disclosure</w:t>
            </w:r>
          </w:p>
        </w:tc>
        <w:tc>
          <w:tcPr>
            <w:tcW w:w="4110" w:type="dxa"/>
            <w:tcBorders>
              <w:top w:val="nil"/>
              <w:left w:val="single" w:sz="4" w:space="0" w:color="auto"/>
              <w:bottom w:val="single" w:sz="4" w:space="0" w:color="auto"/>
            </w:tcBorders>
            <w:shd w:val="clear" w:color="000000" w:fill="FFFFFF"/>
            <w:vAlign w:val="center"/>
            <w:hideMark/>
          </w:tcPr>
          <w:p w14:paraId="44E48FA9" w14:textId="13DCE264"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3.3</w:t>
            </w:r>
            <w:r w:rsidR="00267BF9" w:rsidRPr="00943DFA">
              <w:rPr>
                <w:rFonts w:eastAsia="Times New Roman"/>
                <w:color w:val="0D0D0D" w:themeColor="text1" w:themeTint="F2"/>
                <w:sz w:val="18"/>
                <w:szCs w:val="20"/>
              </w:rPr>
              <w:t>9</w:t>
            </w:r>
            <w:r w:rsidRPr="00943DFA">
              <w:rPr>
                <w:rFonts w:eastAsia="Times New Roman"/>
                <w:color w:val="0D0D0D" w:themeColor="text1" w:themeTint="F2"/>
                <w:sz w:val="18"/>
                <w:szCs w:val="20"/>
              </w:rPr>
              <w:t>%</w:t>
            </w:r>
          </w:p>
        </w:tc>
      </w:tr>
      <w:tr w:rsidR="00943DFA" w:rsidRPr="00943DFA" w14:paraId="11C57AA6" w14:textId="77777777" w:rsidTr="00373B60">
        <w:trPr>
          <w:trHeight w:val="165"/>
        </w:trPr>
        <w:tc>
          <w:tcPr>
            <w:tcW w:w="772" w:type="dxa"/>
            <w:tcBorders>
              <w:top w:val="nil"/>
              <w:bottom w:val="single" w:sz="4" w:space="0" w:color="auto"/>
              <w:right w:val="nil"/>
            </w:tcBorders>
            <w:shd w:val="clear" w:color="auto" w:fill="auto"/>
            <w:vAlign w:val="center"/>
            <w:hideMark/>
          </w:tcPr>
          <w:p w14:paraId="28F70BFB"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F8</w:t>
            </w:r>
          </w:p>
        </w:tc>
        <w:tc>
          <w:tcPr>
            <w:tcW w:w="4175" w:type="dxa"/>
            <w:tcBorders>
              <w:top w:val="nil"/>
              <w:left w:val="single" w:sz="4" w:space="0" w:color="auto"/>
              <w:bottom w:val="single" w:sz="4" w:space="0" w:color="auto"/>
              <w:right w:val="nil"/>
            </w:tcBorders>
            <w:shd w:val="clear" w:color="auto" w:fill="auto"/>
            <w:vAlign w:val="center"/>
            <w:hideMark/>
          </w:tcPr>
          <w:p w14:paraId="28935308"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Disclosure too outdated, generic, or too detailed</w:t>
            </w:r>
          </w:p>
        </w:tc>
        <w:tc>
          <w:tcPr>
            <w:tcW w:w="4110" w:type="dxa"/>
            <w:tcBorders>
              <w:top w:val="nil"/>
              <w:left w:val="single" w:sz="4" w:space="0" w:color="auto"/>
              <w:bottom w:val="single" w:sz="4" w:space="0" w:color="auto"/>
            </w:tcBorders>
            <w:shd w:val="clear" w:color="000000" w:fill="FFFFFF"/>
            <w:vAlign w:val="center"/>
            <w:hideMark/>
          </w:tcPr>
          <w:p w14:paraId="36E5323F" w14:textId="6C0347A2"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w:t>
            </w:r>
            <w:r w:rsidR="00267BF9" w:rsidRPr="00943DFA">
              <w:rPr>
                <w:rFonts w:eastAsia="Times New Roman"/>
                <w:color w:val="0D0D0D" w:themeColor="text1" w:themeTint="F2"/>
                <w:sz w:val="18"/>
                <w:szCs w:val="20"/>
              </w:rPr>
              <w:t>31</w:t>
            </w:r>
            <w:r w:rsidRPr="00943DFA">
              <w:rPr>
                <w:rFonts w:eastAsia="Times New Roman"/>
                <w:color w:val="0D0D0D" w:themeColor="text1" w:themeTint="F2"/>
                <w:sz w:val="18"/>
                <w:szCs w:val="20"/>
              </w:rPr>
              <w:t>%</w:t>
            </w:r>
          </w:p>
        </w:tc>
      </w:tr>
      <w:tr w:rsidR="00943DFA" w:rsidRPr="00943DFA" w14:paraId="0461E6B4" w14:textId="77777777" w:rsidTr="00373B60">
        <w:trPr>
          <w:trHeight w:val="133"/>
        </w:trPr>
        <w:tc>
          <w:tcPr>
            <w:tcW w:w="772" w:type="dxa"/>
            <w:tcBorders>
              <w:top w:val="nil"/>
              <w:bottom w:val="single" w:sz="4" w:space="0" w:color="auto"/>
              <w:right w:val="nil"/>
            </w:tcBorders>
            <w:shd w:val="clear" w:color="auto" w:fill="auto"/>
            <w:vAlign w:val="center"/>
            <w:hideMark/>
          </w:tcPr>
          <w:p w14:paraId="5FFEEB06"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F9</w:t>
            </w:r>
          </w:p>
        </w:tc>
        <w:tc>
          <w:tcPr>
            <w:tcW w:w="4175" w:type="dxa"/>
            <w:tcBorders>
              <w:top w:val="nil"/>
              <w:left w:val="single" w:sz="4" w:space="0" w:color="auto"/>
              <w:bottom w:val="single" w:sz="4" w:space="0" w:color="auto"/>
              <w:right w:val="nil"/>
            </w:tcBorders>
            <w:shd w:val="clear" w:color="auto" w:fill="auto"/>
            <w:vAlign w:val="center"/>
            <w:hideMark/>
          </w:tcPr>
          <w:p w14:paraId="518B3246"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Relevance</w:t>
            </w:r>
          </w:p>
        </w:tc>
        <w:tc>
          <w:tcPr>
            <w:tcW w:w="4110" w:type="dxa"/>
            <w:tcBorders>
              <w:top w:val="nil"/>
              <w:left w:val="single" w:sz="4" w:space="0" w:color="auto"/>
              <w:bottom w:val="single" w:sz="4" w:space="0" w:color="auto"/>
            </w:tcBorders>
            <w:shd w:val="clear" w:color="000000" w:fill="FFFFFF"/>
            <w:vAlign w:val="center"/>
            <w:hideMark/>
          </w:tcPr>
          <w:p w14:paraId="64149340"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1.41%</w:t>
            </w:r>
          </w:p>
        </w:tc>
      </w:tr>
      <w:tr w:rsidR="00943DFA" w:rsidRPr="00943DFA" w14:paraId="550B076E" w14:textId="77777777" w:rsidTr="00373B60">
        <w:trPr>
          <w:trHeight w:val="64"/>
        </w:trPr>
        <w:tc>
          <w:tcPr>
            <w:tcW w:w="772" w:type="dxa"/>
            <w:tcBorders>
              <w:top w:val="nil"/>
              <w:bottom w:val="single" w:sz="4" w:space="0" w:color="auto"/>
              <w:right w:val="nil"/>
            </w:tcBorders>
            <w:shd w:val="clear" w:color="auto" w:fill="auto"/>
            <w:vAlign w:val="center"/>
            <w:hideMark/>
          </w:tcPr>
          <w:p w14:paraId="3ADC42CF"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F10</w:t>
            </w:r>
          </w:p>
        </w:tc>
        <w:tc>
          <w:tcPr>
            <w:tcW w:w="4175" w:type="dxa"/>
            <w:tcBorders>
              <w:top w:val="nil"/>
              <w:left w:val="single" w:sz="4" w:space="0" w:color="auto"/>
              <w:bottom w:val="single" w:sz="4" w:space="0" w:color="auto"/>
              <w:right w:val="nil"/>
            </w:tcBorders>
            <w:shd w:val="clear" w:color="auto" w:fill="auto"/>
            <w:vAlign w:val="center"/>
            <w:hideMark/>
          </w:tcPr>
          <w:p w14:paraId="2EFBDA9D"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References</w:t>
            </w:r>
          </w:p>
        </w:tc>
        <w:tc>
          <w:tcPr>
            <w:tcW w:w="4110" w:type="dxa"/>
            <w:tcBorders>
              <w:top w:val="nil"/>
              <w:left w:val="single" w:sz="4" w:space="0" w:color="auto"/>
              <w:bottom w:val="single" w:sz="4" w:space="0" w:color="auto"/>
            </w:tcBorders>
            <w:shd w:val="clear" w:color="000000" w:fill="FFFFFF"/>
            <w:vAlign w:val="center"/>
            <w:hideMark/>
          </w:tcPr>
          <w:p w14:paraId="0EFE8398"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0.29%</w:t>
            </w:r>
          </w:p>
        </w:tc>
      </w:tr>
      <w:tr w:rsidR="00943DFA" w:rsidRPr="00943DFA" w14:paraId="35A91D8B" w14:textId="77777777" w:rsidTr="00373B60">
        <w:trPr>
          <w:trHeight w:val="64"/>
        </w:trPr>
        <w:tc>
          <w:tcPr>
            <w:tcW w:w="772" w:type="dxa"/>
            <w:tcBorders>
              <w:top w:val="nil"/>
              <w:bottom w:val="single" w:sz="12" w:space="0" w:color="auto"/>
              <w:right w:val="single" w:sz="4" w:space="0" w:color="auto"/>
            </w:tcBorders>
            <w:shd w:val="clear" w:color="auto" w:fill="auto"/>
            <w:vAlign w:val="center"/>
            <w:hideMark/>
          </w:tcPr>
          <w:p w14:paraId="2328DD0E"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F11</w:t>
            </w:r>
          </w:p>
        </w:tc>
        <w:tc>
          <w:tcPr>
            <w:tcW w:w="4175" w:type="dxa"/>
            <w:tcBorders>
              <w:top w:val="nil"/>
              <w:left w:val="nil"/>
              <w:bottom w:val="single" w:sz="12" w:space="0" w:color="auto"/>
              <w:right w:val="single" w:sz="4" w:space="0" w:color="auto"/>
            </w:tcBorders>
            <w:shd w:val="clear" w:color="auto" w:fill="auto"/>
            <w:vAlign w:val="center"/>
            <w:hideMark/>
          </w:tcPr>
          <w:p w14:paraId="71B5309C" w14:textId="77777777" w:rsidR="00195130" w:rsidRPr="00943DFA" w:rsidRDefault="00195130"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Format</w:t>
            </w:r>
          </w:p>
        </w:tc>
        <w:tc>
          <w:tcPr>
            <w:tcW w:w="4110" w:type="dxa"/>
            <w:tcBorders>
              <w:top w:val="nil"/>
              <w:left w:val="single" w:sz="4" w:space="0" w:color="auto"/>
              <w:bottom w:val="single" w:sz="12" w:space="0" w:color="auto"/>
            </w:tcBorders>
            <w:shd w:val="clear" w:color="000000" w:fill="FFFFFF"/>
            <w:vAlign w:val="center"/>
            <w:hideMark/>
          </w:tcPr>
          <w:p w14:paraId="4F16B84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1.52%</w:t>
            </w:r>
          </w:p>
        </w:tc>
      </w:tr>
      <w:tr w:rsidR="00943DFA" w:rsidRPr="00943DFA" w14:paraId="19334D50" w14:textId="77777777" w:rsidTr="00891F04">
        <w:trPr>
          <w:trHeight w:val="44"/>
        </w:trPr>
        <w:tc>
          <w:tcPr>
            <w:tcW w:w="4947" w:type="dxa"/>
            <w:gridSpan w:val="2"/>
            <w:tcBorders>
              <w:top w:val="nil"/>
              <w:bottom w:val="single" w:sz="4" w:space="0" w:color="auto"/>
              <w:right w:val="single" w:sz="4" w:space="0" w:color="auto"/>
            </w:tcBorders>
            <w:shd w:val="clear" w:color="auto" w:fill="auto"/>
            <w:vAlign w:val="center"/>
          </w:tcPr>
          <w:p w14:paraId="2466E2B7" w14:textId="003CC468" w:rsidR="002035BF" w:rsidRPr="00943DFA" w:rsidRDefault="002035BF"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VII. OTHER ISSUES</w:t>
            </w:r>
          </w:p>
        </w:tc>
        <w:tc>
          <w:tcPr>
            <w:tcW w:w="4110" w:type="dxa"/>
            <w:tcBorders>
              <w:top w:val="nil"/>
              <w:left w:val="single" w:sz="4" w:space="0" w:color="auto"/>
              <w:bottom w:val="single" w:sz="4" w:space="0" w:color="auto"/>
            </w:tcBorders>
            <w:shd w:val="clear" w:color="auto" w:fill="auto"/>
            <w:vAlign w:val="center"/>
          </w:tcPr>
          <w:p w14:paraId="1A1455FB" w14:textId="3937B6FA" w:rsidR="002035BF" w:rsidRPr="00943DFA" w:rsidRDefault="002035BF"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2.39%</w:t>
            </w:r>
          </w:p>
        </w:tc>
      </w:tr>
      <w:tr w:rsidR="00943DFA" w:rsidRPr="00943DFA" w14:paraId="72BAF26F" w14:textId="77777777" w:rsidTr="00891F04">
        <w:trPr>
          <w:trHeight w:val="44"/>
        </w:trPr>
        <w:tc>
          <w:tcPr>
            <w:tcW w:w="772" w:type="dxa"/>
            <w:tcBorders>
              <w:top w:val="single" w:sz="4" w:space="0" w:color="auto"/>
              <w:bottom w:val="single" w:sz="12" w:space="0" w:color="auto"/>
              <w:right w:val="single" w:sz="4" w:space="0" w:color="auto"/>
            </w:tcBorders>
            <w:shd w:val="clear" w:color="auto" w:fill="auto"/>
            <w:vAlign w:val="center"/>
            <w:hideMark/>
          </w:tcPr>
          <w:p w14:paraId="33DF207C"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G1</w:t>
            </w:r>
          </w:p>
        </w:tc>
        <w:tc>
          <w:tcPr>
            <w:tcW w:w="4175" w:type="dxa"/>
            <w:tcBorders>
              <w:top w:val="single" w:sz="4" w:space="0" w:color="auto"/>
              <w:left w:val="nil"/>
              <w:bottom w:val="single" w:sz="12" w:space="0" w:color="auto"/>
              <w:right w:val="nil"/>
            </w:tcBorders>
            <w:shd w:val="clear" w:color="auto" w:fill="auto"/>
            <w:vAlign w:val="center"/>
            <w:hideMark/>
          </w:tcPr>
          <w:p w14:paraId="11EDF75D" w14:textId="0B70597D" w:rsidR="00195130" w:rsidRPr="00943DFA" w:rsidRDefault="002035BF" w:rsidP="00373B60">
            <w:pPr>
              <w:contextualSpacing/>
              <w:rPr>
                <w:rFonts w:eastAsia="Times New Roman"/>
                <w:color w:val="0D0D0D" w:themeColor="text1" w:themeTint="F2"/>
                <w:sz w:val="18"/>
                <w:szCs w:val="20"/>
              </w:rPr>
            </w:pPr>
            <w:r w:rsidRPr="00943DFA">
              <w:rPr>
                <w:rFonts w:eastAsia="Times New Roman"/>
                <w:color w:val="0D0D0D" w:themeColor="text1" w:themeTint="F2"/>
                <w:sz w:val="18"/>
                <w:szCs w:val="20"/>
              </w:rPr>
              <w:t>Other issues</w:t>
            </w:r>
          </w:p>
        </w:tc>
        <w:tc>
          <w:tcPr>
            <w:tcW w:w="4110" w:type="dxa"/>
            <w:tcBorders>
              <w:top w:val="single" w:sz="4" w:space="0" w:color="auto"/>
              <w:left w:val="single" w:sz="4" w:space="0" w:color="auto"/>
              <w:bottom w:val="single" w:sz="12" w:space="0" w:color="auto"/>
            </w:tcBorders>
            <w:shd w:val="clear" w:color="auto" w:fill="auto"/>
            <w:vAlign w:val="center"/>
            <w:hideMark/>
          </w:tcPr>
          <w:p w14:paraId="713754BE" w14:textId="77777777" w:rsidR="00195130" w:rsidRPr="00943DFA" w:rsidRDefault="00195130" w:rsidP="00373B60">
            <w:pPr>
              <w:contextualSpacing/>
              <w:jc w:val="center"/>
              <w:rPr>
                <w:rFonts w:eastAsia="Times New Roman"/>
                <w:color w:val="0D0D0D" w:themeColor="text1" w:themeTint="F2"/>
                <w:sz w:val="18"/>
                <w:szCs w:val="20"/>
              </w:rPr>
            </w:pPr>
            <w:r w:rsidRPr="00943DFA">
              <w:rPr>
                <w:rFonts w:eastAsia="Times New Roman"/>
                <w:color w:val="0D0D0D" w:themeColor="text1" w:themeTint="F2"/>
                <w:sz w:val="18"/>
                <w:szCs w:val="20"/>
              </w:rPr>
              <w:t>2.39%</w:t>
            </w:r>
          </w:p>
        </w:tc>
      </w:tr>
      <w:tr w:rsidR="00943DFA" w:rsidRPr="00943DFA" w14:paraId="7238F602" w14:textId="77777777" w:rsidTr="00373B60">
        <w:trPr>
          <w:trHeight w:val="172"/>
        </w:trPr>
        <w:tc>
          <w:tcPr>
            <w:tcW w:w="772" w:type="dxa"/>
            <w:tcBorders>
              <w:top w:val="nil"/>
              <w:bottom w:val="single" w:sz="12" w:space="0" w:color="auto"/>
              <w:right w:val="single" w:sz="4" w:space="0" w:color="auto"/>
            </w:tcBorders>
            <w:shd w:val="clear" w:color="auto" w:fill="auto"/>
            <w:vAlign w:val="center"/>
          </w:tcPr>
          <w:p w14:paraId="08F37E72" w14:textId="77777777" w:rsidR="00195130" w:rsidRPr="00943DFA" w:rsidRDefault="00195130" w:rsidP="00373B60">
            <w:pPr>
              <w:contextualSpacing/>
              <w:jc w:val="center"/>
              <w:rPr>
                <w:rFonts w:eastAsia="Times New Roman"/>
                <w:color w:val="0D0D0D" w:themeColor="text1" w:themeTint="F2"/>
                <w:sz w:val="18"/>
                <w:szCs w:val="20"/>
              </w:rPr>
            </w:pPr>
          </w:p>
        </w:tc>
        <w:tc>
          <w:tcPr>
            <w:tcW w:w="4175" w:type="dxa"/>
            <w:tcBorders>
              <w:top w:val="nil"/>
              <w:left w:val="nil"/>
              <w:bottom w:val="single" w:sz="12" w:space="0" w:color="auto"/>
              <w:right w:val="nil"/>
            </w:tcBorders>
            <w:shd w:val="clear" w:color="auto" w:fill="auto"/>
            <w:vAlign w:val="center"/>
          </w:tcPr>
          <w:p w14:paraId="0046811B" w14:textId="77777777" w:rsidR="00195130" w:rsidRPr="00943DFA" w:rsidRDefault="00195130" w:rsidP="00373B60">
            <w:pPr>
              <w:contextualSpacing/>
              <w:rPr>
                <w:rFonts w:eastAsia="Times New Roman"/>
                <w:b/>
                <w:bCs/>
                <w:color w:val="0D0D0D" w:themeColor="text1" w:themeTint="F2"/>
                <w:sz w:val="18"/>
                <w:szCs w:val="20"/>
              </w:rPr>
            </w:pPr>
            <w:r w:rsidRPr="00943DFA">
              <w:rPr>
                <w:rFonts w:eastAsia="Times New Roman"/>
                <w:b/>
                <w:bCs/>
                <w:color w:val="0D0D0D" w:themeColor="text1" w:themeTint="F2"/>
                <w:sz w:val="18"/>
                <w:szCs w:val="20"/>
              </w:rPr>
              <w:t>TOTAL</w:t>
            </w:r>
          </w:p>
        </w:tc>
        <w:tc>
          <w:tcPr>
            <w:tcW w:w="4110" w:type="dxa"/>
            <w:tcBorders>
              <w:top w:val="nil"/>
              <w:left w:val="single" w:sz="4" w:space="0" w:color="auto"/>
              <w:bottom w:val="single" w:sz="12" w:space="0" w:color="auto"/>
            </w:tcBorders>
            <w:shd w:val="clear" w:color="auto" w:fill="auto"/>
            <w:vAlign w:val="center"/>
          </w:tcPr>
          <w:p w14:paraId="2BD3AA4C" w14:textId="77777777" w:rsidR="00195130" w:rsidRPr="00943DFA" w:rsidRDefault="00195130" w:rsidP="00373B60">
            <w:pPr>
              <w:contextualSpacing/>
              <w:jc w:val="center"/>
              <w:rPr>
                <w:rFonts w:eastAsia="Times New Roman"/>
                <w:b/>
                <w:bCs/>
                <w:color w:val="0D0D0D" w:themeColor="text1" w:themeTint="F2"/>
                <w:sz w:val="18"/>
                <w:szCs w:val="20"/>
              </w:rPr>
            </w:pPr>
            <w:r w:rsidRPr="00943DFA">
              <w:rPr>
                <w:rFonts w:eastAsia="Times New Roman"/>
                <w:b/>
                <w:bCs/>
                <w:color w:val="0D0D0D" w:themeColor="text1" w:themeTint="F2"/>
                <w:sz w:val="18"/>
                <w:szCs w:val="20"/>
              </w:rPr>
              <w:t>103.62%</w:t>
            </w:r>
          </w:p>
        </w:tc>
      </w:tr>
      <w:tr w:rsidR="00195130" w:rsidRPr="00943DFA" w14:paraId="2A79CE1D" w14:textId="77777777" w:rsidTr="00373B60">
        <w:trPr>
          <w:trHeight w:val="757"/>
        </w:trPr>
        <w:tc>
          <w:tcPr>
            <w:tcW w:w="9057" w:type="dxa"/>
            <w:gridSpan w:val="3"/>
            <w:tcBorders>
              <w:top w:val="nil"/>
              <w:bottom w:val="single" w:sz="12" w:space="0" w:color="auto"/>
            </w:tcBorders>
            <w:shd w:val="clear" w:color="auto" w:fill="auto"/>
            <w:vAlign w:val="center"/>
          </w:tcPr>
          <w:p w14:paraId="0E428F22" w14:textId="39C4CCFF" w:rsidR="00195130" w:rsidRPr="00943DFA" w:rsidRDefault="00195130" w:rsidP="00373B60">
            <w:pPr>
              <w:contextualSpacing/>
              <w:jc w:val="both"/>
              <w:rPr>
                <w:rFonts w:eastAsia="Times New Roman"/>
                <w:bCs/>
                <w:color w:val="0D0D0D" w:themeColor="text1" w:themeTint="F2"/>
                <w:sz w:val="18"/>
                <w:szCs w:val="20"/>
              </w:rPr>
            </w:pPr>
            <w:r w:rsidRPr="00943DFA">
              <w:rPr>
                <w:rFonts w:eastAsia="Times New Roman"/>
                <w:bCs/>
                <w:color w:val="0D0D0D" w:themeColor="text1" w:themeTint="F2"/>
                <w:sz w:val="18"/>
                <w:szCs w:val="20"/>
              </w:rPr>
              <w:t>This table reports the percentage distributions of 480</w:t>
            </w:r>
            <w:r w:rsidR="00246664" w:rsidRPr="00943DFA">
              <w:rPr>
                <w:rFonts w:eastAsia="Times New Roman"/>
                <w:bCs/>
                <w:color w:val="0D0D0D" w:themeColor="text1" w:themeTint="F2"/>
                <w:sz w:val="18"/>
                <w:szCs w:val="20"/>
              </w:rPr>
              <w:t>6</w:t>
            </w:r>
            <w:r w:rsidRPr="00943DFA">
              <w:rPr>
                <w:rFonts w:eastAsia="Times New Roman"/>
                <w:bCs/>
                <w:color w:val="0D0D0D" w:themeColor="text1" w:themeTint="F2"/>
                <w:sz w:val="18"/>
                <w:szCs w:val="20"/>
              </w:rPr>
              <w:t xml:space="preserve"> comments in training data set which are manually coded into 7 groups of issue types containing 45 issue types of S-1 filings. The 480</w:t>
            </w:r>
            <w:r w:rsidR="00246664" w:rsidRPr="00943DFA">
              <w:rPr>
                <w:rFonts w:eastAsia="Times New Roman"/>
                <w:bCs/>
                <w:color w:val="0D0D0D" w:themeColor="text1" w:themeTint="F2"/>
                <w:sz w:val="18"/>
                <w:szCs w:val="20"/>
              </w:rPr>
              <w:t>6</w:t>
            </w:r>
            <w:r w:rsidRPr="00943DFA">
              <w:rPr>
                <w:rFonts w:eastAsia="Times New Roman"/>
                <w:bCs/>
                <w:color w:val="0D0D0D" w:themeColor="text1" w:themeTint="F2"/>
                <w:sz w:val="18"/>
                <w:szCs w:val="20"/>
              </w:rPr>
              <w:t xml:space="preserve"> comments are extracted from random sample of 261 initial SEC comment letters. Total percentage across 45 issue types exceed 100% since some comments are classified into more than one types of issue.</w:t>
            </w:r>
          </w:p>
        </w:tc>
      </w:tr>
    </w:tbl>
    <w:p w14:paraId="1DE5024F" w14:textId="77777777" w:rsidR="00195130" w:rsidRPr="00943DFA" w:rsidRDefault="00195130" w:rsidP="00195130">
      <w:pPr>
        <w:rPr>
          <w:color w:val="0D0D0D" w:themeColor="text1" w:themeTint="F2"/>
        </w:rPr>
        <w:sectPr w:rsidR="00195130" w:rsidRPr="00943DFA" w:rsidSect="00373B60">
          <w:pgSz w:w="11906" w:h="16838"/>
          <w:pgMar w:top="1440" w:right="1440" w:bottom="1440" w:left="1276" w:header="708" w:footer="708" w:gutter="0"/>
          <w:cols w:space="708"/>
          <w:docGrid w:linePitch="360"/>
        </w:sectPr>
      </w:pPr>
    </w:p>
    <w:p w14:paraId="75964705" w14:textId="77777777" w:rsidR="00195130" w:rsidRPr="00943DFA" w:rsidRDefault="00195130" w:rsidP="00195130">
      <w:pPr>
        <w:rPr>
          <w:b/>
          <w:color w:val="0D0D0D" w:themeColor="text1" w:themeTint="F2"/>
        </w:rPr>
      </w:pPr>
      <w:r w:rsidRPr="00943DFA">
        <w:rPr>
          <w:b/>
          <w:color w:val="0D0D0D" w:themeColor="text1" w:themeTint="F2"/>
        </w:rPr>
        <w:lastRenderedPageBreak/>
        <w:t xml:space="preserve">Application of Naïve Bayes Algorithm </w:t>
      </w:r>
    </w:p>
    <w:p w14:paraId="212F7F1B" w14:textId="4D3A7CEE"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 xml:space="preserve">The specific type of machine learning algorithm employed in this study is the Naïve Bayesian machine learning algorithm. The Naïve Bayesian algorithm, which is a probabilistic machine learning model based on Bayes theorem, is commonly used in area of text classification </w:t>
      </w:r>
      <w:r w:rsidRPr="00943DFA">
        <w:rPr>
          <w:color w:val="0D0D0D" w:themeColor="text1" w:themeTint="F2"/>
        </w:rPr>
        <w:fldChar w:fldCharType="begin" w:fldLock="1"/>
      </w:r>
      <w:r w:rsidRPr="00943DFA">
        <w:rPr>
          <w:color w:val="0D0D0D" w:themeColor="text1" w:themeTint="F2"/>
        </w:rPr>
        <w:instrText>ADDIN CSL_CITATION {"citationItems":[{"id":"ITEM-1","itemData":{"DOI":"10.2139/ssrn.2474666","ISBN":"9789460912993","ISSN":"1556-5068","abstract":"The purpose of this study is to identify important SEC comment letters and examine mechanisms by which they affect firm value. A signal of importance based on abnormal returns at the time of disclosure is effective at predicting lower future operating performance and more frequent future write-downs. A signal based on EDGAR downloads of the comment letters predicts lower future earnings, a higher rate of future restatements, and a higher rate of future write-downs. I create Naive Bayes text classification signals trained to predict future restatements, write-downs, and internal control weaknesses. The resulting text-based signals are effective at predicting future restatement and write-down announcements, and have the added benefit of not needing a market response to predict importance. Topic analysis of the comment letters provides insights into the relative volume of comments among different topics, and finds that different topics are related to each of the signals of comment letter importance.","author":[{"dropping-particle":"","family":"Ryans","given":"James","non-dropping-particle":"","parse-names":false,"suffix":""}],"container-title":"SSRN","id":"ITEM-1","issued":{"date-parts":[["2014"]]},"title":"Textual Classification of SEC Comment Letters","type":"report"},"uris":["http://www.mendeley.com/documents/?uuid=3bdb5c63-2b77-3132-b11f-6721c3d74572"]}],"mendeley":{"formattedCitation":"(Ryans, 2014)","plainTextFormattedCitation":"(Ryans, 2014)","previouslyFormattedCitation":"(Ryans, 2014)"},"properties":{"noteIndex":0},"schema":"https://github.com/citation-style-language/schema/raw/master/csl-citation.json"}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(Ryans, 2014)</w:t>
      </w:r>
      <w:r w:rsidRPr="00943DFA">
        <w:rPr>
          <w:color w:val="0D0D0D" w:themeColor="text1" w:themeTint="F2"/>
        </w:rPr>
        <w:fldChar w:fldCharType="end"/>
      </w:r>
      <w:r w:rsidRPr="00943DFA">
        <w:rPr>
          <w:color w:val="0D0D0D" w:themeColor="text1" w:themeTint="F2"/>
        </w:rPr>
        <w:t>.</w:t>
      </w:r>
      <w:r w:rsidR="001B2E68" w:rsidRPr="00943DFA">
        <w:rPr>
          <w:rStyle w:val="FootnoteReference"/>
          <w:color w:val="0D0D0D" w:themeColor="text1" w:themeTint="F2"/>
        </w:rPr>
        <w:footnoteReference w:id="7"/>
      </w:r>
      <w:r w:rsidRPr="00943DFA">
        <w:rPr>
          <w:color w:val="0D0D0D" w:themeColor="text1" w:themeTint="F2"/>
        </w:rPr>
        <w:t xml:space="preserve"> Employing the Naïve Bayesian algorithm, this study categorises each comment in SEC comment letters into a particular type of issue or thematic code as developed in the self-constructed coding scheme. The Naïve Bayes algorithm classifies the issue type of a comment in an SEC comment letter based on the frequencies of single words or phrases in the comment. </w:t>
      </w:r>
    </w:p>
    <w:p w14:paraId="362C050D" w14:textId="5B9725D6" w:rsidR="00195130" w:rsidRPr="00943DFA" w:rsidRDefault="00195130" w:rsidP="00195130">
      <w:pPr>
        <w:spacing w:before="240" w:after="240" w:line="360" w:lineRule="auto"/>
        <w:jc w:val="both"/>
        <w:rPr>
          <w:color w:val="0D0D0D" w:themeColor="text1" w:themeTint="F2"/>
        </w:rPr>
      </w:pPr>
      <w:r w:rsidRPr="00943DFA">
        <w:rPr>
          <w:rFonts w:eastAsia="Times New Roman"/>
          <w:color w:val="0D0D0D" w:themeColor="text1" w:themeTint="F2"/>
        </w:rPr>
        <w:t xml:space="preserve">Using the aforementioned training dataset, the remaining 16,440 comments are coded </w:t>
      </w:r>
      <w:r w:rsidR="00186E23" w:rsidRPr="00943DFA">
        <w:rPr>
          <w:rFonts w:eastAsia="Times New Roman"/>
          <w:color w:val="0D0D0D" w:themeColor="text1" w:themeTint="F2"/>
        </w:rPr>
        <w:t>applying</w:t>
      </w:r>
      <w:r w:rsidRPr="00943DFA">
        <w:rPr>
          <w:rFonts w:eastAsia="Times New Roman"/>
          <w:color w:val="0D0D0D" w:themeColor="text1" w:themeTint="F2"/>
        </w:rPr>
        <w:t xml:space="preserve"> the Naïve Bayes algorithm, </w:t>
      </w:r>
      <w:r w:rsidRPr="00943DFA">
        <w:rPr>
          <w:color w:val="0D0D0D" w:themeColor="text1" w:themeTint="F2"/>
        </w:rPr>
        <w:t>with the support of the WEKA machine learning software</w:t>
      </w:r>
      <w:r w:rsidRPr="00943DFA">
        <w:rPr>
          <w:rFonts w:eastAsia="Times New Roman"/>
          <w:color w:val="0D0D0D" w:themeColor="text1" w:themeTint="F2"/>
        </w:rPr>
        <w:t xml:space="preserve">. </w:t>
      </w:r>
      <w:r w:rsidRPr="00943DFA">
        <w:rPr>
          <w:color w:val="0D0D0D" w:themeColor="text1" w:themeTint="F2"/>
        </w:rPr>
        <w:t>The text of each comments in the training dataset and remaining dataset are first cleaned following the cleaning process outlined in Appendix 3.2. E</w:t>
      </w:r>
      <w:r w:rsidRPr="00943DFA">
        <w:rPr>
          <w:rFonts w:eastAsia="Times New Roman"/>
          <w:color w:val="0D0D0D" w:themeColor="text1" w:themeTint="F2"/>
        </w:rPr>
        <w:t>ach comment is then categorised as relating to one of the 45 individual codes in the coding scheme. Specifically, under the Naïve Bayes algorithm, each comment is first converted into a set of words or word phrases (</w:t>
      </w:r>
      <w:r w:rsidRPr="00943DFA">
        <w:rPr>
          <w:rFonts w:eastAsia="Times New Roman"/>
          <w:i/>
          <w:iCs/>
          <w:color w:val="0D0D0D" w:themeColor="text1" w:themeTint="F2"/>
        </w:rPr>
        <w:t>vector of words or phrases</w:t>
      </w:r>
      <w:r w:rsidRPr="00943DFA">
        <w:rPr>
          <w:rFonts w:eastAsia="Times New Roman"/>
          <w:color w:val="0D0D0D" w:themeColor="text1" w:themeTint="F2"/>
        </w:rPr>
        <w:t xml:space="preserve">). </w:t>
      </w:r>
      <w:r w:rsidRPr="00943DFA">
        <w:rPr>
          <w:color w:val="0D0D0D" w:themeColor="text1" w:themeTint="F2"/>
        </w:rPr>
        <w:t xml:space="preserve">Following that, a model is trained by measuring, in each issue type as classified in training dataset, the relative frequency of each single word or phrase. </w:t>
      </w:r>
      <w:r w:rsidRPr="00943DFA">
        <w:rPr>
          <w:rFonts w:eastAsia="Times New Roman"/>
          <w:color w:val="0D0D0D" w:themeColor="text1" w:themeTint="F2"/>
        </w:rPr>
        <w:t>Bayes’ theorem is then applied to determine the type of each comment as that with the highest conditional probability given the words and/or phrases contained in the comment, as follows.</w:t>
      </w:r>
    </w:p>
    <w:p w14:paraId="51CAA02F" w14:textId="77777777" w:rsidR="00195130" w:rsidRPr="00943DFA" w:rsidRDefault="000406B8" w:rsidP="00195130">
      <w:pPr>
        <w:spacing w:before="240" w:after="240" w:line="360" w:lineRule="auto"/>
        <w:ind w:left="-1418"/>
        <w:rPr>
          <w:rFonts w:eastAsiaTheme="minorEastAsia"/>
          <w:i/>
          <w:color w:val="0D0D0D" w:themeColor="text1" w:themeTint="F2"/>
        </w:rPr>
      </w:pPr>
      <m:oMathPara>
        <m:oMath>
          <m:sSub>
            <m:sSubPr>
              <m:ctrlPr>
                <w:rPr>
                  <w:rFonts w:ascii="Cambria Math" w:hAnsi="Cambria Math"/>
                  <w:i/>
                  <w:color w:val="0D0D0D" w:themeColor="text1" w:themeTint="F2"/>
                </w:rPr>
              </m:ctrlPr>
            </m:sSubPr>
            <m:e>
              <m:r>
                <m:rPr>
                  <m:nor/>
                </m:rPr>
                <w:rPr>
                  <w:color w:val="0D0D0D" w:themeColor="text1" w:themeTint="F2"/>
                </w:rPr>
                <m:t>issue type</m:t>
              </m:r>
            </m:e>
            <m:sub>
              <m:r>
                <m:rPr>
                  <m:nor/>
                </m:rPr>
                <w:rPr>
                  <w:color w:val="0D0D0D" w:themeColor="text1" w:themeTint="F2"/>
                </w:rPr>
                <m:t>j</m:t>
              </m:r>
            </m:sub>
          </m:sSub>
          <m:r>
            <m:rPr>
              <m:nor/>
            </m:rPr>
            <w:rPr>
              <w:color w:val="0D0D0D" w:themeColor="text1" w:themeTint="F2"/>
            </w:rPr>
            <m:t xml:space="preserve"> =</m:t>
          </m:r>
          <m:limLow>
            <m:limLowPr>
              <m:ctrlPr>
                <w:rPr>
                  <w:rFonts w:ascii="Cambria Math" w:hAnsi="Cambria Math"/>
                  <w:i/>
                  <w:color w:val="0D0D0D" w:themeColor="text1" w:themeTint="F2"/>
                  <w:lang w:eastAsia="en-US"/>
                </w:rPr>
              </m:ctrlPr>
            </m:limLowPr>
            <m:e>
              <m:r>
                <m:rPr>
                  <m:nor/>
                </m:rPr>
                <w:rPr>
                  <w:color w:val="0D0D0D" w:themeColor="text1" w:themeTint="F2"/>
                </w:rPr>
                <m:t>arg</m:t>
              </m:r>
              <m:r>
                <m:rPr>
                  <m:nor/>
                </m:rPr>
                <w:rPr>
                  <w:color w:val="0D0D0D" w:themeColor="text1" w:themeTint="F2"/>
                  <w:lang w:eastAsia="en-US"/>
                </w:rPr>
                <m:t>max</m:t>
              </m:r>
            </m:e>
            <m:lim>
              <m:sSub>
                <m:sSubPr>
                  <m:ctrlPr>
                    <w:rPr>
                      <w:rFonts w:ascii="Cambria Math" w:hAnsi="Cambria Math"/>
                      <w:i/>
                      <w:color w:val="0D0D0D" w:themeColor="text1" w:themeTint="F2"/>
                    </w:rPr>
                  </m:ctrlPr>
                </m:sSubPr>
                <m:e>
                  <m:r>
                    <m:rPr>
                      <m:nor/>
                    </m:rPr>
                    <w:rPr>
                      <w:color w:val="0D0D0D" w:themeColor="text1" w:themeTint="F2"/>
                    </w:rPr>
                    <m:t>issue type</m:t>
                  </m:r>
                </m:e>
                <m:sub>
                  <m:r>
                    <m:rPr>
                      <m:nor/>
                    </m:rPr>
                    <w:rPr>
                      <w:color w:val="0D0D0D" w:themeColor="text1" w:themeTint="F2"/>
                    </w:rPr>
                    <m:t>i</m:t>
                  </m:r>
                </m:sub>
              </m:sSub>
              <m:r>
                <m:rPr>
                  <m:nor/>
                </m:rPr>
                <w:rPr>
                  <w:color w:val="0D0D0D" w:themeColor="text1" w:themeTint="F2"/>
                </w:rPr>
                <m:t xml:space="preserve"> </m:t>
              </m:r>
              <m:r>
                <m:rPr>
                  <m:nor/>
                </m:rPr>
                <w:rPr>
                  <w:rFonts w:ascii="Cambria Math" w:hAnsi="Cambria Math" w:cs="Cambria Math"/>
                  <w:color w:val="0D0D0D" w:themeColor="text1" w:themeTint="F2"/>
                </w:rPr>
                <m:t>∈</m:t>
              </m:r>
              <m:r>
                <m:rPr>
                  <m:nor/>
                </m:rPr>
                <w:rPr>
                  <w:color w:val="0D0D0D" w:themeColor="text1" w:themeTint="F2"/>
                </w:rPr>
                <m:t xml:space="preserve">  45 issue types</m:t>
              </m:r>
              <m:r>
                <m:rPr>
                  <m:nor/>
                </m:rPr>
                <w:rPr>
                  <w:i/>
                  <w:color w:val="0D0D0D" w:themeColor="text1" w:themeTint="F2"/>
                </w:rPr>
                <m:t xml:space="preserve"> </m:t>
              </m:r>
            </m:lim>
          </m:limLow>
          <m:r>
            <m:rPr>
              <m:nor/>
            </m:rPr>
            <w:rPr>
              <w:color w:val="0D0D0D" w:themeColor="text1" w:themeTint="F2"/>
            </w:rPr>
            <m:t xml:space="preserve"> P</m:t>
          </m:r>
          <m:d>
            <m:dPr>
              <m:ctrlPr>
                <w:rPr>
                  <w:rFonts w:ascii="Cambria Math" w:hAnsi="Cambria Math"/>
                  <w:i/>
                  <w:color w:val="0D0D0D" w:themeColor="text1" w:themeTint="F2"/>
                </w:rPr>
              </m:ctrlPr>
            </m:dPr>
            <m:e>
              <m:sSub>
                <m:sSubPr>
                  <m:ctrlPr>
                    <w:rPr>
                      <w:rFonts w:ascii="Cambria Math" w:hAnsi="Cambria Math"/>
                      <w:i/>
                      <w:color w:val="0D0D0D" w:themeColor="text1" w:themeTint="F2"/>
                    </w:rPr>
                  </m:ctrlPr>
                </m:sSubPr>
                <m:e>
                  <m:r>
                    <m:rPr>
                      <m:nor/>
                    </m:rPr>
                    <w:rPr>
                      <w:color w:val="0D0D0D" w:themeColor="text1" w:themeTint="F2"/>
                    </w:rPr>
                    <m:t>issue type</m:t>
                  </m:r>
                </m:e>
                <m:sub>
                  <m:r>
                    <m:rPr>
                      <m:nor/>
                    </m:rPr>
                    <w:rPr>
                      <w:color w:val="0D0D0D" w:themeColor="text1" w:themeTint="F2"/>
                    </w:rPr>
                    <m:t>i</m:t>
                  </m:r>
                </m:sub>
              </m:sSub>
            </m:e>
            <m:e>
              <m:sSub>
                <m:sSubPr>
                  <m:ctrlPr>
                    <w:rPr>
                      <w:rFonts w:ascii="Cambria Math" w:hAnsi="Cambria Math"/>
                      <w:i/>
                      <w:color w:val="0D0D0D" w:themeColor="text1" w:themeTint="F2"/>
                    </w:rPr>
                  </m:ctrlPr>
                </m:sSubPr>
                <m:e>
                  <m:r>
                    <m:rPr>
                      <m:nor/>
                    </m:rPr>
                    <w:rPr>
                      <w:color w:val="0D0D0D" w:themeColor="text1" w:themeTint="F2"/>
                    </w:rPr>
                    <m:t>vector of words or phrases</m:t>
                  </m:r>
                </m:e>
                <m:sub>
                  <m:r>
                    <m:rPr>
                      <m:nor/>
                    </m:rPr>
                    <w:rPr>
                      <w:color w:val="0D0D0D" w:themeColor="text1" w:themeTint="F2"/>
                    </w:rPr>
                    <m:t>j</m:t>
                  </m:r>
                </m:sub>
              </m:sSub>
            </m:e>
          </m:d>
        </m:oMath>
      </m:oMathPara>
    </w:p>
    <w:p w14:paraId="65700A75" w14:textId="77777777" w:rsidR="00195130" w:rsidRPr="00943DFA" w:rsidRDefault="000406B8" w:rsidP="00195130">
      <w:pPr>
        <w:spacing w:before="240" w:after="240" w:line="360" w:lineRule="auto"/>
        <w:rPr>
          <w:rFonts w:eastAsiaTheme="minorEastAsia"/>
          <w:i/>
          <w:color w:val="0D0D0D" w:themeColor="text1" w:themeTint="F2"/>
        </w:rPr>
      </w:pPr>
      <m:oMathPara>
        <m:oMath>
          <m:func>
            <m:funcPr>
              <m:ctrlPr>
                <w:rPr>
                  <w:rFonts w:ascii="Cambria Math" w:hAnsi="Cambria Math"/>
                  <w:i/>
                  <w:color w:val="0D0D0D" w:themeColor="text1" w:themeTint="F2"/>
                  <w:lang w:eastAsia="en-US"/>
                </w:rPr>
              </m:ctrlPr>
            </m:funcPr>
            <m:fName>
              <m:r>
                <m:rPr>
                  <m:nor/>
                </m:rPr>
                <w:rPr>
                  <w:color w:val="0D0D0D" w:themeColor="text1" w:themeTint="F2"/>
                  <w:lang w:eastAsia="en-US"/>
                </w:rPr>
                <m:t>=</m:t>
              </m:r>
              <m:limLow>
                <m:limLowPr>
                  <m:ctrlPr>
                    <w:rPr>
                      <w:rFonts w:ascii="Cambria Math" w:hAnsi="Cambria Math"/>
                      <w:i/>
                      <w:color w:val="0D0D0D" w:themeColor="text1" w:themeTint="F2"/>
                      <w:lang w:eastAsia="en-US"/>
                    </w:rPr>
                  </m:ctrlPr>
                </m:limLowPr>
                <m:e>
                  <m:r>
                    <m:rPr>
                      <m:nor/>
                    </m:rPr>
                    <w:rPr>
                      <w:color w:val="0D0D0D" w:themeColor="text1" w:themeTint="F2"/>
                    </w:rPr>
                    <m:t>arg</m:t>
                  </m:r>
                  <m:r>
                    <m:rPr>
                      <m:nor/>
                    </m:rPr>
                    <w:rPr>
                      <w:color w:val="0D0D0D" w:themeColor="text1" w:themeTint="F2"/>
                      <w:lang w:eastAsia="en-US"/>
                    </w:rPr>
                    <m:t>max</m:t>
                  </m:r>
                </m:e>
                <m:lim>
                  <m:sSub>
                    <m:sSubPr>
                      <m:ctrlPr>
                        <w:rPr>
                          <w:rFonts w:ascii="Cambria Math" w:hAnsi="Cambria Math"/>
                          <w:i/>
                          <w:color w:val="0D0D0D" w:themeColor="text1" w:themeTint="F2"/>
                        </w:rPr>
                      </m:ctrlPr>
                    </m:sSubPr>
                    <m:e>
                      <m:r>
                        <m:rPr>
                          <m:nor/>
                        </m:rPr>
                        <w:rPr>
                          <w:color w:val="0D0D0D" w:themeColor="text1" w:themeTint="F2"/>
                        </w:rPr>
                        <m:t>issue type</m:t>
                      </m:r>
                    </m:e>
                    <m:sub>
                      <m:r>
                        <m:rPr>
                          <m:nor/>
                        </m:rPr>
                        <w:rPr>
                          <w:color w:val="0D0D0D" w:themeColor="text1" w:themeTint="F2"/>
                        </w:rPr>
                        <m:t>i</m:t>
                      </m:r>
                    </m:sub>
                  </m:sSub>
                  <m:r>
                    <m:rPr>
                      <m:nor/>
                    </m:rPr>
                    <w:rPr>
                      <w:color w:val="0D0D0D" w:themeColor="text1" w:themeTint="F2"/>
                    </w:rPr>
                    <m:t xml:space="preserve"> </m:t>
                  </m:r>
                  <m:r>
                    <m:rPr>
                      <m:nor/>
                    </m:rPr>
                    <w:rPr>
                      <w:rFonts w:ascii="Cambria Math" w:hAnsi="Cambria Math" w:cs="Cambria Math"/>
                      <w:color w:val="0D0D0D" w:themeColor="text1" w:themeTint="F2"/>
                    </w:rPr>
                    <m:t>∈</m:t>
                  </m:r>
                  <m:r>
                    <m:rPr>
                      <m:nor/>
                    </m:rPr>
                    <w:rPr>
                      <w:color w:val="0D0D0D" w:themeColor="text1" w:themeTint="F2"/>
                    </w:rPr>
                    <m:t xml:space="preserve"> 45 issue types</m:t>
                  </m:r>
                </m:lim>
              </m:limLow>
            </m:fName>
            <m:e>
              <m:f>
                <m:fPr>
                  <m:ctrlPr>
                    <w:rPr>
                      <w:rFonts w:ascii="Cambria Math" w:hAnsi="Cambria Math"/>
                      <w:i/>
                      <w:color w:val="0D0D0D" w:themeColor="text1" w:themeTint="F2"/>
                    </w:rPr>
                  </m:ctrlPr>
                </m:fPr>
                <m:num>
                  <m:r>
                    <m:rPr>
                      <m:nor/>
                    </m:rPr>
                    <w:rPr>
                      <w:color w:val="0D0D0D" w:themeColor="text1" w:themeTint="F2"/>
                    </w:rPr>
                    <m:t>P</m:t>
                  </m:r>
                  <m:d>
                    <m:dPr>
                      <m:ctrlPr>
                        <w:rPr>
                          <w:rFonts w:ascii="Cambria Math" w:hAnsi="Cambria Math"/>
                          <w:i/>
                          <w:color w:val="0D0D0D" w:themeColor="text1" w:themeTint="F2"/>
                        </w:rPr>
                      </m:ctrlPr>
                    </m:dPr>
                    <m:e>
                      <m:sSub>
                        <m:sSubPr>
                          <m:ctrlPr>
                            <w:rPr>
                              <w:rFonts w:ascii="Cambria Math" w:hAnsi="Cambria Math"/>
                              <w:i/>
                              <w:color w:val="0D0D0D" w:themeColor="text1" w:themeTint="F2"/>
                            </w:rPr>
                          </m:ctrlPr>
                        </m:sSubPr>
                        <m:e>
                          <m:r>
                            <m:rPr>
                              <m:nor/>
                            </m:rPr>
                            <w:rPr>
                              <w:color w:val="0D0D0D" w:themeColor="text1" w:themeTint="F2"/>
                            </w:rPr>
                            <m:t>vector of words or phrases</m:t>
                          </m:r>
                        </m:e>
                        <m:sub>
                          <m:r>
                            <m:rPr>
                              <m:nor/>
                            </m:rPr>
                            <w:rPr>
                              <w:color w:val="0D0D0D" w:themeColor="text1" w:themeTint="F2"/>
                            </w:rPr>
                            <m:t>j</m:t>
                          </m:r>
                        </m:sub>
                      </m:sSub>
                    </m:e>
                    <m:e>
                      <m:sSub>
                        <m:sSubPr>
                          <m:ctrlPr>
                            <w:rPr>
                              <w:rFonts w:ascii="Cambria Math" w:hAnsi="Cambria Math"/>
                              <w:i/>
                              <w:color w:val="0D0D0D" w:themeColor="text1" w:themeTint="F2"/>
                            </w:rPr>
                          </m:ctrlPr>
                        </m:sSubPr>
                        <m:e>
                          <m:r>
                            <m:rPr>
                              <m:nor/>
                            </m:rPr>
                            <w:rPr>
                              <w:color w:val="0D0D0D" w:themeColor="text1" w:themeTint="F2"/>
                            </w:rPr>
                            <m:t>issue type</m:t>
                          </m:r>
                        </m:e>
                        <m:sub>
                          <m:r>
                            <m:rPr>
                              <m:nor/>
                            </m:rPr>
                            <w:rPr>
                              <w:color w:val="0D0D0D" w:themeColor="text1" w:themeTint="F2"/>
                            </w:rPr>
                            <m:t>i</m:t>
                          </m:r>
                        </m:sub>
                      </m:sSub>
                    </m:e>
                  </m:d>
                  <m:r>
                    <m:rPr>
                      <m:nor/>
                    </m:rPr>
                    <w:rPr>
                      <w:color w:val="0D0D0D" w:themeColor="text1" w:themeTint="F2"/>
                    </w:rPr>
                    <m:t>*P(</m:t>
                  </m:r>
                  <m:sSub>
                    <m:sSubPr>
                      <m:ctrlPr>
                        <w:rPr>
                          <w:rFonts w:ascii="Cambria Math" w:hAnsi="Cambria Math"/>
                          <w:i/>
                          <w:color w:val="0D0D0D" w:themeColor="text1" w:themeTint="F2"/>
                        </w:rPr>
                      </m:ctrlPr>
                    </m:sSubPr>
                    <m:e>
                      <m:r>
                        <m:rPr>
                          <m:nor/>
                        </m:rPr>
                        <w:rPr>
                          <w:color w:val="0D0D0D" w:themeColor="text1" w:themeTint="F2"/>
                        </w:rPr>
                        <m:t>issue type</m:t>
                      </m:r>
                    </m:e>
                    <m:sub>
                      <m:r>
                        <m:rPr>
                          <m:nor/>
                        </m:rPr>
                        <w:rPr>
                          <w:color w:val="0D0D0D" w:themeColor="text1" w:themeTint="F2"/>
                        </w:rPr>
                        <m:t>i</m:t>
                      </m:r>
                    </m:sub>
                  </m:sSub>
                  <m:r>
                    <m:rPr>
                      <m:nor/>
                    </m:rPr>
                    <w:rPr>
                      <w:color w:val="0D0D0D" w:themeColor="text1" w:themeTint="F2"/>
                    </w:rPr>
                    <m:t>)</m:t>
                  </m:r>
                </m:num>
                <m:den>
                  <m:r>
                    <m:rPr>
                      <m:nor/>
                    </m:rPr>
                    <w:rPr>
                      <w:color w:val="0D0D0D" w:themeColor="text1" w:themeTint="F2"/>
                    </w:rPr>
                    <m:t>P(</m:t>
                  </m:r>
                  <m:sSub>
                    <m:sSubPr>
                      <m:ctrlPr>
                        <w:rPr>
                          <w:rFonts w:ascii="Cambria Math" w:hAnsi="Cambria Math"/>
                          <w:i/>
                          <w:color w:val="0D0D0D" w:themeColor="text1" w:themeTint="F2"/>
                        </w:rPr>
                      </m:ctrlPr>
                    </m:sSubPr>
                    <m:e>
                      <m:r>
                        <m:rPr>
                          <m:nor/>
                        </m:rPr>
                        <w:rPr>
                          <w:color w:val="0D0D0D" w:themeColor="text1" w:themeTint="F2"/>
                        </w:rPr>
                        <m:t>vector of words or phrases</m:t>
                      </m:r>
                    </m:e>
                    <m:sub>
                      <m:r>
                        <m:rPr>
                          <m:nor/>
                        </m:rPr>
                        <w:rPr>
                          <w:color w:val="0D0D0D" w:themeColor="text1" w:themeTint="F2"/>
                        </w:rPr>
                        <m:t>j</m:t>
                      </m:r>
                    </m:sub>
                  </m:sSub>
                  <m:r>
                    <m:rPr>
                      <m:nor/>
                    </m:rPr>
                    <w:rPr>
                      <w:color w:val="0D0D0D" w:themeColor="text1" w:themeTint="F2"/>
                    </w:rPr>
                    <m:t>)</m:t>
                  </m:r>
                </m:den>
              </m:f>
            </m:e>
          </m:func>
          <m:r>
            <m:rPr>
              <m:nor/>
            </m:rPr>
            <w:rPr>
              <w:rFonts w:eastAsiaTheme="minorEastAsia"/>
              <w:color w:val="0D0D0D" w:themeColor="text1" w:themeTint="F2"/>
            </w:rPr>
            <m:t xml:space="preserve">       (3.1)</m:t>
          </m:r>
        </m:oMath>
      </m:oMathPara>
    </w:p>
    <w:p w14:paraId="164E0D1D" w14:textId="77777777" w:rsidR="00195130" w:rsidRPr="00943DFA" w:rsidRDefault="00195130" w:rsidP="00195130">
      <w:pPr>
        <w:spacing w:before="240" w:after="240" w:line="360" w:lineRule="auto"/>
        <w:ind w:right="320"/>
        <w:jc w:val="both"/>
        <w:rPr>
          <w:rFonts w:eastAsia="Times New Roman"/>
          <w:color w:val="0D0D0D" w:themeColor="text1" w:themeTint="F2"/>
        </w:rPr>
      </w:pPr>
      <w:r w:rsidRPr="00943DFA">
        <w:rPr>
          <w:rFonts w:eastAsiaTheme="minorEastAsia"/>
          <w:color w:val="0D0D0D" w:themeColor="text1" w:themeTint="F2"/>
        </w:rPr>
        <w:t xml:space="preserve">where </w:t>
      </w:r>
      <m:oMath>
        <m:sSub>
          <m:sSubPr>
            <m:ctrlPr>
              <w:rPr>
                <w:rFonts w:ascii="Cambria Math" w:hAnsi="Cambria Math"/>
                <w:iCs/>
                <w:color w:val="0D0D0D" w:themeColor="text1" w:themeTint="F2"/>
              </w:rPr>
            </m:ctrlPr>
          </m:sSubPr>
          <m:e>
            <m:r>
              <m:rPr>
                <m:nor/>
              </m:rPr>
              <w:rPr>
                <w:iCs/>
                <w:color w:val="0D0D0D" w:themeColor="text1" w:themeTint="F2"/>
              </w:rPr>
              <m:t>issue type</m:t>
            </m:r>
          </m:e>
          <m:sub>
            <m:r>
              <m:rPr>
                <m:nor/>
              </m:rPr>
              <w:rPr>
                <w:iCs/>
                <w:color w:val="0D0D0D" w:themeColor="text1" w:themeTint="F2"/>
              </w:rPr>
              <m:t>i</m:t>
            </m:r>
          </m:sub>
        </m:sSub>
      </m:oMath>
      <w:r w:rsidRPr="00943DFA">
        <w:rPr>
          <w:rFonts w:eastAsiaTheme="minorEastAsia"/>
          <w:color w:val="0D0D0D" w:themeColor="text1" w:themeTint="F2"/>
        </w:rPr>
        <w:t xml:space="preserve"> denoted issue type </w:t>
      </w:r>
      <w:proofErr w:type="spellStart"/>
      <w:r w:rsidRPr="00943DFA">
        <w:rPr>
          <w:rFonts w:eastAsiaTheme="minorEastAsia"/>
          <w:color w:val="0D0D0D" w:themeColor="text1" w:themeTint="F2"/>
        </w:rPr>
        <w:t>i</w:t>
      </w:r>
      <w:proofErr w:type="spellEnd"/>
      <w:r w:rsidRPr="00943DFA">
        <w:rPr>
          <w:rFonts w:eastAsiaTheme="minorEastAsia"/>
          <w:color w:val="0D0D0D" w:themeColor="text1" w:themeTint="F2"/>
        </w:rPr>
        <w:t xml:space="preserve"> developed from the training dataset (</w:t>
      </w:r>
      <m:oMath>
        <m:r>
          <m:rPr>
            <m:sty m:val="p"/>
          </m:rPr>
          <w:rPr>
            <w:rFonts w:ascii="Cambria Math" w:eastAsiaTheme="minorEastAsia" w:hAnsi="Cambria Math"/>
            <w:color w:val="0D0D0D" w:themeColor="text1" w:themeTint="F2"/>
          </w:rPr>
          <m:t>i∈{A1, A2, …, B1, B2, …, G1})</m:t>
        </m:r>
      </m:oMath>
      <w:r w:rsidRPr="00943DFA">
        <w:rPr>
          <w:rFonts w:eastAsiaTheme="minorEastAsia"/>
          <w:color w:val="0D0D0D" w:themeColor="text1" w:themeTint="F2"/>
        </w:rPr>
        <w:t xml:space="preserve">, </w:t>
      </w:r>
      <m:oMath>
        <m:sSub>
          <m:sSubPr>
            <m:ctrlPr>
              <w:rPr>
                <w:rFonts w:ascii="Cambria Math" w:hAnsi="Cambria Math"/>
                <w:iCs/>
                <w:color w:val="0D0D0D" w:themeColor="text1" w:themeTint="F2"/>
              </w:rPr>
            </m:ctrlPr>
          </m:sSubPr>
          <m:e>
            <m:r>
              <m:rPr>
                <m:nor/>
              </m:rPr>
              <w:rPr>
                <w:iCs/>
                <w:color w:val="0D0D0D" w:themeColor="text1" w:themeTint="F2"/>
              </w:rPr>
              <m:t>vector of words or phrases</m:t>
            </m:r>
          </m:e>
          <m:sub>
            <m:r>
              <m:rPr>
                <m:nor/>
              </m:rPr>
              <w:rPr>
                <w:iCs/>
                <w:color w:val="0D0D0D" w:themeColor="text1" w:themeTint="F2"/>
              </w:rPr>
              <m:t>j</m:t>
            </m:r>
          </m:sub>
        </m:sSub>
        <m:r>
          <m:rPr>
            <m:sty m:val="p"/>
          </m:rPr>
          <w:rPr>
            <w:rFonts w:ascii="Cambria Math" w:hAnsi="Cambria Math"/>
            <w:color w:val="0D0D0D" w:themeColor="text1" w:themeTint="F2"/>
            <w:sz w:val="20"/>
            <w:szCs w:val="20"/>
          </w:rPr>
          <m:t xml:space="preserve"> </m:t>
        </m:r>
      </m:oMath>
      <w:r w:rsidRPr="00943DFA">
        <w:rPr>
          <w:rFonts w:eastAsiaTheme="minorEastAsia"/>
          <w:iCs/>
          <w:color w:val="0D0D0D" w:themeColor="text1" w:themeTint="F2"/>
        </w:rPr>
        <w:t>i</w:t>
      </w:r>
      <w:proofErr w:type="spellStart"/>
      <w:r w:rsidRPr="00943DFA">
        <w:rPr>
          <w:rFonts w:eastAsiaTheme="minorEastAsia"/>
          <w:color w:val="0D0D0D" w:themeColor="text1" w:themeTint="F2"/>
        </w:rPr>
        <w:t>s</w:t>
      </w:r>
      <w:proofErr w:type="spellEnd"/>
      <w:r w:rsidRPr="00943DFA">
        <w:rPr>
          <w:rFonts w:eastAsiaTheme="minorEastAsia"/>
          <w:color w:val="0D0D0D" w:themeColor="text1" w:themeTint="F2"/>
        </w:rPr>
        <w:t xml:space="preserve"> a vector of words or phrase in “unknown” comment </w:t>
      </w:r>
      <w:r w:rsidRPr="00943DFA">
        <w:rPr>
          <w:rFonts w:eastAsiaTheme="minorEastAsia"/>
          <w:i/>
          <w:color w:val="0D0D0D" w:themeColor="text1" w:themeTint="F2"/>
        </w:rPr>
        <w:t xml:space="preserve">j </w:t>
      </w:r>
      <w:r w:rsidRPr="00943DFA">
        <w:rPr>
          <w:rFonts w:eastAsiaTheme="minorEastAsia"/>
          <w:color w:val="0D0D0D" w:themeColor="text1" w:themeTint="F2"/>
        </w:rPr>
        <w:t>in the remaining dataset</w:t>
      </w:r>
      <w:r w:rsidRPr="00943DFA">
        <w:rPr>
          <w:rFonts w:eastAsiaTheme="minorEastAsia"/>
          <w:i/>
          <w:color w:val="0D0D0D" w:themeColor="text1" w:themeTint="F2"/>
        </w:rPr>
        <w:t xml:space="preserve"> </w:t>
      </w:r>
      <w:r w:rsidRPr="00943DFA">
        <w:rPr>
          <w:rFonts w:eastAsiaTheme="minorEastAsia"/>
          <w:color w:val="0D0D0D" w:themeColor="text1" w:themeTint="F2"/>
        </w:rPr>
        <w:t xml:space="preserve"> (</w:t>
      </w:r>
      <m:oMath>
        <m:r>
          <m:rPr>
            <m:sty m:val="p"/>
          </m:rPr>
          <w:rPr>
            <w:rFonts w:ascii="Cambria Math" w:eastAsiaTheme="minorEastAsia" w:hAnsi="Cambria Math"/>
            <w:color w:val="0D0D0D" w:themeColor="text1" w:themeTint="F2"/>
          </w:rPr>
          <m:t>j∈{1, 2, 3, …, 16440}</m:t>
        </m:r>
      </m:oMath>
      <w:r w:rsidRPr="00943DFA">
        <w:rPr>
          <w:rFonts w:eastAsiaTheme="minorEastAsia"/>
          <w:color w:val="0D0D0D" w:themeColor="text1" w:themeTint="F2"/>
        </w:rPr>
        <w:t xml:space="preserve">), </w:t>
      </w:r>
      <m:oMath>
        <m:sSub>
          <m:sSubPr>
            <m:ctrlPr>
              <w:rPr>
                <w:rFonts w:ascii="Cambria Math" w:hAnsi="Cambria Math"/>
                <w:iCs/>
                <w:color w:val="0D0D0D" w:themeColor="text1" w:themeTint="F2"/>
              </w:rPr>
            </m:ctrlPr>
          </m:sSubPr>
          <m:e>
            <m:r>
              <m:rPr>
                <m:nor/>
              </m:rPr>
              <w:rPr>
                <w:iCs/>
                <w:color w:val="0D0D0D" w:themeColor="text1" w:themeTint="F2"/>
              </w:rPr>
              <m:t>issue type</m:t>
            </m:r>
          </m:e>
          <m:sub>
            <m:r>
              <m:rPr>
                <m:nor/>
              </m:rPr>
              <w:rPr>
                <w:iCs/>
                <w:color w:val="0D0D0D" w:themeColor="text1" w:themeTint="F2"/>
              </w:rPr>
              <m:t>j</m:t>
            </m:r>
          </m:sub>
        </m:sSub>
      </m:oMath>
      <w:r w:rsidRPr="00943DFA">
        <w:rPr>
          <w:rFonts w:eastAsiaTheme="minorEastAsia"/>
          <w:color w:val="0D0D0D" w:themeColor="text1" w:themeTint="F2"/>
        </w:rPr>
        <w:t xml:space="preserve"> denotes the</w:t>
      </w:r>
      <w:r w:rsidRPr="00943DFA">
        <w:rPr>
          <w:rFonts w:eastAsia="Times New Roman"/>
          <w:color w:val="0D0D0D" w:themeColor="text1" w:themeTint="F2"/>
        </w:rPr>
        <w:t xml:space="preserve"> issue type categorised for comment </w:t>
      </w:r>
      <w:r w:rsidRPr="00943DFA">
        <w:rPr>
          <w:rFonts w:eastAsia="Times New Roman"/>
          <w:i/>
          <w:iCs/>
          <w:color w:val="0D0D0D" w:themeColor="text1" w:themeTint="F2"/>
        </w:rPr>
        <w:t>j</w:t>
      </w:r>
      <w:r w:rsidRPr="00943DFA">
        <w:rPr>
          <w:rFonts w:eastAsia="Times New Roman"/>
          <w:color w:val="0D0D0D" w:themeColor="text1" w:themeTint="F2"/>
        </w:rPr>
        <w:t xml:space="preserve"> in the remaining dataset. </w:t>
      </w:r>
    </w:p>
    <w:p w14:paraId="4B59C682" w14:textId="6D6B11D1" w:rsidR="00195130" w:rsidRPr="00943DFA" w:rsidRDefault="00195130" w:rsidP="00195130">
      <w:pPr>
        <w:spacing w:before="240" w:after="240" w:line="360" w:lineRule="auto"/>
        <w:ind w:right="320"/>
        <w:jc w:val="both"/>
        <w:rPr>
          <w:rFonts w:eastAsia="Times New Roman"/>
          <w:color w:val="0D0D0D" w:themeColor="text1" w:themeTint="F2"/>
        </w:rPr>
      </w:pPr>
      <w:r w:rsidRPr="00943DFA">
        <w:rPr>
          <w:rFonts w:eastAsia="Times New Roman"/>
          <w:color w:val="0D0D0D" w:themeColor="text1" w:themeTint="F2"/>
        </w:rPr>
        <w:lastRenderedPageBreak/>
        <w:t>An important assumption in the Naïve Bayes algorithm, where the adjective “Naïve” comes from, is that the probability of a feature does not affect the probability of other features in the dataset. This assumption makes the calculation of the algorithm simpler and mitigates the issue of the “curse of dimensionality” (Bellman, 1961). Therefore, this study assumes that the probability of the occurrence of each word or phrase is mutually independent.</w:t>
      </w:r>
      <w:r w:rsidRPr="00943DFA">
        <w:rPr>
          <w:rStyle w:val="FootnoteReference"/>
          <w:rFonts w:eastAsia="Times New Roman"/>
          <w:color w:val="0D0D0D" w:themeColor="text1" w:themeTint="F2"/>
        </w:rPr>
        <w:footnoteReference w:id="8"/>
      </w:r>
      <w:r w:rsidRPr="00943DFA">
        <w:rPr>
          <w:rFonts w:eastAsia="Times New Roman"/>
          <w:color w:val="0D0D0D" w:themeColor="text1" w:themeTint="F2"/>
        </w:rPr>
        <w:t xml:space="preserve"> The computation of the Naïve Bayes algorithm with support of WEKA machine learning software is presented in more detail in Appendix 3.3.</w:t>
      </w:r>
      <w:r w:rsidR="00CF0EA6" w:rsidRPr="00943DFA">
        <w:rPr>
          <w:rFonts w:eastAsia="Times New Roman"/>
          <w:color w:val="0D0D0D" w:themeColor="text1" w:themeTint="F2"/>
        </w:rPr>
        <w:t xml:space="preserve"> </w:t>
      </w:r>
    </w:p>
    <w:p w14:paraId="4E21532D" w14:textId="77777777" w:rsidR="00195130" w:rsidRPr="00943DFA" w:rsidRDefault="00195130" w:rsidP="00195130">
      <w:pPr>
        <w:spacing w:before="240" w:after="240" w:line="360" w:lineRule="auto"/>
        <w:ind w:right="320"/>
        <w:jc w:val="both"/>
        <w:rPr>
          <w:color w:val="0D0D0D" w:themeColor="text1" w:themeTint="F2"/>
        </w:rPr>
      </w:pPr>
      <w:r w:rsidRPr="00943DFA">
        <w:rPr>
          <w:b/>
          <w:color w:val="0D0D0D" w:themeColor="text1" w:themeTint="F2"/>
        </w:rPr>
        <w:t>Validation of the Naïve Bayes algorithm</w:t>
      </w:r>
    </w:p>
    <w:p w14:paraId="7319B24F" w14:textId="35858C0D" w:rsidR="00B7633C" w:rsidRPr="00943DFA" w:rsidRDefault="00195130" w:rsidP="00195130">
      <w:pPr>
        <w:spacing w:before="240" w:after="240" w:line="360" w:lineRule="auto"/>
        <w:jc w:val="both"/>
        <w:rPr>
          <w:color w:val="0D0D0D" w:themeColor="text1" w:themeTint="F2"/>
        </w:rPr>
      </w:pPr>
      <w:r w:rsidRPr="00943DFA">
        <w:rPr>
          <w:color w:val="0D0D0D" w:themeColor="text1" w:themeTint="F2"/>
        </w:rPr>
        <w:t xml:space="preserve">To evaluate the effectiveness of the Naïve Bayesian learning algorithm </w:t>
      </w:r>
      <w:r w:rsidR="009B647D" w:rsidRPr="00943DFA">
        <w:rPr>
          <w:color w:val="0D0D0D" w:themeColor="text1" w:themeTint="F2"/>
        </w:rPr>
        <w:t>conducted</w:t>
      </w:r>
      <w:r w:rsidRPr="00943DFA">
        <w:rPr>
          <w:color w:val="0D0D0D" w:themeColor="text1" w:themeTint="F2"/>
        </w:rPr>
        <w:t xml:space="preserve"> the training dataset,</w:t>
      </w:r>
      <w:r w:rsidR="00B7633C" w:rsidRPr="00943DFA">
        <w:rPr>
          <w:color w:val="0D0D0D" w:themeColor="text1" w:themeTint="F2"/>
        </w:rPr>
        <w:t xml:space="preserve"> this study applies two methods including training error and N-fold</w:t>
      </w:r>
      <w:r w:rsidR="00A70548" w:rsidRPr="00943DFA">
        <w:rPr>
          <w:color w:val="0D0D0D" w:themeColor="text1" w:themeTint="F2"/>
        </w:rPr>
        <w:t xml:space="preserve"> stratified</w:t>
      </w:r>
      <w:r w:rsidR="00B7633C" w:rsidRPr="00943DFA">
        <w:rPr>
          <w:color w:val="0D0D0D" w:themeColor="text1" w:themeTint="F2"/>
        </w:rPr>
        <w:t xml:space="preserve"> cross validation. Regarding training error</w:t>
      </w:r>
      <w:r w:rsidR="00B42FDF" w:rsidRPr="00943DFA">
        <w:rPr>
          <w:color w:val="0D0D0D" w:themeColor="text1" w:themeTint="F2"/>
        </w:rPr>
        <w:t xml:space="preserve"> test applied to 4,806 comments within the training dataset</w:t>
      </w:r>
      <w:r w:rsidR="00B7633C" w:rsidRPr="00943DFA">
        <w:rPr>
          <w:color w:val="0D0D0D" w:themeColor="text1" w:themeTint="F2"/>
        </w:rPr>
        <w:t xml:space="preserve">, </w:t>
      </w:r>
      <w:proofErr w:type="spellStart"/>
      <w:r w:rsidR="00B7633C" w:rsidRPr="00943DFA">
        <w:rPr>
          <w:color w:val="0D0D0D" w:themeColor="text1" w:themeTint="F2"/>
        </w:rPr>
        <w:t>untabulated</w:t>
      </w:r>
      <w:proofErr w:type="spellEnd"/>
      <w:r w:rsidR="00B7633C" w:rsidRPr="00943DFA">
        <w:rPr>
          <w:color w:val="0D0D0D" w:themeColor="text1" w:themeTint="F2"/>
        </w:rPr>
        <w:t xml:space="preserve"> findings suggest that the overall training error is less than 10%. </w:t>
      </w:r>
      <w:r w:rsidR="00C248C3" w:rsidRPr="00943DFA">
        <w:rPr>
          <w:color w:val="0D0D0D" w:themeColor="text1" w:themeTint="F2"/>
        </w:rPr>
        <w:t xml:space="preserve">The finding indicates that </w:t>
      </w:r>
      <w:r w:rsidR="00B42FDF" w:rsidRPr="00943DFA">
        <w:rPr>
          <w:color w:val="0D0D0D" w:themeColor="text1" w:themeTint="F2"/>
        </w:rPr>
        <w:t>in excess of 90% of the time, the Naïve Bayes algorithm will accurately categorize issue types mentioned in SEC comment letters.</w:t>
      </w:r>
    </w:p>
    <w:p w14:paraId="3847B0B7" w14:textId="1E7B8515" w:rsidR="00195130" w:rsidRPr="00943DFA" w:rsidRDefault="00B42FDF" w:rsidP="00195130">
      <w:pPr>
        <w:spacing w:before="240" w:after="240" w:line="360" w:lineRule="auto"/>
        <w:jc w:val="both"/>
        <w:rPr>
          <w:color w:val="0D0D0D" w:themeColor="text1" w:themeTint="F2"/>
        </w:rPr>
      </w:pPr>
      <w:r w:rsidRPr="00943DFA">
        <w:rPr>
          <w:color w:val="0D0D0D" w:themeColor="text1" w:themeTint="F2"/>
        </w:rPr>
        <w:t>T</w:t>
      </w:r>
      <w:r w:rsidR="00195130" w:rsidRPr="00943DFA">
        <w:rPr>
          <w:color w:val="0D0D0D" w:themeColor="text1" w:themeTint="F2"/>
        </w:rPr>
        <w:t xml:space="preserve">he N-fold cross-validation method with N </w:t>
      </w:r>
      <w:r w:rsidR="009B647D" w:rsidRPr="00943DFA">
        <w:rPr>
          <w:color w:val="0D0D0D" w:themeColor="text1" w:themeTint="F2"/>
        </w:rPr>
        <w:t>equal to</w:t>
      </w:r>
      <w:r w:rsidR="00195130" w:rsidRPr="00943DFA">
        <w:rPr>
          <w:color w:val="0D0D0D" w:themeColor="text1" w:themeTint="F2"/>
        </w:rPr>
        <w:t xml:space="preserve"> </w:t>
      </w:r>
      <w:r w:rsidR="009B647D" w:rsidRPr="00943DFA">
        <w:rPr>
          <w:color w:val="0D0D0D" w:themeColor="text1" w:themeTint="F2"/>
        </w:rPr>
        <w:t xml:space="preserve">3, 5, </w:t>
      </w:r>
      <w:r w:rsidR="00195130" w:rsidRPr="00943DFA">
        <w:rPr>
          <w:color w:val="0D0D0D" w:themeColor="text1" w:themeTint="F2"/>
        </w:rPr>
        <w:t>10</w:t>
      </w:r>
      <w:r w:rsidR="009B647D" w:rsidRPr="00943DFA">
        <w:rPr>
          <w:color w:val="0D0D0D" w:themeColor="text1" w:themeTint="F2"/>
        </w:rPr>
        <w:t>, 25, 50 and 75</w:t>
      </w:r>
      <w:r w:rsidR="00195130" w:rsidRPr="00943DFA">
        <w:rPr>
          <w:color w:val="0D0D0D" w:themeColor="text1" w:themeTint="F2"/>
        </w:rPr>
        <w:t xml:space="preserve"> </w:t>
      </w:r>
      <w:r w:rsidR="009B647D" w:rsidRPr="00943DFA">
        <w:rPr>
          <w:color w:val="0D0D0D" w:themeColor="text1" w:themeTint="F2"/>
        </w:rPr>
        <w:t>are</w:t>
      </w:r>
      <w:r w:rsidR="00195130" w:rsidRPr="00943DFA">
        <w:rPr>
          <w:color w:val="0D0D0D" w:themeColor="text1" w:themeTint="F2"/>
        </w:rPr>
        <w:t xml:space="preserve"> applied to the training dataset</w:t>
      </w:r>
      <w:r w:rsidR="009B647D" w:rsidRPr="00943DFA">
        <w:rPr>
          <w:color w:val="0D0D0D" w:themeColor="text1" w:themeTint="F2"/>
        </w:rPr>
        <w:t>.</w:t>
      </w:r>
      <w:r w:rsidR="009B647D" w:rsidRPr="00943DFA">
        <w:rPr>
          <w:rStyle w:val="FootnoteReference"/>
          <w:color w:val="0D0D0D" w:themeColor="text1" w:themeTint="F2"/>
        </w:rPr>
        <w:footnoteReference w:id="9"/>
      </w:r>
      <w:r w:rsidR="009B647D" w:rsidRPr="00943DFA">
        <w:rPr>
          <w:color w:val="0D0D0D" w:themeColor="text1" w:themeTint="F2"/>
        </w:rPr>
        <w:t xml:space="preserve"> For example, when N equal 10, the training dataset is divided</w:t>
      </w:r>
      <w:r w:rsidR="00195130" w:rsidRPr="00943DFA">
        <w:rPr>
          <w:color w:val="0D0D0D" w:themeColor="text1" w:themeTint="F2"/>
        </w:rPr>
        <w:t xml:space="preserve"> into ten parts with </w:t>
      </w:r>
      <w:r w:rsidR="00A70548" w:rsidRPr="00943DFA">
        <w:rPr>
          <w:color w:val="0D0D0D" w:themeColor="text1" w:themeTint="F2"/>
        </w:rPr>
        <w:t>in which each part</w:t>
      </w:r>
      <w:r w:rsidR="000E5C33" w:rsidRPr="00943DFA">
        <w:rPr>
          <w:color w:val="0D0D0D" w:themeColor="text1" w:themeTint="F2"/>
        </w:rPr>
        <w:t xml:space="preserve"> has approximately the correct proportion of each of the class values</w:t>
      </w:r>
      <w:r w:rsidR="00195130" w:rsidRPr="00943DFA">
        <w:rPr>
          <w:color w:val="0D0D0D" w:themeColor="text1" w:themeTint="F2"/>
        </w:rPr>
        <w:t>. 10 experiments are implemented and in each experiment, a part is employed as test data and 9 remaining parts are used as training data. Finally, average results of success rate over 10 experiments are calculated, indicating the accuracy level of the Naïve Bayesian learning model that is applied to predict the classification of comments in the training dataset.</w:t>
      </w:r>
      <w:r w:rsidR="00195130" w:rsidRPr="00943DFA">
        <w:rPr>
          <w:rStyle w:val="FootnoteReference"/>
          <w:color w:val="0D0D0D" w:themeColor="text1" w:themeTint="F2"/>
        </w:rPr>
        <w:footnoteReference w:id="10"/>
      </w:r>
      <w:r w:rsidR="00195130" w:rsidRPr="00943DFA">
        <w:rPr>
          <w:color w:val="0D0D0D" w:themeColor="text1" w:themeTint="F2"/>
        </w:rPr>
        <w:t xml:space="preserve"> </w:t>
      </w:r>
      <w:r w:rsidR="002E0B86" w:rsidRPr="00943DFA">
        <w:rPr>
          <w:color w:val="0D0D0D" w:themeColor="text1" w:themeTint="F2"/>
        </w:rPr>
        <w:t xml:space="preserve"> </w:t>
      </w:r>
      <w:r w:rsidR="00700E2B" w:rsidRPr="00943DFA">
        <w:rPr>
          <w:color w:val="0D0D0D" w:themeColor="text1" w:themeTint="F2"/>
        </w:rPr>
        <w:t>Table 2 shows the average correct classification rate for the six distinct values of N.</w:t>
      </w:r>
    </w:p>
    <w:p w14:paraId="5F2CC6E9" w14:textId="711F3340" w:rsidR="00195130" w:rsidRPr="00943DFA" w:rsidRDefault="00F34C33" w:rsidP="00195130">
      <w:pPr>
        <w:spacing w:before="240" w:after="240" w:line="360" w:lineRule="auto"/>
        <w:jc w:val="both"/>
        <w:rPr>
          <w:color w:val="0D0D0D" w:themeColor="text1" w:themeTint="F2"/>
        </w:rPr>
      </w:pPr>
      <w:r w:rsidRPr="00943DFA">
        <w:rPr>
          <w:color w:val="0D0D0D" w:themeColor="text1" w:themeTint="F2"/>
        </w:rPr>
        <w:lastRenderedPageBreak/>
        <w:t xml:space="preserve">As shown in Table 2, when N = 3 and a SEC comment is classified into </w:t>
      </w:r>
      <w:r w:rsidR="00700E2B" w:rsidRPr="00943DFA">
        <w:rPr>
          <w:color w:val="0D0D0D" w:themeColor="text1" w:themeTint="F2"/>
        </w:rPr>
        <w:t>a</w:t>
      </w:r>
      <w:r w:rsidRPr="00943DFA">
        <w:rPr>
          <w:color w:val="0D0D0D" w:themeColor="text1" w:themeTint="F2"/>
        </w:rPr>
        <w:t>n</w:t>
      </w:r>
      <w:r w:rsidR="00700E2B" w:rsidRPr="00943DFA">
        <w:rPr>
          <w:color w:val="0D0D0D" w:themeColor="text1" w:themeTint="F2"/>
        </w:rPr>
        <w:t xml:space="preserve"> </w:t>
      </w:r>
      <w:r w:rsidRPr="00943DFA">
        <w:rPr>
          <w:color w:val="0D0D0D" w:themeColor="text1" w:themeTint="F2"/>
        </w:rPr>
        <w:t>issue types</w:t>
      </w:r>
      <w:r w:rsidR="00700E2B" w:rsidRPr="00943DFA">
        <w:rPr>
          <w:color w:val="0D0D0D" w:themeColor="text1" w:themeTint="F2"/>
        </w:rPr>
        <w:t xml:space="preserve"> out of </w:t>
      </w:r>
      <w:r w:rsidRPr="00943DFA">
        <w:rPr>
          <w:color w:val="0D0D0D" w:themeColor="text1" w:themeTint="F2"/>
        </w:rPr>
        <w:t>7 possible issues types</w:t>
      </w:r>
      <w:r w:rsidR="0037382E" w:rsidRPr="00943DFA">
        <w:rPr>
          <w:color w:val="0D0D0D" w:themeColor="text1" w:themeTint="F2"/>
        </w:rPr>
        <w:t xml:space="preserve"> </w:t>
      </w:r>
      <w:r w:rsidR="00700E2B" w:rsidRPr="00943DFA">
        <w:rPr>
          <w:color w:val="0D0D0D" w:themeColor="text1" w:themeTint="F2"/>
        </w:rPr>
        <w:t xml:space="preserve">as defined in </w:t>
      </w:r>
      <w:r w:rsidR="0033057F" w:rsidRPr="00943DFA">
        <w:rPr>
          <w:color w:val="0D0D0D" w:themeColor="text1" w:themeTint="F2"/>
        </w:rPr>
        <w:t>A</w:t>
      </w:r>
      <w:r w:rsidR="00700E2B" w:rsidRPr="00943DFA">
        <w:rPr>
          <w:color w:val="0D0D0D" w:themeColor="text1" w:themeTint="F2"/>
        </w:rPr>
        <w:t xml:space="preserve">ppendix </w:t>
      </w:r>
      <w:r w:rsidRPr="00943DFA">
        <w:rPr>
          <w:color w:val="0D0D0D" w:themeColor="text1" w:themeTint="F2"/>
        </w:rPr>
        <w:t>1</w:t>
      </w:r>
      <w:r w:rsidR="00700E2B" w:rsidRPr="00943DFA">
        <w:rPr>
          <w:color w:val="0D0D0D" w:themeColor="text1" w:themeTint="F2"/>
        </w:rPr>
        <w:t xml:space="preserve">, the Bayesian algorithm has </w:t>
      </w:r>
      <w:r w:rsidR="0033057F" w:rsidRPr="00943DFA">
        <w:rPr>
          <w:color w:val="0D0D0D" w:themeColor="text1" w:themeTint="F2"/>
        </w:rPr>
        <w:t xml:space="preserve">an approximate </w:t>
      </w:r>
      <w:r w:rsidRPr="00943DFA">
        <w:rPr>
          <w:color w:val="0D0D0D" w:themeColor="text1" w:themeTint="F2"/>
        </w:rPr>
        <w:t>64.93</w:t>
      </w:r>
      <w:r w:rsidR="00700E2B" w:rsidRPr="00943DFA">
        <w:rPr>
          <w:color w:val="0D0D0D" w:themeColor="text1" w:themeTint="F2"/>
        </w:rPr>
        <w:t xml:space="preserve">% </w:t>
      </w:r>
      <w:r w:rsidR="0033057F" w:rsidRPr="00943DFA">
        <w:rPr>
          <w:color w:val="0D0D0D" w:themeColor="text1" w:themeTint="F2"/>
        </w:rPr>
        <w:t xml:space="preserve">success rate </w:t>
      </w:r>
      <w:r w:rsidR="00700E2B" w:rsidRPr="00943DFA">
        <w:rPr>
          <w:color w:val="0D0D0D" w:themeColor="text1" w:themeTint="F2"/>
        </w:rPr>
        <w:t>in the</w:t>
      </w:r>
      <w:r w:rsidR="00EA5594" w:rsidRPr="00943DFA">
        <w:rPr>
          <w:color w:val="0D0D0D" w:themeColor="text1" w:themeTint="F2"/>
        </w:rPr>
        <w:t xml:space="preserve"> </w:t>
      </w:r>
      <w:r w:rsidR="00700E2B" w:rsidRPr="00943DFA">
        <w:rPr>
          <w:color w:val="0D0D0D" w:themeColor="text1" w:themeTint="F2"/>
        </w:rPr>
        <w:t>N-fold cross-validation</w:t>
      </w:r>
      <w:r w:rsidR="0033057F" w:rsidRPr="00943DFA">
        <w:rPr>
          <w:color w:val="0D0D0D" w:themeColor="text1" w:themeTint="F2"/>
        </w:rPr>
        <w:t>, indicating that the training sample of SEC comments are correctly classified 64.93 % of the time</w:t>
      </w:r>
      <w:r w:rsidR="00700E2B" w:rsidRPr="00943DFA">
        <w:rPr>
          <w:color w:val="0D0D0D" w:themeColor="text1" w:themeTint="F2"/>
        </w:rPr>
        <w:t xml:space="preserve">. If </w:t>
      </w:r>
      <w:r w:rsidR="00BE1456" w:rsidRPr="00943DFA">
        <w:rPr>
          <w:color w:val="0D0D0D" w:themeColor="text1" w:themeTint="F2"/>
        </w:rPr>
        <w:t xml:space="preserve">we group </w:t>
      </w:r>
      <w:r w:rsidR="00700E2B" w:rsidRPr="00943DFA">
        <w:rPr>
          <w:color w:val="0D0D0D" w:themeColor="text1" w:themeTint="F2"/>
        </w:rPr>
        <w:t xml:space="preserve">the </w:t>
      </w:r>
      <w:r w:rsidR="0033057F" w:rsidRPr="00943DFA">
        <w:rPr>
          <w:color w:val="0D0D0D" w:themeColor="text1" w:themeTint="F2"/>
        </w:rPr>
        <w:t>7 issue types</w:t>
      </w:r>
      <w:r w:rsidR="00700E2B" w:rsidRPr="00943DFA">
        <w:rPr>
          <w:color w:val="0D0D0D" w:themeColor="text1" w:themeTint="F2"/>
        </w:rPr>
        <w:t xml:space="preserve"> into</w:t>
      </w:r>
      <w:r w:rsidR="00EA5594" w:rsidRPr="00943DFA">
        <w:rPr>
          <w:color w:val="0D0D0D" w:themeColor="text1" w:themeTint="F2"/>
        </w:rPr>
        <w:t xml:space="preserve"> </w:t>
      </w:r>
      <w:r w:rsidR="0033057F" w:rsidRPr="00943DFA">
        <w:rPr>
          <w:color w:val="0D0D0D" w:themeColor="text1" w:themeTint="F2"/>
        </w:rPr>
        <w:t>4 categories</w:t>
      </w:r>
      <w:r w:rsidR="00E27D8A" w:rsidRPr="00943DFA">
        <w:rPr>
          <w:color w:val="0D0D0D" w:themeColor="text1" w:themeTint="F2"/>
        </w:rPr>
        <w:t xml:space="preserve"> including corporate-function-related issue</w:t>
      </w:r>
      <w:r w:rsidR="00700E2B" w:rsidRPr="00943DFA">
        <w:rPr>
          <w:color w:val="0D0D0D" w:themeColor="text1" w:themeTint="F2"/>
        </w:rPr>
        <w:t xml:space="preserve"> (categories </w:t>
      </w:r>
      <w:r w:rsidR="00E27D8A" w:rsidRPr="00943DFA">
        <w:rPr>
          <w:color w:val="0D0D0D" w:themeColor="text1" w:themeTint="F2"/>
        </w:rPr>
        <w:t>A, B, D and E</w:t>
      </w:r>
      <w:r w:rsidR="00700E2B" w:rsidRPr="00943DFA">
        <w:rPr>
          <w:color w:val="0D0D0D" w:themeColor="text1" w:themeTint="F2"/>
        </w:rPr>
        <w:t xml:space="preserve">), </w:t>
      </w:r>
      <w:r w:rsidR="00854BD0" w:rsidRPr="00943DFA">
        <w:rPr>
          <w:color w:val="0D0D0D" w:themeColor="text1" w:themeTint="F2"/>
        </w:rPr>
        <w:t>offering issues</w:t>
      </w:r>
      <w:r w:rsidR="00700E2B" w:rsidRPr="00943DFA">
        <w:rPr>
          <w:color w:val="0D0D0D" w:themeColor="text1" w:themeTint="F2"/>
        </w:rPr>
        <w:t xml:space="preserve"> (categories </w:t>
      </w:r>
      <w:r w:rsidR="00854BD0" w:rsidRPr="00943DFA">
        <w:rPr>
          <w:color w:val="0D0D0D" w:themeColor="text1" w:themeTint="F2"/>
        </w:rPr>
        <w:t>C</w:t>
      </w:r>
      <w:r w:rsidR="00700E2B" w:rsidRPr="00943DFA">
        <w:rPr>
          <w:color w:val="0D0D0D" w:themeColor="text1" w:themeTint="F2"/>
        </w:rPr>
        <w:t xml:space="preserve">), </w:t>
      </w:r>
      <w:r w:rsidR="00854BD0" w:rsidRPr="00943DFA">
        <w:rPr>
          <w:color w:val="0D0D0D" w:themeColor="text1" w:themeTint="F2"/>
        </w:rPr>
        <w:t xml:space="preserve">disclosure issues (category F) and other issues (category G), </w:t>
      </w:r>
      <w:r w:rsidR="0037382E" w:rsidRPr="00943DFA">
        <w:rPr>
          <w:color w:val="0D0D0D" w:themeColor="text1" w:themeTint="F2"/>
        </w:rPr>
        <w:t>the</w:t>
      </w:r>
      <w:r w:rsidR="00700E2B" w:rsidRPr="00943DFA">
        <w:rPr>
          <w:color w:val="0D0D0D" w:themeColor="text1" w:themeTint="F2"/>
        </w:rPr>
        <w:t xml:space="preserve"> success rate</w:t>
      </w:r>
      <w:r w:rsidR="00EA5594" w:rsidRPr="00943DFA">
        <w:rPr>
          <w:color w:val="0D0D0D" w:themeColor="text1" w:themeTint="F2"/>
        </w:rPr>
        <w:t xml:space="preserve"> </w:t>
      </w:r>
      <w:r w:rsidR="0037382E" w:rsidRPr="00943DFA">
        <w:rPr>
          <w:color w:val="0D0D0D" w:themeColor="text1" w:themeTint="F2"/>
        </w:rPr>
        <w:t>increases to</w:t>
      </w:r>
      <w:r w:rsidR="00700E2B" w:rsidRPr="00943DFA">
        <w:rPr>
          <w:color w:val="0D0D0D" w:themeColor="text1" w:themeTint="F2"/>
        </w:rPr>
        <w:t xml:space="preserve"> </w:t>
      </w:r>
      <w:r w:rsidR="0037382E" w:rsidRPr="00943DFA">
        <w:rPr>
          <w:color w:val="0D0D0D" w:themeColor="text1" w:themeTint="F2"/>
        </w:rPr>
        <w:t>72.48</w:t>
      </w:r>
      <w:r w:rsidR="00700E2B" w:rsidRPr="00943DFA">
        <w:rPr>
          <w:color w:val="0D0D0D" w:themeColor="text1" w:themeTint="F2"/>
        </w:rPr>
        <w:t>%</w:t>
      </w:r>
      <w:r w:rsidR="0037382E" w:rsidRPr="00943DFA">
        <w:rPr>
          <w:color w:val="0D0D0D" w:themeColor="text1" w:themeTint="F2"/>
        </w:rPr>
        <w:t xml:space="preserve">. </w:t>
      </w:r>
      <w:r w:rsidR="00854BD0" w:rsidRPr="00943DFA">
        <w:rPr>
          <w:color w:val="0D0D0D" w:themeColor="text1" w:themeTint="F2"/>
        </w:rPr>
        <w:t>Similarly</w:t>
      </w:r>
      <w:r w:rsidR="00BE1456" w:rsidRPr="00943DFA">
        <w:rPr>
          <w:color w:val="0D0D0D" w:themeColor="text1" w:themeTint="F2"/>
        </w:rPr>
        <w:t>, when 3-category classification is created by combining categories A, B, C, D and E into corporate-activity-related issue</w:t>
      </w:r>
      <w:r w:rsidR="00FD4D40" w:rsidRPr="00943DFA">
        <w:rPr>
          <w:color w:val="0D0D0D" w:themeColor="text1" w:themeTint="F2"/>
        </w:rPr>
        <w:t xml:space="preserve"> and using category F as disclosure issues and category </w:t>
      </w:r>
      <w:proofErr w:type="spellStart"/>
      <w:r w:rsidR="00FD4D40" w:rsidRPr="00943DFA">
        <w:rPr>
          <w:color w:val="0D0D0D" w:themeColor="text1" w:themeTint="F2"/>
        </w:rPr>
        <w:t>G as</w:t>
      </w:r>
      <w:proofErr w:type="spellEnd"/>
      <w:r w:rsidR="00FD4D40" w:rsidRPr="00943DFA">
        <w:rPr>
          <w:color w:val="0D0D0D" w:themeColor="text1" w:themeTint="F2"/>
        </w:rPr>
        <w:t xml:space="preserve"> other issue,</w:t>
      </w:r>
      <w:r w:rsidR="00BE1456" w:rsidRPr="00943DFA">
        <w:rPr>
          <w:color w:val="0D0D0D" w:themeColor="text1" w:themeTint="F2"/>
        </w:rPr>
        <w:t xml:space="preserve"> the Bayesian algorithm achieves a success rate of 76.85%</w:t>
      </w:r>
      <w:r w:rsidR="00FD4D40" w:rsidRPr="00943DFA">
        <w:rPr>
          <w:color w:val="0D0D0D" w:themeColor="text1" w:themeTint="F2"/>
        </w:rPr>
        <w:t>. In general</w:t>
      </w:r>
      <w:r w:rsidR="00700E2B" w:rsidRPr="00943DFA">
        <w:rPr>
          <w:color w:val="0D0D0D" w:themeColor="text1" w:themeTint="F2"/>
        </w:rPr>
        <w:t>,</w:t>
      </w:r>
      <w:r w:rsidR="00EA5594" w:rsidRPr="00943DFA">
        <w:rPr>
          <w:color w:val="0D0D0D" w:themeColor="text1" w:themeTint="F2"/>
        </w:rPr>
        <w:t xml:space="preserve"> </w:t>
      </w:r>
      <w:r w:rsidR="00700E2B" w:rsidRPr="00943DFA">
        <w:rPr>
          <w:color w:val="0D0D0D" w:themeColor="text1" w:themeTint="F2"/>
        </w:rPr>
        <w:t>the</w:t>
      </w:r>
      <w:r w:rsidR="00EA5594" w:rsidRPr="00943DFA">
        <w:rPr>
          <w:color w:val="0D0D0D" w:themeColor="text1" w:themeTint="F2"/>
        </w:rPr>
        <w:t xml:space="preserve"> </w:t>
      </w:r>
      <w:r w:rsidR="00700E2B" w:rsidRPr="00943DFA">
        <w:rPr>
          <w:color w:val="0D0D0D" w:themeColor="text1" w:themeTint="F2"/>
        </w:rPr>
        <w:t>N-fold cross-validation tests show that the Bayesian learning algorithm</w:t>
      </w:r>
      <w:r w:rsidR="00EA5594" w:rsidRPr="00943DFA">
        <w:rPr>
          <w:color w:val="0D0D0D" w:themeColor="text1" w:themeTint="F2"/>
        </w:rPr>
        <w:t xml:space="preserve"> </w:t>
      </w:r>
      <w:r w:rsidR="00700E2B" w:rsidRPr="00943DFA">
        <w:rPr>
          <w:color w:val="0D0D0D" w:themeColor="text1" w:themeTint="F2"/>
        </w:rPr>
        <w:t>achieves a good classification rate</w:t>
      </w:r>
      <w:r w:rsidR="00FD4D40" w:rsidRPr="00943DFA">
        <w:rPr>
          <w:color w:val="0D0D0D" w:themeColor="text1" w:themeTint="F2"/>
        </w:rPr>
        <w:t>.</w:t>
      </w:r>
      <w:r w:rsidR="00940BE6" w:rsidRPr="00943DFA">
        <w:rPr>
          <w:rStyle w:val="FootnoteReference"/>
          <w:color w:val="0D0D0D" w:themeColor="text1" w:themeTint="F2"/>
        </w:rPr>
        <w:t xml:space="preserve"> </w:t>
      </w:r>
      <w:r w:rsidR="00940BE6" w:rsidRPr="00943DFA">
        <w:rPr>
          <w:rStyle w:val="FootnoteReference"/>
          <w:color w:val="0D0D0D" w:themeColor="text1" w:themeTint="F2"/>
        </w:rPr>
        <w:footnoteReference w:id="11"/>
      </w:r>
      <w:r w:rsidR="00940BE6" w:rsidRPr="00943DFA">
        <w:rPr>
          <w:color w:val="0D0D0D" w:themeColor="text1" w:themeTint="F2"/>
        </w:rPr>
        <w:t xml:space="preserve"> </w:t>
      </w:r>
      <w:r w:rsidR="00740662" w:rsidRPr="00943DFA">
        <w:rPr>
          <w:color w:val="0D0D0D" w:themeColor="text1" w:themeTint="F2"/>
        </w:rPr>
        <w:t xml:space="preserve">When N is increased from 3 to 75, these results remain consistent. In addition, </w:t>
      </w:r>
      <w:r w:rsidR="00740662" w:rsidRPr="00943DFA">
        <w:rPr>
          <w:rFonts w:eastAsia="Times New Roman"/>
          <w:color w:val="0D0D0D" w:themeColor="text1" w:themeTint="F2"/>
        </w:rPr>
        <w:t>baseline accuracy shows the successful rates of 71.41%, 77.41% and 80.27% for 7-category classification, 4-category classification and 3-category classification, respectively.</w:t>
      </w:r>
      <w:r w:rsidR="00740662" w:rsidRPr="00943DFA">
        <w:rPr>
          <w:color w:val="0D0D0D" w:themeColor="text1" w:themeTint="F2"/>
        </w:rPr>
        <w:t xml:space="preserve"> </w:t>
      </w:r>
      <w:r w:rsidR="00A6568D" w:rsidRPr="00943DFA">
        <w:rPr>
          <w:color w:val="0D0D0D" w:themeColor="text1" w:themeTint="F2"/>
        </w:rPr>
        <w:t>The wider range of themes included in a coding scheme, the more likely the coding accuracy is reduced (</w:t>
      </w:r>
      <w:proofErr w:type="spellStart"/>
      <w:r w:rsidR="00A6568D" w:rsidRPr="00943DFA">
        <w:rPr>
          <w:color w:val="0D0D0D" w:themeColor="text1" w:themeTint="F2"/>
        </w:rPr>
        <w:t>Eskin</w:t>
      </w:r>
      <w:proofErr w:type="spellEnd"/>
      <w:r w:rsidR="00A6568D" w:rsidRPr="00943DFA">
        <w:rPr>
          <w:color w:val="0D0D0D" w:themeColor="text1" w:themeTint="F2"/>
        </w:rPr>
        <w:t xml:space="preserve"> &amp; </w:t>
      </w:r>
      <w:proofErr w:type="spellStart"/>
      <w:r w:rsidR="00A6568D" w:rsidRPr="00943DFA">
        <w:rPr>
          <w:color w:val="0D0D0D" w:themeColor="text1" w:themeTint="F2"/>
        </w:rPr>
        <w:t>Bogosian</w:t>
      </w:r>
      <w:proofErr w:type="spellEnd"/>
      <w:r w:rsidR="00A6568D" w:rsidRPr="00943DFA">
        <w:rPr>
          <w:color w:val="0D0D0D" w:themeColor="text1" w:themeTint="F2"/>
        </w:rPr>
        <w:t xml:space="preserve">, 1998; Long et al., 2009). </w:t>
      </w:r>
      <w:r w:rsidR="00195130" w:rsidRPr="00943DFA">
        <w:rPr>
          <w:rFonts w:eastAsia="Times New Roman"/>
          <w:color w:val="0D0D0D" w:themeColor="text1" w:themeTint="F2"/>
        </w:rPr>
        <w:t xml:space="preserve">Long et al. (2009) achieve </w:t>
      </w:r>
      <w:r w:rsidR="00740662" w:rsidRPr="00943DFA">
        <w:rPr>
          <w:rFonts w:eastAsia="Times New Roman"/>
          <w:color w:val="0D0D0D" w:themeColor="text1" w:themeTint="F2"/>
        </w:rPr>
        <w:t>successful</w:t>
      </w:r>
      <w:r w:rsidR="00195130" w:rsidRPr="00943DFA">
        <w:rPr>
          <w:rFonts w:eastAsia="Times New Roman"/>
          <w:color w:val="0D0D0D" w:themeColor="text1" w:themeTint="F2"/>
        </w:rPr>
        <w:t xml:space="preserve"> rates of </w:t>
      </w:r>
      <w:r w:rsidR="00740662" w:rsidRPr="00943DFA">
        <w:rPr>
          <w:rFonts w:eastAsia="Times New Roman"/>
          <w:color w:val="0D0D0D" w:themeColor="text1" w:themeTint="F2"/>
        </w:rPr>
        <w:t>87.6</w:t>
      </w:r>
      <w:r w:rsidR="00195130" w:rsidRPr="00943DFA">
        <w:rPr>
          <w:rFonts w:eastAsia="Times New Roman"/>
          <w:color w:val="0D0D0D" w:themeColor="text1" w:themeTint="F2"/>
        </w:rPr>
        <w:t xml:space="preserve">%, </w:t>
      </w:r>
      <w:r w:rsidR="00740662" w:rsidRPr="00943DFA">
        <w:rPr>
          <w:rFonts w:eastAsia="Times New Roman"/>
          <w:color w:val="0D0D0D" w:themeColor="text1" w:themeTint="F2"/>
        </w:rPr>
        <w:t>67.1</w:t>
      </w:r>
      <w:r w:rsidR="00195130" w:rsidRPr="00943DFA">
        <w:rPr>
          <w:rFonts w:eastAsia="Times New Roman"/>
          <w:color w:val="0D0D0D" w:themeColor="text1" w:themeTint="F2"/>
        </w:rPr>
        <w:t xml:space="preserve">% and </w:t>
      </w:r>
      <w:r w:rsidR="00740662" w:rsidRPr="00943DFA">
        <w:rPr>
          <w:rFonts w:eastAsia="Times New Roman"/>
          <w:color w:val="0D0D0D" w:themeColor="text1" w:themeTint="F2"/>
        </w:rPr>
        <w:t>47.7</w:t>
      </w:r>
      <w:r w:rsidR="00195130" w:rsidRPr="00943DFA">
        <w:rPr>
          <w:rFonts w:eastAsia="Times New Roman"/>
          <w:color w:val="0D0D0D" w:themeColor="text1" w:themeTint="F2"/>
        </w:rPr>
        <w:t>% when employing their Naïve Bayes algorithm with 2, 5 and 10 categories, respectively. Similarly, Li (2010) reports that increasing from 3 to 12 categories reduces the accuracy</w:t>
      </w:r>
      <w:r w:rsidR="00A6568D" w:rsidRPr="00943DFA">
        <w:rPr>
          <w:rFonts w:eastAsia="Times New Roman"/>
          <w:color w:val="0D0D0D" w:themeColor="text1" w:themeTint="F2"/>
        </w:rPr>
        <w:t xml:space="preserve"> </w:t>
      </w:r>
      <w:r w:rsidR="00195130" w:rsidRPr="00943DFA">
        <w:rPr>
          <w:rFonts w:eastAsia="Times New Roman"/>
          <w:color w:val="0D0D0D" w:themeColor="text1" w:themeTint="F2"/>
        </w:rPr>
        <w:t xml:space="preserve">of Naïve Bayes algorithm from </w:t>
      </w:r>
      <w:r w:rsidR="00740662" w:rsidRPr="00943DFA">
        <w:rPr>
          <w:rFonts w:eastAsia="Times New Roman"/>
          <w:color w:val="0D0D0D" w:themeColor="text1" w:themeTint="F2"/>
        </w:rPr>
        <w:t>63</w:t>
      </w:r>
      <w:r w:rsidR="00195130" w:rsidRPr="00943DFA">
        <w:rPr>
          <w:rFonts w:eastAsia="Times New Roman"/>
          <w:color w:val="0D0D0D" w:themeColor="text1" w:themeTint="F2"/>
        </w:rPr>
        <w:t xml:space="preserve">% to </w:t>
      </w:r>
      <w:r w:rsidR="00740662" w:rsidRPr="00943DFA">
        <w:rPr>
          <w:rFonts w:eastAsia="Times New Roman"/>
          <w:color w:val="0D0D0D" w:themeColor="text1" w:themeTint="F2"/>
        </w:rPr>
        <w:t>2</w:t>
      </w:r>
      <w:r w:rsidR="00195130" w:rsidRPr="00943DFA">
        <w:rPr>
          <w:rFonts w:eastAsia="Times New Roman"/>
          <w:color w:val="0D0D0D" w:themeColor="text1" w:themeTint="F2"/>
        </w:rPr>
        <w:t xml:space="preserve">%. </w:t>
      </w:r>
    </w:p>
    <w:p w14:paraId="15D2C61E" w14:textId="71A00311" w:rsidR="00195130" w:rsidRPr="00943DFA" w:rsidRDefault="00195130" w:rsidP="00195130">
      <w:pPr>
        <w:pStyle w:val="Caption"/>
        <w:spacing w:before="240" w:after="240" w:line="360" w:lineRule="auto"/>
        <w:rPr>
          <w:b/>
          <w:i w:val="0"/>
          <w:color w:val="0D0D0D" w:themeColor="text1" w:themeTint="F2"/>
          <w:sz w:val="24"/>
          <w:szCs w:val="24"/>
        </w:rPr>
      </w:pPr>
      <w:bookmarkStart w:id="24" w:name="_Ref50713887"/>
      <w:bookmarkStart w:id="25" w:name="_Ref50713882"/>
      <w:bookmarkStart w:id="26" w:name="_Toc85100150"/>
      <w:r w:rsidRPr="00943DFA">
        <w:rPr>
          <w:b/>
          <w:i w:val="0"/>
          <w:color w:val="0D0D0D" w:themeColor="text1" w:themeTint="F2"/>
          <w:sz w:val="24"/>
          <w:szCs w:val="24"/>
        </w:rPr>
        <w:t xml:space="preserve">Table </w:t>
      </w:r>
      <w:bookmarkEnd w:id="24"/>
      <w:r w:rsidR="002E0B86" w:rsidRPr="00943DFA">
        <w:rPr>
          <w:b/>
          <w:i w:val="0"/>
          <w:color w:val="0D0D0D" w:themeColor="text1" w:themeTint="F2"/>
          <w:sz w:val="24"/>
          <w:szCs w:val="24"/>
        </w:rPr>
        <w:t>2</w:t>
      </w:r>
      <w:r w:rsidRPr="00943DFA">
        <w:rPr>
          <w:b/>
          <w:i w:val="0"/>
          <w:color w:val="0D0D0D" w:themeColor="text1" w:themeTint="F2"/>
          <w:sz w:val="24"/>
          <w:szCs w:val="24"/>
        </w:rPr>
        <w:t xml:space="preserve">. N-fold Cross-Validation Test </w:t>
      </w:r>
      <w:bookmarkEnd w:id="25"/>
      <w:bookmarkEnd w:id="26"/>
    </w:p>
    <w:tbl>
      <w:tblPr>
        <w:tblW w:w="9586" w:type="dxa"/>
        <w:tblInd w:w="108" w:type="dxa"/>
        <w:tblLook w:val="04A0" w:firstRow="1" w:lastRow="0" w:firstColumn="1" w:lastColumn="0" w:noHBand="0" w:noVBand="1"/>
      </w:tblPr>
      <w:tblGrid>
        <w:gridCol w:w="1985"/>
        <w:gridCol w:w="1017"/>
        <w:gridCol w:w="1336"/>
        <w:gridCol w:w="1017"/>
        <w:gridCol w:w="1516"/>
        <w:gridCol w:w="1017"/>
        <w:gridCol w:w="1476"/>
        <w:gridCol w:w="222"/>
      </w:tblGrid>
      <w:tr w:rsidR="00943DFA" w:rsidRPr="00943DFA" w14:paraId="08417A63" w14:textId="77777777" w:rsidTr="00CF7E79">
        <w:trPr>
          <w:gridAfter w:val="1"/>
          <w:wAfter w:w="222" w:type="dxa"/>
          <w:trHeight w:val="145"/>
        </w:trPr>
        <w:tc>
          <w:tcPr>
            <w:tcW w:w="1985" w:type="dxa"/>
            <w:tcBorders>
              <w:top w:val="single" w:sz="4" w:space="0" w:color="auto"/>
              <w:left w:val="nil"/>
              <w:bottom w:val="single" w:sz="4" w:space="0" w:color="auto"/>
              <w:right w:val="nil"/>
            </w:tcBorders>
            <w:shd w:val="clear" w:color="auto" w:fill="auto"/>
            <w:vAlign w:val="center"/>
            <w:hideMark/>
          </w:tcPr>
          <w:p w14:paraId="422DAACA" w14:textId="77777777" w:rsidR="00CF7E79" w:rsidRPr="00943DFA" w:rsidRDefault="00CF7E79" w:rsidP="00CF7E79">
            <w:pPr>
              <w:jc w:val="center"/>
              <w:rPr>
                <w:rFonts w:eastAsia="Times New Roman"/>
                <w:b/>
                <w:bCs/>
                <w:color w:val="0D0D0D" w:themeColor="text1" w:themeTint="F2"/>
              </w:rPr>
            </w:pPr>
            <w:bookmarkStart w:id="27" w:name="_Toc50713969"/>
            <w:r w:rsidRPr="00943DFA">
              <w:rPr>
                <w:rFonts w:eastAsia="Times New Roman"/>
                <w:b/>
                <w:bCs/>
                <w:color w:val="0D0D0D" w:themeColor="text1" w:themeTint="F2"/>
                <w:sz w:val="22"/>
                <w:szCs w:val="22"/>
              </w:rPr>
              <w:t>N</w:t>
            </w:r>
          </w:p>
        </w:tc>
        <w:tc>
          <w:tcPr>
            <w:tcW w:w="1017" w:type="dxa"/>
            <w:tcBorders>
              <w:top w:val="single" w:sz="4" w:space="0" w:color="auto"/>
              <w:left w:val="nil"/>
              <w:bottom w:val="nil"/>
              <w:right w:val="nil"/>
            </w:tcBorders>
            <w:shd w:val="clear" w:color="auto" w:fill="auto"/>
            <w:vAlign w:val="center"/>
            <w:hideMark/>
          </w:tcPr>
          <w:p w14:paraId="6CFDE724" w14:textId="77777777" w:rsidR="00CF7E79" w:rsidRPr="00943DFA" w:rsidRDefault="00CF7E79" w:rsidP="00CF7E79">
            <w:pPr>
              <w:jc w:val="center"/>
              <w:rPr>
                <w:rFonts w:eastAsia="Times New Roman"/>
                <w:b/>
                <w:bCs/>
                <w:color w:val="0D0D0D" w:themeColor="text1" w:themeTint="F2"/>
              </w:rPr>
            </w:pPr>
            <w:r w:rsidRPr="00943DFA">
              <w:rPr>
                <w:rFonts w:eastAsia="Times New Roman"/>
                <w:b/>
                <w:bCs/>
                <w:color w:val="0D0D0D" w:themeColor="text1" w:themeTint="F2"/>
                <w:sz w:val="22"/>
                <w:szCs w:val="22"/>
              </w:rPr>
              <w:t> </w:t>
            </w:r>
          </w:p>
        </w:tc>
        <w:tc>
          <w:tcPr>
            <w:tcW w:w="1336" w:type="dxa"/>
            <w:tcBorders>
              <w:top w:val="single" w:sz="4" w:space="0" w:color="auto"/>
              <w:left w:val="nil"/>
              <w:bottom w:val="single" w:sz="4" w:space="0" w:color="auto"/>
              <w:right w:val="nil"/>
            </w:tcBorders>
            <w:shd w:val="clear" w:color="auto" w:fill="auto"/>
            <w:vAlign w:val="center"/>
            <w:hideMark/>
          </w:tcPr>
          <w:p w14:paraId="63992F29" w14:textId="77777777" w:rsidR="00CF7E79" w:rsidRPr="00943DFA" w:rsidRDefault="00CF7E79" w:rsidP="00CF7E79">
            <w:pPr>
              <w:jc w:val="center"/>
              <w:rPr>
                <w:rFonts w:eastAsia="Times New Roman"/>
                <w:b/>
                <w:bCs/>
                <w:color w:val="0D0D0D" w:themeColor="text1" w:themeTint="F2"/>
              </w:rPr>
            </w:pPr>
            <w:r w:rsidRPr="00943DFA">
              <w:rPr>
                <w:rFonts w:eastAsia="Times New Roman"/>
                <w:b/>
                <w:bCs/>
                <w:color w:val="0D0D0D" w:themeColor="text1" w:themeTint="F2"/>
                <w:sz w:val="22"/>
                <w:szCs w:val="22"/>
              </w:rPr>
              <w:t>7 categories</w:t>
            </w:r>
          </w:p>
        </w:tc>
        <w:tc>
          <w:tcPr>
            <w:tcW w:w="1017" w:type="dxa"/>
            <w:tcBorders>
              <w:top w:val="single" w:sz="4" w:space="0" w:color="auto"/>
              <w:left w:val="nil"/>
              <w:bottom w:val="nil"/>
              <w:right w:val="nil"/>
            </w:tcBorders>
            <w:shd w:val="clear" w:color="auto" w:fill="auto"/>
            <w:vAlign w:val="center"/>
            <w:hideMark/>
          </w:tcPr>
          <w:p w14:paraId="06B32512" w14:textId="77777777" w:rsidR="00CF7E79" w:rsidRPr="00943DFA" w:rsidRDefault="00CF7E79" w:rsidP="00CF7E79">
            <w:pPr>
              <w:jc w:val="center"/>
              <w:rPr>
                <w:rFonts w:eastAsia="Times New Roman"/>
                <w:b/>
                <w:bCs/>
                <w:color w:val="0D0D0D" w:themeColor="text1" w:themeTint="F2"/>
              </w:rPr>
            </w:pPr>
            <w:r w:rsidRPr="00943DFA">
              <w:rPr>
                <w:rFonts w:eastAsia="Times New Roman"/>
                <w:b/>
                <w:bCs/>
                <w:color w:val="0D0D0D" w:themeColor="text1" w:themeTint="F2"/>
                <w:sz w:val="22"/>
                <w:szCs w:val="22"/>
              </w:rPr>
              <w:t> </w:t>
            </w:r>
          </w:p>
        </w:tc>
        <w:tc>
          <w:tcPr>
            <w:tcW w:w="1516" w:type="dxa"/>
            <w:tcBorders>
              <w:top w:val="single" w:sz="4" w:space="0" w:color="auto"/>
              <w:left w:val="nil"/>
              <w:bottom w:val="single" w:sz="4" w:space="0" w:color="auto"/>
              <w:right w:val="nil"/>
            </w:tcBorders>
            <w:shd w:val="clear" w:color="auto" w:fill="auto"/>
            <w:vAlign w:val="center"/>
            <w:hideMark/>
          </w:tcPr>
          <w:p w14:paraId="21A1C99B" w14:textId="77777777" w:rsidR="00CF7E79" w:rsidRPr="00943DFA" w:rsidRDefault="00CF7E79" w:rsidP="00CF7E79">
            <w:pPr>
              <w:jc w:val="center"/>
              <w:rPr>
                <w:rFonts w:eastAsia="Times New Roman"/>
                <w:b/>
                <w:bCs/>
                <w:color w:val="0D0D0D" w:themeColor="text1" w:themeTint="F2"/>
              </w:rPr>
            </w:pPr>
            <w:r w:rsidRPr="00943DFA">
              <w:rPr>
                <w:rFonts w:eastAsia="Times New Roman"/>
                <w:b/>
                <w:bCs/>
                <w:color w:val="0D0D0D" w:themeColor="text1" w:themeTint="F2"/>
                <w:sz w:val="22"/>
                <w:szCs w:val="22"/>
              </w:rPr>
              <w:t>4 categories</w:t>
            </w:r>
          </w:p>
        </w:tc>
        <w:tc>
          <w:tcPr>
            <w:tcW w:w="1017" w:type="dxa"/>
            <w:tcBorders>
              <w:top w:val="single" w:sz="4" w:space="0" w:color="auto"/>
              <w:left w:val="nil"/>
              <w:bottom w:val="nil"/>
              <w:right w:val="nil"/>
            </w:tcBorders>
            <w:shd w:val="clear" w:color="auto" w:fill="auto"/>
            <w:vAlign w:val="center"/>
            <w:hideMark/>
          </w:tcPr>
          <w:p w14:paraId="56BFFD46" w14:textId="77777777" w:rsidR="00CF7E79" w:rsidRPr="00943DFA" w:rsidRDefault="00CF7E79" w:rsidP="00CF7E79">
            <w:pPr>
              <w:jc w:val="center"/>
              <w:rPr>
                <w:rFonts w:eastAsia="Times New Roman"/>
                <w:b/>
                <w:bCs/>
                <w:color w:val="0D0D0D" w:themeColor="text1" w:themeTint="F2"/>
              </w:rPr>
            </w:pPr>
            <w:r w:rsidRPr="00943DFA">
              <w:rPr>
                <w:rFonts w:eastAsia="Times New Roman"/>
                <w:b/>
                <w:bCs/>
                <w:color w:val="0D0D0D" w:themeColor="text1" w:themeTint="F2"/>
                <w:sz w:val="22"/>
                <w:szCs w:val="22"/>
              </w:rPr>
              <w:t> </w:t>
            </w:r>
          </w:p>
        </w:tc>
        <w:tc>
          <w:tcPr>
            <w:tcW w:w="1476" w:type="dxa"/>
            <w:tcBorders>
              <w:top w:val="single" w:sz="4" w:space="0" w:color="auto"/>
              <w:left w:val="nil"/>
              <w:bottom w:val="single" w:sz="4" w:space="0" w:color="auto"/>
              <w:right w:val="nil"/>
            </w:tcBorders>
            <w:shd w:val="clear" w:color="auto" w:fill="auto"/>
            <w:vAlign w:val="center"/>
            <w:hideMark/>
          </w:tcPr>
          <w:p w14:paraId="1E644897" w14:textId="77777777" w:rsidR="00CF7E79" w:rsidRPr="00943DFA" w:rsidRDefault="00CF7E79" w:rsidP="00CF7E79">
            <w:pPr>
              <w:jc w:val="center"/>
              <w:rPr>
                <w:rFonts w:eastAsia="Times New Roman"/>
                <w:b/>
                <w:bCs/>
                <w:color w:val="0D0D0D" w:themeColor="text1" w:themeTint="F2"/>
              </w:rPr>
            </w:pPr>
            <w:r w:rsidRPr="00943DFA">
              <w:rPr>
                <w:rFonts w:eastAsia="Times New Roman"/>
                <w:b/>
                <w:bCs/>
                <w:color w:val="0D0D0D" w:themeColor="text1" w:themeTint="F2"/>
                <w:sz w:val="22"/>
                <w:szCs w:val="22"/>
              </w:rPr>
              <w:t>3 categories</w:t>
            </w:r>
          </w:p>
        </w:tc>
      </w:tr>
      <w:tr w:rsidR="00943DFA" w:rsidRPr="00943DFA" w14:paraId="6B3F5723" w14:textId="77777777" w:rsidTr="00CF7E79">
        <w:trPr>
          <w:gridAfter w:val="1"/>
          <w:wAfter w:w="222" w:type="dxa"/>
          <w:trHeight w:val="280"/>
        </w:trPr>
        <w:tc>
          <w:tcPr>
            <w:tcW w:w="1985" w:type="dxa"/>
            <w:tcBorders>
              <w:top w:val="nil"/>
              <w:left w:val="nil"/>
              <w:bottom w:val="nil"/>
              <w:right w:val="nil"/>
            </w:tcBorders>
            <w:shd w:val="clear" w:color="auto" w:fill="auto"/>
            <w:noWrap/>
            <w:vAlign w:val="bottom"/>
            <w:hideMark/>
          </w:tcPr>
          <w:p w14:paraId="5300DDEA"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3</w:t>
            </w:r>
          </w:p>
        </w:tc>
        <w:tc>
          <w:tcPr>
            <w:tcW w:w="1017" w:type="dxa"/>
            <w:tcBorders>
              <w:top w:val="nil"/>
              <w:left w:val="nil"/>
              <w:bottom w:val="nil"/>
              <w:right w:val="nil"/>
            </w:tcBorders>
            <w:shd w:val="clear" w:color="auto" w:fill="auto"/>
            <w:noWrap/>
            <w:vAlign w:val="bottom"/>
            <w:hideMark/>
          </w:tcPr>
          <w:p w14:paraId="634E2B74" w14:textId="77777777" w:rsidR="00CF7E79" w:rsidRPr="00943DFA" w:rsidRDefault="00CF7E79" w:rsidP="00CF7E79">
            <w:pPr>
              <w:jc w:val="center"/>
              <w:rPr>
                <w:rFonts w:eastAsia="Times New Roman"/>
                <w:color w:val="0D0D0D" w:themeColor="text1" w:themeTint="F2"/>
              </w:rPr>
            </w:pPr>
          </w:p>
        </w:tc>
        <w:tc>
          <w:tcPr>
            <w:tcW w:w="1336" w:type="dxa"/>
            <w:tcBorders>
              <w:top w:val="nil"/>
              <w:left w:val="nil"/>
              <w:bottom w:val="nil"/>
              <w:right w:val="nil"/>
            </w:tcBorders>
            <w:shd w:val="clear" w:color="auto" w:fill="auto"/>
            <w:noWrap/>
            <w:vAlign w:val="bottom"/>
            <w:hideMark/>
          </w:tcPr>
          <w:p w14:paraId="48E5EBFD"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64.93</w:t>
            </w:r>
          </w:p>
        </w:tc>
        <w:tc>
          <w:tcPr>
            <w:tcW w:w="1017" w:type="dxa"/>
            <w:tcBorders>
              <w:top w:val="nil"/>
              <w:left w:val="nil"/>
              <w:bottom w:val="nil"/>
              <w:right w:val="nil"/>
            </w:tcBorders>
            <w:shd w:val="clear" w:color="auto" w:fill="auto"/>
            <w:noWrap/>
            <w:vAlign w:val="bottom"/>
            <w:hideMark/>
          </w:tcPr>
          <w:p w14:paraId="379B2380" w14:textId="77777777" w:rsidR="00CF7E79" w:rsidRPr="00943DFA" w:rsidRDefault="00CF7E79" w:rsidP="00CF7E79">
            <w:pPr>
              <w:jc w:val="center"/>
              <w:rPr>
                <w:rFonts w:eastAsia="Times New Roman"/>
                <w:color w:val="0D0D0D" w:themeColor="text1" w:themeTint="F2"/>
              </w:rPr>
            </w:pPr>
          </w:p>
        </w:tc>
        <w:tc>
          <w:tcPr>
            <w:tcW w:w="1516" w:type="dxa"/>
            <w:tcBorders>
              <w:top w:val="nil"/>
              <w:left w:val="nil"/>
              <w:bottom w:val="nil"/>
              <w:right w:val="nil"/>
            </w:tcBorders>
            <w:shd w:val="clear" w:color="auto" w:fill="auto"/>
            <w:noWrap/>
            <w:vAlign w:val="bottom"/>
            <w:hideMark/>
          </w:tcPr>
          <w:p w14:paraId="55ADB021"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72.48</w:t>
            </w:r>
          </w:p>
        </w:tc>
        <w:tc>
          <w:tcPr>
            <w:tcW w:w="1017" w:type="dxa"/>
            <w:tcBorders>
              <w:top w:val="nil"/>
              <w:left w:val="nil"/>
              <w:bottom w:val="nil"/>
              <w:right w:val="nil"/>
            </w:tcBorders>
            <w:shd w:val="clear" w:color="auto" w:fill="auto"/>
            <w:noWrap/>
            <w:vAlign w:val="bottom"/>
            <w:hideMark/>
          </w:tcPr>
          <w:p w14:paraId="034AB889" w14:textId="77777777" w:rsidR="00CF7E79" w:rsidRPr="00943DFA" w:rsidRDefault="00CF7E79" w:rsidP="00CF7E79">
            <w:pPr>
              <w:jc w:val="center"/>
              <w:rPr>
                <w:rFonts w:eastAsia="Times New Roman"/>
                <w:color w:val="0D0D0D" w:themeColor="text1" w:themeTint="F2"/>
              </w:rPr>
            </w:pPr>
          </w:p>
        </w:tc>
        <w:tc>
          <w:tcPr>
            <w:tcW w:w="1476" w:type="dxa"/>
            <w:tcBorders>
              <w:top w:val="nil"/>
              <w:left w:val="nil"/>
              <w:bottom w:val="nil"/>
              <w:right w:val="nil"/>
            </w:tcBorders>
            <w:shd w:val="clear" w:color="auto" w:fill="auto"/>
            <w:noWrap/>
            <w:vAlign w:val="bottom"/>
            <w:hideMark/>
          </w:tcPr>
          <w:p w14:paraId="64960B60"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76.85</w:t>
            </w:r>
          </w:p>
        </w:tc>
      </w:tr>
      <w:tr w:rsidR="00943DFA" w:rsidRPr="00943DFA" w14:paraId="312F10DD" w14:textId="77777777" w:rsidTr="00CF7E79">
        <w:trPr>
          <w:gridAfter w:val="1"/>
          <w:wAfter w:w="222" w:type="dxa"/>
          <w:trHeight w:val="280"/>
        </w:trPr>
        <w:tc>
          <w:tcPr>
            <w:tcW w:w="1985" w:type="dxa"/>
            <w:tcBorders>
              <w:top w:val="nil"/>
              <w:left w:val="nil"/>
              <w:bottom w:val="nil"/>
              <w:right w:val="nil"/>
            </w:tcBorders>
            <w:shd w:val="clear" w:color="auto" w:fill="auto"/>
            <w:noWrap/>
            <w:vAlign w:val="bottom"/>
            <w:hideMark/>
          </w:tcPr>
          <w:p w14:paraId="77FED4D2"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5</w:t>
            </w:r>
          </w:p>
        </w:tc>
        <w:tc>
          <w:tcPr>
            <w:tcW w:w="1017" w:type="dxa"/>
            <w:tcBorders>
              <w:top w:val="nil"/>
              <w:left w:val="nil"/>
              <w:bottom w:val="nil"/>
              <w:right w:val="nil"/>
            </w:tcBorders>
            <w:shd w:val="clear" w:color="auto" w:fill="auto"/>
            <w:noWrap/>
            <w:vAlign w:val="bottom"/>
            <w:hideMark/>
          </w:tcPr>
          <w:p w14:paraId="063766EA" w14:textId="77777777" w:rsidR="00CF7E79" w:rsidRPr="00943DFA" w:rsidRDefault="00CF7E79" w:rsidP="00CF7E79">
            <w:pPr>
              <w:jc w:val="center"/>
              <w:rPr>
                <w:rFonts w:eastAsia="Times New Roman"/>
                <w:color w:val="0D0D0D" w:themeColor="text1" w:themeTint="F2"/>
              </w:rPr>
            </w:pPr>
          </w:p>
        </w:tc>
        <w:tc>
          <w:tcPr>
            <w:tcW w:w="1336" w:type="dxa"/>
            <w:tcBorders>
              <w:top w:val="nil"/>
              <w:left w:val="nil"/>
              <w:bottom w:val="nil"/>
              <w:right w:val="nil"/>
            </w:tcBorders>
            <w:shd w:val="clear" w:color="auto" w:fill="auto"/>
            <w:noWrap/>
            <w:vAlign w:val="bottom"/>
            <w:hideMark/>
          </w:tcPr>
          <w:p w14:paraId="1673E4C5"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65.33</w:t>
            </w:r>
          </w:p>
        </w:tc>
        <w:tc>
          <w:tcPr>
            <w:tcW w:w="1017" w:type="dxa"/>
            <w:tcBorders>
              <w:top w:val="nil"/>
              <w:left w:val="nil"/>
              <w:bottom w:val="nil"/>
              <w:right w:val="nil"/>
            </w:tcBorders>
            <w:shd w:val="clear" w:color="auto" w:fill="auto"/>
            <w:noWrap/>
            <w:vAlign w:val="bottom"/>
            <w:hideMark/>
          </w:tcPr>
          <w:p w14:paraId="771C1129" w14:textId="77777777" w:rsidR="00CF7E79" w:rsidRPr="00943DFA" w:rsidRDefault="00CF7E79" w:rsidP="00CF7E79">
            <w:pPr>
              <w:jc w:val="center"/>
              <w:rPr>
                <w:rFonts w:eastAsia="Times New Roman"/>
                <w:color w:val="0D0D0D" w:themeColor="text1" w:themeTint="F2"/>
              </w:rPr>
            </w:pPr>
          </w:p>
        </w:tc>
        <w:tc>
          <w:tcPr>
            <w:tcW w:w="1516" w:type="dxa"/>
            <w:tcBorders>
              <w:top w:val="nil"/>
              <w:left w:val="nil"/>
              <w:bottom w:val="nil"/>
              <w:right w:val="nil"/>
            </w:tcBorders>
            <w:shd w:val="clear" w:color="auto" w:fill="auto"/>
            <w:noWrap/>
            <w:vAlign w:val="bottom"/>
            <w:hideMark/>
          </w:tcPr>
          <w:p w14:paraId="0ACB498F"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73.1</w:t>
            </w:r>
          </w:p>
        </w:tc>
        <w:tc>
          <w:tcPr>
            <w:tcW w:w="1017" w:type="dxa"/>
            <w:tcBorders>
              <w:top w:val="nil"/>
              <w:left w:val="nil"/>
              <w:bottom w:val="nil"/>
              <w:right w:val="nil"/>
            </w:tcBorders>
            <w:shd w:val="clear" w:color="auto" w:fill="auto"/>
            <w:noWrap/>
            <w:vAlign w:val="bottom"/>
            <w:hideMark/>
          </w:tcPr>
          <w:p w14:paraId="33D1A993" w14:textId="77777777" w:rsidR="00CF7E79" w:rsidRPr="00943DFA" w:rsidRDefault="00CF7E79" w:rsidP="00CF7E79">
            <w:pPr>
              <w:jc w:val="center"/>
              <w:rPr>
                <w:rFonts w:eastAsia="Times New Roman"/>
                <w:color w:val="0D0D0D" w:themeColor="text1" w:themeTint="F2"/>
              </w:rPr>
            </w:pPr>
          </w:p>
        </w:tc>
        <w:tc>
          <w:tcPr>
            <w:tcW w:w="1476" w:type="dxa"/>
            <w:tcBorders>
              <w:top w:val="nil"/>
              <w:left w:val="nil"/>
              <w:bottom w:val="nil"/>
              <w:right w:val="nil"/>
            </w:tcBorders>
            <w:shd w:val="clear" w:color="auto" w:fill="auto"/>
            <w:noWrap/>
            <w:vAlign w:val="bottom"/>
            <w:hideMark/>
          </w:tcPr>
          <w:p w14:paraId="0D632FD7"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76.93</w:t>
            </w:r>
          </w:p>
        </w:tc>
      </w:tr>
      <w:tr w:rsidR="00943DFA" w:rsidRPr="00943DFA" w14:paraId="1124E1C9" w14:textId="77777777" w:rsidTr="00CF7E79">
        <w:trPr>
          <w:gridAfter w:val="1"/>
          <w:wAfter w:w="222" w:type="dxa"/>
          <w:trHeight w:val="280"/>
        </w:trPr>
        <w:tc>
          <w:tcPr>
            <w:tcW w:w="1985" w:type="dxa"/>
            <w:tcBorders>
              <w:top w:val="nil"/>
              <w:left w:val="nil"/>
              <w:bottom w:val="nil"/>
              <w:right w:val="nil"/>
            </w:tcBorders>
            <w:shd w:val="clear" w:color="auto" w:fill="auto"/>
            <w:noWrap/>
            <w:vAlign w:val="bottom"/>
            <w:hideMark/>
          </w:tcPr>
          <w:p w14:paraId="75A6CC3E"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10</w:t>
            </w:r>
          </w:p>
        </w:tc>
        <w:tc>
          <w:tcPr>
            <w:tcW w:w="1017" w:type="dxa"/>
            <w:tcBorders>
              <w:top w:val="nil"/>
              <w:left w:val="nil"/>
              <w:bottom w:val="nil"/>
              <w:right w:val="nil"/>
            </w:tcBorders>
            <w:shd w:val="clear" w:color="auto" w:fill="auto"/>
            <w:noWrap/>
            <w:vAlign w:val="bottom"/>
            <w:hideMark/>
          </w:tcPr>
          <w:p w14:paraId="1AF65E30" w14:textId="77777777" w:rsidR="00CF7E79" w:rsidRPr="00943DFA" w:rsidRDefault="00CF7E79" w:rsidP="00CF7E79">
            <w:pPr>
              <w:jc w:val="center"/>
              <w:rPr>
                <w:rFonts w:eastAsia="Times New Roman"/>
                <w:color w:val="0D0D0D" w:themeColor="text1" w:themeTint="F2"/>
              </w:rPr>
            </w:pPr>
          </w:p>
        </w:tc>
        <w:tc>
          <w:tcPr>
            <w:tcW w:w="1336" w:type="dxa"/>
            <w:tcBorders>
              <w:top w:val="nil"/>
              <w:left w:val="nil"/>
              <w:bottom w:val="nil"/>
              <w:right w:val="nil"/>
            </w:tcBorders>
            <w:shd w:val="clear" w:color="auto" w:fill="auto"/>
            <w:noWrap/>
            <w:vAlign w:val="bottom"/>
            <w:hideMark/>
          </w:tcPr>
          <w:p w14:paraId="78880E0F"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65.38</w:t>
            </w:r>
          </w:p>
        </w:tc>
        <w:tc>
          <w:tcPr>
            <w:tcW w:w="1017" w:type="dxa"/>
            <w:tcBorders>
              <w:top w:val="nil"/>
              <w:left w:val="nil"/>
              <w:bottom w:val="nil"/>
              <w:right w:val="nil"/>
            </w:tcBorders>
            <w:shd w:val="clear" w:color="auto" w:fill="auto"/>
            <w:noWrap/>
            <w:vAlign w:val="bottom"/>
            <w:hideMark/>
          </w:tcPr>
          <w:p w14:paraId="16903F40" w14:textId="77777777" w:rsidR="00CF7E79" w:rsidRPr="00943DFA" w:rsidRDefault="00CF7E79" w:rsidP="00CF7E79">
            <w:pPr>
              <w:jc w:val="center"/>
              <w:rPr>
                <w:rFonts w:eastAsia="Times New Roman"/>
                <w:color w:val="0D0D0D" w:themeColor="text1" w:themeTint="F2"/>
              </w:rPr>
            </w:pPr>
          </w:p>
        </w:tc>
        <w:tc>
          <w:tcPr>
            <w:tcW w:w="1516" w:type="dxa"/>
            <w:tcBorders>
              <w:top w:val="nil"/>
              <w:left w:val="nil"/>
              <w:bottom w:val="nil"/>
              <w:right w:val="nil"/>
            </w:tcBorders>
            <w:shd w:val="clear" w:color="auto" w:fill="auto"/>
            <w:noWrap/>
            <w:vAlign w:val="bottom"/>
            <w:hideMark/>
          </w:tcPr>
          <w:p w14:paraId="36D74002"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73</w:t>
            </w:r>
          </w:p>
        </w:tc>
        <w:tc>
          <w:tcPr>
            <w:tcW w:w="1017" w:type="dxa"/>
            <w:tcBorders>
              <w:top w:val="nil"/>
              <w:left w:val="nil"/>
              <w:bottom w:val="nil"/>
              <w:right w:val="nil"/>
            </w:tcBorders>
            <w:shd w:val="clear" w:color="auto" w:fill="auto"/>
            <w:noWrap/>
            <w:vAlign w:val="bottom"/>
            <w:hideMark/>
          </w:tcPr>
          <w:p w14:paraId="7ABF6AAF" w14:textId="77777777" w:rsidR="00CF7E79" w:rsidRPr="00943DFA" w:rsidRDefault="00CF7E79" w:rsidP="00CF7E79">
            <w:pPr>
              <w:jc w:val="center"/>
              <w:rPr>
                <w:rFonts w:eastAsia="Times New Roman"/>
                <w:color w:val="0D0D0D" w:themeColor="text1" w:themeTint="F2"/>
              </w:rPr>
            </w:pPr>
          </w:p>
        </w:tc>
        <w:tc>
          <w:tcPr>
            <w:tcW w:w="1476" w:type="dxa"/>
            <w:tcBorders>
              <w:top w:val="nil"/>
              <w:left w:val="nil"/>
              <w:bottom w:val="nil"/>
              <w:right w:val="nil"/>
            </w:tcBorders>
            <w:shd w:val="clear" w:color="auto" w:fill="auto"/>
            <w:noWrap/>
            <w:vAlign w:val="bottom"/>
            <w:hideMark/>
          </w:tcPr>
          <w:p w14:paraId="1C6CB33D"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76.73</w:t>
            </w:r>
          </w:p>
        </w:tc>
      </w:tr>
      <w:tr w:rsidR="00943DFA" w:rsidRPr="00943DFA" w14:paraId="74FD0471" w14:textId="77777777" w:rsidTr="00CF7E79">
        <w:trPr>
          <w:gridAfter w:val="1"/>
          <w:wAfter w:w="222" w:type="dxa"/>
          <w:trHeight w:val="280"/>
        </w:trPr>
        <w:tc>
          <w:tcPr>
            <w:tcW w:w="1985" w:type="dxa"/>
            <w:tcBorders>
              <w:top w:val="nil"/>
              <w:left w:val="nil"/>
              <w:bottom w:val="nil"/>
              <w:right w:val="nil"/>
            </w:tcBorders>
            <w:shd w:val="clear" w:color="auto" w:fill="auto"/>
            <w:noWrap/>
            <w:vAlign w:val="bottom"/>
            <w:hideMark/>
          </w:tcPr>
          <w:p w14:paraId="4EF69F74"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25</w:t>
            </w:r>
          </w:p>
        </w:tc>
        <w:tc>
          <w:tcPr>
            <w:tcW w:w="1017" w:type="dxa"/>
            <w:tcBorders>
              <w:top w:val="nil"/>
              <w:left w:val="nil"/>
              <w:bottom w:val="nil"/>
              <w:right w:val="nil"/>
            </w:tcBorders>
            <w:shd w:val="clear" w:color="auto" w:fill="auto"/>
            <w:noWrap/>
            <w:vAlign w:val="bottom"/>
            <w:hideMark/>
          </w:tcPr>
          <w:p w14:paraId="66501143" w14:textId="77777777" w:rsidR="00CF7E79" w:rsidRPr="00943DFA" w:rsidRDefault="00CF7E79" w:rsidP="00CF7E79">
            <w:pPr>
              <w:jc w:val="center"/>
              <w:rPr>
                <w:rFonts w:eastAsia="Times New Roman"/>
                <w:color w:val="0D0D0D" w:themeColor="text1" w:themeTint="F2"/>
              </w:rPr>
            </w:pPr>
          </w:p>
        </w:tc>
        <w:tc>
          <w:tcPr>
            <w:tcW w:w="1336" w:type="dxa"/>
            <w:tcBorders>
              <w:top w:val="nil"/>
              <w:left w:val="nil"/>
              <w:bottom w:val="nil"/>
              <w:right w:val="nil"/>
            </w:tcBorders>
            <w:shd w:val="clear" w:color="auto" w:fill="auto"/>
            <w:noWrap/>
            <w:vAlign w:val="bottom"/>
            <w:hideMark/>
          </w:tcPr>
          <w:p w14:paraId="28B3154D"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65.53</w:t>
            </w:r>
          </w:p>
        </w:tc>
        <w:tc>
          <w:tcPr>
            <w:tcW w:w="1017" w:type="dxa"/>
            <w:tcBorders>
              <w:top w:val="nil"/>
              <w:left w:val="nil"/>
              <w:bottom w:val="nil"/>
              <w:right w:val="nil"/>
            </w:tcBorders>
            <w:shd w:val="clear" w:color="auto" w:fill="auto"/>
            <w:noWrap/>
            <w:vAlign w:val="bottom"/>
            <w:hideMark/>
          </w:tcPr>
          <w:p w14:paraId="7944FC44" w14:textId="77777777" w:rsidR="00CF7E79" w:rsidRPr="00943DFA" w:rsidRDefault="00CF7E79" w:rsidP="00CF7E79">
            <w:pPr>
              <w:jc w:val="center"/>
              <w:rPr>
                <w:rFonts w:eastAsia="Times New Roman"/>
                <w:color w:val="0D0D0D" w:themeColor="text1" w:themeTint="F2"/>
              </w:rPr>
            </w:pPr>
          </w:p>
        </w:tc>
        <w:tc>
          <w:tcPr>
            <w:tcW w:w="1516" w:type="dxa"/>
            <w:tcBorders>
              <w:top w:val="nil"/>
              <w:left w:val="nil"/>
              <w:bottom w:val="nil"/>
              <w:right w:val="nil"/>
            </w:tcBorders>
            <w:shd w:val="clear" w:color="auto" w:fill="auto"/>
            <w:noWrap/>
            <w:vAlign w:val="bottom"/>
            <w:hideMark/>
          </w:tcPr>
          <w:p w14:paraId="668EBFFA"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72.94</w:t>
            </w:r>
          </w:p>
        </w:tc>
        <w:tc>
          <w:tcPr>
            <w:tcW w:w="1017" w:type="dxa"/>
            <w:tcBorders>
              <w:top w:val="nil"/>
              <w:left w:val="nil"/>
              <w:bottom w:val="nil"/>
              <w:right w:val="nil"/>
            </w:tcBorders>
            <w:shd w:val="clear" w:color="auto" w:fill="auto"/>
            <w:noWrap/>
            <w:vAlign w:val="bottom"/>
            <w:hideMark/>
          </w:tcPr>
          <w:p w14:paraId="0D67BCA7" w14:textId="77777777" w:rsidR="00CF7E79" w:rsidRPr="00943DFA" w:rsidRDefault="00CF7E79" w:rsidP="00CF7E79">
            <w:pPr>
              <w:jc w:val="center"/>
              <w:rPr>
                <w:rFonts w:eastAsia="Times New Roman"/>
                <w:color w:val="0D0D0D" w:themeColor="text1" w:themeTint="F2"/>
              </w:rPr>
            </w:pPr>
          </w:p>
        </w:tc>
        <w:tc>
          <w:tcPr>
            <w:tcW w:w="1476" w:type="dxa"/>
            <w:tcBorders>
              <w:top w:val="nil"/>
              <w:left w:val="nil"/>
              <w:bottom w:val="nil"/>
              <w:right w:val="nil"/>
            </w:tcBorders>
            <w:shd w:val="clear" w:color="auto" w:fill="auto"/>
            <w:noWrap/>
            <w:vAlign w:val="bottom"/>
            <w:hideMark/>
          </w:tcPr>
          <w:p w14:paraId="5FBD1C8C"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76.53</w:t>
            </w:r>
          </w:p>
        </w:tc>
      </w:tr>
      <w:tr w:rsidR="00943DFA" w:rsidRPr="00943DFA" w14:paraId="271F1EE4" w14:textId="77777777" w:rsidTr="00CF7E79">
        <w:trPr>
          <w:gridAfter w:val="1"/>
          <w:wAfter w:w="222" w:type="dxa"/>
          <w:trHeight w:val="280"/>
        </w:trPr>
        <w:tc>
          <w:tcPr>
            <w:tcW w:w="1985" w:type="dxa"/>
            <w:tcBorders>
              <w:top w:val="nil"/>
              <w:left w:val="nil"/>
              <w:right w:val="nil"/>
            </w:tcBorders>
            <w:shd w:val="clear" w:color="auto" w:fill="auto"/>
            <w:noWrap/>
            <w:vAlign w:val="bottom"/>
            <w:hideMark/>
          </w:tcPr>
          <w:p w14:paraId="29A05E3C"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50</w:t>
            </w:r>
          </w:p>
        </w:tc>
        <w:tc>
          <w:tcPr>
            <w:tcW w:w="1017" w:type="dxa"/>
            <w:tcBorders>
              <w:top w:val="nil"/>
              <w:left w:val="nil"/>
              <w:right w:val="nil"/>
            </w:tcBorders>
            <w:shd w:val="clear" w:color="auto" w:fill="auto"/>
            <w:noWrap/>
            <w:vAlign w:val="bottom"/>
            <w:hideMark/>
          </w:tcPr>
          <w:p w14:paraId="084BEEF4" w14:textId="77777777" w:rsidR="00CF7E79" w:rsidRPr="00943DFA" w:rsidRDefault="00CF7E79" w:rsidP="00CF7E79">
            <w:pPr>
              <w:jc w:val="center"/>
              <w:rPr>
                <w:rFonts w:eastAsia="Times New Roman"/>
                <w:color w:val="0D0D0D" w:themeColor="text1" w:themeTint="F2"/>
              </w:rPr>
            </w:pPr>
          </w:p>
        </w:tc>
        <w:tc>
          <w:tcPr>
            <w:tcW w:w="1336" w:type="dxa"/>
            <w:tcBorders>
              <w:top w:val="nil"/>
              <w:left w:val="nil"/>
              <w:right w:val="nil"/>
            </w:tcBorders>
            <w:shd w:val="clear" w:color="auto" w:fill="auto"/>
            <w:noWrap/>
            <w:vAlign w:val="bottom"/>
            <w:hideMark/>
          </w:tcPr>
          <w:p w14:paraId="641AC13C"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65.31</w:t>
            </w:r>
          </w:p>
        </w:tc>
        <w:tc>
          <w:tcPr>
            <w:tcW w:w="1017" w:type="dxa"/>
            <w:tcBorders>
              <w:top w:val="nil"/>
              <w:left w:val="nil"/>
              <w:right w:val="nil"/>
            </w:tcBorders>
            <w:shd w:val="clear" w:color="auto" w:fill="auto"/>
            <w:noWrap/>
            <w:vAlign w:val="bottom"/>
            <w:hideMark/>
          </w:tcPr>
          <w:p w14:paraId="7173F648" w14:textId="77777777" w:rsidR="00CF7E79" w:rsidRPr="00943DFA" w:rsidRDefault="00CF7E79" w:rsidP="00CF7E79">
            <w:pPr>
              <w:jc w:val="center"/>
              <w:rPr>
                <w:rFonts w:eastAsia="Times New Roman"/>
                <w:color w:val="0D0D0D" w:themeColor="text1" w:themeTint="F2"/>
              </w:rPr>
            </w:pPr>
          </w:p>
        </w:tc>
        <w:tc>
          <w:tcPr>
            <w:tcW w:w="1516" w:type="dxa"/>
            <w:tcBorders>
              <w:top w:val="nil"/>
              <w:left w:val="nil"/>
              <w:right w:val="nil"/>
            </w:tcBorders>
            <w:shd w:val="clear" w:color="auto" w:fill="auto"/>
            <w:noWrap/>
            <w:vAlign w:val="bottom"/>
            <w:hideMark/>
          </w:tcPr>
          <w:p w14:paraId="08BC200C"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72.96</w:t>
            </w:r>
          </w:p>
        </w:tc>
        <w:tc>
          <w:tcPr>
            <w:tcW w:w="1017" w:type="dxa"/>
            <w:tcBorders>
              <w:top w:val="nil"/>
              <w:left w:val="nil"/>
              <w:right w:val="nil"/>
            </w:tcBorders>
            <w:shd w:val="clear" w:color="auto" w:fill="auto"/>
            <w:noWrap/>
            <w:vAlign w:val="bottom"/>
            <w:hideMark/>
          </w:tcPr>
          <w:p w14:paraId="34261173" w14:textId="77777777" w:rsidR="00CF7E79" w:rsidRPr="00943DFA" w:rsidRDefault="00CF7E79" w:rsidP="00CF7E79">
            <w:pPr>
              <w:jc w:val="center"/>
              <w:rPr>
                <w:rFonts w:eastAsia="Times New Roman"/>
                <w:color w:val="0D0D0D" w:themeColor="text1" w:themeTint="F2"/>
              </w:rPr>
            </w:pPr>
          </w:p>
        </w:tc>
        <w:tc>
          <w:tcPr>
            <w:tcW w:w="1476" w:type="dxa"/>
            <w:tcBorders>
              <w:top w:val="nil"/>
              <w:left w:val="nil"/>
              <w:right w:val="nil"/>
            </w:tcBorders>
            <w:shd w:val="clear" w:color="auto" w:fill="auto"/>
            <w:noWrap/>
            <w:vAlign w:val="bottom"/>
            <w:hideMark/>
          </w:tcPr>
          <w:p w14:paraId="33783F3F"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76.61</w:t>
            </w:r>
          </w:p>
        </w:tc>
      </w:tr>
      <w:tr w:rsidR="00943DFA" w:rsidRPr="00943DFA" w14:paraId="357D25CD" w14:textId="77777777" w:rsidTr="00CF7E79">
        <w:trPr>
          <w:gridAfter w:val="1"/>
          <w:wAfter w:w="222" w:type="dxa"/>
          <w:trHeight w:val="280"/>
        </w:trPr>
        <w:tc>
          <w:tcPr>
            <w:tcW w:w="1985" w:type="dxa"/>
            <w:tcBorders>
              <w:top w:val="nil"/>
              <w:left w:val="nil"/>
              <w:bottom w:val="single" w:sz="4" w:space="0" w:color="auto"/>
              <w:right w:val="nil"/>
            </w:tcBorders>
            <w:shd w:val="clear" w:color="auto" w:fill="auto"/>
            <w:noWrap/>
            <w:vAlign w:val="bottom"/>
            <w:hideMark/>
          </w:tcPr>
          <w:p w14:paraId="6FF0E3D9"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75</w:t>
            </w:r>
          </w:p>
        </w:tc>
        <w:tc>
          <w:tcPr>
            <w:tcW w:w="1017" w:type="dxa"/>
            <w:tcBorders>
              <w:top w:val="nil"/>
              <w:left w:val="nil"/>
              <w:right w:val="nil"/>
            </w:tcBorders>
            <w:shd w:val="clear" w:color="auto" w:fill="auto"/>
            <w:noWrap/>
            <w:vAlign w:val="bottom"/>
            <w:hideMark/>
          </w:tcPr>
          <w:p w14:paraId="0761DF91" w14:textId="77777777" w:rsidR="00CF7E79" w:rsidRPr="00943DFA" w:rsidRDefault="00CF7E79" w:rsidP="00CF7E79">
            <w:pPr>
              <w:jc w:val="center"/>
              <w:rPr>
                <w:rFonts w:eastAsia="Times New Roman"/>
                <w:color w:val="0D0D0D" w:themeColor="text1" w:themeTint="F2"/>
              </w:rPr>
            </w:pPr>
          </w:p>
        </w:tc>
        <w:tc>
          <w:tcPr>
            <w:tcW w:w="1336" w:type="dxa"/>
            <w:tcBorders>
              <w:top w:val="nil"/>
              <w:left w:val="nil"/>
              <w:bottom w:val="single" w:sz="4" w:space="0" w:color="auto"/>
              <w:right w:val="nil"/>
            </w:tcBorders>
            <w:shd w:val="clear" w:color="auto" w:fill="auto"/>
            <w:noWrap/>
            <w:vAlign w:val="bottom"/>
            <w:hideMark/>
          </w:tcPr>
          <w:p w14:paraId="50CA6829"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65.29</w:t>
            </w:r>
          </w:p>
        </w:tc>
        <w:tc>
          <w:tcPr>
            <w:tcW w:w="1017" w:type="dxa"/>
            <w:tcBorders>
              <w:top w:val="nil"/>
              <w:left w:val="nil"/>
              <w:right w:val="nil"/>
            </w:tcBorders>
            <w:shd w:val="clear" w:color="auto" w:fill="auto"/>
            <w:noWrap/>
            <w:vAlign w:val="bottom"/>
            <w:hideMark/>
          </w:tcPr>
          <w:p w14:paraId="000AC65D" w14:textId="77777777" w:rsidR="00CF7E79" w:rsidRPr="00943DFA" w:rsidRDefault="00CF7E79" w:rsidP="00CF7E79">
            <w:pPr>
              <w:jc w:val="center"/>
              <w:rPr>
                <w:rFonts w:eastAsia="Times New Roman"/>
                <w:color w:val="0D0D0D" w:themeColor="text1" w:themeTint="F2"/>
              </w:rPr>
            </w:pPr>
          </w:p>
        </w:tc>
        <w:tc>
          <w:tcPr>
            <w:tcW w:w="1516" w:type="dxa"/>
            <w:tcBorders>
              <w:top w:val="nil"/>
              <w:left w:val="nil"/>
              <w:bottom w:val="single" w:sz="4" w:space="0" w:color="auto"/>
              <w:right w:val="nil"/>
            </w:tcBorders>
            <w:shd w:val="clear" w:color="auto" w:fill="auto"/>
            <w:noWrap/>
            <w:vAlign w:val="bottom"/>
            <w:hideMark/>
          </w:tcPr>
          <w:p w14:paraId="38688C9E"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72.98</w:t>
            </w:r>
          </w:p>
        </w:tc>
        <w:tc>
          <w:tcPr>
            <w:tcW w:w="1017" w:type="dxa"/>
            <w:tcBorders>
              <w:top w:val="nil"/>
              <w:left w:val="nil"/>
              <w:right w:val="nil"/>
            </w:tcBorders>
            <w:shd w:val="clear" w:color="auto" w:fill="auto"/>
            <w:noWrap/>
            <w:vAlign w:val="bottom"/>
            <w:hideMark/>
          </w:tcPr>
          <w:p w14:paraId="1DE75109" w14:textId="77777777" w:rsidR="00CF7E79" w:rsidRPr="00943DFA" w:rsidRDefault="00CF7E79" w:rsidP="00CF7E79">
            <w:pPr>
              <w:jc w:val="center"/>
              <w:rPr>
                <w:rFonts w:eastAsia="Times New Roman"/>
                <w:color w:val="0D0D0D" w:themeColor="text1" w:themeTint="F2"/>
              </w:rPr>
            </w:pPr>
          </w:p>
        </w:tc>
        <w:tc>
          <w:tcPr>
            <w:tcW w:w="1476" w:type="dxa"/>
            <w:tcBorders>
              <w:top w:val="nil"/>
              <w:left w:val="nil"/>
              <w:bottom w:val="single" w:sz="4" w:space="0" w:color="auto"/>
              <w:right w:val="nil"/>
            </w:tcBorders>
            <w:shd w:val="clear" w:color="auto" w:fill="auto"/>
            <w:noWrap/>
            <w:vAlign w:val="bottom"/>
            <w:hideMark/>
          </w:tcPr>
          <w:p w14:paraId="4E1C79E5"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76.63</w:t>
            </w:r>
          </w:p>
        </w:tc>
      </w:tr>
      <w:tr w:rsidR="00943DFA" w:rsidRPr="00943DFA" w14:paraId="592DAF65" w14:textId="77777777" w:rsidTr="00CF7E79">
        <w:trPr>
          <w:gridAfter w:val="1"/>
          <w:wAfter w:w="222" w:type="dxa"/>
          <w:trHeight w:val="280"/>
        </w:trPr>
        <w:tc>
          <w:tcPr>
            <w:tcW w:w="1985" w:type="dxa"/>
            <w:tcBorders>
              <w:top w:val="single" w:sz="4" w:space="0" w:color="auto"/>
              <w:left w:val="nil"/>
              <w:bottom w:val="nil"/>
              <w:right w:val="nil"/>
            </w:tcBorders>
            <w:shd w:val="clear" w:color="auto" w:fill="auto"/>
            <w:noWrap/>
            <w:vAlign w:val="bottom"/>
            <w:hideMark/>
          </w:tcPr>
          <w:p w14:paraId="57167C18"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Baseline accuracy</w:t>
            </w:r>
          </w:p>
        </w:tc>
        <w:tc>
          <w:tcPr>
            <w:tcW w:w="1017" w:type="dxa"/>
            <w:tcBorders>
              <w:left w:val="nil"/>
              <w:bottom w:val="nil"/>
              <w:right w:val="nil"/>
            </w:tcBorders>
            <w:shd w:val="clear" w:color="auto" w:fill="auto"/>
            <w:noWrap/>
            <w:vAlign w:val="bottom"/>
            <w:hideMark/>
          </w:tcPr>
          <w:p w14:paraId="14A38BC0" w14:textId="77777777" w:rsidR="00CF7E79" w:rsidRPr="00943DFA" w:rsidRDefault="00CF7E79" w:rsidP="00CF7E79">
            <w:pPr>
              <w:jc w:val="center"/>
              <w:rPr>
                <w:rFonts w:eastAsia="Times New Roman"/>
                <w:color w:val="0D0D0D" w:themeColor="text1" w:themeTint="F2"/>
              </w:rPr>
            </w:pPr>
          </w:p>
        </w:tc>
        <w:tc>
          <w:tcPr>
            <w:tcW w:w="1336" w:type="dxa"/>
            <w:tcBorders>
              <w:top w:val="single" w:sz="4" w:space="0" w:color="auto"/>
              <w:left w:val="nil"/>
              <w:bottom w:val="nil"/>
              <w:right w:val="nil"/>
            </w:tcBorders>
            <w:shd w:val="clear" w:color="auto" w:fill="auto"/>
            <w:noWrap/>
            <w:vAlign w:val="bottom"/>
            <w:hideMark/>
          </w:tcPr>
          <w:p w14:paraId="6134EEDC"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71.41%</w:t>
            </w:r>
          </w:p>
        </w:tc>
        <w:tc>
          <w:tcPr>
            <w:tcW w:w="1017" w:type="dxa"/>
            <w:tcBorders>
              <w:left w:val="nil"/>
              <w:bottom w:val="nil"/>
              <w:right w:val="nil"/>
            </w:tcBorders>
            <w:shd w:val="clear" w:color="auto" w:fill="auto"/>
            <w:noWrap/>
            <w:vAlign w:val="bottom"/>
            <w:hideMark/>
          </w:tcPr>
          <w:p w14:paraId="46BC4AE8" w14:textId="77777777" w:rsidR="00CF7E79" w:rsidRPr="00943DFA" w:rsidRDefault="00CF7E79" w:rsidP="00CF7E79">
            <w:pPr>
              <w:jc w:val="center"/>
              <w:rPr>
                <w:rFonts w:eastAsia="Times New Roman"/>
                <w:color w:val="0D0D0D" w:themeColor="text1" w:themeTint="F2"/>
              </w:rPr>
            </w:pPr>
          </w:p>
        </w:tc>
        <w:tc>
          <w:tcPr>
            <w:tcW w:w="1516" w:type="dxa"/>
            <w:tcBorders>
              <w:top w:val="single" w:sz="4" w:space="0" w:color="auto"/>
              <w:left w:val="nil"/>
              <w:bottom w:val="nil"/>
              <w:right w:val="nil"/>
            </w:tcBorders>
            <w:shd w:val="clear" w:color="auto" w:fill="auto"/>
            <w:noWrap/>
            <w:vAlign w:val="bottom"/>
            <w:hideMark/>
          </w:tcPr>
          <w:p w14:paraId="40929015"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77.41</w:t>
            </w:r>
          </w:p>
        </w:tc>
        <w:tc>
          <w:tcPr>
            <w:tcW w:w="1017" w:type="dxa"/>
            <w:tcBorders>
              <w:left w:val="nil"/>
              <w:bottom w:val="nil"/>
              <w:right w:val="nil"/>
            </w:tcBorders>
            <w:shd w:val="clear" w:color="auto" w:fill="auto"/>
            <w:noWrap/>
            <w:vAlign w:val="bottom"/>
            <w:hideMark/>
          </w:tcPr>
          <w:p w14:paraId="51AE3B63" w14:textId="77777777" w:rsidR="00CF7E79" w:rsidRPr="00943DFA" w:rsidRDefault="00CF7E79" w:rsidP="00CF7E79">
            <w:pPr>
              <w:jc w:val="center"/>
              <w:rPr>
                <w:rFonts w:eastAsia="Times New Roman"/>
                <w:color w:val="0D0D0D" w:themeColor="text1" w:themeTint="F2"/>
              </w:rPr>
            </w:pPr>
          </w:p>
        </w:tc>
        <w:tc>
          <w:tcPr>
            <w:tcW w:w="1476" w:type="dxa"/>
            <w:tcBorders>
              <w:top w:val="single" w:sz="4" w:space="0" w:color="auto"/>
              <w:left w:val="nil"/>
              <w:bottom w:val="nil"/>
              <w:right w:val="nil"/>
            </w:tcBorders>
            <w:shd w:val="clear" w:color="auto" w:fill="auto"/>
            <w:noWrap/>
            <w:vAlign w:val="bottom"/>
            <w:hideMark/>
          </w:tcPr>
          <w:p w14:paraId="242922ED" w14:textId="77777777" w:rsidR="00CF7E79" w:rsidRPr="00943DFA" w:rsidRDefault="00CF7E79" w:rsidP="00CF7E79">
            <w:pPr>
              <w:jc w:val="center"/>
              <w:rPr>
                <w:rFonts w:eastAsia="Times New Roman"/>
                <w:color w:val="0D0D0D" w:themeColor="text1" w:themeTint="F2"/>
              </w:rPr>
            </w:pPr>
            <w:r w:rsidRPr="00943DFA">
              <w:rPr>
                <w:rFonts w:eastAsia="Times New Roman"/>
                <w:color w:val="0D0D0D" w:themeColor="text1" w:themeTint="F2"/>
                <w:sz w:val="22"/>
                <w:szCs w:val="22"/>
              </w:rPr>
              <w:t>80.27</w:t>
            </w:r>
          </w:p>
        </w:tc>
      </w:tr>
      <w:tr w:rsidR="00943DFA" w:rsidRPr="00943DFA" w14:paraId="1DC869E3" w14:textId="77777777" w:rsidTr="00CF7E79">
        <w:trPr>
          <w:gridAfter w:val="1"/>
          <w:wAfter w:w="222" w:type="dxa"/>
          <w:trHeight w:val="458"/>
        </w:trPr>
        <w:tc>
          <w:tcPr>
            <w:tcW w:w="9364" w:type="dxa"/>
            <w:gridSpan w:val="7"/>
            <w:vMerge w:val="restart"/>
            <w:tcBorders>
              <w:top w:val="single" w:sz="4" w:space="0" w:color="auto"/>
              <w:left w:val="nil"/>
              <w:bottom w:val="nil"/>
              <w:right w:val="nil"/>
            </w:tcBorders>
            <w:shd w:val="clear" w:color="auto" w:fill="auto"/>
            <w:hideMark/>
          </w:tcPr>
          <w:p w14:paraId="42E31C7B" w14:textId="739781A1" w:rsidR="00CF7E79" w:rsidRPr="00943DFA" w:rsidRDefault="00CF7E79" w:rsidP="00F11618">
            <w:pPr>
              <w:jc w:val="both"/>
              <w:rPr>
                <w:rFonts w:eastAsia="Times New Roman"/>
                <w:color w:val="0D0D0D" w:themeColor="text1" w:themeTint="F2"/>
                <w:sz w:val="20"/>
                <w:szCs w:val="20"/>
              </w:rPr>
            </w:pPr>
            <w:r w:rsidRPr="00943DFA">
              <w:rPr>
                <w:rFonts w:eastAsia="Times New Roman"/>
                <w:color w:val="0D0D0D" w:themeColor="text1" w:themeTint="F2"/>
                <w:sz w:val="18"/>
                <w:szCs w:val="18"/>
              </w:rPr>
              <w:t xml:space="preserve">This table outlines the results of N-fold cross-validation tests for the Naive Bayes algorithm. For each N, the average rate of correct classifications is provided. Specifically, the algorithm divides each sentence into N classifications and then reports the </w:t>
            </w:r>
            <w:r w:rsidRPr="00943DFA">
              <w:rPr>
                <w:rFonts w:eastAsia="Times New Roman"/>
                <w:color w:val="0D0D0D" w:themeColor="text1" w:themeTint="F2"/>
                <w:sz w:val="18"/>
                <w:szCs w:val="18"/>
              </w:rPr>
              <w:lastRenderedPageBreak/>
              <w:t>results of N-fold tests. The number of folds (N value) range from 3 to 75. N-fold cross validation tests are reported for 7-category, 4-category and 3-category classifications.7-category classification include core accounting issues (Code A); non-core accounting issues (Code B); offering-related issues (Code C) business-related issues (Code D); corporate-governance-related issues (Code E), disclosure-related issues (Code F) and other issues (Code G). For 4-category classification, code A, B, D, E are combined as corporate-function-related issue. For 3-category classification, code A, B, C, D, E are combined as corporate-activity-related issue. Baseline accuracy of each classification is also reported in the table.</w:t>
            </w:r>
          </w:p>
        </w:tc>
      </w:tr>
      <w:tr w:rsidR="00CF7E79" w:rsidRPr="00943DFA" w14:paraId="043DB56E" w14:textId="77777777" w:rsidTr="00CF7E79">
        <w:trPr>
          <w:trHeight w:val="1790"/>
        </w:trPr>
        <w:tc>
          <w:tcPr>
            <w:tcW w:w="9364" w:type="dxa"/>
            <w:gridSpan w:val="7"/>
            <w:vMerge/>
            <w:tcBorders>
              <w:top w:val="single" w:sz="4" w:space="0" w:color="auto"/>
              <w:left w:val="nil"/>
              <w:bottom w:val="nil"/>
              <w:right w:val="nil"/>
            </w:tcBorders>
            <w:vAlign w:val="center"/>
            <w:hideMark/>
          </w:tcPr>
          <w:p w14:paraId="2C92DCB8" w14:textId="77777777" w:rsidR="00CF7E79" w:rsidRPr="00943DFA" w:rsidRDefault="00CF7E79" w:rsidP="00CF7E79">
            <w:pPr>
              <w:rPr>
                <w:rFonts w:eastAsia="Times New Roman"/>
                <w:color w:val="0D0D0D" w:themeColor="text1" w:themeTint="F2"/>
                <w:sz w:val="20"/>
                <w:szCs w:val="20"/>
              </w:rPr>
            </w:pPr>
          </w:p>
        </w:tc>
        <w:tc>
          <w:tcPr>
            <w:tcW w:w="222" w:type="dxa"/>
            <w:tcBorders>
              <w:top w:val="nil"/>
              <w:left w:val="nil"/>
              <w:bottom w:val="nil"/>
              <w:right w:val="nil"/>
            </w:tcBorders>
            <w:shd w:val="clear" w:color="auto" w:fill="auto"/>
            <w:noWrap/>
            <w:vAlign w:val="bottom"/>
            <w:hideMark/>
          </w:tcPr>
          <w:p w14:paraId="192A3B9D" w14:textId="77777777" w:rsidR="00CF7E79" w:rsidRPr="00943DFA" w:rsidRDefault="00CF7E79" w:rsidP="00CF7E79">
            <w:pPr>
              <w:rPr>
                <w:rFonts w:eastAsia="Times New Roman"/>
                <w:color w:val="0D0D0D" w:themeColor="text1" w:themeTint="F2"/>
                <w:sz w:val="20"/>
                <w:szCs w:val="20"/>
              </w:rPr>
            </w:pPr>
          </w:p>
        </w:tc>
      </w:tr>
    </w:tbl>
    <w:p w14:paraId="07F0E96F" w14:textId="6862402C" w:rsidR="00195130" w:rsidRPr="00943DFA" w:rsidRDefault="00195130" w:rsidP="00195130">
      <w:pPr>
        <w:rPr>
          <w:b/>
          <w:color w:val="0D0D0D" w:themeColor="text1" w:themeTint="F2"/>
          <w:lang w:eastAsia="en-US"/>
        </w:rPr>
      </w:pPr>
    </w:p>
    <w:p w14:paraId="14102A30" w14:textId="77777777" w:rsidR="00240A46" w:rsidRPr="00943DFA" w:rsidRDefault="00240A46" w:rsidP="00240A46">
      <w:pPr>
        <w:spacing w:before="240" w:after="240" w:line="360" w:lineRule="auto"/>
        <w:jc w:val="both"/>
        <w:rPr>
          <w:color w:val="0D0D0D" w:themeColor="text1" w:themeTint="F2"/>
        </w:rPr>
      </w:pPr>
      <w:r w:rsidRPr="00943DFA">
        <w:rPr>
          <w:color w:val="0D0D0D" w:themeColor="text1" w:themeTint="F2"/>
        </w:rPr>
        <w:t>For presentation purposes, this study designs a word cloud of each SEC comment topic where the cloud highlights top 100 salient terms.  The size of a term reflects how salient it is to the topic. Following the Nguyen (2014) methodology, this study measures the saliency of a term by calculating how frequently a term occurs in a document divided by the total number of terms in the document. It then multiplies the term frequencies (TF) with Inverse Document Frequencies (IDF), a weight indicating how often a word is used across documents.</w:t>
      </w:r>
    </w:p>
    <w:p w14:paraId="6DA4CC94" w14:textId="521F135E" w:rsidR="00240A46" w:rsidRPr="00943DFA" w:rsidRDefault="00240A46" w:rsidP="00C5252F">
      <w:pPr>
        <w:spacing w:before="240" w:after="240" w:line="360" w:lineRule="auto"/>
        <w:jc w:val="both"/>
        <w:rPr>
          <w:color w:val="0D0D0D" w:themeColor="text1" w:themeTint="F2"/>
        </w:rPr>
      </w:pPr>
      <w:r w:rsidRPr="00943DFA">
        <w:rPr>
          <w:color w:val="0D0D0D" w:themeColor="text1" w:themeTint="F2"/>
        </w:rPr>
        <w:t xml:space="preserve">As shown in Figure 2, the most salient root </w:t>
      </w:r>
      <w:r w:rsidR="00CE789E" w:rsidRPr="00943DFA">
        <w:rPr>
          <w:color w:val="0D0D0D" w:themeColor="text1" w:themeTint="F2"/>
        </w:rPr>
        <w:t>term</w:t>
      </w:r>
      <w:r w:rsidRPr="00943DFA">
        <w:rPr>
          <w:color w:val="0D0D0D" w:themeColor="text1" w:themeTint="F2"/>
        </w:rPr>
        <w:t xml:space="preserve">s in </w:t>
      </w:r>
      <w:r w:rsidR="00CE789E" w:rsidRPr="00943DFA">
        <w:rPr>
          <w:color w:val="0D0D0D" w:themeColor="text1" w:themeTint="F2"/>
        </w:rPr>
        <w:t>t</w:t>
      </w:r>
      <w:r w:rsidRPr="00943DFA">
        <w:rPr>
          <w:color w:val="0D0D0D" w:themeColor="text1" w:themeTint="F2"/>
        </w:rPr>
        <w:t>opic A</w:t>
      </w:r>
      <w:r w:rsidR="00CE789E" w:rsidRPr="00943DFA">
        <w:rPr>
          <w:color w:val="0D0D0D" w:themeColor="text1" w:themeTint="F2"/>
        </w:rPr>
        <w:t xml:space="preserve"> (Core accounting issues)</w:t>
      </w:r>
      <w:r w:rsidRPr="00943DFA">
        <w:rPr>
          <w:color w:val="0D0D0D" w:themeColor="text1" w:themeTint="F2"/>
        </w:rPr>
        <w:t xml:space="preserve"> are “financial statement”, “fair value”, “</w:t>
      </w:r>
      <w:proofErr w:type="spellStart"/>
      <w:r w:rsidRPr="00943DFA">
        <w:rPr>
          <w:color w:val="0D0D0D" w:themeColor="text1" w:themeTint="F2"/>
        </w:rPr>
        <w:t>asc</w:t>
      </w:r>
      <w:proofErr w:type="spellEnd"/>
      <w:r w:rsidRPr="00943DFA">
        <w:rPr>
          <w:color w:val="0D0D0D" w:themeColor="text1" w:themeTint="F2"/>
        </w:rPr>
        <w:t xml:space="preserve">”, etc., whereas the most salient </w:t>
      </w:r>
      <w:r w:rsidR="00CE789E" w:rsidRPr="00943DFA">
        <w:rPr>
          <w:color w:val="0D0D0D" w:themeColor="text1" w:themeTint="F2"/>
        </w:rPr>
        <w:t>term</w:t>
      </w:r>
      <w:r w:rsidRPr="00943DFA">
        <w:rPr>
          <w:color w:val="0D0D0D" w:themeColor="text1" w:themeTint="F2"/>
        </w:rPr>
        <w:t xml:space="preserve">s within </w:t>
      </w:r>
      <w:r w:rsidR="00CE789E" w:rsidRPr="00943DFA">
        <w:rPr>
          <w:color w:val="0D0D0D" w:themeColor="text1" w:themeTint="F2"/>
        </w:rPr>
        <w:t>topic E</w:t>
      </w:r>
      <w:r w:rsidRPr="00943DFA">
        <w:rPr>
          <w:color w:val="0D0D0D" w:themeColor="text1" w:themeTint="F2"/>
        </w:rPr>
        <w:t xml:space="preserve"> are “</w:t>
      </w:r>
      <w:r w:rsidR="00CE789E" w:rsidRPr="00943DFA">
        <w:rPr>
          <w:color w:val="0D0D0D" w:themeColor="text1" w:themeTint="F2"/>
        </w:rPr>
        <w:t>named executive officer</w:t>
      </w:r>
      <w:r w:rsidRPr="00943DFA">
        <w:rPr>
          <w:color w:val="0D0D0D" w:themeColor="text1" w:themeTint="F2"/>
        </w:rPr>
        <w:t>”</w:t>
      </w:r>
      <w:r w:rsidR="00CE789E" w:rsidRPr="00943DFA">
        <w:rPr>
          <w:color w:val="0D0D0D" w:themeColor="text1" w:themeTint="F2"/>
        </w:rPr>
        <w:t xml:space="preserve">, </w:t>
      </w:r>
      <w:r w:rsidRPr="00943DFA">
        <w:rPr>
          <w:color w:val="0D0D0D" w:themeColor="text1" w:themeTint="F2"/>
        </w:rPr>
        <w:t>“</w:t>
      </w:r>
      <w:r w:rsidR="00CE789E" w:rsidRPr="00943DFA">
        <w:rPr>
          <w:color w:val="0D0D0D" w:themeColor="text1" w:themeTint="F2"/>
        </w:rPr>
        <w:t>board of director</w:t>
      </w:r>
      <w:r w:rsidRPr="00943DFA">
        <w:rPr>
          <w:color w:val="0D0D0D" w:themeColor="text1" w:themeTint="F2"/>
        </w:rPr>
        <w:t>”</w:t>
      </w:r>
      <w:r w:rsidR="00CE789E" w:rsidRPr="00943DFA">
        <w:rPr>
          <w:color w:val="0D0D0D" w:themeColor="text1" w:themeTint="F2"/>
        </w:rPr>
        <w:t xml:space="preserve">, </w:t>
      </w:r>
      <w:r w:rsidRPr="00943DFA">
        <w:rPr>
          <w:color w:val="0D0D0D" w:themeColor="text1" w:themeTint="F2"/>
        </w:rPr>
        <w:t>“</w:t>
      </w:r>
      <w:r w:rsidR="00CE789E" w:rsidRPr="00943DFA">
        <w:rPr>
          <w:color w:val="0D0D0D" w:themeColor="text1" w:themeTint="F2"/>
        </w:rPr>
        <w:t>compensation committee</w:t>
      </w:r>
      <w:r w:rsidRPr="00943DFA">
        <w:rPr>
          <w:color w:val="0D0D0D" w:themeColor="text1" w:themeTint="F2"/>
        </w:rPr>
        <w:t>”</w:t>
      </w:r>
      <w:r w:rsidR="00CE789E" w:rsidRPr="00943DFA">
        <w:rPr>
          <w:color w:val="0D0D0D" w:themeColor="text1" w:themeTint="F2"/>
        </w:rPr>
        <w:t xml:space="preserve">, </w:t>
      </w:r>
      <w:r w:rsidRPr="00943DFA">
        <w:rPr>
          <w:color w:val="0D0D0D" w:themeColor="text1" w:themeTint="F2"/>
        </w:rPr>
        <w:t xml:space="preserve">etc. As expected, there is a similarity of </w:t>
      </w:r>
      <w:r w:rsidR="00C5252F" w:rsidRPr="00943DFA">
        <w:rPr>
          <w:color w:val="0D0D0D" w:themeColor="text1" w:themeTint="F2"/>
        </w:rPr>
        <w:t>key term</w:t>
      </w:r>
      <w:r w:rsidRPr="00943DFA">
        <w:rPr>
          <w:color w:val="0D0D0D" w:themeColor="text1" w:themeTint="F2"/>
        </w:rPr>
        <w:t>s within a topic</w:t>
      </w:r>
      <w:r w:rsidR="00C5252F" w:rsidRPr="00943DFA">
        <w:rPr>
          <w:color w:val="0D0D0D" w:themeColor="text1" w:themeTint="F2"/>
        </w:rPr>
        <w:t xml:space="preserve"> and a distinction of key terms between topics</w:t>
      </w:r>
      <w:r w:rsidRPr="00943DFA">
        <w:rPr>
          <w:color w:val="0D0D0D" w:themeColor="text1" w:themeTint="F2"/>
        </w:rPr>
        <w:t>.</w:t>
      </w:r>
    </w:p>
    <w:p w14:paraId="23A4CC7B" w14:textId="7A8BC58E" w:rsidR="00240A46" w:rsidRPr="00943DFA" w:rsidRDefault="00C5252F" w:rsidP="00C5252F">
      <w:pPr>
        <w:ind w:right="226"/>
        <w:jc w:val="both"/>
        <w:rPr>
          <w:color w:val="0D0D0D" w:themeColor="text1" w:themeTint="F2"/>
        </w:rPr>
      </w:pPr>
      <w:r w:rsidRPr="00943DFA">
        <w:rPr>
          <w:color w:val="0D0D0D" w:themeColor="text1" w:themeTint="F2"/>
        </w:rPr>
        <w:t xml:space="preserve">Topic A. </w:t>
      </w:r>
      <w:r w:rsidR="00240A46" w:rsidRPr="00943DFA">
        <w:rPr>
          <w:color w:val="0D0D0D" w:themeColor="text1" w:themeTint="F2"/>
        </w:rPr>
        <w:t>Core accounting issues</w:t>
      </w:r>
      <w:r w:rsidRPr="00943DFA">
        <w:rPr>
          <w:color w:val="0D0D0D" w:themeColor="text1" w:themeTint="F2"/>
        </w:rPr>
        <w:tab/>
      </w:r>
      <w:r w:rsidRPr="00943DFA">
        <w:rPr>
          <w:color w:val="0D0D0D" w:themeColor="text1" w:themeTint="F2"/>
        </w:rPr>
        <w:tab/>
      </w:r>
      <w:r w:rsidRPr="00943DFA">
        <w:rPr>
          <w:color w:val="0D0D0D" w:themeColor="text1" w:themeTint="F2"/>
        </w:rPr>
        <w:tab/>
        <w:t xml:space="preserve">Topic B. </w:t>
      </w:r>
      <w:r w:rsidR="00240A46" w:rsidRPr="00943DFA">
        <w:rPr>
          <w:color w:val="0D0D0D" w:themeColor="text1" w:themeTint="F2"/>
        </w:rPr>
        <w:t>Non-core accounting issues</w:t>
      </w:r>
    </w:p>
    <w:p w14:paraId="5F26D2B8" w14:textId="5762F567" w:rsidR="00C5252F" w:rsidRPr="00943DFA" w:rsidRDefault="00C5252F" w:rsidP="00C5252F">
      <w:pPr>
        <w:ind w:right="226"/>
        <w:jc w:val="both"/>
        <w:rPr>
          <w:color w:val="0D0D0D" w:themeColor="text1" w:themeTint="F2"/>
        </w:rPr>
      </w:pPr>
      <w:r w:rsidRPr="00943DFA">
        <w:rPr>
          <w:noProof/>
          <w:color w:val="0D0D0D" w:themeColor="text1" w:themeTint="F2"/>
          <w:sz w:val="20"/>
          <w:szCs w:val="20"/>
        </w:rPr>
        <w:drawing>
          <wp:inline distT="0" distB="0" distL="0" distR="0" wp14:anchorId="4C3ECCDF" wp14:editId="59D682D6">
            <wp:extent cx="2729187" cy="16897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187" cy="1689786"/>
                    </a:xfrm>
                    <a:prstGeom prst="rect">
                      <a:avLst/>
                    </a:prstGeom>
                  </pic:spPr>
                </pic:pic>
              </a:graphicData>
            </a:graphic>
          </wp:inline>
        </w:drawing>
      </w:r>
      <w:r w:rsidRPr="00943DFA">
        <w:rPr>
          <w:noProof/>
          <w:color w:val="0D0D0D" w:themeColor="text1" w:themeTint="F2"/>
          <w:sz w:val="20"/>
          <w:szCs w:val="20"/>
        </w:rPr>
        <w:t xml:space="preserve"> </w:t>
      </w:r>
      <w:r w:rsidRPr="00943DFA">
        <w:rPr>
          <w:noProof/>
          <w:color w:val="0D0D0D" w:themeColor="text1" w:themeTint="F2"/>
          <w:sz w:val="20"/>
          <w:szCs w:val="20"/>
        </w:rPr>
        <w:drawing>
          <wp:inline distT="0" distB="0" distL="0" distR="0" wp14:anchorId="526F4B33" wp14:editId="0A271D88">
            <wp:extent cx="2676885" cy="16574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885" cy="1657403"/>
                    </a:xfrm>
                    <a:prstGeom prst="rect">
                      <a:avLst/>
                    </a:prstGeom>
                  </pic:spPr>
                </pic:pic>
              </a:graphicData>
            </a:graphic>
          </wp:inline>
        </w:drawing>
      </w:r>
    </w:p>
    <w:p w14:paraId="743FA515" w14:textId="0A6D5281" w:rsidR="00240A46" w:rsidRPr="00943DFA" w:rsidRDefault="00C5252F" w:rsidP="00C5252F">
      <w:pPr>
        <w:ind w:right="226"/>
        <w:jc w:val="both"/>
        <w:rPr>
          <w:color w:val="0D0D0D" w:themeColor="text1" w:themeTint="F2"/>
        </w:rPr>
      </w:pPr>
      <w:r w:rsidRPr="00943DFA">
        <w:rPr>
          <w:color w:val="0D0D0D" w:themeColor="text1" w:themeTint="F2"/>
        </w:rPr>
        <w:t xml:space="preserve">Topic C. </w:t>
      </w:r>
      <w:r w:rsidR="00240A46" w:rsidRPr="00943DFA">
        <w:rPr>
          <w:color w:val="0D0D0D" w:themeColor="text1" w:themeTint="F2"/>
        </w:rPr>
        <w:t>Offering issues</w:t>
      </w:r>
      <w:r w:rsidRPr="00943DFA">
        <w:rPr>
          <w:color w:val="0D0D0D" w:themeColor="text1" w:themeTint="F2"/>
        </w:rPr>
        <w:tab/>
      </w:r>
      <w:r w:rsidRPr="00943DFA">
        <w:rPr>
          <w:color w:val="0D0D0D" w:themeColor="text1" w:themeTint="F2"/>
        </w:rPr>
        <w:tab/>
      </w:r>
      <w:r w:rsidRPr="00943DFA">
        <w:rPr>
          <w:color w:val="0D0D0D" w:themeColor="text1" w:themeTint="F2"/>
        </w:rPr>
        <w:tab/>
      </w:r>
      <w:r w:rsidRPr="00943DFA">
        <w:rPr>
          <w:color w:val="0D0D0D" w:themeColor="text1" w:themeTint="F2"/>
        </w:rPr>
        <w:tab/>
        <w:t xml:space="preserve">Topic D. </w:t>
      </w:r>
      <w:r w:rsidR="00240A46" w:rsidRPr="00943DFA">
        <w:rPr>
          <w:color w:val="0D0D0D" w:themeColor="text1" w:themeTint="F2"/>
        </w:rPr>
        <w:t>Business issues</w:t>
      </w:r>
    </w:p>
    <w:p w14:paraId="1F02C96D" w14:textId="6721FC08" w:rsidR="00C5252F" w:rsidRPr="00943DFA" w:rsidRDefault="00C5252F" w:rsidP="00C5252F">
      <w:pPr>
        <w:ind w:right="226"/>
        <w:jc w:val="both"/>
        <w:rPr>
          <w:color w:val="0D0D0D" w:themeColor="text1" w:themeTint="F2"/>
        </w:rPr>
      </w:pPr>
      <w:r w:rsidRPr="00943DFA">
        <w:rPr>
          <w:noProof/>
          <w:color w:val="0D0D0D" w:themeColor="text1" w:themeTint="F2"/>
          <w:sz w:val="20"/>
          <w:szCs w:val="20"/>
        </w:rPr>
        <w:drawing>
          <wp:inline distT="0" distB="0" distL="0" distR="0" wp14:anchorId="1E3DC5CB" wp14:editId="78DB267D">
            <wp:extent cx="2810128"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232" cy="1741203"/>
                    </a:xfrm>
                    <a:prstGeom prst="rect">
                      <a:avLst/>
                    </a:prstGeom>
                  </pic:spPr>
                </pic:pic>
              </a:graphicData>
            </a:graphic>
          </wp:inline>
        </w:drawing>
      </w:r>
      <w:r w:rsidRPr="00943DFA">
        <w:rPr>
          <w:noProof/>
          <w:color w:val="0D0D0D" w:themeColor="text1" w:themeTint="F2"/>
          <w:sz w:val="20"/>
          <w:szCs w:val="20"/>
        </w:rPr>
        <w:t xml:space="preserve"> </w:t>
      </w:r>
      <w:r w:rsidRPr="00943DFA">
        <w:rPr>
          <w:noProof/>
          <w:color w:val="0D0D0D" w:themeColor="text1" w:themeTint="F2"/>
          <w:sz w:val="20"/>
          <w:szCs w:val="20"/>
        </w:rPr>
        <w:drawing>
          <wp:inline distT="0" distB="0" distL="0" distR="0" wp14:anchorId="6C2F8CB4" wp14:editId="3352CBF4">
            <wp:extent cx="2754920" cy="1705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920" cy="1705718"/>
                    </a:xfrm>
                    <a:prstGeom prst="rect">
                      <a:avLst/>
                    </a:prstGeom>
                  </pic:spPr>
                </pic:pic>
              </a:graphicData>
            </a:graphic>
          </wp:inline>
        </w:drawing>
      </w:r>
    </w:p>
    <w:p w14:paraId="32C4E18A" w14:textId="3D4C6955" w:rsidR="00240A46" w:rsidRPr="00943DFA" w:rsidRDefault="00C5252F" w:rsidP="00C5252F">
      <w:pPr>
        <w:ind w:right="226"/>
        <w:jc w:val="both"/>
        <w:rPr>
          <w:color w:val="0D0D0D" w:themeColor="text1" w:themeTint="F2"/>
        </w:rPr>
      </w:pPr>
      <w:r w:rsidRPr="00943DFA">
        <w:rPr>
          <w:color w:val="0D0D0D" w:themeColor="text1" w:themeTint="F2"/>
        </w:rPr>
        <w:t xml:space="preserve">Topic E. </w:t>
      </w:r>
      <w:r w:rsidR="00240A46" w:rsidRPr="00943DFA">
        <w:rPr>
          <w:color w:val="0D0D0D" w:themeColor="text1" w:themeTint="F2"/>
        </w:rPr>
        <w:t>Corporate governance issues</w:t>
      </w:r>
      <w:r w:rsidRPr="00943DFA">
        <w:rPr>
          <w:color w:val="0D0D0D" w:themeColor="text1" w:themeTint="F2"/>
        </w:rPr>
        <w:tab/>
      </w:r>
      <w:r w:rsidRPr="00943DFA">
        <w:rPr>
          <w:color w:val="0D0D0D" w:themeColor="text1" w:themeTint="F2"/>
        </w:rPr>
        <w:tab/>
        <w:t xml:space="preserve">Topic F. </w:t>
      </w:r>
      <w:r w:rsidR="00240A46" w:rsidRPr="00943DFA">
        <w:rPr>
          <w:color w:val="0D0D0D" w:themeColor="text1" w:themeTint="F2"/>
        </w:rPr>
        <w:t>Disclosure issues</w:t>
      </w:r>
    </w:p>
    <w:p w14:paraId="3771AB16" w14:textId="4235A3E2" w:rsidR="00C5252F" w:rsidRPr="00943DFA" w:rsidRDefault="00C5252F" w:rsidP="00C5252F">
      <w:pPr>
        <w:ind w:right="226"/>
        <w:jc w:val="both"/>
        <w:rPr>
          <w:color w:val="0D0D0D" w:themeColor="text1" w:themeTint="F2"/>
        </w:rPr>
      </w:pPr>
      <w:r w:rsidRPr="00943DFA">
        <w:rPr>
          <w:noProof/>
          <w:color w:val="0D0D0D" w:themeColor="text1" w:themeTint="F2"/>
          <w:sz w:val="20"/>
          <w:szCs w:val="20"/>
        </w:rPr>
        <w:lastRenderedPageBreak/>
        <w:drawing>
          <wp:inline distT="0" distB="0" distL="0" distR="0" wp14:anchorId="7A3AD3FF" wp14:editId="33084159">
            <wp:extent cx="2810333" cy="17400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333" cy="1740028"/>
                    </a:xfrm>
                    <a:prstGeom prst="rect">
                      <a:avLst/>
                    </a:prstGeom>
                  </pic:spPr>
                </pic:pic>
              </a:graphicData>
            </a:graphic>
          </wp:inline>
        </w:drawing>
      </w:r>
      <w:r w:rsidRPr="00943DFA">
        <w:rPr>
          <w:noProof/>
          <w:color w:val="0D0D0D" w:themeColor="text1" w:themeTint="F2"/>
          <w:sz w:val="20"/>
          <w:szCs w:val="20"/>
        </w:rPr>
        <w:t xml:space="preserve"> </w:t>
      </w:r>
      <w:r w:rsidRPr="00943DFA">
        <w:rPr>
          <w:noProof/>
          <w:color w:val="0D0D0D" w:themeColor="text1" w:themeTint="F2"/>
          <w:sz w:val="20"/>
          <w:szCs w:val="20"/>
        </w:rPr>
        <w:drawing>
          <wp:inline distT="0" distB="0" distL="0" distR="0" wp14:anchorId="4ADB9BAC" wp14:editId="78F48E9B">
            <wp:extent cx="2775630" cy="17185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5630" cy="1718542"/>
                    </a:xfrm>
                    <a:prstGeom prst="rect">
                      <a:avLst/>
                    </a:prstGeom>
                  </pic:spPr>
                </pic:pic>
              </a:graphicData>
            </a:graphic>
          </wp:inline>
        </w:drawing>
      </w:r>
    </w:p>
    <w:p w14:paraId="460D3636" w14:textId="0964FF6A" w:rsidR="00240A46" w:rsidRPr="00943DFA" w:rsidRDefault="00C5252F" w:rsidP="00C5252F">
      <w:pPr>
        <w:ind w:right="226"/>
        <w:jc w:val="both"/>
        <w:rPr>
          <w:color w:val="0D0D0D" w:themeColor="text1" w:themeTint="F2"/>
        </w:rPr>
      </w:pPr>
      <w:r w:rsidRPr="00943DFA">
        <w:rPr>
          <w:color w:val="0D0D0D" w:themeColor="text1" w:themeTint="F2"/>
        </w:rPr>
        <w:t xml:space="preserve">Topic G. </w:t>
      </w:r>
      <w:r w:rsidR="00240A46" w:rsidRPr="00943DFA">
        <w:rPr>
          <w:color w:val="0D0D0D" w:themeColor="text1" w:themeTint="F2"/>
        </w:rPr>
        <w:t>Other issues</w:t>
      </w:r>
    </w:p>
    <w:p w14:paraId="03E58F9C" w14:textId="77777777" w:rsidR="00240A46" w:rsidRPr="00943DFA" w:rsidRDefault="00240A46" w:rsidP="00240A46">
      <w:pPr>
        <w:ind w:left="100" w:right="226"/>
        <w:contextualSpacing/>
        <w:jc w:val="both"/>
        <w:rPr>
          <w:color w:val="0D0D0D" w:themeColor="text1" w:themeTint="F2"/>
          <w:lang w:eastAsia="en-US"/>
        </w:rPr>
      </w:pPr>
    </w:p>
    <w:p w14:paraId="1C44BCEA" w14:textId="77777777" w:rsidR="00240A46" w:rsidRPr="00943DFA" w:rsidRDefault="00240A46" w:rsidP="00195130">
      <w:pPr>
        <w:rPr>
          <w:b/>
          <w:color w:val="0D0D0D" w:themeColor="text1" w:themeTint="F2"/>
          <w:lang w:eastAsia="en-US"/>
        </w:rPr>
      </w:pPr>
    </w:p>
    <w:p w14:paraId="11BA1B7C" w14:textId="0E31C1F2" w:rsidR="00775E2A" w:rsidRPr="00943DFA" w:rsidRDefault="00775E2A" w:rsidP="00775E2A">
      <w:pPr>
        <w:rPr>
          <w:b/>
          <w:color w:val="0D0D0D" w:themeColor="text1" w:themeTint="F2"/>
          <w:lang w:eastAsia="en-US"/>
        </w:rPr>
      </w:pPr>
      <w:r w:rsidRPr="00943DFA">
        <w:rPr>
          <w:noProof/>
          <w:color w:val="0D0D0D" w:themeColor="text1" w:themeTint="F2"/>
          <w:sz w:val="20"/>
          <w:szCs w:val="20"/>
        </w:rPr>
        <w:drawing>
          <wp:inline distT="0" distB="0" distL="0" distR="0" wp14:anchorId="2540168A" wp14:editId="51AAB42F">
            <wp:extent cx="3070204" cy="19009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0204" cy="1900928"/>
                    </a:xfrm>
                    <a:prstGeom prst="rect">
                      <a:avLst/>
                    </a:prstGeom>
                  </pic:spPr>
                </pic:pic>
              </a:graphicData>
            </a:graphic>
          </wp:inline>
        </w:drawing>
      </w:r>
    </w:p>
    <w:p w14:paraId="4037F076" w14:textId="4A142979" w:rsidR="00195130" w:rsidRPr="00943DFA" w:rsidRDefault="00195130" w:rsidP="003B2F94">
      <w:pPr>
        <w:pStyle w:val="ListParagraph"/>
        <w:numPr>
          <w:ilvl w:val="1"/>
          <w:numId w:val="38"/>
        </w:numPr>
        <w:spacing w:before="240" w:after="240" w:line="360" w:lineRule="auto"/>
        <w:ind w:left="567"/>
        <w:contextualSpacing w:val="0"/>
        <w:jc w:val="both"/>
        <w:outlineLvl w:val="2"/>
        <w:rPr>
          <w:b/>
          <w:color w:val="0D0D0D" w:themeColor="text1" w:themeTint="F2"/>
          <w:lang w:eastAsia="en-US"/>
        </w:rPr>
      </w:pPr>
      <w:bookmarkStart w:id="28" w:name="_Toc69749260"/>
      <w:r w:rsidRPr="00943DFA">
        <w:rPr>
          <w:b/>
          <w:color w:val="0D0D0D" w:themeColor="text1" w:themeTint="F2"/>
          <w:lang w:eastAsia="en-US"/>
        </w:rPr>
        <w:t>Key variables</w:t>
      </w:r>
      <w:bookmarkEnd w:id="19"/>
      <w:bookmarkEnd w:id="20"/>
      <w:bookmarkEnd w:id="27"/>
      <w:bookmarkEnd w:id="28"/>
    </w:p>
    <w:p w14:paraId="3D10ADFE" w14:textId="3FDC38F7" w:rsidR="00195130" w:rsidRPr="00943DFA" w:rsidRDefault="0000516A" w:rsidP="003B2F94">
      <w:pPr>
        <w:pStyle w:val="ListParagraph"/>
        <w:numPr>
          <w:ilvl w:val="2"/>
          <w:numId w:val="38"/>
        </w:numPr>
        <w:spacing w:before="240" w:after="240" w:line="360" w:lineRule="auto"/>
        <w:ind w:left="1276"/>
        <w:jc w:val="both"/>
        <w:outlineLvl w:val="3"/>
        <w:rPr>
          <w:b/>
          <w:color w:val="0D0D0D" w:themeColor="text1" w:themeTint="F2"/>
          <w:lang w:eastAsia="en-US"/>
        </w:rPr>
      </w:pPr>
      <w:r w:rsidRPr="00943DFA">
        <w:rPr>
          <w:b/>
          <w:color w:val="0D0D0D" w:themeColor="text1" w:themeTint="F2"/>
          <w:lang w:eastAsia="en-US"/>
        </w:rPr>
        <w:t>Content of SEC comment letter</w:t>
      </w:r>
    </w:p>
    <w:p w14:paraId="43EFBBEB" w14:textId="26EEFAF3" w:rsidR="00195130" w:rsidRPr="00943DFA" w:rsidRDefault="006E2294" w:rsidP="00195130">
      <w:pPr>
        <w:spacing w:before="240" w:after="240" w:line="360" w:lineRule="auto"/>
        <w:jc w:val="both"/>
        <w:rPr>
          <w:i/>
          <w:color w:val="0D0D0D" w:themeColor="text1" w:themeTint="F2"/>
          <w:lang w:eastAsia="en-US"/>
        </w:rPr>
      </w:pPr>
      <w:bookmarkStart w:id="29" w:name="_Toc48203611"/>
      <w:bookmarkStart w:id="30" w:name="_Toc50713972"/>
      <w:r w:rsidRPr="00943DFA">
        <w:rPr>
          <w:color w:val="0D0D0D" w:themeColor="text1" w:themeTint="F2"/>
          <w:lang w:eastAsia="en-US"/>
        </w:rPr>
        <w:t>T</w:t>
      </w:r>
      <w:r w:rsidR="00195130" w:rsidRPr="00943DFA">
        <w:rPr>
          <w:color w:val="0D0D0D" w:themeColor="text1" w:themeTint="F2"/>
          <w:lang w:eastAsia="en-US"/>
        </w:rPr>
        <w:t>he range of themes (#</w:t>
      </w:r>
      <w:r w:rsidR="00195130" w:rsidRPr="00943DFA">
        <w:rPr>
          <w:i/>
          <w:color w:val="0D0D0D" w:themeColor="text1" w:themeTint="F2"/>
          <w:lang w:eastAsia="en-US"/>
        </w:rPr>
        <w:t>Themes)</w:t>
      </w:r>
      <w:r w:rsidR="00195130" w:rsidRPr="00943DFA">
        <w:rPr>
          <w:color w:val="0D0D0D" w:themeColor="text1" w:themeTint="F2"/>
          <w:lang w:eastAsia="en-US"/>
        </w:rPr>
        <w:t xml:space="preserve"> in the initial SEC </w:t>
      </w:r>
      <w:r w:rsidRPr="00943DFA">
        <w:rPr>
          <w:color w:val="0D0D0D" w:themeColor="text1" w:themeTint="F2"/>
          <w:lang w:eastAsia="en-US"/>
        </w:rPr>
        <w:t xml:space="preserve">comment </w:t>
      </w:r>
      <w:r w:rsidR="00195130" w:rsidRPr="00943DFA">
        <w:rPr>
          <w:color w:val="0D0D0D" w:themeColor="text1" w:themeTint="F2"/>
          <w:lang w:eastAsia="en-US"/>
        </w:rPr>
        <w:t>letters</w:t>
      </w:r>
      <w:r w:rsidRPr="00943DFA">
        <w:rPr>
          <w:color w:val="0D0D0D" w:themeColor="text1" w:themeTint="F2"/>
          <w:lang w:eastAsia="en-US"/>
        </w:rPr>
        <w:t xml:space="preserve"> is employed in this study as a proxy of the content of SEC comment letters</w:t>
      </w:r>
    </w:p>
    <w:p w14:paraId="3C6280F3" w14:textId="77777777" w:rsidR="00195130" w:rsidRPr="00943DFA" w:rsidRDefault="00195130" w:rsidP="00195130">
      <w:pPr>
        <w:spacing w:before="240" w:after="240" w:line="360" w:lineRule="auto"/>
        <w:jc w:val="both"/>
        <w:rPr>
          <w:color w:val="0D0D0D" w:themeColor="text1" w:themeTint="F2"/>
          <w:lang w:eastAsia="en-US"/>
        </w:rPr>
      </w:pPr>
      <w:r w:rsidRPr="00943DFA">
        <w:rPr>
          <w:i/>
          <w:color w:val="0D0D0D" w:themeColor="text1" w:themeTint="F2"/>
          <w:lang w:eastAsia="en-US"/>
        </w:rPr>
        <w:t xml:space="preserve">#Themes </w:t>
      </w:r>
      <w:r w:rsidRPr="00943DFA">
        <w:rPr>
          <w:color w:val="0D0D0D" w:themeColor="text1" w:themeTint="F2"/>
          <w:lang w:eastAsia="en-US"/>
        </w:rPr>
        <w:t>is calculated by counting the number of issues types mentioned in the initial SEC comments letters. If the SEC do not issue comment letters for the initial S-1 filings, or they do not issue any comment letters during their review process, or they do not provide detailed comments in their letters due to matters relating to compliance with the SEC regulations, #</w:t>
      </w:r>
      <w:r w:rsidRPr="00943DFA">
        <w:rPr>
          <w:i/>
          <w:color w:val="0D0D0D" w:themeColor="text1" w:themeTint="F2"/>
          <w:lang w:eastAsia="en-US"/>
        </w:rPr>
        <w:t xml:space="preserve">Themes </w:t>
      </w:r>
      <w:r w:rsidRPr="00943DFA">
        <w:rPr>
          <w:color w:val="0D0D0D" w:themeColor="text1" w:themeTint="F2"/>
          <w:lang w:eastAsia="en-US"/>
        </w:rPr>
        <w:t xml:space="preserve">is set equal zero. The data of </w:t>
      </w:r>
      <w:r w:rsidRPr="00943DFA">
        <w:rPr>
          <w:i/>
          <w:color w:val="0D0D0D" w:themeColor="text1" w:themeTint="F2"/>
          <w:lang w:eastAsia="en-US"/>
        </w:rPr>
        <w:t xml:space="preserve">#Themes </w:t>
      </w:r>
      <w:r w:rsidRPr="00943DFA">
        <w:rPr>
          <w:color w:val="0D0D0D" w:themeColor="text1" w:themeTint="F2"/>
          <w:lang w:eastAsia="en-US"/>
        </w:rPr>
        <w:t>is obtained from the coding of the SEC’s comment letters by applying the Naïve Bayes algorithm as mentioned in Section 3.3.2.</w:t>
      </w:r>
    </w:p>
    <w:p w14:paraId="29F9CBD6" w14:textId="007B40C8" w:rsidR="00195130" w:rsidRPr="00943DFA" w:rsidRDefault="00195130" w:rsidP="00040A1F">
      <w:pPr>
        <w:pStyle w:val="ListParagraph"/>
        <w:numPr>
          <w:ilvl w:val="2"/>
          <w:numId w:val="38"/>
        </w:numPr>
        <w:spacing w:before="240" w:after="240" w:line="360" w:lineRule="auto"/>
        <w:ind w:left="1134"/>
        <w:contextualSpacing w:val="0"/>
        <w:jc w:val="both"/>
        <w:outlineLvl w:val="3"/>
        <w:rPr>
          <w:b/>
          <w:color w:val="0D0D0D" w:themeColor="text1" w:themeTint="F2"/>
          <w:lang w:eastAsia="en-US"/>
        </w:rPr>
      </w:pPr>
      <w:bookmarkStart w:id="31" w:name="_Toc69749262"/>
      <w:r w:rsidRPr="00943DFA">
        <w:rPr>
          <w:b/>
          <w:color w:val="0D0D0D" w:themeColor="text1" w:themeTint="F2"/>
          <w:lang w:eastAsia="en-US"/>
        </w:rPr>
        <w:t>IPO firms’ characteristics</w:t>
      </w:r>
      <w:bookmarkEnd w:id="29"/>
      <w:bookmarkEnd w:id="30"/>
      <w:bookmarkEnd w:id="31"/>
    </w:p>
    <w:p w14:paraId="6F0D973F" w14:textId="77777777" w:rsidR="00195130" w:rsidRPr="00943DFA" w:rsidRDefault="00195130" w:rsidP="00195130">
      <w:pPr>
        <w:pStyle w:val="ListParagraph"/>
        <w:spacing w:before="240" w:after="240" w:line="360" w:lineRule="auto"/>
        <w:ind w:left="0"/>
        <w:contextualSpacing w:val="0"/>
        <w:jc w:val="both"/>
        <w:rPr>
          <w:i/>
          <w:color w:val="0D0D0D" w:themeColor="text1" w:themeTint="F2"/>
          <w:lang w:eastAsia="en-US"/>
        </w:rPr>
      </w:pPr>
      <w:r w:rsidRPr="00943DFA">
        <w:rPr>
          <w:color w:val="0D0D0D" w:themeColor="text1" w:themeTint="F2"/>
          <w:lang w:eastAsia="en-US"/>
        </w:rPr>
        <w:t xml:space="preserve">Following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DP12145","id":"ITEM-2","issued":{"date-parts":[["2017"]]},"note":"We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?","type":"article-journal"},"uris":["http://www.mendeley.com/documents/?uuid=1244073f-8151-4447-8b41-8cd7e5d57e28"]},{"id":"ITEM-3","itemData":{"ISSN":"01654101","abstract":"SEC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Economics","id":"ITEM-3","issue":"1","issued":{"date-parts":[["2017"]]},"page":"98-122","title":"Is the SEC captured? Evidence from comment-letter reviews","type":"article-journal","volume":"64"},"uris":["http://www.mendeley.com/documents/?uuid=98505591-58a4-4e58-99ad-9f9350630e93"]},{"id":"ITEM-4","itemData":{"ISBN":"7133486296","ISSN":"19113846","PMID":"25246403","abstract":"The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Research","id":"ITEM-4","issue":"2","issued":{"date-parts":[["2017"]]},"page":"1128-1155","title":"The effect of regulator oversight on firms' information environment: Securities and exchange commission comment letters","type":"article-journal","volume":"34"},"uris":["http://www.mendeley.com/documents/?uuid=6f0a5987-96ef-4573-9c9a-4445f9fb6ad8"]}],"mendeley":{"formattedCitation":"(C. A. Cassell et al., 2013; Duro et al., 2017; Heese et al., 2017; Johnston &amp; Petacchi, 2017)","manualFormatting":"Cassell et al.  (2013), Duro et al. (2017), Heese et al. (2017) and Johnston &amp; Petacchi (2017)","plainTextFormattedCitation":"(C. A. Cassell et al., 2013; Duro et al., 2017; Heese et al., 2017; Johnston &amp; Petacchi, 2017)","previouslyFormattedCitation":"(C. A. Cassell et al., 2013; Duro et al., 2017; Heese et al., 2017; Johnston &amp; Petacchi,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Cassell et al.  (2013), Duro et al. (2017), Heese et al. (2017) and Johnston &amp; Petacchi (2017)</w:t>
      </w:r>
      <w:r w:rsidRPr="00943DFA">
        <w:rPr>
          <w:color w:val="0D0D0D" w:themeColor="text1" w:themeTint="F2"/>
          <w:lang w:eastAsia="en-US"/>
        </w:rPr>
        <w:fldChar w:fldCharType="end"/>
      </w:r>
      <w:r w:rsidRPr="00943DFA">
        <w:rPr>
          <w:color w:val="0D0D0D" w:themeColor="text1" w:themeTint="F2"/>
          <w:lang w:eastAsia="en-US"/>
        </w:rPr>
        <w:t>, a number of proxies for IPO firm characteristics are employed, including; company size (</w:t>
      </w:r>
      <w:r w:rsidRPr="00943DFA">
        <w:rPr>
          <w:i/>
          <w:color w:val="0D0D0D" w:themeColor="text1" w:themeTint="F2"/>
          <w:lang w:eastAsia="en-US"/>
        </w:rPr>
        <w:t>Size),</w:t>
      </w:r>
      <w:r w:rsidRPr="00943DFA">
        <w:rPr>
          <w:color w:val="0D0D0D" w:themeColor="text1" w:themeTint="F2"/>
          <w:lang w:eastAsia="en-US"/>
        </w:rPr>
        <w:t xml:space="preserve"> company age (</w:t>
      </w:r>
      <w:r w:rsidRPr="00943DFA">
        <w:rPr>
          <w:i/>
          <w:color w:val="0D0D0D" w:themeColor="text1" w:themeTint="F2"/>
          <w:lang w:eastAsia="en-US"/>
        </w:rPr>
        <w:t xml:space="preserve">Age), </w:t>
      </w:r>
      <w:r w:rsidRPr="00943DFA">
        <w:rPr>
          <w:color w:val="0D0D0D" w:themeColor="text1" w:themeTint="F2"/>
          <w:lang w:eastAsia="en-US"/>
        </w:rPr>
        <w:t>business complexity (</w:t>
      </w:r>
      <w:r w:rsidRPr="00943DFA">
        <w:rPr>
          <w:i/>
          <w:color w:val="0D0D0D" w:themeColor="text1" w:themeTint="F2"/>
          <w:lang w:eastAsia="en-US"/>
        </w:rPr>
        <w:t xml:space="preserve">Sales growth, Segments, </w:t>
      </w:r>
      <w:r w:rsidRPr="00943DFA">
        <w:rPr>
          <w:i/>
          <w:color w:val="0D0D0D" w:themeColor="text1" w:themeTint="F2"/>
          <w:lang w:eastAsia="en-US"/>
        </w:rPr>
        <w:lastRenderedPageBreak/>
        <w:t>Restructuring, M&amp;A)</w:t>
      </w:r>
      <w:r w:rsidRPr="00943DFA">
        <w:rPr>
          <w:color w:val="0D0D0D" w:themeColor="text1" w:themeTint="F2"/>
          <w:lang w:eastAsia="en-US"/>
        </w:rPr>
        <w:t>, financial health (</w:t>
      </w:r>
      <w:r w:rsidRPr="00943DFA">
        <w:rPr>
          <w:i/>
          <w:color w:val="0D0D0D" w:themeColor="text1" w:themeTint="F2"/>
          <w:lang w:eastAsia="en-US"/>
        </w:rPr>
        <w:t xml:space="preserve">Leverage, </w:t>
      </w:r>
      <w:proofErr w:type="spellStart"/>
      <w:r w:rsidRPr="00943DFA">
        <w:rPr>
          <w:i/>
          <w:color w:val="0D0D0D" w:themeColor="text1" w:themeTint="F2"/>
          <w:lang w:eastAsia="en-US"/>
        </w:rPr>
        <w:t>Zscore</w:t>
      </w:r>
      <w:proofErr w:type="spellEnd"/>
      <w:r w:rsidRPr="00943DFA">
        <w:rPr>
          <w:i/>
          <w:color w:val="0D0D0D" w:themeColor="text1" w:themeTint="F2"/>
          <w:lang w:eastAsia="en-US"/>
        </w:rPr>
        <w:t>, External financing, Positive earnings),</w:t>
      </w:r>
      <w:r w:rsidRPr="00943DFA">
        <w:rPr>
          <w:color w:val="0D0D0D" w:themeColor="text1" w:themeTint="F2"/>
          <w:lang w:eastAsia="en-US"/>
        </w:rPr>
        <w:t xml:space="preserve"> auditor quality (</w:t>
      </w:r>
      <w:r w:rsidRPr="00943DFA">
        <w:rPr>
          <w:i/>
          <w:color w:val="0D0D0D" w:themeColor="text1" w:themeTint="F2"/>
          <w:lang w:eastAsia="en-US"/>
        </w:rPr>
        <w:t>Big 4)</w:t>
      </w:r>
      <w:r w:rsidRPr="00943DFA">
        <w:rPr>
          <w:color w:val="0D0D0D" w:themeColor="text1" w:themeTint="F2"/>
          <w:lang w:eastAsia="en-US"/>
        </w:rPr>
        <w:t>, CEO-chairperson duality (</w:t>
      </w:r>
      <w:proofErr w:type="spellStart"/>
      <w:r w:rsidRPr="00943DFA">
        <w:rPr>
          <w:i/>
          <w:color w:val="0D0D0D" w:themeColor="text1" w:themeTint="F2"/>
          <w:lang w:eastAsia="en-US"/>
        </w:rPr>
        <w:t>CEOchairperson</w:t>
      </w:r>
      <w:proofErr w:type="spellEnd"/>
      <w:r w:rsidRPr="00943DFA">
        <w:rPr>
          <w:i/>
          <w:color w:val="0D0D0D" w:themeColor="text1" w:themeTint="F2"/>
          <w:lang w:eastAsia="en-US"/>
        </w:rPr>
        <w:t xml:space="preserve">), </w:t>
      </w:r>
    </w:p>
    <w:p w14:paraId="7770492A"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Specifically, regarding company size, this study measures </w:t>
      </w:r>
      <w:r w:rsidRPr="00943DFA">
        <w:rPr>
          <w:i/>
          <w:color w:val="0D0D0D" w:themeColor="text1" w:themeTint="F2"/>
          <w:lang w:eastAsia="en-US"/>
        </w:rPr>
        <w:t xml:space="preserve">Size </w:t>
      </w:r>
      <w:r w:rsidRPr="00943DFA">
        <w:rPr>
          <w:color w:val="0D0D0D" w:themeColor="text1" w:themeTint="F2"/>
          <w:lang w:eastAsia="en-US"/>
        </w:rPr>
        <w:t xml:space="preserve">as total assets reported in the fiscal year immediately prior to the filing year of the initial S-1 filing (year t-1)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DP12145","id":"ITEM-1","issued":{"date-parts":[["2017"]]},"note":"We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?","type":"article-journal"},"uris":["http://www.mendeley.com/documents/?uuid=1244073f-8151-4447-8b41-8cd7e5d57e28"]}],"mendeley":{"formattedCitation":"(Duro et al., 2017)","plainTextFormattedCitation":"(Duro et al., 2017)","previouslyFormattedCitation":"(Duro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(Duro et al., 2017)</w:t>
      </w:r>
      <w:r w:rsidRPr="00943DFA">
        <w:rPr>
          <w:color w:val="0D0D0D" w:themeColor="text1" w:themeTint="F2"/>
          <w:lang w:eastAsia="en-US"/>
        </w:rPr>
        <w:fldChar w:fldCharType="end"/>
      </w:r>
      <w:r w:rsidRPr="00943DFA">
        <w:rPr>
          <w:color w:val="0D0D0D" w:themeColor="text1" w:themeTint="F2"/>
          <w:lang w:eastAsia="en-US"/>
        </w:rPr>
        <w:t xml:space="preserve">. A positive relationship is expected between </w:t>
      </w:r>
      <w:r w:rsidRPr="00943DFA">
        <w:rPr>
          <w:i/>
          <w:color w:val="0D0D0D" w:themeColor="text1" w:themeTint="F2"/>
          <w:lang w:eastAsia="en-US"/>
        </w:rPr>
        <w:t xml:space="preserve">Size </w:t>
      </w:r>
      <w:r w:rsidRPr="00943DFA">
        <w:rPr>
          <w:color w:val="0D0D0D" w:themeColor="text1" w:themeTint="F2"/>
          <w:lang w:eastAsia="en-US"/>
        </w:rPr>
        <w:t xml:space="preserve">and each SEC review attribute. </w:t>
      </w:r>
    </w:p>
    <w:p w14:paraId="29B3C513"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As for </w:t>
      </w:r>
      <w:r w:rsidRPr="00943DFA">
        <w:rPr>
          <w:i/>
          <w:color w:val="0D0D0D" w:themeColor="text1" w:themeTint="F2"/>
          <w:lang w:eastAsia="en-US"/>
        </w:rPr>
        <w:t xml:space="preserve">Age, </w:t>
      </w:r>
      <w:r w:rsidRPr="00943DFA">
        <w:rPr>
          <w:color w:val="0D0D0D" w:themeColor="text1" w:themeTint="F2"/>
          <w:lang w:eastAsia="en-US"/>
        </w:rPr>
        <w:t>this study</w:t>
      </w:r>
      <w:r w:rsidRPr="00943DFA">
        <w:rPr>
          <w:i/>
          <w:color w:val="0D0D0D" w:themeColor="text1" w:themeTint="F2"/>
          <w:lang w:eastAsia="en-US"/>
        </w:rPr>
        <w:t xml:space="preserve"> </w:t>
      </w:r>
      <w:r w:rsidRPr="00943DFA">
        <w:rPr>
          <w:color w:val="0D0D0D" w:themeColor="text1" w:themeTint="F2"/>
          <w:lang w:eastAsia="en-US"/>
        </w:rPr>
        <w:t xml:space="preserve">follows </w:t>
      </w:r>
      <w:r w:rsidRPr="00943DFA">
        <w:rPr>
          <w:noProof/>
          <w:color w:val="0D0D0D" w:themeColor="text1" w:themeTint="F2"/>
          <w:lang w:eastAsia="en-US"/>
        </w:rPr>
        <w:t xml:space="preserve">Heese et al. (2017) in </w:t>
      </w:r>
      <w:r w:rsidRPr="00943DFA">
        <w:rPr>
          <w:color w:val="0D0D0D" w:themeColor="text1" w:themeTint="F2"/>
          <w:lang w:eastAsia="en-US"/>
        </w:rPr>
        <w:t xml:space="preserve">calculating this proxy as the period between year t-1 and the year when data for the IPO firm first appeared on the </w:t>
      </w:r>
      <w:proofErr w:type="spellStart"/>
      <w:r w:rsidRPr="00943DFA">
        <w:rPr>
          <w:color w:val="0D0D0D" w:themeColor="text1" w:themeTint="F2"/>
          <w:lang w:eastAsia="en-US"/>
        </w:rPr>
        <w:t>Compustat</w:t>
      </w:r>
      <w:proofErr w:type="spellEnd"/>
      <w:r w:rsidRPr="00943DFA">
        <w:rPr>
          <w:color w:val="0D0D0D" w:themeColor="text1" w:themeTint="F2"/>
          <w:lang w:eastAsia="en-US"/>
        </w:rPr>
        <w:t xml:space="preserve"> database. This thesis also expects a positive relationship between </w:t>
      </w:r>
      <w:r w:rsidRPr="00943DFA">
        <w:rPr>
          <w:i/>
          <w:color w:val="0D0D0D" w:themeColor="text1" w:themeTint="F2"/>
          <w:lang w:eastAsia="en-US"/>
        </w:rPr>
        <w:t xml:space="preserve">Age </w:t>
      </w:r>
      <w:r w:rsidRPr="00943DFA">
        <w:rPr>
          <w:color w:val="0D0D0D" w:themeColor="text1" w:themeTint="F2"/>
          <w:lang w:eastAsia="en-US"/>
        </w:rPr>
        <w:t xml:space="preserve">and SEC review attributes. </w:t>
      </w:r>
    </w:p>
    <w:p w14:paraId="709C2445"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In terms of company complexity, this study </w:t>
      </w:r>
      <w:r w:rsidRPr="00943DFA">
        <w:rPr>
          <w:color w:val="0D0D0D" w:themeColor="text1" w:themeTint="F2"/>
        </w:rPr>
        <w:t xml:space="preserve">measures </w:t>
      </w:r>
      <w:r w:rsidRPr="00943DFA">
        <w:rPr>
          <w:i/>
          <w:color w:val="0D0D0D" w:themeColor="text1" w:themeTint="F2"/>
        </w:rPr>
        <w:t xml:space="preserve">Sales growth </w:t>
      </w:r>
      <w:r w:rsidRPr="00943DFA">
        <w:rPr>
          <w:color w:val="0D0D0D" w:themeColor="text1" w:themeTint="F2"/>
        </w:rPr>
        <w:t xml:space="preserve">as the percentage change in annual sales from year t-2 to year t-1 (where year t=0 is the IPO filing year). </w:t>
      </w:r>
      <w:r w:rsidRPr="00943DFA">
        <w:rPr>
          <w:i/>
          <w:color w:val="0D0D0D" w:themeColor="text1" w:themeTint="F2"/>
          <w:lang w:eastAsia="en-US"/>
        </w:rPr>
        <w:t xml:space="preserve">Segments </w:t>
      </w:r>
      <w:r w:rsidRPr="00943DFA">
        <w:rPr>
          <w:color w:val="0D0D0D" w:themeColor="text1" w:themeTint="F2"/>
          <w:lang w:eastAsia="en-US"/>
        </w:rPr>
        <w:t xml:space="preserve">is calculated as the number of non-empty and unique segment industry codes as reported on </w:t>
      </w:r>
      <w:proofErr w:type="spellStart"/>
      <w:r w:rsidRPr="00943DFA">
        <w:rPr>
          <w:color w:val="0D0D0D" w:themeColor="text1" w:themeTint="F2"/>
          <w:lang w:eastAsia="en-US"/>
        </w:rPr>
        <w:t>Compustat</w:t>
      </w:r>
      <w:proofErr w:type="spellEnd"/>
      <w:r w:rsidRPr="00943DFA">
        <w:rPr>
          <w:color w:val="0D0D0D" w:themeColor="text1" w:themeTint="F2"/>
          <w:lang w:eastAsia="en-US"/>
        </w:rPr>
        <w:t xml:space="preserve">. </w:t>
      </w:r>
      <w:r w:rsidRPr="00943DFA">
        <w:rPr>
          <w:i/>
          <w:color w:val="0D0D0D" w:themeColor="text1" w:themeTint="F2"/>
          <w:lang w:eastAsia="en-US"/>
        </w:rPr>
        <w:t xml:space="preserve">Restructuring </w:t>
      </w:r>
      <w:r w:rsidRPr="00943DFA">
        <w:rPr>
          <w:color w:val="0D0D0D" w:themeColor="text1" w:themeTint="F2"/>
        </w:rPr>
        <w:t xml:space="preserve">is an indicator variable reflecting whether IPO firms engage in restructuring activities or not. This variable equals 1 if the firm has non-zero restructuring costs on a pre-tax basis in year t-1, and 0 otherwise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 A. Cassell et al., 2013; Heese et al., 2017)","manualFormatting":"(Cassell et al., 2013; Heese et al., 2017)","plainTextFormattedCitation":"(C. A. Cassell et al., 2013; Heese et al., 2017)","previouslyFormattedCitation":"(C. A. Cassell et al., 2013; Heese et al., 2017)"},"properties":{"noteIndex":0},"schema":"https://github.com/citation-style-language/schema/raw/master/csl-citation.json"}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(Cassell et al., 2013; Heese et al., 2017)</w:t>
      </w:r>
      <w:r w:rsidRPr="00943DFA">
        <w:rPr>
          <w:color w:val="0D0D0D" w:themeColor="text1" w:themeTint="F2"/>
        </w:rPr>
        <w:fldChar w:fldCharType="end"/>
      </w:r>
      <w:r w:rsidRPr="00943DFA">
        <w:rPr>
          <w:color w:val="0D0D0D" w:themeColor="text1" w:themeTint="F2"/>
        </w:rPr>
        <w:t xml:space="preserve">. Similarly, </w:t>
      </w:r>
      <w:r w:rsidRPr="00943DFA">
        <w:rPr>
          <w:i/>
          <w:color w:val="0D0D0D" w:themeColor="text1" w:themeTint="F2"/>
        </w:rPr>
        <w:t>M&amp;A</w:t>
      </w:r>
      <w:r w:rsidRPr="00943DFA">
        <w:rPr>
          <w:color w:val="0D0D0D" w:themeColor="text1" w:themeTint="F2"/>
        </w:rPr>
        <w:t xml:space="preserve"> is an indicator variable reflecting whether IPO firms engage in merger and acquisition activities or not. This variable equals 1 if the firm has non-zero M&amp;A costs on a pre-tax basis in year t-1, and 0 otherwise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 A. Cassell et al., 2013; Heese et al., 2017)","manualFormatting":"(Cassell et al., 2013; Heese et al., 2017)","plainTextFormattedCitation":"(C. A. Cassell et al., 2013; Heese et al., 2017)","previouslyFormattedCitation":"(C. A. Cassell et al., 2013; Heese et al., 2017)"},"properties":{"noteIndex":0},"schema":"https://github.com/citation-style-language/schema/raw/master/csl-citation.json"}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(Cassell et al., 2013; Heese et al., 2017)</w:t>
      </w:r>
      <w:r w:rsidRPr="00943DFA">
        <w:rPr>
          <w:color w:val="0D0D0D" w:themeColor="text1" w:themeTint="F2"/>
        </w:rPr>
        <w:fldChar w:fldCharType="end"/>
      </w:r>
      <w:r w:rsidRPr="00943DFA">
        <w:rPr>
          <w:color w:val="0D0D0D" w:themeColor="text1" w:themeTint="F2"/>
        </w:rPr>
        <w:t xml:space="preserve">. It is expected that SEC review attributes are positively related to </w:t>
      </w:r>
      <w:r w:rsidRPr="00943DFA">
        <w:rPr>
          <w:i/>
          <w:color w:val="0D0D0D" w:themeColor="text1" w:themeTint="F2"/>
        </w:rPr>
        <w:t xml:space="preserve">Sales growth, Segments, Restructuring, </w:t>
      </w:r>
      <w:r w:rsidRPr="00943DFA">
        <w:rPr>
          <w:color w:val="0D0D0D" w:themeColor="text1" w:themeTint="F2"/>
        </w:rPr>
        <w:t xml:space="preserve">and </w:t>
      </w:r>
      <w:r w:rsidRPr="00943DFA">
        <w:rPr>
          <w:i/>
          <w:color w:val="0D0D0D" w:themeColor="text1" w:themeTint="F2"/>
        </w:rPr>
        <w:t>M&amp;A.</w:t>
      </w:r>
    </w:p>
    <w:p w14:paraId="31285803" w14:textId="77777777" w:rsidR="00195130" w:rsidRPr="00943DFA" w:rsidRDefault="00195130" w:rsidP="00195130">
      <w:pPr>
        <w:pStyle w:val="ListParagraph"/>
        <w:spacing w:before="240" w:after="240" w:line="360" w:lineRule="auto"/>
        <w:ind w:left="0"/>
        <w:contextualSpacing w:val="0"/>
        <w:jc w:val="both"/>
        <w:rPr>
          <w:color w:val="0D0D0D" w:themeColor="text1" w:themeTint="F2"/>
        </w:rPr>
      </w:pPr>
      <w:r w:rsidRPr="00943DFA">
        <w:rPr>
          <w:color w:val="0D0D0D" w:themeColor="text1" w:themeTint="F2"/>
        </w:rPr>
        <w:t xml:space="preserve">Regarding financial health, this study calculates </w:t>
      </w:r>
      <w:r w:rsidRPr="00943DFA">
        <w:rPr>
          <w:i/>
          <w:color w:val="0D0D0D" w:themeColor="text1" w:themeTint="F2"/>
        </w:rPr>
        <w:t xml:space="preserve">Leverage, </w:t>
      </w:r>
      <w:r w:rsidRPr="00943DFA">
        <w:rPr>
          <w:color w:val="0D0D0D" w:themeColor="text1" w:themeTint="F2"/>
        </w:rPr>
        <w:t>which is an indicator of the IPO firm’s debt level, as the ratio of total liabilities to total equity in year t-1 (</w:t>
      </w:r>
      <w:proofErr w:type="spellStart"/>
      <w:r w:rsidRPr="00943DFA">
        <w:rPr>
          <w:color w:val="0D0D0D" w:themeColor="text1" w:themeTint="F2"/>
        </w:rPr>
        <w:t>Duro</w:t>
      </w:r>
      <w:proofErr w:type="spellEnd"/>
      <w:r w:rsidRPr="00943DFA">
        <w:rPr>
          <w:color w:val="0D0D0D" w:themeColor="text1" w:themeTint="F2"/>
        </w:rPr>
        <w:t xml:space="preserve"> et al., 2017). </w:t>
      </w:r>
      <w:proofErr w:type="spellStart"/>
      <w:r w:rsidRPr="00943DFA">
        <w:rPr>
          <w:i/>
          <w:color w:val="0D0D0D" w:themeColor="text1" w:themeTint="F2"/>
        </w:rPr>
        <w:t>Zscore</w:t>
      </w:r>
      <w:proofErr w:type="spellEnd"/>
      <w:r w:rsidRPr="00943DFA">
        <w:rPr>
          <w:color w:val="0D0D0D" w:themeColor="text1" w:themeTint="F2"/>
        </w:rPr>
        <w:t xml:space="preserve">, which is an indicator of the firm’s financial distress, is measured by employing the modified Z-score model for private companies developed by </w:t>
      </w:r>
      <w:r w:rsidRPr="00943DFA">
        <w:rPr>
          <w:color w:val="0D0D0D" w:themeColor="text1" w:themeTint="F2"/>
        </w:rPr>
        <w:fldChar w:fldCharType="begin" w:fldLock="1"/>
      </w:r>
      <w:r w:rsidRPr="00943DFA">
        <w:rPr>
          <w:color w:val="0D0D0D" w:themeColor="text1" w:themeTint="F2"/>
        </w:rPr>
        <w:instrText>ADDIN CSL_CITATION {"citationItems":[{"id":"ITEM-1","itemData":{"DOI":"10.4337/9780857936097.00027","abstract":"Predicting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approach.","author":[{"dropping-particle":"","family":"Altman","given":"E. I.","non-dropping-particle":"","parse-names":false,"suffix":""}],"container-title":"Handbook of Research Methods and Applications in Empirical Finance","id":"ITEM-1","issued":{"date-parts":[["2013"]]},"number-of-pages":"428-456","publisher":"Edward Elgar Publishing","publisher-place":"Cheltenham, UK","title":"Predicting financial distress of companies: revisiting the Z-Score and ZETA models","type":"book"},"uris":["http://www.mendeley.com/documents/?uuid=acd4aa21-6857-442f-b889-ea4eba0dd1af"]}],"mendeley":{"formattedCitation":"(Altman, 2013)","manualFormatting":"Altman (2013)","plainTextFormattedCitation":"(Altman, 2013)","previouslyFormattedCitation":"(Altman, 2013)"},"properties":{"noteIndex":0},"schema":"https://github.com/citation-style-language/schema/raw/master/csl-citation.json"}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Altman (2013)</w:t>
      </w:r>
      <w:r w:rsidRPr="00943DFA">
        <w:rPr>
          <w:color w:val="0D0D0D" w:themeColor="text1" w:themeTint="F2"/>
        </w:rPr>
        <w:fldChar w:fldCharType="end"/>
      </w:r>
      <w:r w:rsidRPr="00943DFA">
        <w:rPr>
          <w:color w:val="0D0D0D" w:themeColor="text1" w:themeTint="F2"/>
        </w:rPr>
        <w:t xml:space="preserve"> as follows</w:t>
      </w:r>
    </w:p>
    <w:p w14:paraId="73C5491F" w14:textId="77777777" w:rsidR="00195130" w:rsidRPr="00943DFA" w:rsidRDefault="000406B8" w:rsidP="00195130">
      <w:pPr>
        <w:pStyle w:val="ListParagraph"/>
        <w:spacing w:before="240" w:after="240" w:line="360" w:lineRule="auto"/>
        <w:ind w:left="0" w:firstLine="720"/>
        <w:contextualSpacing w:val="0"/>
        <w:jc w:val="both"/>
        <w:rPr>
          <w:color w:val="0D0D0D" w:themeColor="text1" w:themeTint="F2"/>
        </w:rPr>
      </w:pPr>
      <m:oMath>
        <m:sSub>
          <m:sSubPr>
            <m:ctrlPr>
              <w:rPr>
                <w:rFonts w:ascii="Cambria Math" w:hAnsi="Cambria Math"/>
                <w:i/>
                <w:color w:val="0D0D0D" w:themeColor="text1" w:themeTint="F2"/>
              </w:rPr>
            </m:ctrlPr>
          </m:sSubPr>
          <m:e>
            <m:r>
              <m:rPr>
                <m:nor/>
              </m:rPr>
              <w:rPr>
                <w:color w:val="0D0D0D" w:themeColor="text1" w:themeTint="F2"/>
              </w:rPr>
              <m:t>Zscore</m:t>
            </m:r>
          </m:e>
          <m:sub>
            <m:r>
              <m:rPr>
                <m:nor/>
              </m:rPr>
              <w:rPr>
                <w:color w:val="0D0D0D" w:themeColor="text1" w:themeTint="F2"/>
              </w:rPr>
              <m:t>i,t</m:t>
            </m:r>
          </m:sub>
        </m:sSub>
        <m:r>
          <m:rPr>
            <m:nor/>
          </m:rPr>
          <w:rPr>
            <w:color w:val="0D0D0D" w:themeColor="text1" w:themeTint="F2"/>
          </w:rPr>
          <m:t>=3.25</m:t>
        </m:r>
        <m:r>
          <m:rPr>
            <m:nor/>
          </m:rPr>
          <w:rPr>
            <w:rFonts w:ascii="Cambria Math"/>
            <w:color w:val="0D0D0D" w:themeColor="text1" w:themeTint="F2"/>
          </w:rPr>
          <m:t xml:space="preserve"> </m:t>
        </m:r>
        <m:r>
          <m:rPr>
            <m:nor/>
          </m:rPr>
          <w:rPr>
            <w:color w:val="0D0D0D" w:themeColor="text1" w:themeTint="F2"/>
          </w:rPr>
          <m:t>+</m:t>
        </m:r>
        <m:r>
          <m:rPr>
            <m:nor/>
          </m:rPr>
          <w:rPr>
            <w:rFonts w:ascii="Cambria Math"/>
            <w:color w:val="0D0D0D" w:themeColor="text1" w:themeTint="F2"/>
          </w:rPr>
          <m:t xml:space="preserve"> </m:t>
        </m:r>
        <m:r>
          <m:rPr>
            <m:nor/>
          </m:rPr>
          <w:rPr>
            <w:color w:val="0D0D0D" w:themeColor="text1" w:themeTint="F2"/>
          </w:rPr>
          <m:t>6.56</m:t>
        </m:r>
        <m:f>
          <m:fPr>
            <m:ctrlPr>
              <w:rPr>
                <w:rFonts w:ascii="Cambria Math" w:hAnsi="Cambria Math"/>
                <w:i/>
                <w:color w:val="0D0D0D" w:themeColor="text1" w:themeTint="F2"/>
              </w:rPr>
            </m:ctrlPr>
          </m:fPr>
          <m:num>
            <m:d>
              <m:dPr>
                <m:ctrlPr>
                  <w:rPr>
                    <w:rFonts w:ascii="Cambria Math" w:hAnsi="Cambria Math"/>
                    <w:i/>
                    <w:color w:val="0D0D0D" w:themeColor="text1" w:themeTint="F2"/>
                  </w:rPr>
                </m:ctrlPr>
              </m:dPr>
              <m:e>
                <m:sSub>
                  <m:sSubPr>
                    <m:ctrlPr>
                      <w:rPr>
                        <w:rFonts w:ascii="Cambria Math" w:hAnsi="Cambria Math"/>
                        <w:i/>
                        <w:color w:val="0D0D0D" w:themeColor="text1" w:themeTint="F2"/>
                      </w:rPr>
                    </m:ctrlPr>
                  </m:sSubPr>
                  <m:e>
                    <m:r>
                      <m:rPr>
                        <m:nor/>
                      </m:rPr>
                      <w:rPr>
                        <w:color w:val="0D0D0D" w:themeColor="text1" w:themeTint="F2"/>
                      </w:rPr>
                      <m:t>ACT</m:t>
                    </m:r>
                  </m:e>
                  <m:sub>
                    <m:r>
                      <m:rPr>
                        <m:nor/>
                      </m:rPr>
                      <w:rPr>
                        <w:color w:val="0D0D0D" w:themeColor="text1" w:themeTint="F2"/>
                      </w:rPr>
                      <m:t>i,t-1</m:t>
                    </m:r>
                  </m:sub>
                </m:sSub>
                <m:r>
                  <m:rPr>
                    <m:nor/>
                  </m:rPr>
                  <w:rPr>
                    <w:color w:val="0D0D0D" w:themeColor="text1" w:themeTint="F2"/>
                  </w:rPr>
                  <m:t>-</m:t>
                </m:r>
                <m:sSub>
                  <m:sSubPr>
                    <m:ctrlPr>
                      <w:rPr>
                        <w:rFonts w:ascii="Cambria Math" w:hAnsi="Cambria Math"/>
                        <w:i/>
                        <w:color w:val="0D0D0D" w:themeColor="text1" w:themeTint="F2"/>
                      </w:rPr>
                    </m:ctrlPr>
                  </m:sSubPr>
                  <m:e>
                    <m:r>
                      <m:rPr>
                        <m:nor/>
                      </m:rPr>
                      <w:rPr>
                        <w:color w:val="0D0D0D" w:themeColor="text1" w:themeTint="F2"/>
                      </w:rPr>
                      <m:t>LCT</m:t>
                    </m:r>
                  </m:e>
                  <m:sub>
                    <m:r>
                      <m:rPr>
                        <m:nor/>
                      </m:rPr>
                      <w:rPr>
                        <w:color w:val="0D0D0D" w:themeColor="text1" w:themeTint="F2"/>
                      </w:rPr>
                      <m:t>i,t-1</m:t>
                    </m:r>
                  </m:sub>
                </m:sSub>
              </m:e>
            </m:d>
          </m:num>
          <m:den>
            <m:sSub>
              <m:sSubPr>
                <m:ctrlPr>
                  <w:rPr>
                    <w:rFonts w:ascii="Cambria Math" w:hAnsi="Cambria Math"/>
                    <w:i/>
                    <w:color w:val="0D0D0D" w:themeColor="text1" w:themeTint="F2"/>
                  </w:rPr>
                </m:ctrlPr>
              </m:sSubPr>
              <m:e>
                <m:r>
                  <m:rPr>
                    <m:nor/>
                  </m:rPr>
                  <w:rPr>
                    <w:color w:val="0D0D0D" w:themeColor="text1" w:themeTint="F2"/>
                  </w:rPr>
                  <m:t>AT</m:t>
                </m:r>
              </m:e>
              <m:sub>
                <m:r>
                  <m:rPr>
                    <m:nor/>
                  </m:rPr>
                  <w:rPr>
                    <w:color w:val="0D0D0D" w:themeColor="text1" w:themeTint="F2"/>
                  </w:rPr>
                  <m:t>i,t-1</m:t>
                </m:r>
              </m:sub>
            </m:sSub>
          </m:den>
        </m:f>
        <m:r>
          <m:rPr>
            <m:nor/>
          </m:rPr>
          <w:rPr>
            <w:color w:val="0D0D0D" w:themeColor="text1" w:themeTint="F2"/>
          </w:rPr>
          <m:t>+</m:t>
        </m:r>
        <m:r>
          <m:rPr>
            <m:nor/>
          </m:rPr>
          <w:rPr>
            <w:rFonts w:ascii="Cambria Math"/>
            <w:color w:val="0D0D0D" w:themeColor="text1" w:themeTint="F2"/>
          </w:rPr>
          <m:t xml:space="preserve"> </m:t>
        </m:r>
        <m:r>
          <m:rPr>
            <m:nor/>
          </m:rPr>
          <w:rPr>
            <w:color w:val="0D0D0D" w:themeColor="text1" w:themeTint="F2"/>
          </w:rPr>
          <m:t>3.56</m:t>
        </m:r>
        <m:f>
          <m:fPr>
            <m:ctrlPr>
              <w:rPr>
                <w:rFonts w:ascii="Cambria Math" w:hAnsi="Cambria Math"/>
                <w:i/>
                <w:color w:val="0D0D0D" w:themeColor="text1" w:themeTint="F2"/>
              </w:rPr>
            </m:ctrlPr>
          </m:fPr>
          <m:num>
            <m:sSub>
              <m:sSubPr>
                <m:ctrlPr>
                  <w:rPr>
                    <w:rFonts w:ascii="Cambria Math" w:hAnsi="Cambria Math"/>
                    <w:i/>
                    <w:color w:val="0D0D0D" w:themeColor="text1" w:themeTint="F2"/>
                  </w:rPr>
                </m:ctrlPr>
              </m:sSubPr>
              <m:e>
                <m:r>
                  <m:rPr>
                    <m:nor/>
                  </m:rPr>
                  <w:rPr>
                    <w:color w:val="0D0D0D" w:themeColor="text1" w:themeTint="F2"/>
                  </w:rPr>
                  <m:t>RE</m:t>
                </m:r>
              </m:e>
              <m:sub>
                <m:r>
                  <m:rPr>
                    <m:nor/>
                  </m:rPr>
                  <w:rPr>
                    <w:color w:val="0D0D0D" w:themeColor="text1" w:themeTint="F2"/>
                  </w:rPr>
                  <m:t>i,t-1</m:t>
                </m:r>
              </m:sub>
            </m:sSub>
          </m:num>
          <m:den>
            <m:sSub>
              <m:sSubPr>
                <m:ctrlPr>
                  <w:rPr>
                    <w:rFonts w:ascii="Cambria Math" w:hAnsi="Cambria Math"/>
                    <w:i/>
                    <w:color w:val="0D0D0D" w:themeColor="text1" w:themeTint="F2"/>
                  </w:rPr>
                </m:ctrlPr>
              </m:sSubPr>
              <m:e>
                <m:r>
                  <m:rPr>
                    <m:nor/>
                  </m:rPr>
                  <w:rPr>
                    <w:color w:val="0D0D0D" w:themeColor="text1" w:themeTint="F2"/>
                  </w:rPr>
                  <m:t>AT</m:t>
                </m:r>
              </m:e>
              <m:sub>
                <m:r>
                  <m:rPr>
                    <m:nor/>
                  </m:rPr>
                  <w:rPr>
                    <w:color w:val="0D0D0D" w:themeColor="text1" w:themeTint="F2"/>
                  </w:rPr>
                  <m:t>i,t-1</m:t>
                </m:r>
              </m:sub>
            </m:sSub>
          </m:den>
        </m:f>
        <m:r>
          <m:rPr>
            <m:nor/>
          </m:rPr>
          <w:rPr>
            <w:rFonts w:ascii="Cambria Math"/>
            <w:color w:val="0D0D0D" w:themeColor="text1" w:themeTint="F2"/>
          </w:rPr>
          <m:t xml:space="preserve"> </m:t>
        </m:r>
        <m:r>
          <m:rPr>
            <m:nor/>
          </m:rPr>
          <w:rPr>
            <w:color w:val="0D0D0D" w:themeColor="text1" w:themeTint="F2"/>
          </w:rPr>
          <m:t>+</m:t>
        </m:r>
        <m:r>
          <m:rPr>
            <m:nor/>
          </m:rPr>
          <w:rPr>
            <w:rFonts w:ascii="Cambria Math"/>
            <w:color w:val="0D0D0D" w:themeColor="text1" w:themeTint="F2"/>
          </w:rPr>
          <m:t xml:space="preserve"> </m:t>
        </m:r>
        <m:r>
          <m:rPr>
            <m:nor/>
          </m:rPr>
          <w:rPr>
            <w:color w:val="0D0D0D" w:themeColor="text1" w:themeTint="F2"/>
          </w:rPr>
          <m:t>6.72</m:t>
        </m:r>
        <m:f>
          <m:fPr>
            <m:ctrlPr>
              <w:rPr>
                <w:rFonts w:ascii="Cambria Math" w:hAnsi="Cambria Math"/>
                <w:i/>
                <w:color w:val="0D0D0D" w:themeColor="text1" w:themeTint="F2"/>
              </w:rPr>
            </m:ctrlPr>
          </m:fPr>
          <m:num>
            <m:sSub>
              <m:sSubPr>
                <m:ctrlPr>
                  <w:rPr>
                    <w:rFonts w:ascii="Cambria Math" w:hAnsi="Cambria Math"/>
                    <w:i/>
                    <w:color w:val="0D0D0D" w:themeColor="text1" w:themeTint="F2"/>
                  </w:rPr>
                </m:ctrlPr>
              </m:sSubPr>
              <m:e>
                <m:r>
                  <m:rPr>
                    <m:nor/>
                  </m:rPr>
                  <w:rPr>
                    <w:color w:val="0D0D0D" w:themeColor="text1" w:themeTint="F2"/>
                  </w:rPr>
                  <m:t>EBIT</m:t>
                </m:r>
              </m:e>
              <m:sub>
                <m:r>
                  <m:rPr>
                    <m:nor/>
                  </m:rPr>
                  <w:rPr>
                    <w:color w:val="0D0D0D" w:themeColor="text1" w:themeTint="F2"/>
                  </w:rPr>
                  <m:t>i,t-1</m:t>
                </m:r>
              </m:sub>
            </m:sSub>
          </m:num>
          <m:den>
            <m:sSub>
              <m:sSubPr>
                <m:ctrlPr>
                  <w:rPr>
                    <w:rFonts w:ascii="Cambria Math" w:hAnsi="Cambria Math"/>
                    <w:i/>
                    <w:color w:val="0D0D0D" w:themeColor="text1" w:themeTint="F2"/>
                  </w:rPr>
                </m:ctrlPr>
              </m:sSubPr>
              <m:e>
                <m:r>
                  <m:rPr>
                    <m:nor/>
                  </m:rPr>
                  <w:rPr>
                    <w:color w:val="0D0D0D" w:themeColor="text1" w:themeTint="F2"/>
                  </w:rPr>
                  <m:t>AT</m:t>
                </m:r>
              </m:e>
              <m:sub>
                <m:r>
                  <m:rPr>
                    <m:nor/>
                  </m:rPr>
                  <w:rPr>
                    <w:color w:val="0D0D0D" w:themeColor="text1" w:themeTint="F2"/>
                  </w:rPr>
                  <m:t>i,t-1</m:t>
                </m:r>
              </m:sub>
            </m:sSub>
          </m:den>
        </m:f>
        <m:r>
          <m:rPr>
            <m:nor/>
          </m:rPr>
          <w:rPr>
            <w:rFonts w:ascii="Cambria Math"/>
            <w:color w:val="0D0D0D" w:themeColor="text1" w:themeTint="F2"/>
          </w:rPr>
          <m:t xml:space="preserve"> </m:t>
        </m:r>
        <m:r>
          <m:rPr>
            <m:nor/>
          </m:rPr>
          <w:rPr>
            <w:color w:val="0D0D0D" w:themeColor="text1" w:themeTint="F2"/>
          </w:rPr>
          <m:t>+</m:t>
        </m:r>
        <m:r>
          <m:rPr>
            <m:nor/>
          </m:rPr>
          <w:rPr>
            <w:rFonts w:ascii="Cambria Math"/>
            <w:color w:val="0D0D0D" w:themeColor="text1" w:themeTint="F2"/>
          </w:rPr>
          <m:t xml:space="preserve"> </m:t>
        </m:r>
        <m:r>
          <m:rPr>
            <m:nor/>
          </m:rPr>
          <w:rPr>
            <w:color w:val="0D0D0D" w:themeColor="text1" w:themeTint="F2"/>
          </w:rPr>
          <m:t>1.05</m:t>
        </m:r>
        <m:f>
          <m:fPr>
            <m:ctrlPr>
              <w:rPr>
                <w:rFonts w:ascii="Cambria Math" w:hAnsi="Cambria Math"/>
                <w:i/>
                <w:color w:val="0D0D0D" w:themeColor="text1" w:themeTint="F2"/>
              </w:rPr>
            </m:ctrlPr>
          </m:fPr>
          <m:num>
            <m:sSub>
              <m:sSubPr>
                <m:ctrlPr>
                  <w:rPr>
                    <w:rFonts w:ascii="Cambria Math" w:hAnsi="Cambria Math"/>
                    <w:i/>
                    <w:color w:val="0D0D0D" w:themeColor="text1" w:themeTint="F2"/>
                  </w:rPr>
                </m:ctrlPr>
              </m:sSubPr>
              <m:e>
                <m:r>
                  <m:rPr>
                    <m:nor/>
                  </m:rPr>
                  <w:rPr>
                    <w:color w:val="0D0D0D" w:themeColor="text1" w:themeTint="F2"/>
                  </w:rPr>
                  <m:t>CEQ</m:t>
                </m:r>
              </m:e>
              <m:sub>
                <m:r>
                  <m:rPr>
                    <m:nor/>
                  </m:rPr>
                  <w:rPr>
                    <w:color w:val="0D0D0D" w:themeColor="text1" w:themeTint="F2"/>
                  </w:rPr>
                  <m:t>i, t-1</m:t>
                </m:r>
              </m:sub>
            </m:sSub>
          </m:num>
          <m:den>
            <m:sSub>
              <m:sSubPr>
                <m:ctrlPr>
                  <w:rPr>
                    <w:rFonts w:ascii="Cambria Math" w:hAnsi="Cambria Math"/>
                    <w:i/>
                    <w:color w:val="0D0D0D" w:themeColor="text1" w:themeTint="F2"/>
                  </w:rPr>
                </m:ctrlPr>
              </m:sSubPr>
              <m:e>
                <m:r>
                  <m:rPr>
                    <m:nor/>
                  </m:rPr>
                  <w:rPr>
                    <w:color w:val="0D0D0D" w:themeColor="text1" w:themeTint="F2"/>
                  </w:rPr>
                  <m:t>LT</m:t>
                </m:r>
              </m:e>
              <m:sub>
                <m:r>
                  <m:rPr>
                    <m:nor/>
                  </m:rPr>
                  <w:rPr>
                    <w:color w:val="0D0D0D" w:themeColor="text1" w:themeTint="F2"/>
                  </w:rPr>
                  <m:t>i,t-1</m:t>
                </m:r>
              </m:sub>
            </m:sSub>
          </m:den>
        </m:f>
        <m:r>
          <m:rPr>
            <m:nor/>
          </m:rPr>
          <w:rPr>
            <w:color w:val="0D0D0D" w:themeColor="text1" w:themeTint="F2"/>
          </w:rPr>
          <m:t xml:space="preserve"> </m:t>
        </m:r>
        <m:r>
          <m:rPr>
            <m:nor/>
          </m:rPr>
          <w:rPr>
            <w:color w:val="0D0D0D" w:themeColor="text1" w:themeTint="F2"/>
          </w:rPr>
          <m:t xml:space="preserve">          </m:t>
        </m:r>
        <m:d>
          <m:dPr>
            <m:ctrlPr>
              <w:rPr>
                <w:rFonts w:ascii="Cambria Math" w:hAnsi="Cambria Math"/>
                <w:i/>
                <w:color w:val="0D0D0D" w:themeColor="text1" w:themeTint="F2"/>
              </w:rPr>
            </m:ctrlPr>
          </m:dPr>
          <m:e>
            <m:r>
              <m:rPr>
                <m:nor/>
              </m:rPr>
              <w:rPr>
                <w:color w:val="0D0D0D" w:themeColor="text1" w:themeTint="F2"/>
              </w:rPr>
              <m:t>3.2</m:t>
            </m:r>
          </m:e>
        </m:d>
      </m:oMath>
      <w:r w:rsidR="00195130" w:rsidRPr="00943DFA">
        <w:rPr>
          <w:color w:val="0D0D0D" w:themeColor="text1" w:themeTint="F2"/>
        </w:rPr>
        <w:t xml:space="preserve"> </w:t>
      </w:r>
    </w:p>
    <w:p w14:paraId="729328E3" w14:textId="77777777" w:rsidR="00195130" w:rsidRPr="00943DFA" w:rsidRDefault="00195130" w:rsidP="00195130">
      <w:pPr>
        <w:pStyle w:val="ListParagraph"/>
        <w:spacing w:before="240" w:after="240" w:line="360" w:lineRule="auto"/>
        <w:ind w:left="0"/>
        <w:contextualSpacing w:val="0"/>
        <w:jc w:val="both"/>
        <w:rPr>
          <w:color w:val="0D0D0D" w:themeColor="text1" w:themeTint="F2"/>
        </w:rPr>
      </w:pPr>
      <w:r w:rsidRPr="00943DFA">
        <w:rPr>
          <w:color w:val="0D0D0D" w:themeColor="text1" w:themeTint="F2"/>
        </w:rPr>
        <w:t xml:space="preserve">where: </w:t>
      </w:r>
      <m:oMath>
        <m:sSub>
          <m:sSubPr>
            <m:ctrlPr>
              <w:rPr>
                <w:rFonts w:ascii="Cambria Math" w:hAnsi="Cambria Math"/>
                <w:i/>
                <w:color w:val="0D0D0D" w:themeColor="text1" w:themeTint="F2"/>
              </w:rPr>
            </m:ctrlPr>
          </m:sSubPr>
          <m:e>
            <m:r>
              <w:rPr>
                <w:rFonts w:ascii="Cambria Math" w:hAnsi="Cambria Math"/>
                <w:color w:val="0D0D0D" w:themeColor="text1" w:themeTint="F2"/>
              </w:rPr>
              <m:t>ACT</m:t>
            </m:r>
          </m:e>
          <m:sub>
            <m:r>
              <w:rPr>
                <w:rFonts w:ascii="Cambria Math" w:hAnsi="Cambria Math"/>
                <w:color w:val="0D0D0D" w:themeColor="text1" w:themeTint="F2"/>
              </w:rPr>
              <m:t>i,t-1</m:t>
            </m:r>
          </m:sub>
        </m:sSub>
      </m:oMath>
      <w:r w:rsidRPr="00943DFA">
        <w:rPr>
          <w:rFonts w:eastAsiaTheme="minorEastAsia"/>
          <w:color w:val="0D0D0D" w:themeColor="text1" w:themeTint="F2"/>
        </w:rPr>
        <w:t xml:space="preserve"> is current assets of firm i in year t-1 ; </w:t>
      </w:r>
      <m:oMath>
        <m:sSub>
          <m:sSubPr>
            <m:ctrlPr>
              <w:rPr>
                <w:rFonts w:ascii="Cambria Math" w:hAnsi="Cambria Math"/>
                <w:i/>
                <w:color w:val="0D0D0D" w:themeColor="text1" w:themeTint="F2"/>
              </w:rPr>
            </m:ctrlPr>
          </m:sSubPr>
          <m:e>
            <m:r>
              <w:rPr>
                <w:rFonts w:ascii="Cambria Math" w:hAnsi="Cambria Math"/>
                <w:color w:val="0D0D0D" w:themeColor="text1" w:themeTint="F2"/>
              </w:rPr>
              <m:t>LCT</m:t>
            </m:r>
          </m:e>
          <m:sub>
            <m:r>
              <w:rPr>
                <w:rFonts w:ascii="Cambria Math" w:hAnsi="Cambria Math"/>
                <w:color w:val="0D0D0D" w:themeColor="text1" w:themeTint="F2"/>
              </w:rPr>
              <m:t>i,t-1</m:t>
            </m:r>
          </m:sub>
        </m:sSub>
      </m:oMath>
      <w:r w:rsidRPr="00943DFA">
        <w:rPr>
          <w:rFonts w:eastAsiaTheme="minorEastAsia"/>
          <w:color w:val="0D0D0D" w:themeColor="text1" w:themeTint="F2"/>
        </w:rPr>
        <w:t xml:space="preserve"> is current liabilities of firm i in year t-1; </w:t>
      </w:r>
      <m:oMath>
        <m:sSub>
          <m:sSubPr>
            <m:ctrlPr>
              <w:rPr>
                <w:rFonts w:ascii="Cambria Math" w:hAnsi="Cambria Math"/>
                <w:i/>
                <w:color w:val="0D0D0D" w:themeColor="text1" w:themeTint="F2"/>
              </w:rPr>
            </m:ctrlPr>
          </m:sSubPr>
          <m:e>
            <m:r>
              <w:rPr>
                <w:rFonts w:ascii="Cambria Math" w:hAnsi="Cambria Math"/>
                <w:color w:val="0D0D0D" w:themeColor="text1" w:themeTint="F2"/>
              </w:rPr>
              <m:t>RE</m:t>
            </m:r>
          </m:e>
          <m:sub>
            <m:r>
              <w:rPr>
                <w:rFonts w:ascii="Cambria Math" w:hAnsi="Cambria Math"/>
                <w:color w:val="0D0D0D" w:themeColor="text1" w:themeTint="F2"/>
              </w:rPr>
              <m:t>i,t-1</m:t>
            </m:r>
          </m:sub>
        </m:sSub>
        <m:r>
          <w:rPr>
            <w:rFonts w:ascii="Cambria Math" w:hAnsi="Cambria Math"/>
            <w:color w:val="0D0D0D" w:themeColor="text1" w:themeTint="F2"/>
          </w:rPr>
          <m:t xml:space="preserve"> </m:t>
        </m:r>
      </m:oMath>
      <w:r w:rsidRPr="00943DFA">
        <w:rPr>
          <w:rFonts w:eastAsiaTheme="minorEastAsia"/>
          <w:color w:val="0D0D0D" w:themeColor="text1" w:themeTint="F2"/>
        </w:rPr>
        <w:t xml:space="preserve">is retained earnings of firm i in year t-1; </w:t>
      </w:r>
      <m:oMath>
        <m:sSub>
          <m:sSubPr>
            <m:ctrlPr>
              <w:rPr>
                <w:rFonts w:ascii="Cambria Math" w:hAnsi="Cambria Math"/>
                <w:i/>
                <w:color w:val="0D0D0D" w:themeColor="text1" w:themeTint="F2"/>
              </w:rPr>
            </m:ctrlPr>
          </m:sSubPr>
          <m:e>
            <m:r>
              <w:rPr>
                <w:rFonts w:ascii="Cambria Math" w:hAnsi="Cambria Math"/>
                <w:color w:val="0D0D0D" w:themeColor="text1" w:themeTint="F2"/>
              </w:rPr>
              <m:t>EBIT</m:t>
            </m:r>
          </m:e>
          <m:sub>
            <m:r>
              <w:rPr>
                <w:rFonts w:ascii="Cambria Math" w:hAnsi="Cambria Math"/>
                <w:color w:val="0D0D0D" w:themeColor="text1" w:themeTint="F2"/>
              </w:rPr>
              <m:t>i,t-1</m:t>
            </m:r>
          </m:sub>
        </m:sSub>
      </m:oMath>
      <w:r w:rsidRPr="00943DFA">
        <w:rPr>
          <w:rFonts w:eastAsiaTheme="minorEastAsia"/>
          <w:color w:val="0D0D0D" w:themeColor="text1" w:themeTint="F2"/>
        </w:rPr>
        <w:t xml:space="preserve"> is earning before interest and tax of firm i in year t-1; </w:t>
      </w:r>
      <m:oMath>
        <m:sSub>
          <m:sSubPr>
            <m:ctrlPr>
              <w:rPr>
                <w:rFonts w:ascii="Cambria Math" w:hAnsi="Cambria Math"/>
                <w:i/>
                <w:color w:val="0D0D0D" w:themeColor="text1" w:themeTint="F2"/>
              </w:rPr>
            </m:ctrlPr>
          </m:sSubPr>
          <m:e>
            <m:r>
              <w:rPr>
                <w:rFonts w:ascii="Cambria Math" w:hAnsi="Cambria Math"/>
                <w:color w:val="0D0D0D" w:themeColor="text1" w:themeTint="F2"/>
              </w:rPr>
              <m:t>CEQ</m:t>
            </m:r>
          </m:e>
          <m:sub>
            <m:r>
              <w:rPr>
                <w:rFonts w:ascii="Cambria Math" w:hAnsi="Cambria Math"/>
                <w:color w:val="0D0D0D" w:themeColor="text1" w:themeTint="F2"/>
              </w:rPr>
              <m:t>i, t-1</m:t>
            </m:r>
          </m:sub>
        </m:sSub>
      </m:oMath>
      <w:r w:rsidRPr="00943DFA">
        <w:rPr>
          <w:rFonts w:eastAsiaTheme="minorEastAsia"/>
          <w:color w:val="0D0D0D" w:themeColor="text1" w:themeTint="F2"/>
        </w:rPr>
        <w:t xml:space="preserve"> is book value of equity of firm </w:t>
      </w:r>
      <w:proofErr w:type="spellStart"/>
      <w:r w:rsidRPr="00943DFA">
        <w:rPr>
          <w:rFonts w:eastAsiaTheme="minorEastAsia"/>
          <w:color w:val="0D0D0D" w:themeColor="text1" w:themeTint="F2"/>
        </w:rPr>
        <w:t>i</w:t>
      </w:r>
      <w:proofErr w:type="spellEnd"/>
      <w:r w:rsidRPr="00943DFA">
        <w:rPr>
          <w:rFonts w:eastAsiaTheme="minorEastAsia"/>
          <w:color w:val="0D0D0D" w:themeColor="text1" w:themeTint="F2"/>
        </w:rPr>
        <w:t xml:space="preserve"> in year t-1; </w:t>
      </w:r>
      <m:oMath>
        <m:sSub>
          <m:sSubPr>
            <m:ctrlPr>
              <w:rPr>
                <w:rFonts w:ascii="Cambria Math" w:hAnsi="Cambria Math"/>
                <w:i/>
                <w:color w:val="0D0D0D" w:themeColor="text1" w:themeTint="F2"/>
              </w:rPr>
            </m:ctrlPr>
          </m:sSubPr>
          <m:e>
            <m:r>
              <w:rPr>
                <w:rFonts w:ascii="Cambria Math" w:hAnsi="Cambria Math"/>
                <w:color w:val="0D0D0D" w:themeColor="text1" w:themeTint="F2"/>
              </w:rPr>
              <m:t>AT</m:t>
            </m:r>
          </m:e>
          <m:sub>
            <m:r>
              <w:rPr>
                <w:rFonts w:ascii="Cambria Math" w:hAnsi="Cambria Math"/>
                <w:color w:val="0D0D0D" w:themeColor="text1" w:themeTint="F2"/>
              </w:rPr>
              <m:t>i,t-1</m:t>
            </m:r>
          </m:sub>
        </m:sSub>
      </m:oMath>
      <w:r w:rsidRPr="00943DFA">
        <w:rPr>
          <w:rFonts w:eastAsiaTheme="minorEastAsia"/>
          <w:color w:val="0D0D0D" w:themeColor="text1" w:themeTint="F2"/>
        </w:rPr>
        <w:t xml:space="preserve"> is total assets of firm </w:t>
      </w:r>
      <w:proofErr w:type="spellStart"/>
      <w:r w:rsidRPr="00943DFA">
        <w:rPr>
          <w:rFonts w:eastAsiaTheme="minorEastAsia"/>
          <w:color w:val="0D0D0D" w:themeColor="text1" w:themeTint="F2"/>
        </w:rPr>
        <w:t>i</w:t>
      </w:r>
      <w:proofErr w:type="spellEnd"/>
      <w:r w:rsidRPr="00943DFA">
        <w:rPr>
          <w:rFonts w:eastAsiaTheme="minorEastAsia"/>
          <w:color w:val="0D0D0D" w:themeColor="text1" w:themeTint="F2"/>
        </w:rPr>
        <w:t xml:space="preserve"> in year t-1 and </w:t>
      </w:r>
      <m:oMath>
        <m:sSub>
          <m:sSubPr>
            <m:ctrlPr>
              <w:rPr>
                <w:rFonts w:ascii="Cambria Math" w:hAnsi="Cambria Math"/>
                <w:i/>
                <w:color w:val="0D0D0D" w:themeColor="text1" w:themeTint="F2"/>
              </w:rPr>
            </m:ctrlPr>
          </m:sSubPr>
          <m:e>
            <m:r>
              <w:rPr>
                <w:rFonts w:ascii="Cambria Math" w:hAnsi="Cambria Math"/>
                <w:color w:val="0D0D0D" w:themeColor="text1" w:themeTint="F2"/>
              </w:rPr>
              <m:t>LT</m:t>
            </m:r>
          </m:e>
          <m:sub>
            <m:r>
              <w:rPr>
                <w:rFonts w:ascii="Cambria Math" w:hAnsi="Cambria Math"/>
                <w:color w:val="0D0D0D" w:themeColor="text1" w:themeTint="F2"/>
              </w:rPr>
              <m:t>i,t-1</m:t>
            </m:r>
          </m:sub>
        </m:sSub>
      </m:oMath>
      <w:r w:rsidRPr="00943DFA">
        <w:rPr>
          <w:rFonts w:eastAsiaTheme="minorEastAsia"/>
          <w:color w:val="0D0D0D" w:themeColor="text1" w:themeTint="F2"/>
        </w:rPr>
        <w:t xml:space="preserve"> is total liabilities of firm </w:t>
      </w:r>
      <w:proofErr w:type="spellStart"/>
      <w:r w:rsidRPr="00943DFA">
        <w:rPr>
          <w:rFonts w:eastAsiaTheme="minorEastAsia"/>
          <w:color w:val="0D0D0D" w:themeColor="text1" w:themeTint="F2"/>
        </w:rPr>
        <w:t>i</w:t>
      </w:r>
      <w:proofErr w:type="spellEnd"/>
      <w:r w:rsidRPr="00943DFA">
        <w:rPr>
          <w:rFonts w:eastAsiaTheme="minorEastAsia"/>
          <w:color w:val="0D0D0D" w:themeColor="text1" w:themeTint="F2"/>
        </w:rPr>
        <w:t xml:space="preserve"> in year t-1. </w:t>
      </w:r>
      <w:r w:rsidRPr="00943DFA">
        <w:rPr>
          <w:color w:val="0D0D0D" w:themeColor="text1" w:themeTint="F2"/>
        </w:rPr>
        <w:t xml:space="preserve">A Z-score of </w:t>
      </w:r>
      <w:r w:rsidRPr="00943DFA">
        <w:rPr>
          <w:color w:val="0D0D0D" w:themeColor="text1" w:themeTint="F2"/>
        </w:rPr>
        <w:lastRenderedPageBreak/>
        <w:t>higher than 5.85 indicates that the IPO firm has a low risk of bankruptcy. A score of lower than 4.35 indicates that the IPO firm is in financial distress and is likely to go into bankruptcy, while scores in between 4.35 and 5.85 indicate a very first signal for possible bankruptcy (</w:t>
      </w:r>
      <w:r w:rsidRPr="00943DFA">
        <w:rPr>
          <w:color w:val="0D0D0D" w:themeColor="text1" w:themeTint="F2"/>
        </w:rPr>
        <w:fldChar w:fldCharType="begin" w:fldLock="1"/>
      </w:r>
      <w:r w:rsidRPr="00943DFA">
        <w:rPr>
          <w:color w:val="0D0D0D" w:themeColor="text1" w:themeTint="F2"/>
        </w:rPr>
        <w:instrText>ADDIN CSL_CITATION {"citationItems":[{"id":"ITEM-1","itemData":{"DOI":"10.4337/9780857936097.00027","abstract":"Predicting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approach.","author":[{"dropping-particle":"","family":"Altman","given":"E. I.","non-dropping-particle":"","parse-names":false,"suffix":""}],"container-title":"Handbook of Research Methods and Applications in Empirical Finance","id":"ITEM-1","issued":{"date-parts":[["2013"]]},"number-of-pages":"428-456","publisher":"Edward Elgar Publishing","publisher-place":"Cheltenham, UK","title":"Predicting financial distress of companies: revisiting the Z-Score and ZETA models","type":"book"},"uris":["http://www.mendeley.com/documents/?uuid=acd4aa21-6857-442f-b889-ea4eba0dd1af"]}],"mendeley":{"formattedCitation":"(Altman, 2013)","manualFormatting":"Altman, 2013)","plainTextFormattedCitation":"(Altman, 2013)","previouslyFormattedCitation":"(Altman, 2013)"},"properties":{"noteIndex":0},"schema":"https://github.com/citation-style-language/schema/raw/master/csl-citation.json"}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Altman, 2013)</w:t>
      </w:r>
      <w:r w:rsidRPr="00943DFA">
        <w:rPr>
          <w:color w:val="0D0D0D" w:themeColor="text1" w:themeTint="F2"/>
        </w:rPr>
        <w:fldChar w:fldCharType="end"/>
      </w:r>
      <w:r w:rsidRPr="00943DFA">
        <w:rPr>
          <w:color w:val="0D0D0D" w:themeColor="text1" w:themeTint="F2"/>
        </w:rPr>
        <w:t xml:space="preserve">. </w:t>
      </w:r>
      <w:r w:rsidRPr="00943DFA">
        <w:rPr>
          <w:i/>
          <w:color w:val="0D0D0D" w:themeColor="text1" w:themeTint="F2"/>
        </w:rPr>
        <w:t xml:space="preserve">Positive earnings, </w:t>
      </w:r>
      <w:r w:rsidRPr="00943DFA">
        <w:rPr>
          <w:color w:val="0D0D0D" w:themeColor="text1" w:themeTint="F2"/>
        </w:rPr>
        <w:t xml:space="preserve">which is an indicator of IPO firms’ profitability, is measured as an indicator variable which equals to 1 if the firm has net income in year t-1 equal to or higher than zero (Hesse et al., 2017), and 0 otherwise. This thesis calculates </w:t>
      </w:r>
      <w:r w:rsidRPr="00943DFA">
        <w:rPr>
          <w:i/>
          <w:color w:val="0D0D0D" w:themeColor="text1" w:themeTint="F2"/>
        </w:rPr>
        <w:t>External financing</w:t>
      </w:r>
      <w:r w:rsidRPr="00943DFA">
        <w:rPr>
          <w:color w:val="0D0D0D" w:themeColor="text1" w:themeTint="F2"/>
        </w:rPr>
        <w:t>, which is an indicator of IPO firm’s funding activities via new borrowing and stock issue, by using the following equation:</w:t>
      </w:r>
    </w:p>
    <w:p w14:paraId="12948BC5" w14:textId="77777777" w:rsidR="00195130" w:rsidRPr="00943DFA" w:rsidRDefault="000406B8" w:rsidP="00195130">
      <w:pPr>
        <w:pStyle w:val="ListParagraph"/>
        <w:spacing w:before="240" w:after="240" w:line="360" w:lineRule="auto"/>
        <w:ind w:left="0"/>
        <w:contextualSpacing w:val="0"/>
        <w:jc w:val="both"/>
        <w:rPr>
          <w:rFonts w:eastAsiaTheme="minorEastAsia"/>
          <w:color w:val="0D0D0D" w:themeColor="text1" w:themeTint="F2"/>
          <w:sz w:val="20"/>
          <w:szCs w:val="20"/>
        </w:rPr>
      </w:pPr>
      <m:oMath>
        <m:sSub>
          <m:sSubPr>
            <m:ctrlPr>
              <w:rPr>
                <w:rFonts w:ascii="Cambria Math" w:hAnsi="Cambria Math"/>
                <w:i/>
                <w:color w:val="0D0D0D" w:themeColor="text1" w:themeTint="F2"/>
                <w:sz w:val="22"/>
                <w:szCs w:val="20"/>
              </w:rPr>
            </m:ctrlPr>
          </m:sSubPr>
          <m:e>
            <m:r>
              <m:rPr>
                <m:nor/>
              </m:rPr>
              <w:rPr>
                <w:color w:val="0D0D0D" w:themeColor="text1" w:themeTint="F2"/>
                <w:sz w:val="22"/>
                <w:szCs w:val="20"/>
              </w:rPr>
              <m:t>Ext</m:t>
            </m:r>
            <m:r>
              <m:rPr>
                <m:nor/>
              </m:rPr>
              <w:rPr>
                <w:rFonts w:ascii="Cambria Math"/>
                <w:color w:val="0D0D0D" w:themeColor="text1" w:themeTint="F2"/>
                <w:sz w:val="22"/>
                <w:szCs w:val="20"/>
              </w:rPr>
              <m:t xml:space="preserve">ernal </m:t>
            </m:r>
            <m:r>
              <m:rPr>
                <m:nor/>
              </m:rPr>
              <w:rPr>
                <w:color w:val="0D0D0D" w:themeColor="text1" w:themeTint="F2"/>
                <w:sz w:val="22"/>
                <w:szCs w:val="20"/>
              </w:rPr>
              <m:t>financing</m:t>
            </m:r>
          </m:e>
          <m:sub>
            <m:r>
              <m:rPr>
                <m:nor/>
              </m:rPr>
              <w:rPr>
                <w:color w:val="0D0D0D" w:themeColor="text1" w:themeTint="F2"/>
                <w:sz w:val="22"/>
                <w:szCs w:val="20"/>
              </w:rPr>
              <m:t>i,t-1</m:t>
            </m:r>
          </m:sub>
        </m:sSub>
        <m:r>
          <m:rPr>
            <m:nor/>
          </m:rPr>
          <w:rPr>
            <w:color w:val="0D0D0D" w:themeColor="text1" w:themeTint="F2"/>
            <w:sz w:val="22"/>
            <w:szCs w:val="20"/>
          </w:rPr>
          <m:t>=</m:t>
        </m:r>
        <m:d>
          <m:dPr>
            <m:ctrlPr>
              <w:rPr>
                <w:rFonts w:ascii="Cambria Math" w:hAnsi="Cambria Math"/>
                <w:i/>
                <w:color w:val="0D0D0D" w:themeColor="text1" w:themeTint="F2"/>
                <w:sz w:val="22"/>
                <w:szCs w:val="20"/>
              </w:rPr>
            </m:ctrlPr>
          </m:dPr>
          <m:e>
            <m:sSub>
              <m:sSubPr>
                <m:ctrlPr>
                  <w:rPr>
                    <w:rFonts w:ascii="Cambria Math" w:hAnsi="Cambria Math"/>
                    <w:i/>
                    <w:color w:val="0D0D0D" w:themeColor="text1" w:themeTint="F2"/>
                    <w:sz w:val="22"/>
                    <w:szCs w:val="20"/>
                  </w:rPr>
                </m:ctrlPr>
              </m:sSubPr>
              <m:e>
                <m:r>
                  <m:rPr>
                    <m:nor/>
                  </m:rPr>
                  <w:rPr>
                    <w:color w:val="0D0D0D" w:themeColor="text1" w:themeTint="F2"/>
                    <w:sz w:val="22"/>
                    <w:szCs w:val="20"/>
                  </w:rPr>
                  <m:t>SSTK</m:t>
                </m:r>
              </m:e>
              <m:sub>
                <m:r>
                  <m:rPr>
                    <m:nor/>
                  </m:rPr>
                  <w:rPr>
                    <w:color w:val="0D0D0D" w:themeColor="text1" w:themeTint="F2"/>
                    <w:sz w:val="22"/>
                    <w:szCs w:val="20"/>
                  </w:rPr>
                  <m:t>i, t-1</m:t>
                </m:r>
              </m:sub>
            </m:sSub>
            <m:r>
              <w:rPr>
                <w:rFonts w:ascii="Cambria Math" w:hAnsi="Cambria Math"/>
                <w:color w:val="0D0D0D" w:themeColor="text1" w:themeTint="F2"/>
                <w:sz w:val="22"/>
                <w:szCs w:val="20"/>
              </w:rPr>
              <m:t xml:space="preserve"> </m:t>
            </m:r>
            <m:r>
              <m:rPr>
                <m:nor/>
              </m:rPr>
              <w:rPr>
                <w:color w:val="0D0D0D" w:themeColor="text1" w:themeTint="F2"/>
                <w:sz w:val="22"/>
                <w:szCs w:val="20"/>
              </w:rPr>
              <m:t>-</m:t>
            </m:r>
            <m:r>
              <m:rPr>
                <m:nor/>
              </m:rPr>
              <w:rPr>
                <w:rFonts w:ascii="Cambria Math"/>
                <w:color w:val="0D0D0D" w:themeColor="text1" w:themeTint="F2"/>
                <w:sz w:val="22"/>
                <w:szCs w:val="20"/>
              </w:rPr>
              <m:t xml:space="preserve"> </m:t>
            </m:r>
            <m:sSub>
              <m:sSubPr>
                <m:ctrlPr>
                  <w:rPr>
                    <w:rFonts w:ascii="Cambria Math" w:hAnsi="Cambria Math"/>
                    <w:i/>
                    <w:color w:val="0D0D0D" w:themeColor="text1" w:themeTint="F2"/>
                    <w:sz w:val="22"/>
                    <w:szCs w:val="20"/>
                  </w:rPr>
                </m:ctrlPr>
              </m:sSubPr>
              <m:e>
                <m:r>
                  <m:rPr>
                    <m:nor/>
                  </m:rPr>
                  <w:rPr>
                    <w:color w:val="0D0D0D" w:themeColor="text1" w:themeTint="F2"/>
                    <w:sz w:val="22"/>
                    <w:szCs w:val="20"/>
                  </w:rPr>
                  <m:t>PRSTKC</m:t>
                </m:r>
              </m:e>
              <m:sub>
                <m:r>
                  <m:rPr>
                    <m:nor/>
                  </m:rPr>
                  <w:rPr>
                    <w:color w:val="0D0D0D" w:themeColor="text1" w:themeTint="F2"/>
                    <w:sz w:val="22"/>
                    <w:szCs w:val="20"/>
                  </w:rPr>
                  <m:t>i, t-1</m:t>
                </m:r>
                <m:r>
                  <m:rPr>
                    <m:nor/>
                  </m:rPr>
                  <w:rPr>
                    <w:rFonts w:ascii="Cambria Math"/>
                    <w:color w:val="0D0D0D" w:themeColor="text1" w:themeTint="F2"/>
                    <w:sz w:val="22"/>
                    <w:szCs w:val="20"/>
                  </w:rPr>
                  <m:t xml:space="preserve"> </m:t>
                </m:r>
              </m:sub>
            </m:sSub>
            <m:r>
              <m:rPr>
                <m:nor/>
              </m:rPr>
              <w:rPr>
                <w:color w:val="0D0D0D" w:themeColor="text1" w:themeTint="F2"/>
                <w:sz w:val="22"/>
                <w:szCs w:val="20"/>
              </w:rPr>
              <m:t>-</m:t>
            </m:r>
            <m:sSub>
              <m:sSubPr>
                <m:ctrlPr>
                  <w:rPr>
                    <w:rFonts w:ascii="Cambria Math" w:hAnsi="Cambria Math"/>
                    <w:i/>
                    <w:color w:val="0D0D0D" w:themeColor="text1" w:themeTint="F2"/>
                    <w:sz w:val="22"/>
                    <w:szCs w:val="20"/>
                  </w:rPr>
                </m:ctrlPr>
              </m:sSubPr>
              <m:e>
                <m:r>
                  <m:rPr>
                    <m:nor/>
                  </m:rPr>
                  <w:rPr>
                    <w:rFonts w:ascii="Cambria Math"/>
                    <w:color w:val="0D0D0D" w:themeColor="text1" w:themeTint="F2"/>
                    <w:sz w:val="22"/>
                    <w:szCs w:val="20"/>
                  </w:rPr>
                  <m:t xml:space="preserve"> </m:t>
                </m:r>
                <m:r>
                  <m:rPr>
                    <m:nor/>
                  </m:rPr>
                  <w:rPr>
                    <w:color w:val="0D0D0D" w:themeColor="text1" w:themeTint="F2"/>
                    <w:sz w:val="22"/>
                    <w:szCs w:val="20"/>
                  </w:rPr>
                  <m:t>DV</m:t>
                </m:r>
              </m:e>
              <m:sub>
                <m:r>
                  <m:rPr>
                    <m:nor/>
                  </m:rPr>
                  <w:rPr>
                    <w:color w:val="0D0D0D" w:themeColor="text1" w:themeTint="F2"/>
                    <w:sz w:val="22"/>
                    <w:szCs w:val="20"/>
                  </w:rPr>
                  <m:t>i, t-1</m:t>
                </m:r>
              </m:sub>
            </m:sSub>
          </m:e>
        </m:d>
        <m:r>
          <m:rPr>
            <m:nor/>
          </m:rPr>
          <w:rPr>
            <w:rFonts w:ascii="Cambria Math"/>
            <w:color w:val="0D0D0D" w:themeColor="text1" w:themeTint="F2"/>
            <w:sz w:val="22"/>
            <w:szCs w:val="20"/>
          </w:rPr>
          <m:t xml:space="preserve"> </m:t>
        </m:r>
        <m:r>
          <m:rPr>
            <m:nor/>
          </m:rPr>
          <w:rPr>
            <w:color w:val="0D0D0D" w:themeColor="text1" w:themeTint="F2"/>
            <w:sz w:val="22"/>
            <w:szCs w:val="20"/>
          </w:rPr>
          <m:t>+</m:t>
        </m:r>
        <m:r>
          <m:rPr>
            <m:nor/>
          </m:rPr>
          <w:rPr>
            <w:rFonts w:ascii="Cambria Math"/>
            <w:color w:val="0D0D0D" w:themeColor="text1" w:themeTint="F2"/>
            <w:sz w:val="22"/>
            <w:szCs w:val="20"/>
          </w:rPr>
          <m:t xml:space="preserve"> </m:t>
        </m:r>
        <m:d>
          <m:dPr>
            <m:ctrlPr>
              <w:rPr>
                <w:rFonts w:ascii="Cambria Math" w:hAnsi="Cambria Math"/>
                <w:i/>
                <w:color w:val="0D0D0D" w:themeColor="text1" w:themeTint="F2"/>
                <w:sz w:val="22"/>
                <w:szCs w:val="20"/>
              </w:rPr>
            </m:ctrlPr>
          </m:dPr>
          <m:e>
            <m:sSub>
              <m:sSubPr>
                <m:ctrlPr>
                  <w:rPr>
                    <w:rFonts w:ascii="Cambria Math" w:hAnsi="Cambria Math"/>
                    <w:i/>
                    <w:color w:val="0D0D0D" w:themeColor="text1" w:themeTint="F2"/>
                    <w:sz w:val="22"/>
                    <w:szCs w:val="20"/>
                  </w:rPr>
                </m:ctrlPr>
              </m:sSubPr>
              <m:e>
                <m:r>
                  <m:rPr>
                    <m:nor/>
                  </m:rPr>
                  <w:rPr>
                    <w:color w:val="0D0D0D" w:themeColor="text1" w:themeTint="F2"/>
                    <w:sz w:val="22"/>
                    <w:szCs w:val="20"/>
                  </w:rPr>
                  <m:t>DLTIS</m:t>
                </m:r>
              </m:e>
              <m:sub>
                <m:r>
                  <m:rPr>
                    <m:nor/>
                  </m:rPr>
                  <w:rPr>
                    <w:color w:val="0D0D0D" w:themeColor="text1" w:themeTint="F2"/>
                    <w:sz w:val="22"/>
                    <w:szCs w:val="20"/>
                  </w:rPr>
                  <m:t>i, t-1</m:t>
                </m:r>
              </m:sub>
            </m:sSub>
            <m:r>
              <w:rPr>
                <w:rFonts w:ascii="Cambria Math" w:hAnsi="Cambria Math"/>
                <w:color w:val="0D0D0D" w:themeColor="text1" w:themeTint="F2"/>
                <w:sz w:val="22"/>
                <w:szCs w:val="20"/>
              </w:rPr>
              <m:t xml:space="preserve"> </m:t>
            </m:r>
            <m:r>
              <m:rPr>
                <m:nor/>
              </m:rPr>
              <w:rPr>
                <w:color w:val="0D0D0D" w:themeColor="text1" w:themeTint="F2"/>
                <w:sz w:val="22"/>
                <w:szCs w:val="20"/>
              </w:rPr>
              <m:t>-</m:t>
            </m:r>
            <m:r>
              <m:rPr>
                <m:nor/>
              </m:rPr>
              <w:rPr>
                <w:rFonts w:ascii="Cambria Math"/>
                <w:color w:val="0D0D0D" w:themeColor="text1" w:themeTint="F2"/>
                <w:sz w:val="22"/>
                <w:szCs w:val="20"/>
              </w:rPr>
              <m:t xml:space="preserve"> </m:t>
            </m:r>
            <m:sSub>
              <m:sSubPr>
                <m:ctrlPr>
                  <w:rPr>
                    <w:rFonts w:ascii="Cambria Math" w:hAnsi="Cambria Math"/>
                    <w:i/>
                    <w:color w:val="0D0D0D" w:themeColor="text1" w:themeTint="F2"/>
                    <w:sz w:val="22"/>
                    <w:szCs w:val="20"/>
                  </w:rPr>
                </m:ctrlPr>
              </m:sSubPr>
              <m:e>
                <m:r>
                  <m:rPr>
                    <m:nor/>
                  </m:rPr>
                  <w:rPr>
                    <w:color w:val="0D0D0D" w:themeColor="text1" w:themeTint="F2"/>
                    <w:sz w:val="22"/>
                    <w:szCs w:val="20"/>
                  </w:rPr>
                  <m:t>DLTR</m:t>
                </m:r>
              </m:e>
              <m:sub>
                <m:r>
                  <m:rPr>
                    <m:nor/>
                  </m:rPr>
                  <w:rPr>
                    <w:color w:val="0D0D0D" w:themeColor="text1" w:themeTint="F2"/>
                    <w:sz w:val="22"/>
                    <w:szCs w:val="20"/>
                  </w:rPr>
                  <m:t>i,t-1</m:t>
                </m:r>
                <m:r>
                  <m:rPr>
                    <m:nor/>
                  </m:rPr>
                  <w:rPr>
                    <w:rFonts w:ascii="Cambria Math"/>
                    <w:color w:val="0D0D0D" w:themeColor="text1" w:themeTint="F2"/>
                    <w:sz w:val="22"/>
                    <w:szCs w:val="20"/>
                  </w:rPr>
                  <m:t xml:space="preserve"> </m:t>
                </m:r>
              </m:sub>
            </m:sSub>
            <m:r>
              <m:rPr>
                <m:nor/>
              </m:rPr>
              <w:rPr>
                <w:color w:val="0D0D0D" w:themeColor="text1" w:themeTint="F2"/>
                <w:sz w:val="22"/>
                <w:szCs w:val="20"/>
              </w:rPr>
              <m:t>-</m:t>
            </m:r>
            <m:r>
              <m:rPr>
                <m:nor/>
              </m:rPr>
              <w:rPr>
                <w:rFonts w:ascii="Cambria Math"/>
                <w:color w:val="0D0D0D" w:themeColor="text1" w:themeTint="F2"/>
                <w:sz w:val="22"/>
                <w:szCs w:val="20"/>
              </w:rPr>
              <m:t xml:space="preserve"> </m:t>
            </m:r>
            <m:sSub>
              <m:sSubPr>
                <m:ctrlPr>
                  <w:rPr>
                    <w:rFonts w:ascii="Cambria Math" w:hAnsi="Cambria Math"/>
                    <w:i/>
                    <w:color w:val="0D0D0D" w:themeColor="text1" w:themeTint="F2"/>
                    <w:sz w:val="22"/>
                    <w:szCs w:val="20"/>
                  </w:rPr>
                </m:ctrlPr>
              </m:sSubPr>
              <m:e>
                <m:r>
                  <m:rPr>
                    <m:nor/>
                  </m:rPr>
                  <w:rPr>
                    <w:color w:val="0D0D0D" w:themeColor="text1" w:themeTint="F2"/>
                    <w:sz w:val="22"/>
                    <w:szCs w:val="20"/>
                  </w:rPr>
                  <m:t>DLCCH</m:t>
                </m:r>
              </m:e>
              <m:sub>
                <m:r>
                  <m:rPr>
                    <m:nor/>
                  </m:rPr>
                  <w:rPr>
                    <w:color w:val="0D0D0D" w:themeColor="text1" w:themeTint="F2"/>
                    <w:sz w:val="22"/>
                    <w:szCs w:val="20"/>
                  </w:rPr>
                  <m:t>i,t-1</m:t>
                </m:r>
              </m:sub>
            </m:sSub>
          </m:e>
        </m:d>
        <m:r>
          <m:rPr>
            <m:nor/>
          </m:rPr>
          <w:rPr>
            <w:color w:val="0D0D0D" w:themeColor="text1" w:themeTint="F2"/>
            <w:sz w:val="22"/>
            <w:szCs w:val="20"/>
          </w:rPr>
          <m:t>(3.3)</m:t>
        </m:r>
      </m:oMath>
      <w:r w:rsidR="00195130" w:rsidRPr="00943DFA">
        <w:rPr>
          <w:rFonts w:eastAsiaTheme="minorEastAsia"/>
          <w:color w:val="0D0D0D" w:themeColor="text1" w:themeTint="F2"/>
          <w:sz w:val="20"/>
          <w:szCs w:val="20"/>
        </w:rPr>
        <w:t xml:space="preserve"> </w:t>
      </w:r>
    </w:p>
    <w:p w14:paraId="67C2CF6B" w14:textId="77777777" w:rsidR="00195130" w:rsidRPr="00943DFA" w:rsidRDefault="00195130" w:rsidP="00195130">
      <w:pPr>
        <w:pStyle w:val="ListParagraph"/>
        <w:spacing w:before="240" w:after="240" w:line="360" w:lineRule="auto"/>
        <w:ind w:left="0"/>
        <w:contextualSpacing w:val="0"/>
        <w:jc w:val="both"/>
        <w:rPr>
          <w:rFonts w:eastAsiaTheme="minorEastAsia"/>
          <w:color w:val="0D0D0D" w:themeColor="text1" w:themeTint="F2"/>
        </w:rPr>
      </w:pPr>
      <w:r w:rsidRPr="00943DFA">
        <w:rPr>
          <w:rFonts w:eastAsiaTheme="minorEastAsia"/>
          <w:color w:val="0D0D0D" w:themeColor="text1" w:themeTint="F2"/>
        </w:rPr>
        <w:t xml:space="preserve">where: </w:t>
      </w: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SSTK</m:t>
            </m:r>
          </m:e>
          <m:sub>
            <m:r>
              <m:rPr>
                <m:sty m:val="p"/>
              </m:rPr>
              <w:rPr>
                <w:rFonts w:ascii="Cambria Math" w:hAnsi="Cambria Math"/>
                <w:color w:val="0D0D0D" w:themeColor="text1" w:themeTint="F2"/>
              </w:rPr>
              <m:t>i, t-1</m:t>
            </m:r>
          </m:sub>
        </m:sSub>
      </m:oMath>
      <w:r w:rsidRPr="00943DFA">
        <w:rPr>
          <w:rFonts w:eastAsiaTheme="minorEastAsia"/>
          <w:color w:val="0D0D0D" w:themeColor="text1" w:themeTint="F2"/>
        </w:rPr>
        <w:t xml:space="preserve"> is sales of common and preferred stock of firm i in year t-1, </w:t>
      </w: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PRSTKC</m:t>
            </m:r>
          </m:e>
          <m:sub>
            <m:r>
              <m:rPr>
                <m:sty m:val="p"/>
              </m:rPr>
              <w:rPr>
                <w:rFonts w:ascii="Cambria Math" w:hAnsi="Cambria Math"/>
                <w:color w:val="0D0D0D" w:themeColor="text1" w:themeTint="F2"/>
              </w:rPr>
              <m:t>i, t-1</m:t>
            </m:r>
          </m:sub>
        </m:sSub>
      </m:oMath>
      <w:r w:rsidRPr="00943DFA">
        <w:rPr>
          <w:rFonts w:eastAsiaTheme="minorEastAsia"/>
          <w:color w:val="0D0D0D" w:themeColor="text1" w:themeTint="F2"/>
        </w:rPr>
        <w:t xml:space="preserve"> is purchases of common and preferred stock of firm i in year t-1; </w:t>
      </w: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DV</m:t>
            </m:r>
          </m:e>
          <m:sub>
            <m:r>
              <m:rPr>
                <m:sty m:val="p"/>
              </m:rPr>
              <w:rPr>
                <w:rFonts w:ascii="Cambria Math" w:hAnsi="Cambria Math"/>
                <w:color w:val="0D0D0D" w:themeColor="text1" w:themeTint="F2"/>
              </w:rPr>
              <m:t xml:space="preserve">i, t-1 </m:t>
            </m:r>
          </m:sub>
        </m:sSub>
      </m:oMath>
      <w:r w:rsidRPr="00943DFA">
        <w:rPr>
          <w:rFonts w:eastAsiaTheme="minorEastAsia"/>
          <w:color w:val="0D0D0D" w:themeColor="text1" w:themeTint="F2"/>
        </w:rPr>
        <w:t xml:space="preserve">is dividend made by firm i in year t; </w:t>
      </w: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DLTIS</m:t>
            </m:r>
          </m:e>
          <m:sub>
            <m:r>
              <m:rPr>
                <m:sty m:val="p"/>
              </m:rPr>
              <w:rPr>
                <w:rFonts w:ascii="Cambria Math" w:hAnsi="Cambria Math"/>
                <w:color w:val="0D0D0D" w:themeColor="text1" w:themeTint="F2"/>
              </w:rPr>
              <m:t>i, t-1</m:t>
            </m:r>
          </m:sub>
        </m:sSub>
      </m:oMath>
      <w:r w:rsidRPr="00943DFA">
        <w:rPr>
          <w:rFonts w:eastAsiaTheme="minorEastAsia"/>
          <w:color w:val="0D0D0D" w:themeColor="text1" w:themeTint="F2"/>
        </w:rPr>
        <w:t xml:space="preserve"> is long-term debt issued by firm </w:t>
      </w:r>
      <w:proofErr w:type="spellStart"/>
      <w:r w:rsidRPr="00943DFA">
        <w:rPr>
          <w:rFonts w:eastAsiaTheme="minorEastAsia"/>
          <w:color w:val="0D0D0D" w:themeColor="text1" w:themeTint="F2"/>
        </w:rPr>
        <w:t>i</w:t>
      </w:r>
      <w:proofErr w:type="spellEnd"/>
      <w:r w:rsidRPr="00943DFA">
        <w:rPr>
          <w:rFonts w:eastAsiaTheme="minorEastAsia"/>
          <w:color w:val="0D0D0D" w:themeColor="text1" w:themeTint="F2"/>
        </w:rPr>
        <w:t xml:space="preserve"> in year t-1,  </w:t>
      </w: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DLTR</m:t>
            </m:r>
          </m:e>
          <m:sub>
            <m:r>
              <m:rPr>
                <m:sty m:val="p"/>
              </m:rPr>
              <w:rPr>
                <w:rFonts w:ascii="Cambria Math" w:hAnsi="Cambria Math"/>
                <w:color w:val="0D0D0D" w:themeColor="text1" w:themeTint="F2"/>
              </w:rPr>
              <m:t>i,t-1</m:t>
            </m:r>
          </m:sub>
        </m:sSub>
      </m:oMath>
      <w:r w:rsidRPr="00943DFA">
        <w:rPr>
          <w:rFonts w:eastAsiaTheme="minorEastAsia"/>
          <w:color w:val="0D0D0D" w:themeColor="text1" w:themeTint="F2"/>
        </w:rPr>
        <w:t xml:space="preserve"> is long-term debt reduction of firm </w:t>
      </w:r>
      <w:proofErr w:type="spellStart"/>
      <w:r w:rsidRPr="00943DFA">
        <w:rPr>
          <w:rFonts w:eastAsiaTheme="minorEastAsia"/>
          <w:color w:val="0D0D0D" w:themeColor="text1" w:themeTint="F2"/>
        </w:rPr>
        <w:t>i</w:t>
      </w:r>
      <w:proofErr w:type="spellEnd"/>
      <w:r w:rsidRPr="00943DFA">
        <w:rPr>
          <w:rFonts w:eastAsiaTheme="minorEastAsia"/>
          <w:color w:val="0D0D0D" w:themeColor="text1" w:themeTint="F2"/>
        </w:rPr>
        <w:t xml:space="preserve"> in year t-1 and </w:t>
      </w:r>
      <m:oMath>
        <m:sSub>
          <m:sSubPr>
            <m:ctrlPr>
              <w:rPr>
                <w:rFonts w:ascii="Cambria Math" w:hAnsi="Cambria Math"/>
                <w:iCs/>
                <w:color w:val="0D0D0D" w:themeColor="text1" w:themeTint="F2"/>
              </w:rPr>
            </m:ctrlPr>
          </m:sSubPr>
          <m:e>
            <m:r>
              <m:rPr>
                <m:sty m:val="p"/>
              </m:rPr>
              <w:rPr>
                <w:rFonts w:ascii="Cambria Math" w:hAnsi="Cambria Math"/>
                <w:color w:val="0D0D0D" w:themeColor="text1" w:themeTint="F2"/>
              </w:rPr>
              <m:t>DLCCH</m:t>
            </m:r>
          </m:e>
          <m:sub>
            <m:r>
              <m:rPr>
                <m:sty m:val="p"/>
              </m:rPr>
              <w:rPr>
                <w:rFonts w:ascii="Cambria Math" w:hAnsi="Cambria Math"/>
                <w:color w:val="0D0D0D" w:themeColor="text1" w:themeTint="F2"/>
              </w:rPr>
              <m:t>i,t-1</m:t>
            </m:r>
          </m:sub>
        </m:sSub>
      </m:oMath>
      <w:r w:rsidRPr="00943DFA">
        <w:rPr>
          <w:rFonts w:eastAsiaTheme="minorEastAsia"/>
          <w:color w:val="0D0D0D" w:themeColor="text1" w:themeTint="F2"/>
        </w:rPr>
        <w:t xml:space="preserve"> is change in current debt of firm i in year t-1. It is expected that SEC review attributes are positively related to </w:t>
      </w:r>
      <w:r w:rsidRPr="00943DFA">
        <w:rPr>
          <w:rFonts w:eastAsiaTheme="minorEastAsia"/>
          <w:i/>
          <w:color w:val="0D0D0D" w:themeColor="text1" w:themeTint="F2"/>
        </w:rPr>
        <w:t xml:space="preserve">Leverage, Positive earnings </w:t>
      </w:r>
      <w:r w:rsidRPr="00943DFA">
        <w:rPr>
          <w:rFonts w:eastAsiaTheme="minorEastAsia"/>
          <w:color w:val="0D0D0D" w:themeColor="text1" w:themeTint="F2"/>
        </w:rPr>
        <w:t xml:space="preserve">but negatively associated with </w:t>
      </w:r>
      <w:proofErr w:type="spellStart"/>
      <w:r w:rsidRPr="00943DFA">
        <w:rPr>
          <w:rFonts w:eastAsiaTheme="minorEastAsia"/>
          <w:i/>
          <w:color w:val="0D0D0D" w:themeColor="text1" w:themeTint="F2"/>
        </w:rPr>
        <w:t>Zscore</w:t>
      </w:r>
      <w:proofErr w:type="spellEnd"/>
      <w:r w:rsidRPr="00943DFA">
        <w:rPr>
          <w:rFonts w:eastAsiaTheme="minorEastAsia"/>
          <w:i/>
          <w:color w:val="0D0D0D" w:themeColor="text1" w:themeTint="F2"/>
        </w:rPr>
        <w:t xml:space="preserve"> </w:t>
      </w:r>
      <w:r w:rsidRPr="00943DFA">
        <w:rPr>
          <w:rFonts w:eastAsiaTheme="minorEastAsia"/>
          <w:color w:val="0D0D0D" w:themeColor="text1" w:themeTint="F2"/>
        </w:rPr>
        <w:t xml:space="preserve">and </w:t>
      </w:r>
      <w:r w:rsidRPr="00943DFA">
        <w:rPr>
          <w:rFonts w:eastAsiaTheme="minorEastAsia"/>
          <w:i/>
          <w:color w:val="0D0D0D" w:themeColor="text1" w:themeTint="F2"/>
        </w:rPr>
        <w:t xml:space="preserve">External financing. </w:t>
      </w:r>
    </w:p>
    <w:p w14:paraId="379C2752" w14:textId="77777777" w:rsidR="00195130" w:rsidRPr="00943DFA" w:rsidRDefault="00195130" w:rsidP="00195130">
      <w:pPr>
        <w:pStyle w:val="ListParagraph"/>
        <w:spacing w:before="240" w:after="240" w:line="360" w:lineRule="auto"/>
        <w:ind w:left="0"/>
        <w:contextualSpacing w:val="0"/>
        <w:jc w:val="both"/>
        <w:rPr>
          <w:color w:val="0D0D0D" w:themeColor="text1" w:themeTint="F2"/>
        </w:rPr>
      </w:pPr>
      <w:r w:rsidRPr="00943DFA">
        <w:rPr>
          <w:color w:val="0D0D0D" w:themeColor="text1" w:themeTint="F2"/>
          <w:lang w:eastAsia="en-US"/>
        </w:rPr>
        <w:t xml:space="preserve">Regarding auditor quality, this study </w:t>
      </w:r>
      <w:r w:rsidRPr="00943DFA">
        <w:rPr>
          <w:color w:val="0D0D0D" w:themeColor="text1" w:themeTint="F2"/>
        </w:rPr>
        <w:t xml:space="preserve">measures </w:t>
      </w:r>
      <w:r w:rsidRPr="00943DFA">
        <w:rPr>
          <w:i/>
          <w:color w:val="0D0D0D" w:themeColor="text1" w:themeTint="F2"/>
        </w:rPr>
        <w:t xml:space="preserve">Big4 </w:t>
      </w:r>
      <w:r w:rsidRPr="00943DFA">
        <w:rPr>
          <w:color w:val="0D0D0D" w:themeColor="text1" w:themeTint="F2"/>
        </w:rPr>
        <w:t xml:space="preserve">as an indicator variable which equals 1 if the IPO firm is audited by Big 4 auditors, namely Ernst &amp; Young, Deloitte &amp; </w:t>
      </w:r>
      <w:proofErr w:type="spellStart"/>
      <w:r w:rsidRPr="00943DFA">
        <w:rPr>
          <w:color w:val="0D0D0D" w:themeColor="text1" w:themeTint="F2"/>
        </w:rPr>
        <w:t>Touche</w:t>
      </w:r>
      <w:proofErr w:type="spellEnd"/>
      <w:r w:rsidRPr="00943DFA">
        <w:rPr>
          <w:color w:val="0D0D0D" w:themeColor="text1" w:themeTint="F2"/>
        </w:rPr>
        <w:t xml:space="preserve">, KPMG, and PricewaterhouseCoopers (Johnston &amp; </w:t>
      </w:r>
      <w:proofErr w:type="spellStart"/>
      <w:r w:rsidRPr="00943DFA">
        <w:rPr>
          <w:color w:val="0D0D0D" w:themeColor="text1" w:themeTint="F2"/>
        </w:rPr>
        <w:t>Petacchi</w:t>
      </w:r>
      <w:proofErr w:type="spellEnd"/>
      <w:r w:rsidRPr="00943DFA">
        <w:rPr>
          <w:color w:val="0D0D0D" w:themeColor="text1" w:themeTint="F2"/>
        </w:rPr>
        <w:t xml:space="preserve">, 2017), and 0 otherwise. </w:t>
      </w:r>
      <w:r w:rsidRPr="00943DFA">
        <w:rPr>
          <w:i/>
          <w:color w:val="0D0D0D" w:themeColor="text1" w:themeTint="F2"/>
        </w:rPr>
        <w:t xml:space="preserve">Big 4 </w:t>
      </w:r>
      <w:r w:rsidRPr="00943DFA">
        <w:rPr>
          <w:color w:val="0D0D0D" w:themeColor="text1" w:themeTint="F2"/>
        </w:rPr>
        <w:t xml:space="preserve">is expected to be negatively associated with SEC review attributes. </w:t>
      </w:r>
    </w:p>
    <w:p w14:paraId="7C9D3A65" w14:textId="77777777"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Regarding corporate governance quality, </w:t>
      </w:r>
      <w:proofErr w:type="spellStart"/>
      <w:r w:rsidRPr="00943DFA">
        <w:rPr>
          <w:i/>
          <w:color w:val="0D0D0D" w:themeColor="text1" w:themeTint="F2"/>
          <w:lang w:eastAsia="en-US"/>
        </w:rPr>
        <w:t>CEOchairperson</w:t>
      </w:r>
      <w:proofErr w:type="spellEnd"/>
      <w:r w:rsidRPr="00943DFA">
        <w:rPr>
          <w:i/>
          <w:color w:val="0D0D0D" w:themeColor="text1" w:themeTint="F2"/>
          <w:lang w:eastAsia="en-US"/>
        </w:rPr>
        <w:t xml:space="preserve"> </w:t>
      </w:r>
      <w:r w:rsidRPr="00943DFA">
        <w:rPr>
          <w:color w:val="0D0D0D" w:themeColor="text1" w:themeTint="F2"/>
          <w:lang w:eastAsia="en-US"/>
        </w:rPr>
        <w:t xml:space="preserve">is measured as an indicator variable which equals 1 if the IPO firm has a CEO who is also the chairperson of the board of directors in year t-1, and 0 otherwise (Hesse et al., 2017). Because the data obtained from Thomson Reuters Eikon is used to construct the variable </w:t>
      </w:r>
      <w:proofErr w:type="spellStart"/>
      <w:r w:rsidRPr="00943DFA">
        <w:rPr>
          <w:i/>
          <w:color w:val="0D0D0D" w:themeColor="text1" w:themeTint="F2"/>
          <w:lang w:eastAsia="en-US"/>
        </w:rPr>
        <w:t>CEOchairperson</w:t>
      </w:r>
      <w:proofErr w:type="spellEnd"/>
      <w:r w:rsidRPr="00943DFA">
        <w:rPr>
          <w:i/>
          <w:color w:val="0D0D0D" w:themeColor="text1" w:themeTint="F2"/>
          <w:lang w:eastAsia="en-US"/>
        </w:rPr>
        <w:t xml:space="preserve">, </w:t>
      </w:r>
      <w:r w:rsidRPr="00943DFA">
        <w:rPr>
          <w:color w:val="0D0D0D" w:themeColor="text1" w:themeTint="F2"/>
          <w:lang w:eastAsia="en-US"/>
        </w:rPr>
        <w:t>there are</w:t>
      </w:r>
      <w:r w:rsidRPr="00943DFA">
        <w:rPr>
          <w:i/>
          <w:color w:val="0D0D0D" w:themeColor="text1" w:themeTint="F2"/>
          <w:lang w:eastAsia="en-US"/>
        </w:rPr>
        <w:t xml:space="preserve"> </w:t>
      </w:r>
      <w:r w:rsidRPr="00943DFA">
        <w:rPr>
          <w:color w:val="0D0D0D" w:themeColor="text1" w:themeTint="F2"/>
          <w:lang w:eastAsia="en-US"/>
        </w:rPr>
        <w:t xml:space="preserve">a considerable number of missing values. Therefore, this study follows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{"citationItems":[{"id":"ITEM-1","itemData":{"ISSN":"01654101","abstract":"Hanlon, Rajgopal, and Shevlin conclude that grant of stock options to executives is associated with a positive impact on future operating performance. This discussion comment examines the impact of endogeneity, model structure, and the choice of a benchmark model on this conclusion. While some results indicate that there is a position relation between stock option grants and operating performance, alternative econometric approaches produce distinctly different results. © 2003 Elsevier B.V. All rights reserved.","author":[{"dropping-particle":"","family":"Hanlon","given":"M.","non-dropping-particle":"","parse-names":false,"suffix":""},{"dropping-particle":"","family":"Rajgopal","given":"S.","non-dropping-particle":"","parse-names":false,"suffix":""},{"dropping-particle":"","family":"Shevlin","given":"T.","non-dropping-particle":"","parse-names":false,"suffix":""}],"container-title":"Journal of Accounting and Economics","id":"ITEM-1","issue":"2003","issued":{"date-parts":[["2003"]]},"page":"3-43","title":"Are executive stock options associated with future earnings?","type":"article-journal","volume":"36"},"uris":["http://www.mendeley.com/documents/?uuid=c9b56de8-e3b1-481d-863a-117d161413f7"]}],"mendeley":{"formattedCitation":"(Hanlon, Rajgopal, &amp; Shevlin, 2003)","manualFormatting":"Hanlon et al. (2003)","plainTextFormattedCitation":"(Hanlon, Rajgopal, &amp; Shevlin, 2003)","previouslyFormattedCitation":"(Hanlon, Rajgopal, &amp; Shevlin, 2003)"},"properties":{"noteIndex":0},"schema":"https://github.com/citation-style-language/schema/raw/master/csl-citation.json"}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Hanlon et al. (2003)</w:t>
      </w:r>
      <w:r w:rsidRPr="00943DFA">
        <w:rPr>
          <w:color w:val="0D0D0D" w:themeColor="text1" w:themeTint="F2"/>
          <w:lang w:eastAsia="en-US"/>
        </w:rPr>
        <w:fldChar w:fldCharType="end"/>
      </w:r>
      <w:r w:rsidRPr="00943DFA">
        <w:rPr>
          <w:color w:val="0D0D0D" w:themeColor="text1" w:themeTint="F2"/>
          <w:lang w:eastAsia="en-US"/>
        </w:rPr>
        <w:t xml:space="preserve"> and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 A. Cassell et al., 2013)","manualFormatting":"Cassell et al. (2013)","plainTextFormattedCitation":"(C. A. Cassell et al., 2013)","previouslyFormattedCitation":"(C. A. Cassell et al., 2013)"},"properties":{"noteIndex":0},"schema":"https://github.com/citation-style-language/schema/raw/master/csl-citation.json"}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Cassell et al. (2013)</w:t>
      </w:r>
      <w:r w:rsidRPr="00943DFA">
        <w:rPr>
          <w:color w:val="0D0D0D" w:themeColor="text1" w:themeTint="F2"/>
          <w:lang w:eastAsia="en-US"/>
        </w:rPr>
        <w:fldChar w:fldCharType="end"/>
      </w:r>
      <w:r w:rsidRPr="00943DFA">
        <w:rPr>
          <w:color w:val="0D0D0D" w:themeColor="text1" w:themeTint="F2"/>
          <w:lang w:eastAsia="en-US"/>
        </w:rPr>
        <w:t xml:space="preserve"> and set missing value of </w:t>
      </w:r>
      <w:proofErr w:type="spellStart"/>
      <w:r w:rsidRPr="00943DFA">
        <w:rPr>
          <w:i/>
          <w:color w:val="0D0D0D" w:themeColor="text1" w:themeTint="F2"/>
          <w:lang w:eastAsia="en-US"/>
        </w:rPr>
        <w:t>CEOchairperson</w:t>
      </w:r>
      <w:proofErr w:type="spellEnd"/>
      <w:r w:rsidRPr="00943DFA">
        <w:rPr>
          <w:i/>
          <w:color w:val="0D0D0D" w:themeColor="text1" w:themeTint="F2"/>
          <w:lang w:eastAsia="en-US"/>
        </w:rPr>
        <w:t xml:space="preserve"> </w:t>
      </w:r>
      <w:r w:rsidRPr="00943DFA">
        <w:rPr>
          <w:color w:val="0D0D0D" w:themeColor="text1" w:themeTint="F2"/>
          <w:lang w:eastAsia="en-US"/>
        </w:rPr>
        <w:t xml:space="preserve">to 0. This thesis expects that </w:t>
      </w:r>
      <w:proofErr w:type="spellStart"/>
      <w:r w:rsidRPr="00943DFA">
        <w:rPr>
          <w:i/>
          <w:color w:val="0D0D0D" w:themeColor="text1" w:themeTint="F2"/>
          <w:lang w:eastAsia="en-US"/>
        </w:rPr>
        <w:t>CEOchairperson</w:t>
      </w:r>
      <w:proofErr w:type="spellEnd"/>
      <w:r w:rsidRPr="00943DFA">
        <w:rPr>
          <w:i/>
          <w:color w:val="0D0D0D" w:themeColor="text1" w:themeTint="F2"/>
          <w:lang w:eastAsia="en-US"/>
        </w:rPr>
        <w:t xml:space="preserve"> </w:t>
      </w:r>
      <w:r w:rsidRPr="00943DFA">
        <w:rPr>
          <w:color w:val="0D0D0D" w:themeColor="text1" w:themeTint="F2"/>
          <w:lang w:eastAsia="en-US"/>
        </w:rPr>
        <w:t xml:space="preserve">is positively correlated with SEC review attributes. </w:t>
      </w:r>
    </w:p>
    <w:p w14:paraId="36D62B14" w14:textId="596E2E54" w:rsidR="00195130" w:rsidRPr="00943DFA" w:rsidRDefault="00195130" w:rsidP="00195130">
      <w:pPr>
        <w:pStyle w:val="ListParagraph"/>
        <w:numPr>
          <w:ilvl w:val="2"/>
          <w:numId w:val="38"/>
        </w:numPr>
        <w:spacing w:before="240" w:after="240" w:line="360" w:lineRule="auto"/>
        <w:contextualSpacing w:val="0"/>
        <w:jc w:val="both"/>
        <w:outlineLvl w:val="2"/>
        <w:rPr>
          <w:b/>
          <w:color w:val="0D0D0D" w:themeColor="text1" w:themeTint="F2"/>
        </w:rPr>
      </w:pPr>
      <w:bookmarkStart w:id="32" w:name="_Toc48203612"/>
      <w:bookmarkStart w:id="33" w:name="_Toc50713973"/>
      <w:bookmarkStart w:id="34" w:name="_Toc69749263"/>
      <w:r w:rsidRPr="00943DFA">
        <w:rPr>
          <w:b/>
          <w:color w:val="0D0D0D" w:themeColor="text1" w:themeTint="F2"/>
        </w:rPr>
        <w:t>Empirical tests</w:t>
      </w:r>
      <w:bookmarkEnd w:id="32"/>
      <w:bookmarkEnd w:id="33"/>
      <w:bookmarkEnd w:id="34"/>
      <w:r w:rsidRPr="00943DFA">
        <w:rPr>
          <w:b/>
          <w:color w:val="0D0D0D" w:themeColor="text1" w:themeTint="F2"/>
        </w:rPr>
        <w:t xml:space="preserve"> </w:t>
      </w:r>
    </w:p>
    <w:p w14:paraId="513F77CE" w14:textId="1FC8DFE4"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 xml:space="preserve">Negative binomial regressions are employed to examine the impact of IPO firms’ characteristics on SEC review attributes. As stated by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{"citationItems":[{"id":"ITEM-1","itemData":{"author":[{"dropping-particle":"","family":"Greene","given":"W.H.","non-dropping-particle":"","parse-names":false,"suffix":""}],"id":"ITEM-1","issued":{"date-parts":[["2012"]]},"publisher":"Pearson Education Limited","publisher-place":"Essex, UK","title":"Econometric Analysis","type":"book"},"uris":["http://www.mendeley.com/documents/?uuid=5d373da1-4490-45c5-abb0-7cff9d562e74"]}],"mendeley":{"formattedCitation":"(Greene, 2012)","manualFormatting":"Greene (2012)","plainTextFormattedCitation":"(Greene, 2012)","previouslyFormattedCitation":"(Greene, 2012)"},"properties":{"noteIndex":0},"schema":"https://github.com/citation-style-language/schema/raw/master/csl-citation.json"}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Greene (2012)</w:t>
      </w:r>
      <w:r w:rsidRPr="00943DFA">
        <w:rPr>
          <w:color w:val="0D0D0D" w:themeColor="text1" w:themeTint="F2"/>
        </w:rPr>
        <w:fldChar w:fldCharType="end"/>
      </w:r>
      <w:r w:rsidRPr="00943DFA">
        <w:rPr>
          <w:color w:val="0D0D0D" w:themeColor="text1" w:themeTint="F2"/>
        </w:rPr>
        <w:t xml:space="preserve">, a variable is discrete if the set of its values is finite or countable and these values are obtained by counting its </w:t>
      </w:r>
      <w:r w:rsidRPr="00943DFA">
        <w:rPr>
          <w:color w:val="0D0D0D" w:themeColor="text1" w:themeTint="F2"/>
        </w:rPr>
        <w:lastRenderedPageBreak/>
        <w:t xml:space="preserve">occurrence. In this study, </w:t>
      </w:r>
      <w:r w:rsidR="006E2294" w:rsidRPr="00943DFA">
        <w:rPr>
          <w:color w:val="0D0D0D" w:themeColor="text1" w:themeTint="F2"/>
        </w:rPr>
        <w:t xml:space="preserve">main dependent variable </w:t>
      </w:r>
      <w:r w:rsidRPr="00943DFA">
        <w:rPr>
          <w:i/>
          <w:color w:val="0D0D0D" w:themeColor="text1" w:themeTint="F2"/>
        </w:rPr>
        <w:t>#Themes</w:t>
      </w:r>
      <w:r w:rsidRPr="00943DFA">
        <w:rPr>
          <w:color w:val="0D0D0D" w:themeColor="text1" w:themeTint="F2"/>
        </w:rPr>
        <w:t xml:space="preserve"> </w:t>
      </w:r>
      <w:r w:rsidR="006E2294" w:rsidRPr="00943DFA">
        <w:rPr>
          <w:color w:val="0D0D0D" w:themeColor="text1" w:themeTint="F2"/>
        </w:rPr>
        <w:t>is</w:t>
      </w:r>
      <w:r w:rsidRPr="00943DFA">
        <w:rPr>
          <w:color w:val="0D0D0D" w:themeColor="text1" w:themeTint="F2"/>
        </w:rPr>
        <w:t xml:space="preserve"> discrete because </w:t>
      </w:r>
      <w:r w:rsidR="006E2294" w:rsidRPr="00943DFA">
        <w:rPr>
          <w:color w:val="0D0D0D" w:themeColor="text1" w:themeTint="F2"/>
        </w:rPr>
        <w:t>it has</w:t>
      </w:r>
      <w:r w:rsidRPr="00943DFA">
        <w:rPr>
          <w:color w:val="0D0D0D" w:themeColor="text1" w:themeTint="F2"/>
        </w:rPr>
        <w:t xml:space="preserve"> finite values obtained through the counts of </w:t>
      </w:r>
      <w:proofErr w:type="spellStart"/>
      <w:r w:rsidRPr="00943DFA">
        <w:rPr>
          <w:color w:val="0D0D0D" w:themeColor="text1" w:themeTint="F2"/>
        </w:rPr>
        <w:t>hemes</w:t>
      </w:r>
      <w:proofErr w:type="spellEnd"/>
      <w:r w:rsidRPr="00943DFA">
        <w:rPr>
          <w:color w:val="0D0D0D" w:themeColor="text1" w:themeTint="F2"/>
        </w:rPr>
        <w:t xml:space="preserve"> in each SEC comment letters. According to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Rock","given":"S.","non-dropping-particle":"","parse-names":false,"suffix":""},{"dropping-particle":"","family":"Sedo","given":"S.","non-dropping-particle":"","parse-names":false,"suffix":""},{"dropping-particle":"","family":"Willenborg","given":"M.","non-dropping-particle":"","parse-names":false,"suffix":""}],"container-title":"Journal of Accounting and Economics","id":"ITEM-1","issue":"3","issued":{"date-parts":[["2000"]]},"page":"351-373","title":"Analyst following and count-data econometrics","type":"article-journal","volume":"30"},"uris":["http://www.mendeley.com/documents/?uuid=93217e26-7207-4951-9c65-210fb370fa37"]}],"mendeley":{"formattedCitation":"(Rock, Sedo, &amp; Willenborg, 2000)","manualFormatting":"Rock et al. (2000)","plainTextFormattedCitation":"(Rock, Sedo, &amp; Willenborg, 2000)","previouslyFormattedCitation":"(Rock, Sedo, &amp; Willenborg, 2000)"},"properties":{"noteIndex":0},"schema":"https://github.com/citation-style-language/schema/raw/master/csl-citation.json"}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Rock et al. (2000)</w:t>
      </w:r>
      <w:r w:rsidRPr="00943DFA">
        <w:rPr>
          <w:color w:val="0D0D0D" w:themeColor="text1" w:themeTint="F2"/>
        </w:rPr>
        <w:fldChar w:fldCharType="end"/>
      </w:r>
      <w:r w:rsidRPr="00943DFA">
        <w:rPr>
          <w:color w:val="0D0D0D" w:themeColor="text1" w:themeTint="F2"/>
        </w:rPr>
        <w:t xml:space="preserve">, negative binomial regression outperforms other methods in estimating cross-sectional regression on discrete-count dependent variables. </w:t>
      </w:r>
      <w:r w:rsidRPr="00943DFA">
        <w:rPr>
          <w:color w:val="0D0D0D" w:themeColor="text1" w:themeTint="F2"/>
        </w:rPr>
        <w:fldChar w:fldCharType="begin" w:fldLock="1"/>
      </w:r>
      <w:r w:rsidRPr="00943DFA">
        <w:rPr>
          <w:color w:val="0D0D0D" w:themeColor="text1" w:themeTint="F2"/>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IPO process","type":"article-journal","volume":"22"},"uris":["http://www.mendeley.com/documents/?uuid=14e67220-7f18-451c-bcec-f870e9e5ce78"]},{"id":"ITEM-2","itemData":{"ISSN":"14664364","abstract":"The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uthor":[{"dropping-particle":"","family":"Schuldt","given":"M.","non-dropping-particle":"","parse-names":false,"suffix":""},{"dropping-particle":"","family":"Vega","given":"J.","non-dropping-particle":"","parse-names":false,"suffix":""}],"container-title":"Accounting Research Journal","id":"ITEM-3","issue":"1","issued":{"date-parts":[["2018"]]},"page":"90-101","title":"An examination of SEC revenue recognition comments and IPO earnings management","type":"article-journal","volume":"31"},"uris":["http://www.mendeley.com/documents/?uuid=024004f1-c419-45bf-b013-3eab73cff2fc"]}],"mendeley":{"formattedCitation":"(Colaco et al., 2017; B. Li &amp; Liu, 2017; Schuldt &amp; Vega, 2018)","manualFormatting":" Similarly, Colaco et al. (2017); Li &amp; Liu (2017) and Schuldt &amp; Vega (2018)","plainTextFormattedCitation":"(Colaco et al., 2017; B. Li &amp; Liu, 2017; Schuldt &amp; Vega, 2018)","previouslyFormattedCitation":"(Colaco et al., 2017; B. Li &amp; Liu, 2017; Schuldt &amp; Vega, 2018)"},"properties":{"noteIndex":0},"schema":"https://github.com/citation-style-language/schema/raw/master/csl-citation.json"}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 xml:space="preserve"> Likewise, Colaco et al. (2017); Li &amp; Liu (2017) and Schuldt &amp; Vega (2018)</w:t>
      </w:r>
      <w:r w:rsidRPr="00943DFA">
        <w:rPr>
          <w:color w:val="0D0D0D" w:themeColor="text1" w:themeTint="F2"/>
        </w:rPr>
        <w:fldChar w:fldCharType="end"/>
      </w:r>
      <w:r w:rsidRPr="00943DFA">
        <w:rPr>
          <w:color w:val="0D0D0D" w:themeColor="text1" w:themeTint="F2"/>
        </w:rPr>
        <w:t xml:space="preserve">, who use similar dependent variables to this study (e.g. the duration of IPO process, the number of SEC revenue recognition comments), employ negative binomial regressions. </w:t>
      </w:r>
    </w:p>
    <w:p w14:paraId="66612182"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This study employs negative binomial regression to estimate the following baseline model.</w:t>
      </w:r>
    </w:p>
    <w:p w14:paraId="374F6B51" w14:textId="5D88DA99" w:rsidR="00195130" w:rsidRPr="00943DFA" w:rsidRDefault="000406B8" w:rsidP="00195130">
      <w:pPr>
        <w:spacing w:before="240" w:after="240"/>
        <w:ind w:left="-1276"/>
        <w:jc w:val="both"/>
        <w:rPr>
          <w:rFonts w:eastAsiaTheme="minorEastAsia"/>
          <w:color w:val="0D0D0D" w:themeColor="text1" w:themeTint="F2"/>
          <w:sz w:val="22"/>
          <w:szCs w:val="22"/>
        </w:rPr>
      </w:pPr>
      <m:oMathPara>
        <m:oMath>
          <m:sSub>
            <m:sSubPr>
              <m:ctrlPr>
                <w:rPr>
                  <w:rFonts w:ascii="Cambria Math" w:hAnsi="Cambria Math"/>
                  <w:i/>
                  <w:color w:val="0D0D0D" w:themeColor="text1" w:themeTint="F2"/>
                  <w:sz w:val="22"/>
                  <w:szCs w:val="22"/>
                </w:rPr>
              </m:ctrlPr>
            </m:sSubPr>
            <m:e>
              <m:r>
                <m:rPr>
                  <m:nor/>
                </m:rPr>
                <w:rPr>
                  <w:color w:val="0D0D0D" w:themeColor="text1" w:themeTint="F2"/>
                  <w:sz w:val="22"/>
                  <w:szCs w:val="22"/>
                </w:rPr>
                <m:t xml:space="preserve">SEC review </m:t>
              </m:r>
            </m:e>
            <m:sub>
              <m:r>
                <m:rPr>
                  <m:nor/>
                </m:rPr>
                <w:rPr>
                  <w:color w:val="0D0D0D" w:themeColor="text1" w:themeTint="F2"/>
                  <w:sz w:val="22"/>
                  <w:szCs w:val="22"/>
                </w:rPr>
                <m:t>i,t</m:t>
              </m:r>
            </m:sub>
          </m:sSub>
          <m:d>
            <m:dPr>
              <m:ctrlPr>
                <w:rPr>
                  <w:rFonts w:ascii="Cambria Math" w:hAnsi="Cambria Math"/>
                  <w:i/>
                  <w:color w:val="0D0D0D" w:themeColor="text1" w:themeTint="F2"/>
                  <w:sz w:val="22"/>
                  <w:szCs w:val="22"/>
                </w:rPr>
              </m:ctrlPr>
            </m:dPr>
            <m:e>
              <m:r>
                <m:rPr>
                  <m:nor/>
                </m:rPr>
                <w:rPr>
                  <w:rFonts w:ascii="Cambria Math"/>
                  <w:color w:val="0D0D0D" w:themeColor="text1" w:themeTint="F2"/>
                  <w:sz w:val="22"/>
                  <w:szCs w:val="22"/>
                </w:rPr>
                <m:t xml:space="preserve"> </m:t>
              </m:r>
              <m:sSub>
                <m:sSubPr>
                  <m:ctrlPr>
                    <w:rPr>
                      <w:rFonts w:ascii="Cambria Math" w:hAnsi="Cambria Math"/>
                      <w:color w:val="0D0D0D" w:themeColor="text1" w:themeTint="F2"/>
                      <w:sz w:val="22"/>
                      <w:szCs w:val="22"/>
                    </w:rPr>
                  </m:ctrlPr>
                </m:sSubPr>
                <m:e>
                  <m:r>
                    <w:rPr>
                      <w:rFonts w:ascii="Cambria Math" w:hAnsi="Cambria Math"/>
                      <w:color w:val="0D0D0D" w:themeColor="text1" w:themeTint="F2"/>
                      <w:sz w:val="22"/>
                      <w:szCs w:val="22"/>
                    </w:rPr>
                    <m:t>#</m:t>
                  </m:r>
                  <m:r>
                    <w:rPr>
                      <w:rFonts w:ascii="Cambria Math" w:hAnsi="Cambria Math"/>
                      <w:color w:val="0D0D0D" w:themeColor="text1" w:themeTint="F2"/>
                      <w:sz w:val="22"/>
                      <w:szCs w:val="22"/>
                    </w:rPr>
                    <m:t>T</m:t>
                  </m:r>
                  <m:r>
                    <w:rPr>
                      <w:rFonts w:ascii="Cambria Math" w:hAnsi="Cambria Math"/>
                      <w:color w:val="0D0D0D" w:themeColor="text1" w:themeTint="F2"/>
                      <w:sz w:val="22"/>
                      <w:szCs w:val="22"/>
                    </w:rPr>
                    <m:t>h</m:t>
                  </m:r>
                  <m:r>
                    <w:rPr>
                      <w:rFonts w:ascii="Cambria Math" w:hAnsi="Cambria Math"/>
                      <w:color w:val="0D0D0D" w:themeColor="text1" w:themeTint="F2"/>
                      <w:sz w:val="22"/>
                      <w:szCs w:val="22"/>
                    </w:rPr>
                    <m:t>emes</m:t>
                  </m:r>
                </m:e>
                <m:sub>
                  <m:r>
                    <w:rPr>
                      <w:rFonts w:ascii="Cambria Math" w:hAnsi="Cambria Math"/>
                      <w:color w:val="0D0D0D" w:themeColor="text1" w:themeTint="F2"/>
                      <w:sz w:val="22"/>
                      <w:szCs w:val="22"/>
                    </w:rPr>
                    <m:t>i</m:t>
                  </m:r>
                  <m:r>
                    <w:rPr>
                      <w:rFonts w:ascii="Cambria Math" w:hAnsi="Cambria Math"/>
                      <w:color w:val="0D0D0D" w:themeColor="text1" w:themeTint="F2"/>
                      <w:sz w:val="22"/>
                      <w:szCs w:val="22"/>
                    </w:rPr>
                    <m:t>,</m:t>
                  </m:r>
                  <m:r>
                    <w:rPr>
                      <w:rFonts w:ascii="Cambria Math" w:hAnsi="Cambria Math"/>
                      <w:color w:val="0D0D0D" w:themeColor="text1" w:themeTint="F2"/>
                      <w:sz w:val="22"/>
                      <w:szCs w:val="22"/>
                    </w:rPr>
                    <m:t>t</m:t>
                  </m:r>
                </m:sub>
              </m:sSub>
            </m:e>
          </m:d>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rFonts w:ascii="Cambria Math"/>
                  <w:color w:val="0D0D0D" w:themeColor="text1" w:themeTint="F2"/>
                  <w:sz w:val="22"/>
                  <w:szCs w:val="22"/>
                </w:rPr>
                <m:t xml:space="preserve"> </m:t>
              </m:r>
              <m:r>
                <m:rPr>
                  <m:nor/>
                </m:rPr>
                <w:rPr>
                  <w:color w:val="0D0D0D" w:themeColor="text1" w:themeTint="F2"/>
                  <w:sz w:val="22"/>
                  <w:szCs w:val="22"/>
                </w:rPr>
                <m:t>α</m:t>
              </m:r>
            </m:e>
            <m:sub>
              <m:r>
                <m:rPr>
                  <m:nor/>
                </m:rPr>
                <w:rPr>
                  <w:color w:val="0D0D0D" w:themeColor="text1" w:themeTint="F2"/>
                  <w:sz w:val="22"/>
                  <w:szCs w:val="22"/>
                </w:rPr>
                <m:t>0</m:t>
              </m:r>
            </m:sub>
          </m:sSub>
          <m:r>
            <m:rPr>
              <m:nor/>
            </m:rPr>
            <w:rPr>
              <w:rFonts w:ascii="Cambria Math"/>
              <w:color w:val="0D0D0D" w:themeColor="text1" w:themeTint="F2"/>
              <w:sz w:val="22"/>
              <w:szCs w:val="22"/>
            </w:rPr>
            <m:t xml:space="preserve"> </m:t>
          </m:r>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rFonts w:ascii="Cambria Math"/>
                  <w:color w:val="0D0D0D" w:themeColor="text1" w:themeTint="F2"/>
                  <w:sz w:val="22"/>
                  <w:szCs w:val="22"/>
                </w:rPr>
                <m:t xml:space="preserve"> </m:t>
              </m:r>
              <m:r>
                <m:rPr>
                  <m:nor/>
                </m:rPr>
                <w:rPr>
                  <w:color w:val="0D0D0D" w:themeColor="text1" w:themeTint="F2"/>
                  <w:sz w:val="22"/>
                  <w:szCs w:val="22"/>
                </w:rPr>
                <m:t>α</m:t>
              </m:r>
            </m:e>
            <m:sub>
              <m:r>
                <m:rPr>
                  <m:nor/>
                </m:rPr>
                <w:rPr>
                  <w:color w:val="0D0D0D" w:themeColor="text1" w:themeTint="F2"/>
                  <w:sz w:val="22"/>
                  <w:szCs w:val="22"/>
                </w:rPr>
                <m:t>1</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Size</m:t>
              </m:r>
            </m:e>
            <m:sub>
              <m:r>
                <m:rPr>
                  <m:nor/>
                </m:rPr>
                <w:rPr>
                  <w:color w:val="0D0D0D" w:themeColor="text1" w:themeTint="F2"/>
                  <w:sz w:val="22"/>
                  <w:szCs w:val="22"/>
                </w:rPr>
                <m:t>i,t</m:t>
              </m:r>
              <m:r>
                <m:rPr>
                  <m:nor/>
                </m:rPr>
                <w:rPr>
                  <w:rFonts w:ascii="Cambria Math"/>
                  <w:color w:val="0D0D0D" w:themeColor="text1" w:themeTint="F2"/>
                  <w:sz w:val="22"/>
                  <w:szCs w:val="22"/>
                </w:rPr>
                <m:t xml:space="preserve"> </m:t>
              </m:r>
            </m:sub>
          </m:sSub>
          <m:r>
            <m:rPr>
              <m:nor/>
            </m:rPr>
            <w:rPr>
              <w:color w:val="0D0D0D" w:themeColor="text1" w:themeTint="F2"/>
              <w:sz w:val="22"/>
              <w:szCs w:val="22"/>
            </w:rPr>
            <m:t>+</m:t>
          </m:r>
          <m:r>
            <m:rPr>
              <m:nor/>
            </m:rPr>
            <w:rPr>
              <w:rFonts w:ascii="Cambria Math"/>
              <w:color w:val="0D0D0D" w:themeColor="text1" w:themeTint="F2"/>
              <w:sz w:val="22"/>
              <w:szCs w:val="22"/>
            </w:rPr>
            <m:t xml:space="preserve"> </m:t>
          </m:r>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2</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Firm age</m:t>
              </m:r>
            </m:e>
            <m:sub>
              <m:r>
                <m:rPr>
                  <m:nor/>
                </m:rPr>
                <w:rPr>
                  <w:color w:val="0D0D0D" w:themeColor="text1" w:themeTint="F2"/>
                  <w:sz w:val="22"/>
                  <w:szCs w:val="22"/>
                </w:rPr>
                <m:t>i,t</m:t>
              </m:r>
            </m:sub>
          </m:sSub>
          <m:r>
            <m:rPr>
              <m:nor/>
            </m:rPr>
            <w:rPr>
              <w:rFonts w:ascii="Cambria Math"/>
              <w:color w:val="0D0D0D" w:themeColor="text1" w:themeTint="F2"/>
              <w:sz w:val="22"/>
              <w:szCs w:val="22"/>
            </w:rPr>
            <m:t xml:space="preserve"> </m:t>
          </m:r>
          <m:r>
            <m:rPr>
              <m:nor/>
            </m:rPr>
            <w:rPr>
              <w:color w:val="0D0D0D" w:themeColor="text1" w:themeTint="F2"/>
              <w:sz w:val="22"/>
              <w:szCs w:val="22"/>
            </w:rPr>
            <m:t>+</m:t>
          </m:r>
        </m:oMath>
      </m:oMathPara>
    </w:p>
    <w:p w14:paraId="7CD4DC43" w14:textId="77777777" w:rsidR="00195130" w:rsidRPr="00943DFA" w:rsidRDefault="000406B8" w:rsidP="00195130">
      <w:pPr>
        <w:spacing w:before="240" w:after="240"/>
        <w:jc w:val="both"/>
        <w:rPr>
          <w:rFonts w:eastAsiaTheme="minorEastAsia"/>
          <w:color w:val="0D0D0D" w:themeColor="text1" w:themeTint="F2"/>
          <w:sz w:val="22"/>
          <w:szCs w:val="22"/>
          <w:oMath/>
        </w:rPr>
      </w:pPr>
      <m:oMathPara>
        <m:oMath>
          <m:sSub>
            <m:sSubPr>
              <m:ctrlPr>
                <w:rPr>
                  <w:rFonts w:ascii="Cambria Math" w:hAnsi="Cambria Math"/>
                  <w:i/>
                  <w:color w:val="0D0D0D" w:themeColor="text1" w:themeTint="F2"/>
                  <w:sz w:val="22"/>
                  <w:szCs w:val="22"/>
                </w:rPr>
              </m:ctrlPr>
            </m:sSubPr>
            <m:e>
              <m:r>
                <m:rPr>
                  <m:nor/>
                </m:rPr>
                <w:rPr>
                  <w:color w:val="0D0D0D" w:themeColor="text1" w:themeTint="F2"/>
                  <w:sz w:val="22"/>
                  <w:szCs w:val="22"/>
                </w:rPr>
                <m:t>Business complexity (α</m:t>
              </m:r>
            </m:e>
            <m:sub>
              <m:r>
                <m:rPr>
                  <m:nor/>
                </m:rPr>
                <w:rPr>
                  <w:color w:val="0D0D0D" w:themeColor="text1" w:themeTint="F2"/>
                  <w:sz w:val="22"/>
                  <w:szCs w:val="22"/>
                </w:rPr>
                <m:t>3</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Sale growth</m:t>
              </m:r>
            </m:e>
            <m:sub>
              <m:r>
                <m:rPr>
                  <m:nor/>
                </m:rPr>
                <w:rPr>
                  <w:color w:val="0D0D0D" w:themeColor="text1" w:themeTint="F2"/>
                  <w:sz w:val="22"/>
                  <w:szCs w:val="22"/>
                </w:rPr>
                <m:t>i,t</m:t>
              </m:r>
            </m:sub>
          </m:sSub>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4</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Segments</m:t>
              </m:r>
            </m:e>
            <m:sub>
              <m:r>
                <m:rPr>
                  <m:nor/>
                </m:rPr>
                <w:rPr>
                  <w:color w:val="0D0D0D" w:themeColor="text1" w:themeTint="F2"/>
                  <w:sz w:val="22"/>
                  <w:szCs w:val="22"/>
                </w:rPr>
                <m:t>i,t</m:t>
              </m:r>
            </m:sub>
          </m:sSub>
          <m:r>
            <m:rPr>
              <m:nor/>
            </m:rPr>
            <w:rPr>
              <w:rFonts w:ascii="Cambria Math"/>
              <w:color w:val="0D0D0D" w:themeColor="text1" w:themeTint="F2"/>
              <w:sz w:val="22"/>
              <w:szCs w:val="22"/>
            </w:rPr>
            <m:t xml:space="preserve"> </m:t>
          </m:r>
          <m:r>
            <m:rPr>
              <m:nor/>
            </m:rPr>
            <w:rPr>
              <w:color w:val="0D0D0D" w:themeColor="text1" w:themeTint="F2"/>
              <w:sz w:val="22"/>
              <w:szCs w:val="22"/>
            </w:rPr>
            <m:t>+</m:t>
          </m:r>
          <m:r>
            <m:rPr>
              <m:nor/>
            </m:rPr>
            <w:rPr>
              <w:rFonts w:ascii="Cambria Math"/>
              <w:color w:val="0D0D0D" w:themeColor="text1" w:themeTint="F2"/>
              <w:sz w:val="22"/>
              <w:szCs w:val="22"/>
            </w:rPr>
            <m:t xml:space="preserve"> </m:t>
          </m:r>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5</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Restructuring</m:t>
              </m:r>
            </m:e>
            <m:sub>
              <m:r>
                <m:rPr>
                  <m:nor/>
                </m:rPr>
                <w:rPr>
                  <w:color w:val="0D0D0D" w:themeColor="text1" w:themeTint="F2"/>
                  <w:sz w:val="22"/>
                  <w:szCs w:val="22"/>
                </w:rPr>
                <m:t>i,t</m:t>
              </m:r>
            </m:sub>
          </m:sSub>
          <m:r>
            <m:rPr>
              <m:nor/>
            </m:rPr>
            <w:rPr>
              <w:rFonts w:ascii="Cambria Math"/>
              <w:color w:val="0D0D0D" w:themeColor="text1" w:themeTint="F2"/>
              <w:sz w:val="22"/>
              <w:szCs w:val="22"/>
            </w:rPr>
            <m:t xml:space="preserve"> </m:t>
          </m:r>
          <m:r>
            <m:rPr>
              <m:nor/>
            </m:rPr>
            <w:rPr>
              <w:color w:val="0D0D0D" w:themeColor="text1" w:themeTint="F2"/>
              <w:sz w:val="22"/>
              <w:szCs w:val="22"/>
            </w:rPr>
            <m:t>+</m:t>
          </m:r>
          <m:r>
            <m:rPr>
              <m:nor/>
            </m:rPr>
            <w:rPr>
              <w:rFonts w:ascii="Cambria Math"/>
              <w:color w:val="0D0D0D" w:themeColor="text1" w:themeTint="F2"/>
              <w:sz w:val="22"/>
              <w:szCs w:val="22"/>
            </w:rPr>
            <m:t xml:space="preserve"> </m:t>
          </m:r>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6</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M&amp;A</m:t>
              </m:r>
            </m:e>
            <m:sub>
              <m:r>
                <m:rPr>
                  <m:nor/>
                </m:rPr>
                <w:rPr>
                  <w:color w:val="0D0D0D" w:themeColor="text1" w:themeTint="F2"/>
                  <w:sz w:val="22"/>
                  <w:szCs w:val="22"/>
                </w:rPr>
                <m:t>i,t</m:t>
              </m:r>
            </m:sub>
          </m:sSub>
          <m:r>
            <m:rPr>
              <m:nor/>
            </m:rPr>
            <w:rPr>
              <w:color w:val="0D0D0D" w:themeColor="text1" w:themeTint="F2"/>
              <w:sz w:val="22"/>
              <w:szCs w:val="22"/>
            </w:rPr>
            <m:t>)</m:t>
          </m:r>
          <m:r>
            <m:rPr>
              <m:nor/>
            </m:rPr>
            <w:rPr>
              <w:rFonts w:ascii="Cambria Math"/>
              <w:color w:val="0D0D0D" w:themeColor="text1" w:themeTint="F2"/>
              <w:sz w:val="22"/>
              <w:szCs w:val="22"/>
            </w:rPr>
            <m:t xml:space="preserve"> </m:t>
          </m:r>
          <m:r>
            <m:rPr>
              <m:nor/>
            </m:rPr>
            <w:rPr>
              <w:color w:val="0D0D0D" w:themeColor="text1" w:themeTint="F2"/>
              <w:sz w:val="22"/>
              <w:szCs w:val="22"/>
            </w:rPr>
            <m:t>+</m:t>
          </m:r>
        </m:oMath>
      </m:oMathPara>
    </w:p>
    <w:p w14:paraId="0D12EE61" w14:textId="77777777" w:rsidR="00195130" w:rsidRPr="00943DFA" w:rsidRDefault="00195130" w:rsidP="00195130">
      <w:pPr>
        <w:spacing w:before="240" w:after="240"/>
        <w:ind w:left="709"/>
        <w:jc w:val="both"/>
        <w:rPr>
          <w:rFonts w:eastAsiaTheme="minorEastAsia"/>
          <w:color w:val="0D0D0D" w:themeColor="text1" w:themeTint="F2"/>
          <w:sz w:val="22"/>
          <w:szCs w:val="22"/>
        </w:rPr>
      </w:pPr>
      <m:oMathPara>
        <m:oMath>
          <m:r>
            <m:rPr>
              <m:nor/>
            </m:rPr>
            <w:rPr>
              <w:color w:val="0D0D0D" w:themeColor="text1" w:themeTint="F2"/>
              <w:sz w:val="22"/>
              <w:szCs w:val="22"/>
            </w:rPr>
            <m:t>Financial health (</m:t>
          </m:r>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7</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Leverage</m:t>
              </m:r>
            </m:e>
            <m:sub>
              <m:r>
                <m:rPr>
                  <m:nor/>
                </m:rPr>
                <w:rPr>
                  <w:color w:val="0D0D0D" w:themeColor="text1" w:themeTint="F2"/>
                  <w:sz w:val="22"/>
                  <w:szCs w:val="22"/>
                </w:rPr>
                <m:t>i,t</m:t>
              </m:r>
            </m:sub>
          </m:sSub>
          <m:r>
            <m:rPr>
              <m:nor/>
            </m:rPr>
            <w:rPr>
              <w:rFonts w:ascii="Cambria Math"/>
              <w:color w:val="0D0D0D" w:themeColor="text1" w:themeTint="F2"/>
              <w:sz w:val="22"/>
              <w:szCs w:val="22"/>
            </w:rPr>
            <m:t xml:space="preserve"> </m:t>
          </m:r>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rFonts w:ascii="Cambria Math"/>
                  <w:color w:val="0D0D0D" w:themeColor="text1" w:themeTint="F2"/>
                  <w:sz w:val="22"/>
                  <w:szCs w:val="22"/>
                </w:rPr>
                <m:t xml:space="preserve"> </m:t>
              </m:r>
              <m:r>
                <m:rPr>
                  <m:nor/>
                </m:rPr>
                <w:rPr>
                  <w:color w:val="0D0D0D" w:themeColor="text1" w:themeTint="F2"/>
                  <w:sz w:val="22"/>
                  <w:szCs w:val="22"/>
                </w:rPr>
                <m:t>α</m:t>
              </m:r>
            </m:e>
            <m:sub>
              <m:r>
                <m:rPr>
                  <m:nor/>
                </m:rPr>
                <w:rPr>
                  <w:color w:val="0D0D0D" w:themeColor="text1" w:themeTint="F2"/>
                  <w:sz w:val="22"/>
                  <w:szCs w:val="22"/>
                </w:rPr>
                <m:t>8</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External financing</m:t>
              </m:r>
            </m:e>
            <m:sub>
              <m:r>
                <m:rPr>
                  <m:nor/>
                </m:rPr>
                <w:rPr>
                  <w:color w:val="0D0D0D" w:themeColor="text1" w:themeTint="F2"/>
                  <w:sz w:val="22"/>
                  <w:szCs w:val="22"/>
                </w:rPr>
                <m:t>i,t</m:t>
              </m:r>
            </m:sub>
          </m:sSub>
          <m:r>
            <m:rPr>
              <m:nor/>
            </m:rPr>
            <w:rPr>
              <w:rFonts w:ascii="Cambria Math"/>
              <w:color w:val="0D0D0D" w:themeColor="text1" w:themeTint="F2"/>
              <w:sz w:val="22"/>
              <w:szCs w:val="22"/>
            </w:rPr>
            <m:t xml:space="preserve"> </m:t>
          </m:r>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rFonts w:ascii="Cambria Math"/>
                  <w:color w:val="0D0D0D" w:themeColor="text1" w:themeTint="F2"/>
                  <w:sz w:val="22"/>
                  <w:szCs w:val="22"/>
                </w:rPr>
                <m:t xml:space="preserve"> </m:t>
              </m:r>
              <m:r>
                <m:rPr>
                  <m:nor/>
                </m:rPr>
                <w:rPr>
                  <w:color w:val="0D0D0D" w:themeColor="text1" w:themeTint="F2"/>
                  <w:sz w:val="22"/>
                  <w:szCs w:val="22"/>
                </w:rPr>
                <m:t>α</m:t>
              </m:r>
            </m:e>
            <m:sub>
              <m:r>
                <m:rPr>
                  <m:nor/>
                </m:rPr>
                <w:rPr>
                  <w:color w:val="0D0D0D" w:themeColor="text1" w:themeTint="F2"/>
                  <w:sz w:val="22"/>
                  <w:szCs w:val="22"/>
                </w:rPr>
                <m:t>9</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Zscore</m:t>
              </m:r>
            </m:e>
            <m:sub>
              <m:r>
                <m:rPr>
                  <m:nor/>
                </m:rPr>
                <w:rPr>
                  <w:color w:val="0D0D0D" w:themeColor="text1" w:themeTint="F2"/>
                  <w:sz w:val="22"/>
                  <w:szCs w:val="22"/>
                </w:rPr>
                <m:t>i,t</m:t>
              </m:r>
            </m:sub>
          </m:sSub>
          <m:r>
            <m:rPr>
              <m:nor/>
            </m:rPr>
            <w:rPr>
              <w:rFonts w:ascii="Cambria Math"/>
              <w:color w:val="0D0D0D" w:themeColor="text1" w:themeTint="F2"/>
              <w:sz w:val="22"/>
              <w:szCs w:val="22"/>
            </w:rPr>
            <m:t xml:space="preserve"> </m:t>
          </m:r>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rFonts w:ascii="Cambria Math"/>
                  <w:color w:val="0D0D0D" w:themeColor="text1" w:themeTint="F2"/>
                  <w:sz w:val="22"/>
                  <w:szCs w:val="22"/>
                </w:rPr>
                <m:t xml:space="preserve"> </m:t>
              </m:r>
              <m:r>
                <m:rPr>
                  <m:nor/>
                </m:rPr>
                <w:rPr>
                  <w:color w:val="0D0D0D" w:themeColor="text1" w:themeTint="F2"/>
                  <w:sz w:val="22"/>
                  <w:szCs w:val="22"/>
                </w:rPr>
                <m:t>α</m:t>
              </m:r>
            </m:e>
            <m:sub>
              <m:r>
                <m:rPr>
                  <m:nor/>
                </m:rPr>
                <w:rPr>
                  <w:color w:val="0D0D0D" w:themeColor="text1" w:themeTint="F2"/>
                  <w:sz w:val="22"/>
                  <w:szCs w:val="22"/>
                </w:rPr>
                <m:t>10</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Positive earnings</m:t>
              </m:r>
            </m:e>
            <m:sub>
              <m:r>
                <m:rPr>
                  <m:nor/>
                </m:rPr>
                <w:rPr>
                  <w:color w:val="0D0D0D" w:themeColor="text1" w:themeTint="F2"/>
                  <w:sz w:val="22"/>
                  <w:szCs w:val="22"/>
                </w:rPr>
                <m:t>i,t</m:t>
              </m:r>
            </m:sub>
          </m:sSub>
          <m:r>
            <m:rPr>
              <m:nor/>
            </m:rPr>
            <w:rPr>
              <w:color w:val="0D0D0D" w:themeColor="text1" w:themeTint="F2"/>
              <w:sz w:val="22"/>
              <w:szCs w:val="22"/>
            </w:rPr>
            <m:t>)</m:t>
          </m:r>
          <m:r>
            <m:rPr>
              <m:nor/>
            </m:rPr>
            <w:rPr>
              <w:rFonts w:ascii="Cambria Math"/>
              <w:color w:val="0D0D0D" w:themeColor="text1" w:themeTint="F2"/>
              <w:sz w:val="22"/>
              <w:szCs w:val="22"/>
            </w:rPr>
            <m:t xml:space="preserve"> </m:t>
          </m:r>
          <m:r>
            <m:rPr>
              <m:nor/>
            </m:rPr>
            <w:rPr>
              <w:color w:val="0D0D0D" w:themeColor="text1" w:themeTint="F2"/>
              <w:sz w:val="22"/>
              <w:szCs w:val="22"/>
            </w:rPr>
            <m:t>+</m:t>
          </m:r>
        </m:oMath>
      </m:oMathPara>
    </w:p>
    <w:p w14:paraId="2A4FB26A" w14:textId="77777777" w:rsidR="00195130" w:rsidRPr="00943DFA" w:rsidRDefault="000406B8" w:rsidP="00195130">
      <w:pPr>
        <w:spacing w:before="240" w:after="240"/>
        <w:ind w:left="851"/>
        <w:jc w:val="both"/>
        <w:rPr>
          <w:rFonts w:eastAsiaTheme="minorEastAsia"/>
          <w:color w:val="0D0D0D" w:themeColor="text1" w:themeTint="F2"/>
          <w:sz w:val="22"/>
          <w:szCs w:val="22"/>
        </w:rPr>
      </w:pPr>
      <m:oMath>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11</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Big4</m:t>
            </m:r>
          </m:e>
          <m:sub>
            <m:r>
              <m:rPr>
                <m:nor/>
              </m:rPr>
              <w:rPr>
                <w:color w:val="0D0D0D" w:themeColor="text1" w:themeTint="F2"/>
                <w:sz w:val="22"/>
                <w:szCs w:val="22"/>
              </w:rPr>
              <m:t>i,t</m:t>
            </m:r>
          </m:sub>
        </m:sSub>
        <m:r>
          <m:rPr>
            <m:nor/>
          </m:rPr>
          <w:rPr>
            <w:color w:val="0D0D0D" w:themeColor="text1" w:themeTint="F2"/>
            <w:sz w:val="22"/>
            <w:szCs w:val="22"/>
          </w:rPr>
          <m:t>+</m:t>
        </m:r>
        <m:r>
          <m:rPr>
            <m:nor/>
          </m:rPr>
          <w:rPr>
            <w:rFonts w:ascii="Cambria Math"/>
            <w:color w:val="0D0D0D" w:themeColor="text1" w:themeTint="F2"/>
            <w:sz w:val="22"/>
            <w:szCs w:val="22"/>
          </w:rPr>
          <m:t xml:space="preserve"> </m:t>
        </m:r>
        <m:sSub>
          <m:sSubPr>
            <m:ctrlPr>
              <w:rPr>
                <w:rFonts w:ascii="Cambria Math" w:hAnsi="Cambria Math"/>
                <w:i/>
                <w:color w:val="0D0D0D" w:themeColor="text1" w:themeTint="F2"/>
                <w:sz w:val="22"/>
                <w:szCs w:val="22"/>
              </w:rPr>
            </m:ctrlPr>
          </m:sSubPr>
          <m:e>
            <m:r>
              <m:rPr>
                <m:nor/>
              </m:rPr>
              <w:rPr>
                <w:color w:val="0D0D0D" w:themeColor="text1" w:themeTint="F2"/>
                <w:sz w:val="22"/>
                <w:szCs w:val="22"/>
              </w:rPr>
              <m:t>α</m:t>
            </m:r>
          </m:e>
          <m:sub>
            <m:r>
              <m:rPr>
                <m:nor/>
              </m:rPr>
              <w:rPr>
                <w:color w:val="0D0D0D" w:themeColor="text1" w:themeTint="F2"/>
                <w:sz w:val="22"/>
                <w:szCs w:val="22"/>
              </w:rPr>
              <m:t>12</m:t>
            </m:r>
          </m:sub>
        </m:sSub>
        <m:sSub>
          <m:sSubPr>
            <m:ctrlPr>
              <w:rPr>
                <w:rFonts w:ascii="Cambria Math" w:hAnsi="Cambria Math"/>
                <w:i/>
                <w:color w:val="0D0D0D" w:themeColor="text1" w:themeTint="F2"/>
                <w:sz w:val="22"/>
                <w:szCs w:val="22"/>
              </w:rPr>
            </m:ctrlPr>
          </m:sSubPr>
          <m:e>
            <m:r>
              <m:rPr>
                <m:nor/>
              </m:rPr>
              <w:rPr>
                <w:color w:val="0D0D0D" w:themeColor="text1" w:themeTint="F2"/>
                <w:sz w:val="22"/>
                <w:szCs w:val="22"/>
              </w:rPr>
              <m:t>CEO</m:t>
            </m:r>
            <m:r>
              <m:rPr>
                <m:nor/>
              </m:rPr>
              <w:rPr>
                <w:rFonts w:ascii="Cambria Math"/>
                <w:color w:val="0D0D0D" w:themeColor="text1" w:themeTint="F2"/>
                <w:sz w:val="22"/>
                <w:szCs w:val="22"/>
              </w:rPr>
              <m:t>chairperson</m:t>
            </m:r>
          </m:e>
          <m:sub>
            <m:r>
              <m:rPr>
                <m:nor/>
              </m:rPr>
              <w:rPr>
                <w:color w:val="0D0D0D" w:themeColor="text1" w:themeTint="F2"/>
                <w:sz w:val="22"/>
                <w:szCs w:val="22"/>
              </w:rPr>
              <m:t>i,t</m:t>
            </m:r>
          </m:sub>
        </m:sSub>
        <m:r>
          <m:rPr>
            <m:nor/>
          </m:rPr>
          <w:rPr>
            <w:color w:val="0D0D0D" w:themeColor="text1" w:themeTint="F2"/>
            <w:sz w:val="22"/>
            <w:szCs w:val="22"/>
          </w:rPr>
          <m:t>+</m:t>
        </m:r>
        <m:r>
          <m:rPr>
            <m:nor/>
          </m:rPr>
          <w:rPr>
            <w:rFonts w:ascii="Cambria Math"/>
            <w:color w:val="0D0D0D" w:themeColor="text1" w:themeTint="F2"/>
            <w:sz w:val="22"/>
            <w:szCs w:val="22"/>
          </w:rPr>
          <m:t xml:space="preserve"> </m:t>
        </m:r>
        <w:proofErr w:type="spellStart"/>
        <m:r>
          <m:rPr>
            <m:nor/>
          </m:rPr>
          <w:rPr>
            <w:color w:val="0D0D0D" w:themeColor="text1" w:themeTint="F2"/>
            <w:sz w:val="22"/>
            <w:szCs w:val="22"/>
          </w:rPr>
          <m:t>FEyear</m:t>
        </m:r>
        <w:proofErr w:type="spellEnd"/>
        <m:r>
          <m:rPr>
            <m:nor/>
          </m:rPr>
          <w:rPr>
            <w:rFonts w:ascii="Cambria Math"/>
            <w:color w:val="0D0D0D" w:themeColor="text1" w:themeTint="F2"/>
            <w:sz w:val="22"/>
            <w:szCs w:val="22"/>
          </w:rPr>
          <m:t xml:space="preserve"> </m:t>
        </m:r>
        <m:r>
          <m:rPr>
            <m:nor/>
          </m:rPr>
          <w:rPr>
            <w:color w:val="0D0D0D" w:themeColor="text1" w:themeTint="F2"/>
            <w:sz w:val="22"/>
            <w:szCs w:val="22"/>
          </w:rPr>
          <m:t>+</m:t>
        </m:r>
        <m:r>
          <m:rPr>
            <m:nor/>
          </m:rPr>
          <w:rPr>
            <w:rFonts w:ascii="Cambria Math"/>
            <w:color w:val="0D0D0D" w:themeColor="text1" w:themeTint="F2"/>
            <w:sz w:val="22"/>
            <w:szCs w:val="22"/>
          </w:rPr>
          <m:t xml:space="preserve"> </m:t>
        </m:r>
        <w:proofErr w:type="spellStart"/>
        <m:r>
          <m:rPr>
            <m:nor/>
          </m:rPr>
          <w:rPr>
            <w:color w:val="0D0D0D" w:themeColor="text1" w:themeTint="F2"/>
            <w:sz w:val="22"/>
            <w:szCs w:val="22"/>
          </w:rPr>
          <m:t>FEindustry</m:t>
        </m:r>
        <w:proofErr w:type="spellEnd"/>
        <m:r>
          <m:rPr>
            <m:nor/>
          </m:rPr>
          <w:rPr>
            <w:rFonts w:ascii="Cambria Math"/>
            <w:color w:val="0D0D0D" w:themeColor="text1" w:themeTint="F2"/>
            <w:sz w:val="22"/>
            <w:szCs w:val="22"/>
          </w:rPr>
          <m:t xml:space="preserve"> </m:t>
        </m:r>
        <m:r>
          <m:rPr>
            <m:nor/>
          </m:rPr>
          <w:rPr>
            <w:color w:val="0D0D0D" w:themeColor="text1" w:themeTint="F2"/>
            <w:sz w:val="22"/>
            <w:szCs w:val="22"/>
          </w:rPr>
          <m:t>+</m:t>
        </m:r>
        <m:sSub>
          <m:sSubPr>
            <m:ctrlPr>
              <w:rPr>
                <w:rFonts w:ascii="Cambria Math" w:hAnsi="Cambria Math"/>
                <w:i/>
                <w:color w:val="0D0D0D" w:themeColor="text1" w:themeTint="F2"/>
                <w:sz w:val="22"/>
                <w:szCs w:val="22"/>
              </w:rPr>
            </m:ctrlPr>
          </m:sSubPr>
          <m:e>
            <m:r>
              <m:rPr>
                <m:nor/>
              </m:rPr>
              <w:rPr>
                <w:rFonts w:ascii="Cambria Math"/>
                <w:color w:val="0D0D0D" w:themeColor="text1" w:themeTint="F2"/>
                <w:sz w:val="22"/>
                <w:szCs w:val="22"/>
              </w:rPr>
              <m:t xml:space="preserve"> </m:t>
            </m:r>
            <m:r>
              <m:rPr>
                <m:nor/>
              </m:rPr>
              <w:rPr>
                <w:color w:val="0D0D0D" w:themeColor="text1" w:themeTint="F2"/>
                <w:sz w:val="22"/>
                <w:szCs w:val="22"/>
              </w:rPr>
              <m:t>ε</m:t>
            </m:r>
          </m:e>
          <m:sub>
            <m:r>
              <m:rPr>
                <m:nor/>
              </m:rPr>
              <w:rPr>
                <w:color w:val="0D0D0D" w:themeColor="text1" w:themeTint="F2"/>
                <w:sz w:val="22"/>
                <w:szCs w:val="22"/>
              </w:rPr>
              <m:t>i,t</m:t>
            </m:r>
          </m:sub>
        </m:sSub>
        <m:r>
          <m:rPr>
            <m:nor/>
          </m:rPr>
          <w:rPr>
            <w:color w:val="0D0D0D" w:themeColor="text1" w:themeTint="F2"/>
            <w:sz w:val="22"/>
            <w:szCs w:val="22"/>
          </w:rPr>
          <m:t xml:space="preserve">       (3</m:t>
        </m:r>
        <m:r>
          <m:rPr>
            <m:nor/>
          </m:rPr>
          <w:rPr>
            <w:rFonts w:ascii="Cambria Math"/>
            <w:color w:val="0D0D0D" w:themeColor="text1" w:themeTint="F2"/>
            <w:sz w:val="22"/>
            <w:szCs w:val="22"/>
          </w:rPr>
          <m:t>.4</m:t>
        </m:r>
        <m:r>
          <m:rPr>
            <m:nor/>
          </m:rPr>
          <w:rPr>
            <w:color w:val="0D0D0D" w:themeColor="text1" w:themeTint="F2"/>
            <w:sz w:val="22"/>
            <w:szCs w:val="22"/>
          </w:rPr>
          <m:t>)</m:t>
        </m:r>
      </m:oMath>
      <w:r w:rsidR="00195130" w:rsidRPr="00943DFA">
        <w:rPr>
          <w:rFonts w:eastAsiaTheme="minorEastAsia"/>
          <w:color w:val="0D0D0D" w:themeColor="text1" w:themeTint="F2"/>
          <w:sz w:val="22"/>
          <w:szCs w:val="22"/>
        </w:rPr>
        <w:t xml:space="preserve"> </w:t>
      </w:r>
    </w:p>
    <w:p w14:paraId="4E7C68AB" w14:textId="5B3EC3DC" w:rsidR="00195130" w:rsidRPr="00943DFA" w:rsidRDefault="00195130" w:rsidP="00195130">
      <w:pPr>
        <w:spacing w:before="240" w:after="240" w:line="360" w:lineRule="auto"/>
        <w:jc w:val="both"/>
        <w:rPr>
          <w:rFonts w:eastAsiaTheme="minorEastAsia"/>
          <w:color w:val="0D0D0D" w:themeColor="text1" w:themeTint="F2"/>
        </w:rPr>
      </w:pPr>
      <w:r w:rsidRPr="00943DFA">
        <w:rPr>
          <w:rFonts w:eastAsiaTheme="minorEastAsia"/>
          <w:color w:val="0D0D0D" w:themeColor="text1" w:themeTint="F2"/>
        </w:rPr>
        <w:t>where definitions of these variables are discussed in Section 4.2 and Appendix 1</w:t>
      </w:r>
      <w:r w:rsidRPr="00943DFA">
        <w:rPr>
          <w:rFonts w:eastAsiaTheme="minorEastAsia"/>
          <w:color w:val="0D0D0D" w:themeColor="text1" w:themeTint="F2"/>
          <w:sz w:val="20"/>
          <w:szCs w:val="20"/>
        </w:rPr>
        <w:t xml:space="preserve">. </w:t>
      </w:r>
      <w:r w:rsidRPr="00943DFA">
        <w:rPr>
          <w:rFonts w:eastAsiaTheme="minorEastAsia"/>
          <w:color w:val="0D0D0D" w:themeColor="text1" w:themeTint="F2"/>
          <w:szCs w:val="20"/>
        </w:rPr>
        <w:t xml:space="preserve">Following Cassell et al. (2013), industry fixed effects and year fixed effects are included to control for systematic variations in SEC review attributes across different years and </w:t>
      </w:r>
      <w:r w:rsidRPr="00943DFA">
        <w:rPr>
          <w:rStyle w:val="normaltextrun"/>
          <w:color w:val="0D0D0D" w:themeColor="text1" w:themeTint="F2"/>
          <w:shd w:val="clear" w:color="auto" w:fill="FFFFFF"/>
        </w:rPr>
        <w:t xml:space="preserve">two-digits SIC </w:t>
      </w:r>
      <w:r w:rsidRPr="00943DFA">
        <w:rPr>
          <w:rFonts w:eastAsiaTheme="minorEastAsia"/>
          <w:color w:val="0D0D0D" w:themeColor="text1" w:themeTint="F2"/>
          <w:szCs w:val="20"/>
        </w:rPr>
        <w:t>industries.</w:t>
      </w:r>
      <w:r w:rsidRPr="00943DFA">
        <w:rPr>
          <w:rStyle w:val="FootnoteReference"/>
          <w:rFonts w:eastAsiaTheme="minorEastAsia"/>
          <w:color w:val="0D0D0D" w:themeColor="text1" w:themeTint="F2"/>
          <w:szCs w:val="20"/>
        </w:rPr>
        <w:footnoteReference w:id="12"/>
      </w:r>
      <w:r w:rsidRPr="00943DFA">
        <w:rPr>
          <w:rFonts w:eastAsiaTheme="minorEastAsia"/>
          <w:color w:val="0D0D0D" w:themeColor="text1" w:themeTint="F2"/>
          <w:szCs w:val="20"/>
        </w:rPr>
        <w:t xml:space="preserve"> In addition, </w:t>
      </w:r>
      <w:r w:rsidRPr="00943DFA">
        <w:rPr>
          <w:rStyle w:val="normaltextrun"/>
          <w:color w:val="0D0D0D" w:themeColor="text1" w:themeTint="F2"/>
          <w:shd w:val="clear" w:color="auto" w:fill="FFFFFF"/>
        </w:rPr>
        <w:t>following </w:t>
      </w:r>
      <w:proofErr w:type="spellStart"/>
      <w:r w:rsidRPr="00943DFA">
        <w:rPr>
          <w:rStyle w:val="normaltextrun"/>
          <w:color w:val="0D0D0D" w:themeColor="text1" w:themeTint="F2"/>
          <w:shd w:val="clear" w:color="auto" w:fill="FFFFFF"/>
        </w:rPr>
        <w:t>Colaco</w:t>
      </w:r>
      <w:proofErr w:type="spellEnd"/>
      <w:r w:rsidRPr="00943DFA">
        <w:rPr>
          <w:rStyle w:val="normaltextrun"/>
          <w:color w:val="0D0D0D" w:themeColor="text1" w:themeTint="F2"/>
          <w:shd w:val="clear" w:color="auto" w:fill="FFFFFF"/>
        </w:rPr>
        <w:t> et al. (2018) and within-cluster correlation test, standard errors are robust and clustered at the two-digits SIC industry level.</w:t>
      </w:r>
      <w:r w:rsidRPr="00943DFA">
        <w:rPr>
          <w:rStyle w:val="FootnoteReference"/>
          <w:color w:val="0D0D0D" w:themeColor="text1" w:themeTint="F2"/>
          <w:shd w:val="clear" w:color="auto" w:fill="FFFFFF"/>
        </w:rPr>
        <w:footnoteReference w:id="13"/>
      </w:r>
      <w:r w:rsidRPr="00943DFA">
        <w:rPr>
          <w:rFonts w:eastAsiaTheme="minorEastAsia"/>
          <w:color w:val="0D0D0D" w:themeColor="text1" w:themeTint="F2"/>
        </w:rPr>
        <w:t xml:space="preserve"> The results reveal that within each two-digit SIC industry cluster for </w:t>
      </w:r>
      <w:r w:rsidRPr="00943DFA">
        <w:rPr>
          <w:rFonts w:eastAsiaTheme="minorEastAsia"/>
          <w:i/>
          <w:color w:val="0D0D0D" w:themeColor="text1" w:themeTint="F2"/>
        </w:rPr>
        <w:t xml:space="preserve">#Themes, </w:t>
      </w:r>
      <w:r w:rsidRPr="00943DFA">
        <w:rPr>
          <w:rFonts w:eastAsiaTheme="minorEastAsia"/>
          <w:color w:val="0D0D0D" w:themeColor="text1" w:themeTint="F2"/>
        </w:rPr>
        <w:t xml:space="preserve">there are significant correlations across the observations. The test results favour clustering the standard errors at the industry level.  Therefore, when estimating Equation 3.4, standard errors are clustered at the industry level in order to mitigate possible correlations across IPO firms within a given industry </w:t>
      </w:r>
      <w:r w:rsidRPr="00943DFA">
        <w:rPr>
          <w:rFonts w:eastAsiaTheme="minorEastAsia"/>
          <w:color w:val="0D0D0D" w:themeColor="text1" w:themeTint="F2"/>
        </w:rPr>
        <w:fldChar w:fldCharType="begin" w:fldLock="1"/>
      </w:r>
      <w:r w:rsidRPr="00943DFA">
        <w:rPr>
          <w:rFonts w:eastAsiaTheme="minorEastAsia"/>
          <w:color w:val="0D0D0D" w:themeColor="text1" w:themeTint="F2"/>
        </w:rPr>
        <w:instrText>ADDIN CSL_CITATION {"citationItems":[{"id":"ITEM-1","itemData":{"abstract":"In corporate finance and asset pricing empirical work, researchers are often confronted with panel data. In these data sets, the residuals may be correlated across firms or across time, and OLS standard errors can be biased. Historically, researchers in the two literatures have used different solutions to this problem. This paper examines the different methods used in the literature and explains when the different methods yield the same (and correct) standard errors and when they diverge. The intent is to provide intuition as to why the different approaches sometimes give different answers and give researchers guidance for their use. © The Author 2008.","author":[{"dropping-particle":"","family":"Petersen","given":"M.A.","non-dropping-particle":"","parse-names":false,"suffix":""}],"container-title":"Review of Financial Studies","id":"ITEM-1","issue":"1","issued":{"date-parts":[["2009"]]},"page":"435-480","title":"Estimating standard errors in finance panel data sets: Comparing approaches","type":"article-journal","volume":"22"},"uris":["http://www.mendeley.com/documents/?uuid=b40b66fe-0c11-4d0b-9157-445cc9d4393d"]},{"id":"ITEM-2","itemData":{"ISBN":"9796964600","ISSN":"1097-8879","abstract":"No abstract is available for this item.","author":[{"dropping-particle":"","family":"Rogers","given":"W.H.","non-dropping-particle":"","parse-names":false,"suffix":""}],"container-title":"Stata Technical Bulletin","id":"ITEM-2","issue":"13","issued":{"date-parts":[["1994"]]},"number-of-pages":"19-22","title":"Regression standard errors in clustered samples","type":"book","volume":"3"},"uris":["http://www.mendeley.com/documents/?uuid=2f0eaac7-a932-45bf-a547-7f6edeb369a3"]}],"mendeley":{"formattedCitation":"(Petersen, 2009; Rogers, 1994)","plainTextFormattedCitation":"(Petersen, 2009; Rogers, 1994)","previouslyFormattedCitation":"(Petersen, 2009; Rogers, 1994)"},"properties":{"noteIndex":0},"schema":"https://github.com/citation-style-language/schema/raw/master/csl-citation.json"}</w:instrText>
      </w:r>
      <w:r w:rsidRPr="00943DFA">
        <w:rPr>
          <w:rFonts w:eastAsiaTheme="minorEastAsia"/>
          <w:color w:val="0D0D0D" w:themeColor="text1" w:themeTint="F2"/>
        </w:rPr>
        <w:fldChar w:fldCharType="separate"/>
      </w:r>
      <w:r w:rsidRPr="00943DFA">
        <w:rPr>
          <w:rFonts w:eastAsiaTheme="minorEastAsia"/>
          <w:noProof/>
          <w:color w:val="0D0D0D" w:themeColor="text1" w:themeTint="F2"/>
        </w:rPr>
        <w:t>(Petersen, 2009; Rogers, 1994)</w:t>
      </w:r>
      <w:r w:rsidRPr="00943DFA">
        <w:rPr>
          <w:rFonts w:eastAsiaTheme="minorEastAsia"/>
          <w:color w:val="0D0D0D" w:themeColor="text1" w:themeTint="F2"/>
        </w:rPr>
        <w:fldChar w:fldCharType="end"/>
      </w:r>
      <w:r w:rsidRPr="00943DFA">
        <w:rPr>
          <w:rFonts w:eastAsiaTheme="minorEastAsia"/>
          <w:color w:val="0D0D0D" w:themeColor="text1" w:themeTint="F2"/>
        </w:rPr>
        <w:t>.</w:t>
      </w:r>
      <w:r w:rsidRPr="00943DFA">
        <w:rPr>
          <w:rStyle w:val="FootnoteReference"/>
          <w:rFonts w:eastAsiaTheme="minorEastAsia"/>
          <w:color w:val="0D0D0D" w:themeColor="text1" w:themeTint="F2"/>
        </w:rPr>
        <w:footnoteReference w:id="14"/>
      </w:r>
      <w:r w:rsidRPr="00943DFA">
        <w:rPr>
          <w:rFonts w:eastAsiaTheme="minorEastAsia"/>
          <w:color w:val="0D0D0D" w:themeColor="text1" w:themeTint="F2"/>
        </w:rPr>
        <w:t xml:space="preserve"> The standard errors  are also robust to potential heteroskedasticity.</w:t>
      </w:r>
    </w:p>
    <w:p w14:paraId="15C851FF" w14:textId="77777777" w:rsidR="00195130" w:rsidRPr="00943DFA" w:rsidRDefault="00195130" w:rsidP="00195130">
      <w:pPr>
        <w:spacing w:before="240" w:after="240" w:line="360" w:lineRule="auto"/>
        <w:jc w:val="both"/>
        <w:rPr>
          <w:rFonts w:eastAsiaTheme="minorEastAsia"/>
          <w:color w:val="0D0D0D" w:themeColor="text1" w:themeTint="F2"/>
        </w:rPr>
      </w:pPr>
    </w:p>
    <w:p w14:paraId="40FE705D" w14:textId="77777777" w:rsidR="00195130" w:rsidRPr="00943DFA" w:rsidRDefault="00195130" w:rsidP="00195130">
      <w:pPr>
        <w:spacing w:before="240" w:after="240" w:line="360" w:lineRule="auto"/>
        <w:jc w:val="both"/>
        <w:rPr>
          <w:rFonts w:eastAsiaTheme="minorEastAsia"/>
          <w:color w:val="0D0D0D" w:themeColor="text1" w:themeTint="F2"/>
        </w:rPr>
      </w:pPr>
    </w:p>
    <w:p w14:paraId="7C29799F" w14:textId="77777777" w:rsidR="00195130" w:rsidRPr="00943DFA" w:rsidRDefault="00195130" w:rsidP="00195130">
      <w:pPr>
        <w:pStyle w:val="ListParagraph"/>
        <w:numPr>
          <w:ilvl w:val="1"/>
          <w:numId w:val="38"/>
        </w:numPr>
        <w:spacing w:before="240" w:after="240" w:line="360" w:lineRule="auto"/>
        <w:ind w:left="851"/>
        <w:contextualSpacing w:val="0"/>
        <w:jc w:val="both"/>
        <w:outlineLvl w:val="1"/>
        <w:rPr>
          <w:b/>
          <w:color w:val="0D0D0D" w:themeColor="text1" w:themeTint="F2"/>
          <w:lang w:eastAsia="en-US"/>
        </w:rPr>
      </w:pPr>
      <w:bookmarkStart w:id="35" w:name="_Toc48203613"/>
      <w:bookmarkStart w:id="36" w:name="_Toc50713974"/>
      <w:bookmarkStart w:id="37" w:name="_Toc69749264"/>
      <w:r w:rsidRPr="00943DFA">
        <w:rPr>
          <w:b/>
          <w:color w:val="0D0D0D" w:themeColor="text1" w:themeTint="F2"/>
          <w:lang w:eastAsia="en-US"/>
        </w:rPr>
        <w:lastRenderedPageBreak/>
        <w:t>Sample descriptive statistics</w:t>
      </w:r>
      <w:bookmarkEnd w:id="35"/>
      <w:bookmarkEnd w:id="36"/>
      <w:bookmarkEnd w:id="37"/>
    </w:p>
    <w:p w14:paraId="5E2BC0CC" w14:textId="77777777" w:rsidR="00195130" w:rsidRPr="00943DFA" w:rsidRDefault="00195130" w:rsidP="00195130">
      <w:pPr>
        <w:pStyle w:val="ListParagraph"/>
        <w:numPr>
          <w:ilvl w:val="2"/>
          <w:numId w:val="38"/>
        </w:numPr>
        <w:spacing w:before="240" w:after="240" w:line="360" w:lineRule="auto"/>
        <w:ind w:left="1418"/>
        <w:contextualSpacing w:val="0"/>
        <w:jc w:val="both"/>
        <w:outlineLvl w:val="2"/>
        <w:rPr>
          <w:b/>
          <w:color w:val="0D0D0D" w:themeColor="text1" w:themeTint="F2"/>
          <w:lang w:eastAsia="en-US"/>
        </w:rPr>
      </w:pPr>
      <w:bookmarkStart w:id="38" w:name="_Toc48203614"/>
      <w:bookmarkStart w:id="39" w:name="_Toc50713975"/>
      <w:bookmarkStart w:id="40" w:name="_Toc69749265"/>
      <w:r w:rsidRPr="00943DFA">
        <w:rPr>
          <w:b/>
          <w:color w:val="0D0D0D" w:themeColor="text1" w:themeTint="F2"/>
          <w:lang w:eastAsia="en-US"/>
        </w:rPr>
        <w:t>Sample distribution</w:t>
      </w:r>
      <w:bookmarkEnd w:id="38"/>
      <w:bookmarkEnd w:id="39"/>
      <w:bookmarkEnd w:id="40"/>
    </w:p>
    <w:p w14:paraId="4F902BA6"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Panel A of Table 3.4 presents the sample distribution by year. The results show that the number of IPOs dramatically increases in 2013 and reaches a peak in 2014 with values of 114 (12.54%) and 123 (13.53%), respectively, in line with an expansion in IPO activity after the enactment of the JOBS Act in 2012.</w:t>
      </w:r>
      <w:r w:rsidRPr="00943DFA">
        <w:rPr>
          <w:rStyle w:val="FootnoteReference"/>
          <w:color w:val="0D0D0D" w:themeColor="text1" w:themeTint="F2"/>
        </w:rPr>
        <w:footnoteReference w:id="15"/>
      </w:r>
      <w:r w:rsidRPr="00943DFA">
        <w:rPr>
          <w:color w:val="0D0D0D" w:themeColor="text1" w:themeTint="F2"/>
        </w:rPr>
        <w:t xml:space="preserve"> The number of IPOs is lowest in 2008 with a value of 19 (2.09%), which is at the height of the financial crisis in 2008. The number of IPOs receiving initial comment letters is highest in 2006 with a value of 93 (13.10%), which could be because, after deciding to publicly disclose comment letters and IPO firms’ response from 12</w:t>
      </w:r>
      <w:r w:rsidRPr="00943DFA">
        <w:rPr>
          <w:color w:val="0D0D0D" w:themeColor="text1" w:themeTint="F2"/>
          <w:vertAlign w:val="superscript"/>
        </w:rPr>
        <w:t>th</w:t>
      </w:r>
      <w:r w:rsidRPr="00943DFA">
        <w:rPr>
          <w:color w:val="0D0D0D" w:themeColor="text1" w:themeTint="F2"/>
        </w:rPr>
        <w:t xml:space="preserve"> May, 2005, the SEC strengthen their regulatory discipline to decrease information asymmetry, and to protect investors as well as the SEC’s own reputation</w:t>
      </w:r>
      <w:r w:rsidRPr="00943DFA">
        <w:rPr>
          <w:b/>
          <w:bCs/>
          <w:color w:val="0D0D0D" w:themeColor="text1" w:themeTint="F2"/>
        </w:rPr>
        <w:t xml:space="preserve">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Boone","given":"J.P.","non-dropping-particle":"","parse-names":false,"suffix":""},{"dropping-particle":"","family":"Linthicum","given":"C.L.","non-dropping-particle":"","parse-names":false,"suffix":""},{"dropping-particle":"","family":"Poe","given":"A.","non-dropping-particle":"","parse-names":false,"suffix":""}],"container-title":"Accounting Horizons","id":"ITEM-1","issue":"4","issued":{"date-parts":[["2013"]]},"page":"711-736","title":"Characteristics of accounting standards and SEC review comments","type":"article-journal","volume":"27"},"uris":["http://www.mendeley.com/documents/?uuid=1a54e841-058e-43f0-b0b1-4aa1f008948d"]},{"id":"ITEM-2","itemData":{"ISBN":"7133486296","ISSN":"19113846","PMID":"25246403","abstract":"The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Research","id":"ITEM-2","issue":"2","issued":{"date-parts":[["2017"]]},"page":"1128-1155","title":"The effect of regulator oversight on firms' information environment: Securities and exchange commission comment letters","type":"article-journal","volume":"34"},"uris":["http://www.mendeley.com/documents/?uuid=6f0a5987-96ef-4573-9c9a-4445f9fb6ad8"]},{"id":"ITEM-3","itemData":{"ISBN":"1055101527","ISSN":"9780983648703","author":[{"dropping-particle":"V","family":"Brown","given":"Stephen","non-dropping-particle":"","parse-names":false,"suffix":""},{"dropping-particle":"","family":"Tian","given":"Xiaoli","non-dropping-particle":"","parse-names":false,"suffix":""},{"dropping-particle":"","family":"Tucker","given":"","non-dropping-particle":"","parse-names":false,"suffix":""}],"container-title":"Contemporary Accounting Research","id":"ITEM-3","issue":"2","issued":{"date-parts":[["2018"]]},"page":"622-656","title":"The spillover effect of SEC comment letters on qualitative corporate disclosure: Evidence from the risk factor disclosure","type":"article-journal","volume":"35"},"uris":["http://www.mendeley.com/documents/?uuid=58f865a9-5a1d-46c1-98cf-9c6317c93b9d"]},{"id":"ITEM-4","itemData":{"ISSN":"18732070","abstract":"In an effort to enhance informational transparency for investors, the SEC periodically reviews public firms’ filings for regulatory compliance. Although the SEC dedicates significant resources to the filing review process, the efficacy of this process is unclear. Upon receipt of a comment letter consequent to the SEC's review, the firm can either remedy perceived disclosure deficiencies or attempt to avoid making substantive disclosure changes, including by requesting that certain additional information be treated as confidential or by negotiating with the SEC. In this paper, we first examine the nature, extent, and impact of modifications to firms’ disclosures requested by an SEC comment letter. While our initial evidence suggests that firms enhance their disclosure, we find that Rule 406 confidential treatment requests and registrant negotiation have an attenuating effect. Further, consistent with proprietary cost concerns, we show that firms in high tech industries and with greater amounts of R&amp;D are more likely to request confidential treatment. We then examine informational transparency in order to test the SEC's stated intention of the filing review process. We find that improvements to firms’ disclosures following a comment letter are associated with a decrease in information asymmetry and a reduction in litigation risk. Collectively, our paper contributes to the literature on disclosure regulation by providing evidence that the SEC comment letter process generally enhances firms’ disclosures, improves informational transparency for investors, and mitigates firms’ litigation risk, but that some firms take actions that diminish these enhancements.","author":[{"dropping-particle":"","family":"Bozanic","given":"Zahn","non-dropping-particle":"","parse-names":false,"suffix":""},{"dropping-particle":"","family":"Dietrich","given":"J. Richard","non-dropping-particle":"","parse-names":false,"suffix":""},{"dropping-particle":"","family":"Johnson","given":"Bret A.","non-dropping-particle":"","parse-names":false,"suffix":""}],"container-title":"Journal of Accounting and Public Policy","id":"ITEM-4","issue":"5","issued":{"date-parts":[["2017"]]},"page":"337-357","title":"SEC comment letters and firm disclosure","type":"article-journal","volume":"36"},"uris":["http://www.mendeley.com/documents/?uuid=75ad697f-bb57-4190-a91b-bf4a1df448a4"]}],"mendeley":{"formattedCitation":"(Boone et al., 2013; Zahn Bozanic et al., 2017; Brown et al., 2018; Johnston &amp; Petacchi, 2017)","manualFormatting":"(Boone et al., 2013; Bozanic et al., 2017; Brown et al., 2018; Johnston and Petacchi, 2017)","plainTextFormattedCitation":"(Boone et al., 2013; Zahn Bozanic et al., 2017; Brown et al., 2018; Johnston &amp; Petacchi, 2017)","previouslyFormattedCitation":"(Boone et al., 2013; Zahn Bozanic et al., 2017; Brown et al., 2018; Johnston &amp; Petacchi, 2017)"},"properties":{"noteIndex":0},"schema":"https://github.com/citation-style-language/schema/raw/master/csl-citation.json"}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(Boone et al., 2013; Bozanic et al., 2017; Brown et al., 2018; Johnston and Petacchi, 2017)</w:t>
      </w:r>
      <w:r w:rsidRPr="00943DFA">
        <w:rPr>
          <w:color w:val="0D0D0D" w:themeColor="text1" w:themeTint="F2"/>
        </w:rPr>
        <w:fldChar w:fldCharType="end"/>
      </w:r>
      <w:r w:rsidRPr="00943DFA">
        <w:rPr>
          <w:color w:val="0D0D0D" w:themeColor="text1" w:themeTint="F2"/>
        </w:rPr>
        <w:t xml:space="preserve">. The number of IPOs receiving initial comment letters are also relatively high in 2013 with a value of 90 (12,68%), which is consistent with a dramatic increase in the number of IPOs in 2013. </w:t>
      </w:r>
    </w:p>
    <w:p w14:paraId="68E75B77"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The number of IPOs receiving initial comment letters is lowest in 2017 with a value of 15 (2.11%), which could be due to less onerous disclosure regulation under the JOBS Act; they are  also relatively low in 2008, which is in line with the decline in the number of IPOs. The proportion of IPOs receiving an initial comment letter is the largest in 2009 with a value of 97.56%, which could be due to widespread uncertainty as a result of the financial crisis 2008-2009. The proportion of IPOs receiving an initial comment letter significantly decreases after 2013 and reaches a low in 2017 with a value of 31.91%, perhaps due to the relaxation of disclosure regulation for ECG IPOs under the 2012 JOBS Act. Figure 3.2 visualises the distribution of the sample by year.</w:t>
      </w:r>
    </w:p>
    <w:p w14:paraId="0EACCE1C"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Panel B in Table 3.4 presents the sample distribution by industry. The sample includes 15 industry groups, covering 55 industries as classified by two-digit SIC code.</w:t>
      </w:r>
      <w:r w:rsidRPr="00943DFA">
        <w:rPr>
          <w:rStyle w:val="FootnoteReference"/>
          <w:color w:val="0D0D0D" w:themeColor="text1" w:themeTint="F2"/>
        </w:rPr>
        <w:footnoteReference w:id="16"/>
      </w:r>
      <w:r w:rsidRPr="00943DFA">
        <w:rPr>
          <w:color w:val="0D0D0D" w:themeColor="text1" w:themeTint="F2"/>
        </w:rPr>
        <w:t xml:space="preserve"> 41 of the industries covered represent at least 1% of the sample, implying broad coverage of industries. The number of IPOs is particularly high in Computer equipment &amp; service and is highest in Chemical products with values of 216 (23.76%) and 258 (28.38%), respectively. The number </w:t>
      </w:r>
      <w:r w:rsidRPr="00943DFA">
        <w:rPr>
          <w:color w:val="0D0D0D" w:themeColor="text1" w:themeTint="F2"/>
        </w:rPr>
        <w:lastRenderedPageBreak/>
        <w:t xml:space="preserve">of IPOs is lowest in Food products with a value of 7 (0.77%). Similarly, the number of IPOs receiving initial comment letters is high in Computer equipment &amp; service and highest in Chemical products with a value of 173 (24.37%) and 177 (24.65%), respectively. </w:t>
      </w:r>
    </w:p>
    <w:p w14:paraId="166BAE8A" w14:textId="77777777" w:rsidR="00195130" w:rsidRPr="00943DFA" w:rsidRDefault="00195130" w:rsidP="00195130">
      <w:pPr>
        <w:spacing w:before="240" w:after="240" w:line="360" w:lineRule="auto"/>
        <w:jc w:val="both"/>
        <w:rPr>
          <w:color w:val="0D0D0D" w:themeColor="text1" w:themeTint="F2"/>
        </w:rPr>
        <w:sectPr w:rsidR="00195130" w:rsidRPr="00943DFA" w:rsidSect="00373B60">
          <w:pgSz w:w="11906" w:h="16838"/>
          <w:pgMar w:top="1440" w:right="1440" w:bottom="1440" w:left="1276" w:header="708" w:footer="708" w:gutter="0"/>
          <w:cols w:space="708"/>
          <w:docGrid w:linePitch="360"/>
        </w:sectPr>
      </w:pPr>
      <w:r w:rsidRPr="00943DFA">
        <w:rPr>
          <w:color w:val="0D0D0D" w:themeColor="text1" w:themeTint="F2"/>
        </w:rPr>
        <w:t>The number of IPOs receiving initial comment letters is lowest in Food products with a value of 7 (1.13%). The proportion of IPOs receiving initial comment letters is largest in Food products, Paper and Paper products, Engineering and Management Services; in each case, 100% of IPOs receive SEC comment letters. The proportion of IPOs receiving initial comment letters is smallest in Health services (66.67%). To some extent, the statistics suggest that if an industry has a higher volume of IPOs, the proportion of IPOs receiving an initial comment letters is lower, perhaps the SEC’s high workload may reduce the extensiveness of their review</w:t>
      </w:r>
      <w:bookmarkStart w:id="41" w:name="RANGE!A1"/>
      <w:r w:rsidRPr="00943DFA">
        <w:rPr>
          <w:color w:val="0D0D0D" w:themeColor="text1" w:themeTint="F2"/>
        </w:rPr>
        <w:t>s.</w:t>
      </w:r>
    </w:p>
    <w:p w14:paraId="3C13979C" w14:textId="77777777" w:rsidR="00195130" w:rsidRPr="00943DFA" w:rsidRDefault="00195130" w:rsidP="00195130">
      <w:pPr>
        <w:pStyle w:val="Caption"/>
        <w:spacing w:after="0" w:line="360" w:lineRule="auto"/>
        <w:contextualSpacing/>
        <w:rPr>
          <w:b/>
          <w:i w:val="0"/>
          <w:color w:val="0D0D0D" w:themeColor="text1" w:themeTint="F2"/>
          <w:sz w:val="22"/>
          <w:szCs w:val="24"/>
        </w:rPr>
      </w:pPr>
      <w:bookmarkStart w:id="42" w:name="_Ref50694648"/>
      <w:bookmarkStart w:id="43" w:name="_Toc50708210"/>
      <w:bookmarkStart w:id="44" w:name="_Toc85100151"/>
      <w:r w:rsidRPr="00943DFA">
        <w:rPr>
          <w:b/>
          <w:i w:val="0"/>
          <w:color w:val="0D0D0D" w:themeColor="text1" w:themeTint="F2"/>
          <w:sz w:val="22"/>
          <w:szCs w:val="24"/>
        </w:rPr>
        <w:lastRenderedPageBreak/>
        <w:t xml:space="preserve">Table </w:t>
      </w:r>
      <w:r w:rsidRPr="00943DFA">
        <w:rPr>
          <w:b/>
          <w:i w:val="0"/>
          <w:color w:val="0D0D0D" w:themeColor="text1" w:themeTint="F2"/>
          <w:sz w:val="22"/>
          <w:szCs w:val="24"/>
        </w:rPr>
        <w:fldChar w:fldCharType="begin"/>
      </w:r>
      <w:r w:rsidRPr="00943DFA">
        <w:rPr>
          <w:b/>
          <w:i w:val="0"/>
          <w:color w:val="0D0D0D" w:themeColor="text1" w:themeTint="F2"/>
          <w:sz w:val="22"/>
          <w:szCs w:val="24"/>
        </w:rPr>
        <w:instrText xml:space="preserve"> STYLEREF 1 \s </w:instrText>
      </w:r>
      <w:r w:rsidRPr="00943DFA">
        <w:rPr>
          <w:b/>
          <w:i w:val="0"/>
          <w:color w:val="0D0D0D" w:themeColor="text1" w:themeTint="F2"/>
          <w:sz w:val="22"/>
          <w:szCs w:val="24"/>
        </w:rPr>
        <w:fldChar w:fldCharType="separate"/>
      </w:r>
      <w:r w:rsidRPr="00943DFA">
        <w:rPr>
          <w:b/>
          <w:i w:val="0"/>
          <w:noProof/>
          <w:color w:val="0D0D0D" w:themeColor="text1" w:themeTint="F2"/>
          <w:sz w:val="22"/>
          <w:szCs w:val="24"/>
        </w:rPr>
        <w:t>3</w:t>
      </w:r>
      <w:r w:rsidRPr="00943DFA">
        <w:rPr>
          <w:b/>
          <w:i w:val="0"/>
          <w:color w:val="0D0D0D" w:themeColor="text1" w:themeTint="F2"/>
          <w:sz w:val="22"/>
          <w:szCs w:val="24"/>
        </w:rPr>
        <w:fldChar w:fldCharType="end"/>
      </w:r>
      <w:r w:rsidRPr="00943DFA">
        <w:rPr>
          <w:b/>
          <w:i w:val="0"/>
          <w:color w:val="0D0D0D" w:themeColor="text1" w:themeTint="F2"/>
          <w:sz w:val="22"/>
          <w:szCs w:val="24"/>
        </w:rPr>
        <w:t>.</w:t>
      </w:r>
      <w:r w:rsidRPr="00943DFA">
        <w:rPr>
          <w:b/>
          <w:i w:val="0"/>
          <w:color w:val="0D0D0D" w:themeColor="text1" w:themeTint="F2"/>
          <w:sz w:val="22"/>
          <w:szCs w:val="24"/>
        </w:rPr>
        <w:fldChar w:fldCharType="begin"/>
      </w:r>
      <w:r w:rsidRPr="00943DFA">
        <w:rPr>
          <w:b/>
          <w:i w:val="0"/>
          <w:color w:val="0D0D0D" w:themeColor="text1" w:themeTint="F2"/>
          <w:sz w:val="22"/>
          <w:szCs w:val="24"/>
        </w:rPr>
        <w:instrText xml:space="preserve"> SEQ Table \* ARABIC \s 1 </w:instrText>
      </w:r>
      <w:r w:rsidRPr="00943DFA">
        <w:rPr>
          <w:b/>
          <w:i w:val="0"/>
          <w:color w:val="0D0D0D" w:themeColor="text1" w:themeTint="F2"/>
          <w:sz w:val="22"/>
          <w:szCs w:val="24"/>
        </w:rPr>
        <w:fldChar w:fldCharType="separate"/>
      </w:r>
      <w:r w:rsidRPr="00943DFA">
        <w:rPr>
          <w:b/>
          <w:i w:val="0"/>
          <w:noProof/>
          <w:color w:val="0D0D0D" w:themeColor="text1" w:themeTint="F2"/>
          <w:sz w:val="22"/>
          <w:szCs w:val="24"/>
        </w:rPr>
        <w:t>4</w:t>
      </w:r>
      <w:r w:rsidRPr="00943DFA">
        <w:rPr>
          <w:b/>
          <w:i w:val="0"/>
          <w:color w:val="0D0D0D" w:themeColor="text1" w:themeTint="F2"/>
          <w:sz w:val="22"/>
          <w:szCs w:val="24"/>
        </w:rPr>
        <w:fldChar w:fldCharType="end"/>
      </w:r>
      <w:bookmarkEnd w:id="42"/>
      <w:r w:rsidRPr="00943DFA">
        <w:rPr>
          <w:b/>
          <w:i w:val="0"/>
          <w:color w:val="0D0D0D" w:themeColor="text1" w:themeTint="F2"/>
          <w:sz w:val="22"/>
          <w:szCs w:val="24"/>
        </w:rPr>
        <w:t>. Sample distribution</w:t>
      </w:r>
      <w:bookmarkEnd w:id="43"/>
      <w:bookmarkEnd w:id="44"/>
    </w:p>
    <w:tbl>
      <w:tblPr>
        <w:tblW w:w="9260" w:type="dxa"/>
        <w:tblLook w:val="04A0" w:firstRow="1" w:lastRow="0" w:firstColumn="1" w:lastColumn="0" w:noHBand="0" w:noVBand="1"/>
      </w:tblPr>
      <w:tblGrid>
        <w:gridCol w:w="2188"/>
        <w:gridCol w:w="506"/>
        <w:gridCol w:w="960"/>
        <w:gridCol w:w="960"/>
        <w:gridCol w:w="489"/>
        <w:gridCol w:w="960"/>
        <w:gridCol w:w="960"/>
        <w:gridCol w:w="632"/>
        <w:gridCol w:w="1605"/>
      </w:tblGrid>
      <w:tr w:rsidR="00943DFA" w:rsidRPr="00943DFA" w14:paraId="2188C25C" w14:textId="77777777" w:rsidTr="00373B60">
        <w:trPr>
          <w:trHeight w:val="315"/>
        </w:trPr>
        <w:tc>
          <w:tcPr>
            <w:tcW w:w="9260" w:type="dxa"/>
            <w:gridSpan w:val="9"/>
            <w:tcBorders>
              <w:top w:val="nil"/>
              <w:left w:val="nil"/>
              <w:bottom w:val="single" w:sz="8" w:space="0" w:color="auto"/>
              <w:right w:val="nil"/>
            </w:tcBorders>
            <w:shd w:val="clear" w:color="auto" w:fill="auto"/>
            <w:noWrap/>
            <w:vAlign w:val="center"/>
            <w:hideMark/>
          </w:tcPr>
          <w:bookmarkEnd w:id="41"/>
          <w:p w14:paraId="56AC0D58" w14:textId="77777777" w:rsidR="00195130" w:rsidRPr="00943DFA" w:rsidRDefault="00195130" w:rsidP="00373B60">
            <w:pPr>
              <w:contextualSpacing/>
              <w:rPr>
                <w:rFonts w:eastAsia="Times New Roman"/>
                <w:b/>
                <w:bCs/>
                <w:color w:val="0D0D0D" w:themeColor="text1" w:themeTint="F2"/>
                <w:sz w:val="18"/>
              </w:rPr>
            </w:pPr>
            <w:r w:rsidRPr="00943DFA">
              <w:rPr>
                <w:rFonts w:eastAsia="Times New Roman"/>
                <w:b/>
                <w:bCs/>
                <w:color w:val="0D0D0D" w:themeColor="text1" w:themeTint="F2"/>
                <w:sz w:val="18"/>
                <w:szCs w:val="22"/>
              </w:rPr>
              <w:t>Panel A. Time distribution</w:t>
            </w:r>
          </w:p>
        </w:tc>
      </w:tr>
      <w:tr w:rsidR="00943DFA" w:rsidRPr="00943DFA" w14:paraId="2F773C8F" w14:textId="77777777" w:rsidTr="00373B60">
        <w:trPr>
          <w:trHeight w:val="783"/>
        </w:trPr>
        <w:tc>
          <w:tcPr>
            <w:tcW w:w="2188" w:type="dxa"/>
            <w:tcBorders>
              <w:top w:val="nil"/>
              <w:left w:val="nil"/>
              <w:bottom w:val="single" w:sz="8" w:space="0" w:color="auto"/>
              <w:right w:val="nil"/>
            </w:tcBorders>
            <w:shd w:val="clear" w:color="auto" w:fill="auto"/>
            <w:vAlign w:val="center"/>
            <w:hideMark/>
          </w:tcPr>
          <w:p w14:paraId="169511A6"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Filing year of S-1</w:t>
            </w:r>
          </w:p>
        </w:tc>
        <w:tc>
          <w:tcPr>
            <w:tcW w:w="506" w:type="dxa"/>
            <w:tcBorders>
              <w:top w:val="nil"/>
              <w:left w:val="nil"/>
              <w:bottom w:val="nil"/>
              <w:right w:val="nil"/>
            </w:tcBorders>
            <w:shd w:val="clear" w:color="auto" w:fill="auto"/>
            <w:vAlign w:val="center"/>
            <w:hideMark/>
          </w:tcPr>
          <w:p w14:paraId="6FD2D90E" w14:textId="77777777" w:rsidR="00195130" w:rsidRPr="00943DFA" w:rsidRDefault="00195130" w:rsidP="00373B60">
            <w:pPr>
              <w:contextualSpacing/>
              <w:jc w:val="center"/>
              <w:rPr>
                <w:rFonts w:eastAsia="Times New Roman"/>
                <w:b/>
                <w:bCs/>
                <w:color w:val="0D0D0D" w:themeColor="text1" w:themeTint="F2"/>
                <w:sz w:val="18"/>
              </w:rPr>
            </w:pPr>
          </w:p>
        </w:tc>
        <w:tc>
          <w:tcPr>
            <w:tcW w:w="1920" w:type="dxa"/>
            <w:gridSpan w:val="2"/>
            <w:tcBorders>
              <w:top w:val="single" w:sz="8" w:space="0" w:color="auto"/>
              <w:left w:val="nil"/>
              <w:bottom w:val="single" w:sz="8" w:space="0" w:color="auto"/>
              <w:right w:val="nil"/>
            </w:tcBorders>
            <w:shd w:val="clear" w:color="auto" w:fill="auto"/>
            <w:vAlign w:val="center"/>
            <w:hideMark/>
          </w:tcPr>
          <w:p w14:paraId="06DDE06E"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Total IPOs</w:t>
            </w:r>
          </w:p>
        </w:tc>
        <w:tc>
          <w:tcPr>
            <w:tcW w:w="489" w:type="dxa"/>
            <w:tcBorders>
              <w:top w:val="nil"/>
              <w:left w:val="nil"/>
              <w:bottom w:val="nil"/>
              <w:right w:val="nil"/>
            </w:tcBorders>
            <w:shd w:val="clear" w:color="auto" w:fill="auto"/>
            <w:vAlign w:val="center"/>
            <w:hideMark/>
          </w:tcPr>
          <w:p w14:paraId="08F796A2" w14:textId="77777777" w:rsidR="00195130" w:rsidRPr="00943DFA" w:rsidRDefault="00195130" w:rsidP="00373B60">
            <w:pPr>
              <w:contextualSpacing/>
              <w:jc w:val="center"/>
              <w:rPr>
                <w:rFonts w:eastAsia="Times New Roman"/>
                <w:b/>
                <w:bCs/>
                <w:color w:val="0D0D0D" w:themeColor="text1" w:themeTint="F2"/>
                <w:sz w:val="18"/>
              </w:rPr>
            </w:pPr>
          </w:p>
        </w:tc>
        <w:tc>
          <w:tcPr>
            <w:tcW w:w="1920" w:type="dxa"/>
            <w:gridSpan w:val="2"/>
            <w:tcBorders>
              <w:top w:val="single" w:sz="8" w:space="0" w:color="auto"/>
              <w:left w:val="nil"/>
              <w:bottom w:val="single" w:sz="8" w:space="0" w:color="auto"/>
              <w:right w:val="nil"/>
            </w:tcBorders>
            <w:shd w:val="clear" w:color="auto" w:fill="auto"/>
            <w:vAlign w:val="center"/>
            <w:hideMark/>
          </w:tcPr>
          <w:p w14:paraId="1D5A80F2"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IPOs receiving initial comment letters</w:t>
            </w:r>
          </w:p>
        </w:tc>
        <w:tc>
          <w:tcPr>
            <w:tcW w:w="632" w:type="dxa"/>
            <w:tcBorders>
              <w:top w:val="nil"/>
              <w:left w:val="nil"/>
              <w:bottom w:val="nil"/>
              <w:right w:val="nil"/>
            </w:tcBorders>
            <w:shd w:val="clear" w:color="auto" w:fill="auto"/>
            <w:vAlign w:val="center"/>
            <w:hideMark/>
          </w:tcPr>
          <w:p w14:paraId="34119151" w14:textId="77777777" w:rsidR="00195130" w:rsidRPr="00943DFA" w:rsidRDefault="00195130" w:rsidP="00373B60">
            <w:pPr>
              <w:contextualSpacing/>
              <w:jc w:val="center"/>
              <w:rPr>
                <w:rFonts w:eastAsia="Times New Roman"/>
                <w:b/>
                <w:bCs/>
                <w:color w:val="0D0D0D" w:themeColor="text1" w:themeTint="F2"/>
                <w:sz w:val="18"/>
              </w:rPr>
            </w:pPr>
          </w:p>
        </w:tc>
        <w:tc>
          <w:tcPr>
            <w:tcW w:w="1605" w:type="dxa"/>
            <w:tcBorders>
              <w:top w:val="nil"/>
              <w:left w:val="nil"/>
              <w:bottom w:val="single" w:sz="8" w:space="0" w:color="auto"/>
              <w:right w:val="nil"/>
            </w:tcBorders>
            <w:shd w:val="clear" w:color="auto" w:fill="auto"/>
            <w:vAlign w:val="center"/>
            <w:hideMark/>
          </w:tcPr>
          <w:p w14:paraId="21009C41"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 xml:space="preserve">Proportion of IPOs receiving initial comment letters (%) </w:t>
            </w:r>
          </w:p>
        </w:tc>
      </w:tr>
      <w:tr w:rsidR="00943DFA" w:rsidRPr="00943DFA" w14:paraId="6C0114D9" w14:textId="77777777" w:rsidTr="00373B60">
        <w:trPr>
          <w:trHeight w:val="121"/>
        </w:trPr>
        <w:tc>
          <w:tcPr>
            <w:tcW w:w="2188" w:type="dxa"/>
            <w:tcBorders>
              <w:top w:val="nil"/>
              <w:left w:val="nil"/>
              <w:bottom w:val="nil"/>
              <w:right w:val="nil"/>
            </w:tcBorders>
            <w:shd w:val="clear" w:color="auto" w:fill="auto"/>
            <w:vAlign w:val="center"/>
            <w:hideMark/>
          </w:tcPr>
          <w:p w14:paraId="0C5B16B7" w14:textId="77777777" w:rsidR="00195130" w:rsidRPr="00943DFA" w:rsidRDefault="00195130" w:rsidP="00373B60">
            <w:pPr>
              <w:contextualSpacing/>
              <w:jc w:val="center"/>
              <w:rPr>
                <w:rFonts w:eastAsia="Times New Roman"/>
                <w:b/>
                <w:bCs/>
                <w:color w:val="0D0D0D" w:themeColor="text1" w:themeTint="F2"/>
                <w:sz w:val="18"/>
              </w:rPr>
            </w:pPr>
          </w:p>
        </w:tc>
        <w:tc>
          <w:tcPr>
            <w:tcW w:w="506" w:type="dxa"/>
            <w:tcBorders>
              <w:top w:val="nil"/>
              <w:left w:val="nil"/>
              <w:bottom w:val="nil"/>
              <w:right w:val="nil"/>
            </w:tcBorders>
            <w:shd w:val="clear" w:color="auto" w:fill="auto"/>
            <w:vAlign w:val="center"/>
            <w:hideMark/>
          </w:tcPr>
          <w:p w14:paraId="1D831903" w14:textId="77777777" w:rsidR="00195130" w:rsidRPr="00943DFA" w:rsidRDefault="00195130" w:rsidP="00373B60">
            <w:pPr>
              <w:contextualSpacing/>
              <w:jc w:val="center"/>
              <w:rPr>
                <w:rFonts w:eastAsia="Times New Roman"/>
                <w:color w:val="0D0D0D" w:themeColor="text1" w:themeTint="F2"/>
                <w:sz w:val="18"/>
                <w:szCs w:val="20"/>
              </w:rPr>
            </w:pPr>
          </w:p>
        </w:tc>
        <w:tc>
          <w:tcPr>
            <w:tcW w:w="960" w:type="dxa"/>
            <w:tcBorders>
              <w:top w:val="nil"/>
              <w:left w:val="nil"/>
              <w:bottom w:val="single" w:sz="8" w:space="0" w:color="auto"/>
              <w:right w:val="nil"/>
            </w:tcBorders>
            <w:shd w:val="clear" w:color="auto" w:fill="auto"/>
            <w:vAlign w:val="center"/>
            <w:hideMark/>
          </w:tcPr>
          <w:p w14:paraId="49635A36"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N</w:t>
            </w:r>
          </w:p>
        </w:tc>
        <w:tc>
          <w:tcPr>
            <w:tcW w:w="960" w:type="dxa"/>
            <w:tcBorders>
              <w:top w:val="nil"/>
              <w:left w:val="nil"/>
              <w:bottom w:val="single" w:sz="8" w:space="0" w:color="auto"/>
              <w:right w:val="nil"/>
            </w:tcBorders>
            <w:shd w:val="clear" w:color="auto" w:fill="auto"/>
            <w:vAlign w:val="center"/>
            <w:hideMark/>
          </w:tcPr>
          <w:p w14:paraId="0388A675"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w:t>
            </w:r>
          </w:p>
        </w:tc>
        <w:tc>
          <w:tcPr>
            <w:tcW w:w="489" w:type="dxa"/>
            <w:tcBorders>
              <w:top w:val="nil"/>
              <w:left w:val="nil"/>
              <w:bottom w:val="nil"/>
              <w:right w:val="nil"/>
            </w:tcBorders>
            <w:shd w:val="clear" w:color="auto" w:fill="auto"/>
            <w:vAlign w:val="center"/>
            <w:hideMark/>
          </w:tcPr>
          <w:p w14:paraId="2C668C01" w14:textId="77777777" w:rsidR="00195130" w:rsidRPr="00943DFA" w:rsidRDefault="00195130" w:rsidP="00373B60">
            <w:pPr>
              <w:contextualSpacing/>
              <w:jc w:val="center"/>
              <w:rPr>
                <w:rFonts w:eastAsia="Times New Roman"/>
                <w:b/>
                <w:bCs/>
                <w:color w:val="0D0D0D" w:themeColor="text1" w:themeTint="F2"/>
                <w:sz w:val="18"/>
              </w:rPr>
            </w:pPr>
          </w:p>
        </w:tc>
        <w:tc>
          <w:tcPr>
            <w:tcW w:w="960" w:type="dxa"/>
            <w:tcBorders>
              <w:top w:val="nil"/>
              <w:left w:val="nil"/>
              <w:bottom w:val="single" w:sz="8" w:space="0" w:color="auto"/>
              <w:right w:val="nil"/>
            </w:tcBorders>
            <w:shd w:val="clear" w:color="auto" w:fill="auto"/>
            <w:vAlign w:val="center"/>
            <w:hideMark/>
          </w:tcPr>
          <w:p w14:paraId="7515D05C"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N</w:t>
            </w:r>
          </w:p>
        </w:tc>
        <w:tc>
          <w:tcPr>
            <w:tcW w:w="960" w:type="dxa"/>
            <w:tcBorders>
              <w:top w:val="nil"/>
              <w:left w:val="nil"/>
              <w:bottom w:val="single" w:sz="8" w:space="0" w:color="auto"/>
              <w:right w:val="nil"/>
            </w:tcBorders>
            <w:shd w:val="clear" w:color="auto" w:fill="auto"/>
            <w:vAlign w:val="center"/>
            <w:hideMark/>
          </w:tcPr>
          <w:p w14:paraId="60E75CFF"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w:t>
            </w:r>
          </w:p>
        </w:tc>
        <w:tc>
          <w:tcPr>
            <w:tcW w:w="632" w:type="dxa"/>
            <w:tcBorders>
              <w:top w:val="nil"/>
              <w:left w:val="nil"/>
              <w:bottom w:val="nil"/>
              <w:right w:val="nil"/>
            </w:tcBorders>
            <w:shd w:val="clear" w:color="auto" w:fill="auto"/>
            <w:vAlign w:val="center"/>
            <w:hideMark/>
          </w:tcPr>
          <w:p w14:paraId="26E77AFB" w14:textId="77777777" w:rsidR="00195130" w:rsidRPr="00943DFA" w:rsidRDefault="00195130" w:rsidP="00373B60">
            <w:pPr>
              <w:contextualSpacing/>
              <w:jc w:val="center"/>
              <w:rPr>
                <w:rFonts w:eastAsia="Times New Roman"/>
                <w:b/>
                <w:bCs/>
                <w:color w:val="0D0D0D" w:themeColor="text1" w:themeTint="F2"/>
                <w:sz w:val="18"/>
              </w:rPr>
            </w:pPr>
          </w:p>
        </w:tc>
        <w:tc>
          <w:tcPr>
            <w:tcW w:w="1605" w:type="dxa"/>
            <w:tcBorders>
              <w:top w:val="nil"/>
              <w:left w:val="nil"/>
              <w:bottom w:val="nil"/>
              <w:right w:val="nil"/>
            </w:tcBorders>
            <w:shd w:val="clear" w:color="auto" w:fill="auto"/>
            <w:vAlign w:val="center"/>
            <w:hideMark/>
          </w:tcPr>
          <w:p w14:paraId="1965A895" w14:textId="77777777" w:rsidR="00195130" w:rsidRPr="00943DFA" w:rsidRDefault="00195130" w:rsidP="00373B60">
            <w:pPr>
              <w:contextualSpacing/>
              <w:jc w:val="center"/>
              <w:rPr>
                <w:rFonts w:eastAsia="Times New Roman"/>
                <w:color w:val="0D0D0D" w:themeColor="text1" w:themeTint="F2"/>
                <w:sz w:val="18"/>
                <w:szCs w:val="20"/>
              </w:rPr>
            </w:pPr>
          </w:p>
        </w:tc>
      </w:tr>
      <w:tr w:rsidR="00943DFA" w:rsidRPr="00943DFA" w14:paraId="035C007A" w14:textId="77777777" w:rsidTr="00373B60">
        <w:trPr>
          <w:trHeight w:val="300"/>
        </w:trPr>
        <w:tc>
          <w:tcPr>
            <w:tcW w:w="2188" w:type="dxa"/>
            <w:tcBorders>
              <w:top w:val="nil"/>
              <w:left w:val="nil"/>
              <w:bottom w:val="nil"/>
              <w:right w:val="nil"/>
            </w:tcBorders>
            <w:shd w:val="clear" w:color="auto" w:fill="auto"/>
            <w:noWrap/>
            <w:vAlign w:val="center"/>
            <w:hideMark/>
          </w:tcPr>
          <w:p w14:paraId="0089B5E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2005</w:t>
            </w:r>
          </w:p>
        </w:tc>
        <w:tc>
          <w:tcPr>
            <w:tcW w:w="506" w:type="dxa"/>
            <w:tcBorders>
              <w:top w:val="nil"/>
              <w:left w:val="nil"/>
              <w:bottom w:val="nil"/>
              <w:right w:val="nil"/>
            </w:tcBorders>
            <w:shd w:val="clear" w:color="auto" w:fill="auto"/>
            <w:noWrap/>
            <w:vAlign w:val="center"/>
            <w:hideMark/>
          </w:tcPr>
          <w:p w14:paraId="3E1530EB"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4E028FD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57</w:t>
            </w:r>
          </w:p>
        </w:tc>
        <w:tc>
          <w:tcPr>
            <w:tcW w:w="960" w:type="dxa"/>
            <w:tcBorders>
              <w:top w:val="nil"/>
              <w:left w:val="nil"/>
              <w:bottom w:val="nil"/>
              <w:right w:val="nil"/>
            </w:tcBorders>
            <w:shd w:val="clear" w:color="auto" w:fill="auto"/>
            <w:noWrap/>
            <w:vAlign w:val="center"/>
            <w:hideMark/>
          </w:tcPr>
          <w:p w14:paraId="5354588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6.27</w:t>
            </w:r>
          </w:p>
        </w:tc>
        <w:tc>
          <w:tcPr>
            <w:tcW w:w="489" w:type="dxa"/>
            <w:tcBorders>
              <w:top w:val="nil"/>
              <w:left w:val="nil"/>
              <w:bottom w:val="nil"/>
              <w:right w:val="nil"/>
            </w:tcBorders>
            <w:shd w:val="clear" w:color="auto" w:fill="auto"/>
            <w:noWrap/>
            <w:vAlign w:val="center"/>
            <w:hideMark/>
          </w:tcPr>
          <w:p w14:paraId="65D5532A"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43E4527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48</w:t>
            </w:r>
          </w:p>
        </w:tc>
        <w:tc>
          <w:tcPr>
            <w:tcW w:w="960" w:type="dxa"/>
            <w:tcBorders>
              <w:top w:val="nil"/>
              <w:left w:val="nil"/>
              <w:bottom w:val="nil"/>
              <w:right w:val="nil"/>
            </w:tcBorders>
            <w:shd w:val="clear" w:color="auto" w:fill="auto"/>
            <w:noWrap/>
            <w:vAlign w:val="center"/>
            <w:hideMark/>
          </w:tcPr>
          <w:p w14:paraId="293C81C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6.76</w:t>
            </w:r>
          </w:p>
        </w:tc>
        <w:tc>
          <w:tcPr>
            <w:tcW w:w="632" w:type="dxa"/>
            <w:tcBorders>
              <w:top w:val="nil"/>
              <w:left w:val="nil"/>
              <w:bottom w:val="nil"/>
              <w:right w:val="nil"/>
            </w:tcBorders>
            <w:shd w:val="clear" w:color="auto" w:fill="auto"/>
            <w:noWrap/>
            <w:vAlign w:val="center"/>
            <w:hideMark/>
          </w:tcPr>
          <w:p w14:paraId="114AEA36"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0207E15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84.21</w:t>
            </w:r>
          </w:p>
        </w:tc>
      </w:tr>
      <w:tr w:rsidR="00943DFA" w:rsidRPr="00943DFA" w14:paraId="71A7C6C4" w14:textId="77777777" w:rsidTr="00373B60">
        <w:trPr>
          <w:trHeight w:val="300"/>
        </w:trPr>
        <w:tc>
          <w:tcPr>
            <w:tcW w:w="2188" w:type="dxa"/>
            <w:tcBorders>
              <w:top w:val="nil"/>
              <w:left w:val="nil"/>
              <w:bottom w:val="nil"/>
              <w:right w:val="nil"/>
            </w:tcBorders>
            <w:shd w:val="clear" w:color="auto" w:fill="auto"/>
            <w:noWrap/>
            <w:vAlign w:val="center"/>
            <w:hideMark/>
          </w:tcPr>
          <w:p w14:paraId="7B8AFB3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2006</w:t>
            </w:r>
          </w:p>
        </w:tc>
        <w:tc>
          <w:tcPr>
            <w:tcW w:w="506" w:type="dxa"/>
            <w:tcBorders>
              <w:top w:val="nil"/>
              <w:left w:val="nil"/>
              <w:bottom w:val="nil"/>
              <w:right w:val="nil"/>
            </w:tcBorders>
            <w:shd w:val="clear" w:color="auto" w:fill="auto"/>
            <w:noWrap/>
            <w:vAlign w:val="center"/>
            <w:hideMark/>
          </w:tcPr>
          <w:p w14:paraId="1DD3AAD0"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5C4CA94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103</w:t>
            </w:r>
          </w:p>
        </w:tc>
        <w:tc>
          <w:tcPr>
            <w:tcW w:w="960" w:type="dxa"/>
            <w:tcBorders>
              <w:top w:val="nil"/>
              <w:left w:val="nil"/>
              <w:bottom w:val="nil"/>
              <w:right w:val="nil"/>
            </w:tcBorders>
            <w:shd w:val="clear" w:color="auto" w:fill="auto"/>
            <w:noWrap/>
            <w:vAlign w:val="center"/>
            <w:hideMark/>
          </w:tcPr>
          <w:p w14:paraId="0407001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11.33</w:t>
            </w:r>
          </w:p>
        </w:tc>
        <w:tc>
          <w:tcPr>
            <w:tcW w:w="489" w:type="dxa"/>
            <w:tcBorders>
              <w:top w:val="nil"/>
              <w:left w:val="nil"/>
              <w:bottom w:val="nil"/>
              <w:right w:val="nil"/>
            </w:tcBorders>
            <w:shd w:val="clear" w:color="auto" w:fill="auto"/>
            <w:noWrap/>
            <w:vAlign w:val="center"/>
            <w:hideMark/>
          </w:tcPr>
          <w:p w14:paraId="1B9ADFB3"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1F84A71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93</w:t>
            </w:r>
          </w:p>
        </w:tc>
        <w:tc>
          <w:tcPr>
            <w:tcW w:w="960" w:type="dxa"/>
            <w:tcBorders>
              <w:top w:val="nil"/>
              <w:left w:val="nil"/>
              <w:bottom w:val="nil"/>
              <w:right w:val="nil"/>
            </w:tcBorders>
            <w:shd w:val="clear" w:color="auto" w:fill="auto"/>
            <w:noWrap/>
            <w:vAlign w:val="center"/>
            <w:hideMark/>
          </w:tcPr>
          <w:p w14:paraId="3F0B587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13.1</w:t>
            </w:r>
          </w:p>
        </w:tc>
        <w:tc>
          <w:tcPr>
            <w:tcW w:w="632" w:type="dxa"/>
            <w:tcBorders>
              <w:top w:val="nil"/>
              <w:left w:val="nil"/>
              <w:bottom w:val="nil"/>
              <w:right w:val="nil"/>
            </w:tcBorders>
            <w:shd w:val="clear" w:color="auto" w:fill="auto"/>
            <w:noWrap/>
            <w:vAlign w:val="center"/>
            <w:hideMark/>
          </w:tcPr>
          <w:p w14:paraId="314D22F9"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7743733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90.29</w:t>
            </w:r>
          </w:p>
        </w:tc>
      </w:tr>
      <w:tr w:rsidR="00943DFA" w:rsidRPr="00943DFA" w14:paraId="3EC72BBA" w14:textId="77777777" w:rsidTr="00373B60">
        <w:trPr>
          <w:trHeight w:val="300"/>
        </w:trPr>
        <w:tc>
          <w:tcPr>
            <w:tcW w:w="2188" w:type="dxa"/>
            <w:tcBorders>
              <w:top w:val="nil"/>
              <w:left w:val="nil"/>
              <w:bottom w:val="nil"/>
              <w:right w:val="nil"/>
            </w:tcBorders>
            <w:shd w:val="clear" w:color="auto" w:fill="auto"/>
            <w:noWrap/>
            <w:vAlign w:val="center"/>
            <w:hideMark/>
          </w:tcPr>
          <w:p w14:paraId="4C8139A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2007</w:t>
            </w:r>
          </w:p>
        </w:tc>
        <w:tc>
          <w:tcPr>
            <w:tcW w:w="506" w:type="dxa"/>
            <w:tcBorders>
              <w:top w:val="nil"/>
              <w:left w:val="nil"/>
              <w:bottom w:val="nil"/>
              <w:right w:val="nil"/>
            </w:tcBorders>
            <w:shd w:val="clear" w:color="auto" w:fill="auto"/>
            <w:noWrap/>
            <w:vAlign w:val="center"/>
            <w:hideMark/>
          </w:tcPr>
          <w:p w14:paraId="148C82AC"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6D7DC84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94</w:t>
            </w:r>
          </w:p>
        </w:tc>
        <w:tc>
          <w:tcPr>
            <w:tcW w:w="960" w:type="dxa"/>
            <w:tcBorders>
              <w:top w:val="nil"/>
              <w:left w:val="nil"/>
              <w:bottom w:val="nil"/>
              <w:right w:val="nil"/>
            </w:tcBorders>
            <w:shd w:val="clear" w:color="auto" w:fill="auto"/>
            <w:noWrap/>
            <w:vAlign w:val="center"/>
            <w:hideMark/>
          </w:tcPr>
          <w:p w14:paraId="0D78B2F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10.34</w:t>
            </w:r>
          </w:p>
        </w:tc>
        <w:tc>
          <w:tcPr>
            <w:tcW w:w="489" w:type="dxa"/>
            <w:tcBorders>
              <w:top w:val="nil"/>
              <w:left w:val="nil"/>
              <w:bottom w:val="nil"/>
              <w:right w:val="nil"/>
            </w:tcBorders>
            <w:shd w:val="clear" w:color="auto" w:fill="auto"/>
            <w:noWrap/>
            <w:vAlign w:val="center"/>
            <w:hideMark/>
          </w:tcPr>
          <w:p w14:paraId="6A778F77"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07C7B63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83</w:t>
            </w:r>
          </w:p>
        </w:tc>
        <w:tc>
          <w:tcPr>
            <w:tcW w:w="960" w:type="dxa"/>
            <w:tcBorders>
              <w:top w:val="nil"/>
              <w:left w:val="nil"/>
              <w:bottom w:val="nil"/>
              <w:right w:val="nil"/>
            </w:tcBorders>
            <w:shd w:val="clear" w:color="auto" w:fill="auto"/>
            <w:noWrap/>
            <w:vAlign w:val="center"/>
            <w:hideMark/>
          </w:tcPr>
          <w:p w14:paraId="13A69B6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11.69</w:t>
            </w:r>
          </w:p>
        </w:tc>
        <w:tc>
          <w:tcPr>
            <w:tcW w:w="632" w:type="dxa"/>
            <w:tcBorders>
              <w:top w:val="nil"/>
              <w:left w:val="nil"/>
              <w:bottom w:val="nil"/>
              <w:right w:val="nil"/>
            </w:tcBorders>
            <w:shd w:val="clear" w:color="auto" w:fill="auto"/>
            <w:noWrap/>
            <w:vAlign w:val="center"/>
            <w:hideMark/>
          </w:tcPr>
          <w:p w14:paraId="79A55B98"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57B7BC7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88.3</w:t>
            </w:r>
          </w:p>
        </w:tc>
      </w:tr>
      <w:tr w:rsidR="00943DFA" w:rsidRPr="00943DFA" w14:paraId="60D5C378" w14:textId="77777777" w:rsidTr="00373B60">
        <w:trPr>
          <w:trHeight w:val="300"/>
        </w:trPr>
        <w:tc>
          <w:tcPr>
            <w:tcW w:w="2188" w:type="dxa"/>
            <w:tcBorders>
              <w:top w:val="nil"/>
              <w:left w:val="nil"/>
              <w:bottom w:val="nil"/>
              <w:right w:val="nil"/>
            </w:tcBorders>
            <w:shd w:val="clear" w:color="auto" w:fill="auto"/>
            <w:noWrap/>
            <w:vAlign w:val="center"/>
            <w:hideMark/>
          </w:tcPr>
          <w:p w14:paraId="79E5655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2008</w:t>
            </w:r>
          </w:p>
        </w:tc>
        <w:tc>
          <w:tcPr>
            <w:tcW w:w="506" w:type="dxa"/>
            <w:tcBorders>
              <w:top w:val="nil"/>
              <w:left w:val="nil"/>
              <w:bottom w:val="nil"/>
              <w:right w:val="nil"/>
            </w:tcBorders>
            <w:shd w:val="clear" w:color="auto" w:fill="auto"/>
            <w:noWrap/>
            <w:vAlign w:val="center"/>
            <w:hideMark/>
          </w:tcPr>
          <w:p w14:paraId="706ECF71"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66190B7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19</w:t>
            </w:r>
          </w:p>
        </w:tc>
        <w:tc>
          <w:tcPr>
            <w:tcW w:w="960" w:type="dxa"/>
            <w:tcBorders>
              <w:top w:val="nil"/>
              <w:left w:val="nil"/>
              <w:bottom w:val="nil"/>
              <w:right w:val="nil"/>
            </w:tcBorders>
            <w:shd w:val="clear" w:color="auto" w:fill="auto"/>
            <w:noWrap/>
            <w:vAlign w:val="center"/>
            <w:hideMark/>
          </w:tcPr>
          <w:p w14:paraId="69DA10AC"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2.09</w:t>
            </w:r>
          </w:p>
        </w:tc>
        <w:tc>
          <w:tcPr>
            <w:tcW w:w="489" w:type="dxa"/>
            <w:tcBorders>
              <w:top w:val="nil"/>
              <w:left w:val="nil"/>
              <w:bottom w:val="nil"/>
              <w:right w:val="nil"/>
            </w:tcBorders>
            <w:shd w:val="clear" w:color="auto" w:fill="auto"/>
            <w:noWrap/>
            <w:vAlign w:val="center"/>
            <w:hideMark/>
          </w:tcPr>
          <w:p w14:paraId="6DBE9004"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42A7DB1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16</w:t>
            </w:r>
          </w:p>
        </w:tc>
        <w:tc>
          <w:tcPr>
            <w:tcW w:w="960" w:type="dxa"/>
            <w:tcBorders>
              <w:top w:val="nil"/>
              <w:left w:val="nil"/>
              <w:bottom w:val="nil"/>
              <w:right w:val="nil"/>
            </w:tcBorders>
            <w:shd w:val="clear" w:color="auto" w:fill="auto"/>
            <w:noWrap/>
            <w:vAlign w:val="center"/>
            <w:hideMark/>
          </w:tcPr>
          <w:p w14:paraId="3C8DFCD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2.25</w:t>
            </w:r>
          </w:p>
        </w:tc>
        <w:tc>
          <w:tcPr>
            <w:tcW w:w="632" w:type="dxa"/>
            <w:tcBorders>
              <w:top w:val="nil"/>
              <w:left w:val="nil"/>
              <w:bottom w:val="nil"/>
              <w:right w:val="nil"/>
            </w:tcBorders>
            <w:shd w:val="clear" w:color="auto" w:fill="auto"/>
            <w:noWrap/>
            <w:vAlign w:val="center"/>
            <w:hideMark/>
          </w:tcPr>
          <w:p w14:paraId="2E2AAADD"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35E9AE7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84.21</w:t>
            </w:r>
          </w:p>
        </w:tc>
      </w:tr>
      <w:tr w:rsidR="00943DFA" w:rsidRPr="00943DFA" w14:paraId="3219E9AA" w14:textId="77777777" w:rsidTr="00373B60">
        <w:trPr>
          <w:trHeight w:val="74"/>
        </w:trPr>
        <w:tc>
          <w:tcPr>
            <w:tcW w:w="2188" w:type="dxa"/>
            <w:tcBorders>
              <w:top w:val="nil"/>
              <w:left w:val="nil"/>
              <w:bottom w:val="nil"/>
              <w:right w:val="nil"/>
            </w:tcBorders>
            <w:shd w:val="clear" w:color="auto" w:fill="auto"/>
            <w:noWrap/>
            <w:vAlign w:val="center"/>
            <w:hideMark/>
          </w:tcPr>
          <w:p w14:paraId="03B8C90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2009</w:t>
            </w:r>
          </w:p>
        </w:tc>
        <w:tc>
          <w:tcPr>
            <w:tcW w:w="506" w:type="dxa"/>
            <w:tcBorders>
              <w:top w:val="nil"/>
              <w:left w:val="nil"/>
              <w:bottom w:val="nil"/>
              <w:right w:val="nil"/>
            </w:tcBorders>
            <w:shd w:val="clear" w:color="auto" w:fill="auto"/>
            <w:noWrap/>
            <w:vAlign w:val="center"/>
            <w:hideMark/>
          </w:tcPr>
          <w:p w14:paraId="6305FE97"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7804E54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41</w:t>
            </w:r>
          </w:p>
        </w:tc>
        <w:tc>
          <w:tcPr>
            <w:tcW w:w="960" w:type="dxa"/>
            <w:tcBorders>
              <w:top w:val="nil"/>
              <w:left w:val="nil"/>
              <w:bottom w:val="nil"/>
              <w:right w:val="nil"/>
            </w:tcBorders>
            <w:shd w:val="clear" w:color="auto" w:fill="auto"/>
            <w:noWrap/>
            <w:vAlign w:val="center"/>
            <w:hideMark/>
          </w:tcPr>
          <w:p w14:paraId="6EDBFF3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4.51</w:t>
            </w:r>
          </w:p>
        </w:tc>
        <w:tc>
          <w:tcPr>
            <w:tcW w:w="489" w:type="dxa"/>
            <w:tcBorders>
              <w:top w:val="nil"/>
              <w:left w:val="nil"/>
              <w:bottom w:val="nil"/>
              <w:right w:val="nil"/>
            </w:tcBorders>
            <w:shd w:val="clear" w:color="auto" w:fill="auto"/>
            <w:noWrap/>
            <w:vAlign w:val="center"/>
            <w:hideMark/>
          </w:tcPr>
          <w:p w14:paraId="08DB1D6E"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5904B1D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40</w:t>
            </w:r>
          </w:p>
        </w:tc>
        <w:tc>
          <w:tcPr>
            <w:tcW w:w="960" w:type="dxa"/>
            <w:tcBorders>
              <w:top w:val="nil"/>
              <w:left w:val="nil"/>
              <w:bottom w:val="nil"/>
              <w:right w:val="nil"/>
            </w:tcBorders>
            <w:shd w:val="clear" w:color="auto" w:fill="auto"/>
            <w:noWrap/>
            <w:vAlign w:val="center"/>
            <w:hideMark/>
          </w:tcPr>
          <w:p w14:paraId="24277DB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5.63</w:t>
            </w:r>
          </w:p>
        </w:tc>
        <w:tc>
          <w:tcPr>
            <w:tcW w:w="632" w:type="dxa"/>
            <w:tcBorders>
              <w:top w:val="nil"/>
              <w:left w:val="nil"/>
              <w:bottom w:val="nil"/>
              <w:right w:val="nil"/>
            </w:tcBorders>
            <w:shd w:val="clear" w:color="auto" w:fill="auto"/>
            <w:noWrap/>
            <w:vAlign w:val="center"/>
            <w:hideMark/>
          </w:tcPr>
          <w:p w14:paraId="1A0FA670"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6570C3F1"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97.56</w:t>
            </w:r>
          </w:p>
        </w:tc>
      </w:tr>
      <w:tr w:rsidR="00943DFA" w:rsidRPr="00943DFA" w14:paraId="633118E2" w14:textId="77777777" w:rsidTr="00373B60">
        <w:trPr>
          <w:trHeight w:val="225"/>
        </w:trPr>
        <w:tc>
          <w:tcPr>
            <w:tcW w:w="2188" w:type="dxa"/>
            <w:tcBorders>
              <w:top w:val="nil"/>
              <w:left w:val="nil"/>
              <w:bottom w:val="nil"/>
              <w:right w:val="nil"/>
            </w:tcBorders>
            <w:shd w:val="clear" w:color="auto" w:fill="auto"/>
            <w:noWrap/>
            <w:vAlign w:val="center"/>
            <w:hideMark/>
          </w:tcPr>
          <w:p w14:paraId="2725F4E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2010</w:t>
            </w:r>
          </w:p>
        </w:tc>
        <w:tc>
          <w:tcPr>
            <w:tcW w:w="506" w:type="dxa"/>
            <w:tcBorders>
              <w:top w:val="nil"/>
              <w:left w:val="nil"/>
              <w:bottom w:val="nil"/>
              <w:right w:val="nil"/>
            </w:tcBorders>
            <w:shd w:val="clear" w:color="auto" w:fill="auto"/>
            <w:noWrap/>
            <w:vAlign w:val="center"/>
            <w:hideMark/>
          </w:tcPr>
          <w:p w14:paraId="7631FD96"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76DA6D5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66</w:t>
            </w:r>
          </w:p>
        </w:tc>
        <w:tc>
          <w:tcPr>
            <w:tcW w:w="960" w:type="dxa"/>
            <w:tcBorders>
              <w:top w:val="nil"/>
              <w:left w:val="nil"/>
              <w:bottom w:val="nil"/>
              <w:right w:val="nil"/>
            </w:tcBorders>
            <w:shd w:val="clear" w:color="auto" w:fill="auto"/>
            <w:noWrap/>
            <w:vAlign w:val="center"/>
            <w:hideMark/>
          </w:tcPr>
          <w:p w14:paraId="34A244A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7.26</w:t>
            </w:r>
          </w:p>
        </w:tc>
        <w:tc>
          <w:tcPr>
            <w:tcW w:w="489" w:type="dxa"/>
            <w:tcBorders>
              <w:top w:val="nil"/>
              <w:left w:val="nil"/>
              <w:bottom w:val="nil"/>
              <w:right w:val="nil"/>
            </w:tcBorders>
            <w:shd w:val="clear" w:color="auto" w:fill="auto"/>
            <w:noWrap/>
            <w:vAlign w:val="center"/>
            <w:hideMark/>
          </w:tcPr>
          <w:p w14:paraId="5030999A"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7381881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59</w:t>
            </w:r>
          </w:p>
        </w:tc>
        <w:tc>
          <w:tcPr>
            <w:tcW w:w="960" w:type="dxa"/>
            <w:tcBorders>
              <w:top w:val="nil"/>
              <w:left w:val="nil"/>
              <w:bottom w:val="nil"/>
              <w:right w:val="nil"/>
            </w:tcBorders>
            <w:shd w:val="clear" w:color="auto" w:fill="auto"/>
            <w:noWrap/>
            <w:vAlign w:val="center"/>
            <w:hideMark/>
          </w:tcPr>
          <w:p w14:paraId="4B4F418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8.31</w:t>
            </w:r>
          </w:p>
        </w:tc>
        <w:tc>
          <w:tcPr>
            <w:tcW w:w="632" w:type="dxa"/>
            <w:tcBorders>
              <w:top w:val="nil"/>
              <w:left w:val="nil"/>
              <w:bottom w:val="nil"/>
              <w:right w:val="nil"/>
            </w:tcBorders>
            <w:shd w:val="clear" w:color="auto" w:fill="auto"/>
            <w:noWrap/>
            <w:vAlign w:val="center"/>
            <w:hideMark/>
          </w:tcPr>
          <w:p w14:paraId="3A910001"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67B9EFC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89.39</w:t>
            </w:r>
          </w:p>
        </w:tc>
      </w:tr>
      <w:tr w:rsidR="00943DFA" w:rsidRPr="00943DFA" w14:paraId="12CB4043" w14:textId="77777777" w:rsidTr="00373B60">
        <w:trPr>
          <w:trHeight w:val="300"/>
        </w:trPr>
        <w:tc>
          <w:tcPr>
            <w:tcW w:w="2188" w:type="dxa"/>
            <w:tcBorders>
              <w:top w:val="nil"/>
              <w:left w:val="nil"/>
              <w:bottom w:val="nil"/>
              <w:right w:val="nil"/>
            </w:tcBorders>
            <w:shd w:val="clear" w:color="auto" w:fill="auto"/>
            <w:noWrap/>
            <w:vAlign w:val="center"/>
            <w:hideMark/>
          </w:tcPr>
          <w:p w14:paraId="6D9483A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2011</w:t>
            </w:r>
          </w:p>
        </w:tc>
        <w:tc>
          <w:tcPr>
            <w:tcW w:w="506" w:type="dxa"/>
            <w:tcBorders>
              <w:top w:val="nil"/>
              <w:left w:val="nil"/>
              <w:bottom w:val="nil"/>
              <w:right w:val="nil"/>
            </w:tcBorders>
            <w:shd w:val="clear" w:color="auto" w:fill="auto"/>
            <w:noWrap/>
            <w:vAlign w:val="center"/>
            <w:hideMark/>
          </w:tcPr>
          <w:p w14:paraId="758B4035"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7A2B276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68</w:t>
            </w:r>
          </w:p>
        </w:tc>
        <w:tc>
          <w:tcPr>
            <w:tcW w:w="960" w:type="dxa"/>
            <w:tcBorders>
              <w:top w:val="nil"/>
              <w:left w:val="nil"/>
              <w:bottom w:val="nil"/>
              <w:right w:val="nil"/>
            </w:tcBorders>
            <w:shd w:val="clear" w:color="auto" w:fill="auto"/>
            <w:noWrap/>
            <w:vAlign w:val="center"/>
            <w:hideMark/>
          </w:tcPr>
          <w:p w14:paraId="6493F89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7.48</w:t>
            </w:r>
          </w:p>
        </w:tc>
        <w:tc>
          <w:tcPr>
            <w:tcW w:w="489" w:type="dxa"/>
            <w:tcBorders>
              <w:top w:val="nil"/>
              <w:left w:val="nil"/>
              <w:bottom w:val="nil"/>
              <w:right w:val="nil"/>
            </w:tcBorders>
            <w:shd w:val="clear" w:color="auto" w:fill="auto"/>
            <w:noWrap/>
            <w:vAlign w:val="center"/>
            <w:hideMark/>
          </w:tcPr>
          <w:p w14:paraId="1BB43556"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6B6EE97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66</w:t>
            </w:r>
          </w:p>
        </w:tc>
        <w:tc>
          <w:tcPr>
            <w:tcW w:w="960" w:type="dxa"/>
            <w:tcBorders>
              <w:top w:val="nil"/>
              <w:left w:val="nil"/>
              <w:bottom w:val="nil"/>
              <w:right w:val="nil"/>
            </w:tcBorders>
            <w:shd w:val="clear" w:color="auto" w:fill="auto"/>
            <w:noWrap/>
            <w:vAlign w:val="center"/>
            <w:hideMark/>
          </w:tcPr>
          <w:p w14:paraId="18FFC0D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9.3</w:t>
            </w:r>
          </w:p>
        </w:tc>
        <w:tc>
          <w:tcPr>
            <w:tcW w:w="632" w:type="dxa"/>
            <w:tcBorders>
              <w:top w:val="nil"/>
              <w:left w:val="nil"/>
              <w:bottom w:val="nil"/>
              <w:right w:val="nil"/>
            </w:tcBorders>
            <w:shd w:val="clear" w:color="auto" w:fill="auto"/>
            <w:noWrap/>
            <w:vAlign w:val="center"/>
            <w:hideMark/>
          </w:tcPr>
          <w:p w14:paraId="2696CC82"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0230522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97.06</w:t>
            </w:r>
          </w:p>
        </w:tc>
      </w:tr>
      <w:tr w:rsidR="00943DFA" w:rsidRPr="00943DFA" w14:paraId="322D221E" w14:textId="77777777" w:rsidTr="00373B60">
        <w:trPr>
          <w:trHeight w:val="300"/>
        </w:trPr>
        <w:tc>
          <w:tcPr>
            <w:tcW w:w="2188" w:type="dxa"/>
            <w:tcBorders>
              <w:top w:val="nil"/>
              <w:left w:val="nil"/>
              <w:bottom w:val="nil"/>
              <w:right w:val="nil"/>
            </w:tcBorders>
            <w:shd w:val="clear" w:color="auto" w:fill="auto"/>
            <w:noWrap/>
            <w:vAlign w:val="center"/>
            <w:hideMark/>
          </w:tcPr>
          <w:p w14:paraId="1A6D0B6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2012</w:t>
            </w:r>
          </w:p>
        </w:tc>
        <w:tc>
          <w:tcPr>
            <w:tcW w:w="506" w:type="dxa"/>
            <w:tcBorders>
              <w:top w:val="nil"/>
              <w:left w:val="nil"/>
              <w:bottom w:val="nil"/>
              <w:right w:val="nil"/>
            </w:tcBorders>
            <w:shd w:val="clear" w:color="auto" w:fill="auto"/>
            <w:noWrap/>
            <w:vAlign w:val="center"/>
            <w:hideMark/>
          </w:tcPr>
          <w:p w14:paraId="645A6C31"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7BF5797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41</w:t>
            </w:r>
          </w:p>
        </w:tc>
        <w:tc>
          <w:tcPr>
            <w:tcW w:w="960" w:type="dxa"/>
            <w:tcBorders>
              <w:top w:val="nil"/>
              <w:left w:val="nil"/>
              <w:bottom w:val="nil"/>
              <w:right w:val="nil"/>
            </w:tcBorders>
            <w:shd w:val="clear" w:color="auto" w:fill="auto"/>
            <w:noWrap/>
            <w:vAlign w:val="center"/>
            <w:hideMark/>
          </w:tcPr>
          <w:p w14:paraId="134229D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4.51</w:t>
            </w:r>
          </w:p>
        </w:tc>
        <w:tc>
          <w:tcPr>
            <w:tcW w:w="489" w:type="dxa"/>
            <w:tcBorders>
              <w:top w:val="nil"/>
              <w:left w:val="nil"/>
              <w:bottom w:val="nil"/>
              <w:right w:val="nil"/>
            </w:tcBorders>
            <w:shd w:val="clear" w:color="auto" w:fill="auto"/>
            <w:noWrap/>
            <w:vAlign w:val="center"/>
            <w:hideMark/>
          </w:tcPr>
          <w:p w14:paraId="6C4B115D"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16E5FFD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38</w:t>
            </w:r>
          </w:p>
        </w:tc>
        <w:tc>
          <w:tcPr>
            <w:tcW w:w="960" w:type="dxa"/>
            <w:tcBorders>
              <w:top w:val="nil"/>
              <w:left w:val="nil"/>
              <w:bottom w:val="nil"/>
              <w:right w:val="nil"/>
            </w:tcBorders>
            <w:shd w:val="clear" w:color="auto" w:fill="auto"/>
            <w:noWrap/>
            <w:vAlign w:val="center"/>
            <w:hideMark/>
          </w:tcPr>
          <w:p w14:paraId="1094BA0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5.35</w:t>
            </w:r>
          </w:p>
        </w:tc>
        <w:tc>
          <w:tcPr>
            <w:tcW w:w="632" w:type="dxa"/>
            <w:tcBorders>
              <w:top w:val="nil"/>
              <w:left w:val="nil"/>
              <w:bottom w:val="nil"/>
              <w:right w:val="nil"/>
            </w:tcBorders>
            <w:shd w:val="clear" w:color="auto" w:fill="auto"/>
            <w:noWrap/>
            <w:vAlign w:val="center"/>
            <w:hideMark/>
          </w:tcPr>
          <w:p w14:paraId="34B1F0CB"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296F697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92.68</w:t>
            </w:r>
          </w:p>
        </w:tc>
      </w:tr>
      <w:tr w:rsidR="00943DFA" w:rsidRPr="00943DFA" w14:paraId="4B7E9B11" w14:textId="77777777" w:rsidTr="00373B60">
        <w:trPr>
          <w:trHeight w:val="300"/>
        </w:trPr>
        <w:tc>
          <w:tcPr>
            <w:tcW w:w="2188" w:type="dxa"/>
            <w:tcBorders>
              <w:top w:val="nil"/>
              <w:left w:val="nil"/>
              <w:bottom w:val="nil"/>
              <w:right w:val="nil"/>
            </w:tcBorders>
            <w:shd w:val="clear" w:color="auto" w:fill="auto"/>
            <w:noWrap/>
            <w:vAlign w:val="center"/>
            <w:hideMark/>
          </w:tcPr>
          <w:p w14:paraId="08829B5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2013</w:t>
            </w:r>
          </w:p>
        </w:tc>
        <w:tc>
          <w:tcPr>
            <w:tcW w:w="506" w:type="dxa"/>
            <w:tcBorders>
              <w:top w:val="nil"/>
              <w:left w:val="nil"/>
              <w:bottom w:val="nil"/>
              <w:right w:val="nil"/>
            </w:tcBorders>
            <w:shd w:val="clear" w:color="auto" w:fill="auto"/>
            <w:noWrap/>
            <w:vAlign w:val="center"/>
            <w:hideMark/>
          </w:tcPr>
          <w:p w14:paraId="158EF6AF"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289A5E6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114</w:t>
            </w:r>
          </w:p>
        </w:tc>
        <w:tc>
          <w:tcPr>
            <w:tcW w:w="960" w:type="dxa"/>
            <w:tcBorders>
              <w:top w:val="nil"/>
              <w:left w:val="nil"/>
              <w:bottom w:val="nil"/>
              <w:right w:val="nil"/>
            </w:tcBorders>
            <w:shd w:val="clear" w:color="auto" w:fill="auto"/>
            <w:noWrap/>
            <w:vAlign w:val="center"/>
            <w:hideMark/>
          </w:tcPr>
          <w:p w14:paraId="4523A20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12.54</w:t>
            </w:r>
          </w:p>
        </w:tc>
        <w:tc>
          <w:tcPr>
            <w:tcW w:w="489" w:type="dxa"/>
            <w:tcBorders>
              <w:top w:val="nil"/>
              <w:left w:val="nil"/>
              <w:bottom w:val="nil"/>
              <w:right w:val="nil"/>
            </w:tcBorders>
            <w:shd w:val="clear" w:color="auto" w:fill="auto"/>
            <w:noWrap/>
            <w:vAlign w:val="center"/>
            <w:hideMark/>
          </w:tcPr>
          <w:p w14:paraId="030BCAE0"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7672AF2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90</w:t>
            </w:r>
          </w:p>
        </w:tc>
        <w:tc>
          <w:tcPr>
            <w:tcW w:w="960" w:type="dxa"/>
            <w:tcBorders>
              <w:top w:val="nil"/>
              <w:left w:val="nil"/>
              <w:bottom w:val="nil"/>
              <w:right w:val="nil"/>
            </w:tcBorders>
            <w:shd w:val="clear" w:color="auto" w:fill="auto"/>
            <w:noWrap/>
            <w:vAlign w:val="center"/>
            <w:hideMark/>
          </w:tcPr>
          <w:p w14:paraId="28B6DC8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12.68</w:t>
            </w:r>
          </w:p>
        </w:tc>
        <w:tc>
          <w:tcPr>
            <w:tcW w:w="632" w:type="dxa"/>
            <w:tcBorders>
              <w:top w:val="nil"/>
              <w:left w:val="nil"/>
              <w:bottom w:val="nil"/>
              <w:right w:val="nil"/>
            </w:tcBorders>
            <w:shd w:val="clear" w:color="auto" w:fill="auto"/>
            <w:noWrap/>
            <w:vAlign w:val="center"/>
            <w:hideMark/>
          </w:tcPr>
          <w:p w14:paraId="0A3680E8"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67FC0CA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78.95</w:t>
            </w:r>
          </w:p>
        </w:tc>
      </w:tr>
      <w:tr w:rsidR="00943DFA" w:rsidRPr="00943DFA" w14:paraId="75F9B2E9" w14:textId="77777777" w:rsidTr="00373B60">
        <w:trPr>
          <w:trHeight w:val="300"/>
        </w:trPr>
        <w:tc>
          <w:tcPr>
            <w:tcW w:w="2188" w:type="dxa"/>
            <w:tcBorders>
              <w:top w:val="nil"/>
              <w:left w:val="nil"/>
              <w:bottom w:val="nil"/>
              <w:right w:val="nil"/>
            </w:tcBorders>
            <w:shd w:val="clear" w:color="auto" w:fill="auto"/>
            <w:noWrap/>
            <w:vAlign w:val="center"/>
            <w:hideMark/>
          </w:tcPr>
          <w:p w14:paraId="530FB5B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2014</w:t>
            </w:r>
          </w:p>
        </w:tc>
        <w:tc>
          <w:tcPr>
            <w:tcW w:w="506" w:type="dxa"/>
            <w:tcBorders>
              <w:top w:val="nil"/>
              <w:left w:val="nil"/>
              <w:bottom w:val="nil"/>
              <w:right w:val="nil"/>
            </w:tcBorders>
            <w:shd w:val="clear" w:color="auto" w:fill="auto"/>
            <w:noWrap/>
            <w:vAlign w:val="center"/>
            <w:hideMark/>
          </w:tcPr>
          <w:p w14:paraId="1CBA0AF7"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28435A0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123</w:t>
            </w:r>
          </w:p>
        </w:tc>
        <w:tc>
          <w:tcPr>
            <w:tcW w:w="960" w:type="dxa"/>
            <w:tcBorders>
              <w:top w:val="nil"/>
              <w:left w:val="nil"/>
              <w:bottom w:val="nil"/>
              <w:right w:val="nil"/>
            </w:tcBorders>
            <w:shd w:val="clear" w:color="auto" w:fill="auto"/>
            <w:noWrap/>
            <w:vAlign w:val="center"/>
            <w:hideMark/>
          </w:tcPr>
          <w:p w14:paraId="3AE1B681"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13.53</w:t>
            </w:r>
          </w:p>
        </w:tc>
        <w:tc>
          <w:tcPr>
            <w:tcW w:w="489" w:type="dxa"/>
            <w:tcBorders>
              <w:top w:val="nil"/>
              <w:left w:val="nil"/>
              <w:bottom w:val="nil"/>
              <w:right w:val="nil"/>
            </w:tcBorders>
            <w:shd w:val="clear" w:color="auto" w:fill="auto"/>
            <w:noWrap/>
            <w:vAlign w:val="center"/>
            <w:hideMark/>
          </w:tcPr>
          <w:p w14:paraId="0023454A"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6425D3D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75</w:t>
            </w:r>
          </w:p>
        </w:tc>
        <w:tc>
          <w:tcPr>
            <w:tcW w:w="960" w:type="dxa"/>
            <w:tcBorders>
              <w:top w:val="nil"/>
              <w:left w:val="nil"/>
              <w:bottom w:val="nil"/>
              <w:right w:val="nil"/>
            </w:tcBorders>
            <w:shd w:val="clear" w:color="auto" w:fill="auto"/>
            <w:noWrap/>
            <w:vAlign w:val="center"/>
            <w:hideMark/>
          </w:tcPr>
          <w:p w14:paraId="1A3DB70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10.56</w:t>
            </w:r>
          </w:p>
        </w:tc>
        <w:tc>
          <w:tcPr>
            <w:tcW w:w="632" w:type="dxa"/>
            <w:tcBorders>
              <w:top w:val="nil"/>
              <w:left w:val="nil"/>
              <w:bottom w:val="nil"/>
              <w:right w:val="nil"/>
            </w:tcBorders>
            <w:shd w:val="clear" w:color="auto" w:fill="auto"/>
            <w:noWrap/>
            <w:vAlign w:val="center"/>
            <w:hideMark/>
          </w:tcPr>
          <w:p w14:paraId="4CA3656D"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3376F74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60.98</w:t>
            </w:r>
          </w:p>
        </w:tc>
      </w:tr>
      <w:tr w:rsidR="00943DFA" w:rsidRPr="00943DFA" w14:paraId="56DE80E6" w14:textId="77777777" w:rsidTr="00373B60">
        <w:trPr>
          <w:trHeight w:val="300"/>
        </w:trPr>
        <w:tc>
          <w:tcPr>
            <w:tcW w:w="2188" w:type="dxa"/>
            <w:tcBorders>
              <w:top w:val="nil"/>
              <w:left w:val="nil"/>
              <w:bottom w:val="nil"/>
              <w:right w:val="nil"/>
            </w:tcBorders>
            <w:shd w:val="clear" w:color="auto" w:fill="auto"/>
            <w:noWrap/>
            <w:vAlign w:val="center"/>
            <w:hideMark/>
          </w:tcPr>
          <w:p w14:paraId="07519D7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2015</w:t>
            </w:r>
          </w:p>
        </w:tc>
        <w:tc>
          <w:tcPr>
            <w:tcW w:w="506" w:type="dxa"/>
            <w:tcBorders>
              <w:top w:val="nil"/>
              <w:left w:val="nil"/>
              <w:bottom w:val="nil"/>
              <w:right w:val="nil"/>
            </w:tcBorders>
            <w:shd w:val="clear" w:color="auto" w:fill="auto"/>
            <w:noWrap/>
            <w:vAlign w:val="center"/>
            <w:hideMark/>
          </w:tcPr>
          <w:p w14:paraId="6112ABC8"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2454F16C"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78</w:t>
            </w:r>
          </w:p>
        </w:tc>
        <w:tc>
          <w:tcPr>
            <w:tcW w:w="960" w:type="dxa"/>
            <w:tcBorders>
              <w:top w:val="nil"/>
              <w:left w:val="nil"/>
              <w:bottom w:val="nil"/>
              <w:right w:val="nil"/>
            </w:tcBorders>
            <w:shd w:val="clear" w:color="auto" w:fill="auto"/>
            <w:noWrap/>
            <w:vAlign w:val="center"/>
            <w:hideMark/>
          </w:tcPr>
          <w:p w14:paraId="69BE86F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8.58</w:t>
            </w:r>
          </w:p>
        </w:tc>
        <w:tc>
          <w:tcPr>
            <w:tcW w:w="489" w:type="dxa"/>
            <w:tcBorders>
              <w:top w:val="nil"/>
              <w:left w:val="nil"/>
              <w:bottom w:val="nil"/>
              <w:right w:val="nil"/>
            </w:tcBorders>
            <w:shd w:val="clear" w:color="auto" w:fill="auto"/>
            <w:noWrap/>
            <w:vAlign w:val="center"/>
            <w:hideMark/>
          </w:tcPr>
          <w:p w14:paraId="4D4B82B3"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64E1DAE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49</w:t>
            </w:r>
          </w:p>
        </w:tc>
        <w:tc>
          <w:tcPr>
            <w:tcW w:w="960" w:type="dxa"/>
            <w:tcBorders>
              <w:top w:val="nil"/>
              <w:left w:val="nil"/>
              <w:bottom w:val="nil"/>
              <w:right w:val="nil"/>
            </w:tcBorders>
            <w:shd w:val="clear" w:color="auto" w:fill="auto"/>
            <w:noWrap/>
            <w:vAlign w:val="center"/>
            <w:hideMark/>
          </w:tcPr>
          <w:p w14:paraId="4796B90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6.9</w:t>
            </w:r>
          </w:p>
        </w:tc>
        <w:tc>
          <w:tcPr>
            <w:tcW w:w="632" w:type="dxa"/>
            <w:tcBorders>
              <w:top w:val="nil"/>
              <w:left w:val="nil"/>
              <w:bottom w:val="nil"/>
              <w:right w:val="nil"/>
            </w:tcBorders>
            <w:shd w:val="clear" w:color="auto" w:fill="auto"/>
            <w:noWrap/>
            <w:vAlign w:val="center"/>
            <w:hideMark/>
          </w:tcPr>
          <w:p w14:paraId="7C4488AB"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6C3C0D7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62.82</w:t>
            </w:r>
          </w:p>
        </w:tc>
      </w:tr>
      <w:tr w:rsidR="00943DFA" w:rsidRPr="00943DFA" w14:paraId="5A9FB7DE" w14:textId="77777777" w:rsidTr="00373B60">
        <w:trPr>
          <w:trHeight w:val="300"/>
        </w:trPr>
        <w:tc>
          <w:tcPr>
            <w:tcW w:w="2188" w:type="dxa"/>
            <w:tcBorders>
              <w:top w:val="nil"/>
              <w:left w:val="nil"/>
              <w:bottom w:val="nil"/>
              <w:right w:val="nil"/>
            </w:tcBorders>
            <w:shd w:val="clear" w:color="auto" w:fill="auto"/>
            <w:noWrap/>
            <w:vAlign w:val="center"/>
            <w:hideMark/>
          </w:tcPr>
          <w:p w14:paraId="3103E79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2016</w:t>
            </w:r>
          </w:p>
        </w:tc>
        <w:tc>
          <w:tcPr>
            <w:tcW w:w="506" w:type="dxa"/>
            <w:tcBorders>
              <w:top w:val="nil"/>
              <w:left w:val="nil"/>
              <w:bottom w:val="nil"/>
              <w:right w:val="nil"/>
            </w:tcBorders>
            <w:shd w:val="clear" w:color="auto" w:fill="auto"/>
            <w:noWrap/>
            <w:vAlign w:val="center"/>
            <w:hideMark/>
          </w:tcPr>
          <w:p w14:paraId="7DD7BB14"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5830F5C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58</w:t>
            </w:r>
          </w:p>
        </w:tc>
        <w:tc>
          <w:tcPr>
            <w:tcW w:w="960" w:type="dxa"/>
            <w:tcBorders>
              <w:top w:val="nil"/>
              <w:left w:val="nil"/>
              <w:bottom w:val="nil"/>
              <w:right w:val="nil"/>
            </w:tcBorders>
            <w:shd w:val="clear" w:color="auto" w:fill="auto"/>
            <w:noWrap/>
            <w:vAlign w:val="center"/>
            <w:hideMark/>
          </w:tcPr>
          <w:p w14:paraId="6952F6A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6.38</w:t>
            </w:r>
          </w:p>
        </w:tc>
        <w:tc>
          <w:tcPr>
            <w:tcW w:w="489" w:type="dxa"/>
            <w:tcBorders>
              <w:top w:val="nil"/>
              <w:left w:val="nil"/>
              <w:bottom w:val="nil"/>
              <w:right w:val="nil"/>
            </w:tcBorders>
            <w:shd w:val="clear" w:color="auto" w:fill="auto"/>
            <w:noWrap/>
            <w:vAlign w:val="center"/>
            <w:hideMark/>
          </w:tcPr>
          <w:p w14:paraId="2ECDCA40"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27D4C1B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38</w:t>
            </w:r>
          </w:p>
        </w:tc>
        <w:tc>
          <w:tcPr>
            <w:tcW w:w="960" w:type="dxa"/>
            <w:tcBorders>
              <w:top w:val="nil"/>
              <w:left w:val="nil"/>
              <w:bottom w:val="nil"/>
              <w:right w:val="nil"/>
            </w:tcBorders>
            <w:shd w:val="clear" w:color="auto" w:fill="auto"/>
            <w:noWrap/>
            <w:vAlign w:val="center"/>
            <w:hideMark/>
          </w:tcPr>
          <w:p w14:paraId="2818090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5.35</w:t>
            </w:r>
          </w:p>
        </w:tc>
        <w:tc>
          <w:tcPr>
            <w:tcW w:w="632" w:type="dxa"/>
            <w:tcBorders>
              <w:top w:val="nil"/>
              <w:left w:val="nil"/>
              <w:bottom w:val="nil"/>
              <w:right w:val="nil"/>
            </w:tcBorders>
            <w:shd w:val="clear" w:color="auto" w:fill="auto"/>
            <w:noWrap/>
            <w:vAlign w:val="center"/>
            <w:hideMark/>
          </w:tcPr>
          <w:p w14:paraId="3D1F4E4D"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750BA401"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65.52</w:t>
            </w:r>
          </w:p>
        </w:tc>
      </w:tr>
      <w:tr w:rsidR="00943DFA" w:rsidRPr="00943DFA" w14:paraId="777A7E5D" w14:textId="77777777" w:rsidTr="00373B60">
        <w:trPr>
          <w:trHeight w:val="300"/>
        </w:trPr>
        <w:tc>
          <w:tcPr>
            <w:tcW w:w="2188" w:type="dxa"/>
            <w:tcBorders>
              <w:top w:val="nil"/>
              <w:left w:val="nil"/>
              <w:bottom w:val="nil"/>
              <w:right w:val="nil"/>
            </w:tcBorders>
            <w:shd w:val="clear" w:color="auto" w:fill="auto"/>
            <w:noWrap/>
            <w:vAlign w:val="center"/>
            <w:hideMark/>
          </w:tcPr>
          <w:p w14:paraId="3C5DA31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2017</w:t>
            </w:r>
          </w:p>
        </w:tc>
        <w:tc>
          <w:tcPr>
            <w:tcW w:w="506" w:type="dxa"/>
            <w:tcBorders>
              <w:top w:val="nil"/>
              <w:left w:val="nil"/>
              <w:bottom w:val="nil"/>
              <w:right w:val="nil"/>
            </w:tcBorders>
            <w:shd w:val="clear" w:color="auto" w:fill="auto"/>
            <w:noWrap/>
            <w:vAlign w:val="center"/>
            <w:hideMark/>
          </w:tcPr>
          <w:p w14:paraId="6F461187"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vAlign w:val="center"/>
            <w:hideMark/>
          </w:tcPr>
          <w:p w14:paraId="6E1B4B0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47</w:t>
            </w:r>
          </w:p>
        </w:tc>
        <w:tc>
          <w:tcPr>
            <w:tcW w:w="960" w:type="dxa"/>
            <w:tcBorders>
              <w:top w:val="nil"/>
              <w:left w:val="nil"/>
              <w:bottom w:val="nil"/>
              <w:right w:val="nil"/>
            </w:tcBorders>
            <w:shd w:val="clear" w:color="auto" w:fill="auto"/>
            <w:noWrap/>
            <w:vAlign w:val="center"/>
            <w:hideMark/>
          </w:tcPr>
          <w:p w14:paraId="2819FD1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5.17</w:t>
            </w:r>
          </w:p>
        </w:tc>
        <w:tc>
          <w:tcPr>
            <w:tcW w:w="489" w:type="dxa"/>
            <w:tcBorders>
              <w:top w:val="nil"/>
              <w:left w:val="nil"/>
              <w:bottom w:val="nil"/>
              <w:right w:val="nil"/>
            </w:tcBorders>
            <w:shd w:val="clear" w:color="auto" w:fill="auto"/>
            <w:noWrap/>
            <w:vAlign w:val="center"/>
            <w:hideMark/>
          </w:tcPr>
          <w:p w14:paraId="080E77EE"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2E1B978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15</w:t>
            </w:r>
          </w:p>
        </w:tc>
        <w:tc>
          <w:tcPr>
            <w:tcW w:w="960" w:type="dxa"/>
            <w:tcBorders>
              <w:top w:val="nil"/>
              <w:left w:val="nil"/>
              <w:bottom w:val="nil"/>
              <w:right w:val="nil"/>
            </w:tcBorders>
            <w:shd w:val="clear" w:color="auto" w:fill="auto"/>
            <w:noWrap/>
            <w:vAlign w:val="center"/>
            <w:hideMark/>
          </w:tcPr>
          <w:p w14:paraId="7390635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2.11</w:t>
            </w:r>
          </w:p>
        </w:tc>
        <w:tc>
          <w:tcPr>
            <w:tcW w:w="632" w:type="dxa"/>
            <w:tcBorders>
              <w:top w:val="nil"/>
              <w:left w:val="nil"/>
              <w:bottom w:val="nil"/>
              <w:right w:val="nil"/>
            </w:tcBorders>
            <w:shd w:val="clear" w:color="auto" w:fill="auto"/>
            <w:noWrap/>
            <w:vAlign w:val="center"/>
            <w:hideMark/>
          </w:tcPr>
          <w:p w14:paraId="053EF565"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5B58C49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31.91</w:t>
            </w:r>
          </w:p>
        </w:tc>
      </w:tr>
      <w:tr w:rsidR="00943DFA" w:rsidRPr="00943DFA" w14:paraId="1D758CD5" w14:textId="77777777" w:rsidTr="00373B60">
        <w:trPr>
          <w:trHeight w:val="147"/>
        </w:trPr>
        <w:tc>
          <w:tcPr>
            <w:tcW w:w="2188" w:type="dxa"/>
            <w:tcBorders>
              <w:top w:val="nil"/>
              <w:left w:val="nil"/>
              <w:bottom w:val="nil"/>
              <w:right w:val="nil"/>
            </w:tcBorders>
            <w:shd w:val="clear" w:color="auto" w:fill="auto"/>
            <w:noWrap/>
            <w:vAlign w:val="center"/>
            <w:hideMark/>
          </w:tcPr>
          <w:p w14:paraId="314EA7C1" w14:textId="77777777" w:rsidR="00195130" w:rsidRPr="00943DFA" w:rsidRDefault="00195130" w:rsidP="00373B60">
            <w:pPr>
              <w:contextualSpacing/>
              <w:jc w:val="center"/>
              <w:rPr>
                <w:rFonts w:eastAsia="Times New Roman"/>
                <w:color w:val="0D0D0D" w:themeColor="text1" w:themeTint="F2"/>
                <w:sz w:val="18"/>
              </w:rPr>
            </w:pPr>
          </w:p>
        </w:tc>
        <w:tc>
          <w:tcPr>
            <w:tcW w:w="506" w:type="dxa"/>
            <w:tcBorders>
              <w:top w:val="nil"/>
              <w:left w:val="nil"/>
              <w:bottom w:val="nil"/>
              <w:right w:val="nil"/>
            </w:tcBorders>
            <w:shd w:val="clear" w:color="auto" w:fill="auto"/>
            <w:noWrap/>
            <w:vAlign w:val="center"/>
            <w:hideMark/>
          </w:tcPr>
          <w:p w14:paraId="3186553B" w14:textId="77777777" w:rsidR="00195130" w:rsidRPr="00943DFA" w:rsidRDefault="00195130" w:rsidP="00373B60">
            <w:pPr>
              <w:contextualSpacing/>
              <w:jc w:val="center"/>
              <w:rPr>
                <w:rFonts w:eastAsia="Times New Roman"/>
                <w:color w:val="0D0D0D" w:themeColor="text1" w:themeTint="F2"/>
                <w:sz w:val="18"/>
                <w:szCs w:val="20"/>
              </w:rPr>
            </w:pPr>
          </w:p>
        </w:tc>
        <w:tc>
          <w:tcPr>
            <w:tcW w:w="960" w:type="dxa"/>
            <w:tcBorders>
              <w:top w:val="nil"/>
              <w:left w:val="nil"/>
              <w:bottom w:val="nil"/>
              <w:right w:val="nil"/>
            </w:tcBorders>
            <w:shd w:val="clear" w:color="auto" w:fill="auto"/>
            <w:vAlign w:val="center"/>
            <w:hideMark/>
          </w:tcPr>
          <w:p w14:paraId="0980822B" w14:textId="77777777" w:rsidR="00195130" w:rsidRPr="00943DFA" w:rsidRDefault="00195130" w:rsidP="00373B60">
            <w:pPr>
              <w:contextualSpacing/>
              <w:jc w:val="center"/>
              <w:rPr>
                <w:rFonts w:eastAsia="Times New Roman"/>
                <w:color w:val="0D0D0D" w:themeColor="text1" w:themeTint="F2"/>
                <w:sz w:val="18"/>
                <w:szCs w:val="20"/>
              </w:rPr>
            </w:pPr>
          </w:p>
        </w:tc>
        <w:tc>
          <w:tcPr>
            <w:tcW w:w="960" w:type="dxa"/>
            <w:tcBorders>
              <w:top w:val="nil"/>
              <w:left w:val="nil"/>
              <w:bottom w:val="nil"/>
              <w:right w:val="nil"/>
            </w:tcBorders>
            <w:shd w:val="clear" w:color="auto" w:fill="auto"/>
            <w:noWrap/>
            <w:vAlign w:val="center"/>
            <w:hideMark/>
          </w:tcPr>
          <w:p w14:paraId="220E54E9" w14:textId="77777777" w:rsidR="00195130" w:rsidRPr="00943DFA" w:rsidRDefault="00195130" w:rsidP="00373B60">
            <w:pPr>
              <w:contextualSpacing/>
              <w:jc w:val="center"/>
              <w:rPr>
                <w:rFonts w:eastAsia="Times New Roman"/>
                <w:color w:val="0D0D0D" w:themeColor="text1" w:themeTint="F2"/>
                <w:sz w:val="18"/>
                <w:szCs w:val="20"/>
              </w:rPr>
            </w:pPr>
          </w:p>
        </w:tc>
        <w:tc>
          <w:tcPr>
            <w:tcW w:w="489" w:type="dxa"/>
            <w:tcBorders>
              <w:top w:val="nil"/>
              <w:left w:val="nil"/>
              <w:bottom w:val="nil"/>
              <w:right w:val="nil"/>
            </w:tcBorders>
            <w:shd w:val="clear" w:color="auto" w:fill="auto"/>
            <w:noWrap/>
            <w:vAlign w:val="center"/>
            <w:hideMark/>
          </w:tcPr>
          <w:p w14:paraId="1ADC2558" w14:textId="77777777" w:rsidR="00195130" w:rsidRPr="00943DFA" w:rsidRDefault="00195130" w:rsidP="00373B60">
            <w:pPr>
              <w:contextualSpacing/>
              <w:jc w:val="center"/>
              <w:rPr>
                <w:rFonts w:eastAsia="Times New Roman"/>
                <w:color w:val="0D0D0D" w:themeColor="text1" w:themeTint="F2"/>
                <w:sz w:val="18"/>
                <w:szCs w:val="20"/>
              </w:rPr>
            </w:pPr>
          </w:p>
        </w:tc>
        <w:tc>
          <w:tcPr>
            <w:tcW w:w="960" w:type="dxa"/>
            <w:tcBorders>
              <w:top w:val="nil"/>
              <w:left w:val="nil"/>
              <w:bottom w:val="nil"/>
              <w:right w:val="nil"/>
            </w:tcBorders>
            <w:shd w:val="clear" w:color="auto" w:fill="auto"/>
            <w:noWrap/>
            <w:vAlign w:val="center"/>
            <w:hideMark/>
          </w:tcPr>
          <w:p w14:paraId="0A916B60" w14:textId="77777777" w:rsidR="00195130" w:rsidRPr="00943DFA" w:rsidRDefault="00195130" w:rsidP="00373B60">
            <w:pPr>
              <w:contextualSpacing/>
              <w:rPr>
                <w:rFonts w:eastAsia="Times New Roman"/>
                <w:color w:val="0D0D0D" w:themeColor="text1" w:themeTint="F2"/>
                <w:sz w:val="18"/>
                <w:szCs w:val="20"/>
              </w:rPr>
            </w:pPr>
          </w:p>
        </w:tc>
        <w:tc>
          <w:tcPr>
            <w:tcW w:w="960" w:type="dxa"/>
            <w:tcBorders>
              <w:top w:val="nil"/>
              <w:left w:val="nil"/>
              <w:bottom w:val="nil"/>
              <w:right w:val="nil"/>
            </w:tcBorders>
            <w:shd w:val="clear" w:color="auto" w:fill="auto"/>
            <w:noWrap/>
            <w:vAlign w:val="center"/>
            <w:hideMark/>
          </w:tcPr>
          <w:p w14:paraId="07D10384" w14:textId="77777777" w:rsidR="00195130" w:rsidRPr="00943DFA" w:rsidRDefault="00195130" w:rsidP="00373B60">
            <w:pPr>
              <w:contextualSpacing/>
              <w:jc w:val="center"/>
              <w:rPr>
                <w:rFonts w:eastAsia="Times New Roman"/>
                <w:color w:val="0D0D0D" w:themeColor="text1" w:themeTint="F2"/>
                <w:sz w:val="18"/>
                <w:szCs w:val="20"/>
              </w:rPr>
            </w:pPr>
          </w:p>
        </w:tc>
        <w:tc>
          <w:tcPr>
            <w:tcW w:w="632" w:type="dxa"/>
            <w:tcBorders>
              <w:top w:val="nil"/>
              <w:left w:val="nil"/>
              <w:bottom w:val="nil"/>
              <w:right w:val="nil"/>
            </w:tcBorders>
            <w:shd w:val="clear" w:color="auto" w:fill="auto"/>
            <w:noWrap/>
            <w:vAlign w:val="center"/>
            <w:hideMark/>
          </w:tcPr>
          <w:p w14:paraId="788096EC" w14:textId="77777777" w:rsidR="00195130" w:rsidRPr="00943DFA" w:rsidRDefault="00195130" w:rsidP="00373B60">
            <w:pPr>
              <w:contextualSpacing/>
              <w:jc w:val="center"/>
              <w:rPr>
                <w:rFonts w:eastAsia="Times New Roman"/>
                <w:color w:val="0D0D0D" w:themeColor="text1" w:themeTint="F2"/>
                <w:sz w:val="18"/>
                <w:szCs w:val="20"/>
              </w:rPr>
            </w:pPr>
          </w:p>
        </w:tc>
        <w:tc>
          <w:tcPr>
            <w:tcW w:w="1605" w:type="dxa"/>
            <w:tcBorders>
              <w:top w:val="nil"/>
              <w:left w:val="nil"/>
              <w:bottom w:val="nil"/>
              <w:right w:val="nil"/>
            </w:tcBorders>
            <w:shd w:val="clear" w:color="auto" w:fill="auto"/>
            <w:noWrap/>
            <w:vAlign w:val="center"/>
            <w:hideMark/>
          </w:tcPr>
          <w:p w14:paraId="782ACFDF" w14:textId="77777777" w:rsidR="00195130" w:rsidRPr="00943DFA" w:rsidRDefault="00195130" w:rsidP="00373B60">
            <w:pPr>
              <w:contextualSpacing/>
              <w:rPr>
                <w:rFonts w:eastAsia="Times New Roman"/>
                <w:color w:val="0D0D0D" w:themeColor="text1" w:themeTint="F2"/>
                <w:sz w:val="18"/>
                <w:szCs w:val="20"/>
              </w:rPr>
            </w:pPr>
          </w:p>
        </w:tc>
      </w:tr>
      <w:tr w:rsidR="00943DFA" w:rsidRPr="00943DFA" w14:paraId="7471578B" w14:textId="77777777" w:rsidTr="00373B60">
        <w:trPr>
          <w:trHeight w:val="315"/>
        </w:trPr>
        <w:tc>
          <w:tcPr>
            <w:tcW w:w="2188" w:type="dxa"/>
            <w:tcBorders>
              <w:top w:val="nil"/>
              <w:left w:val="nil"/>
              <w:bottom w:val="single" w:sz="8" w:space="0" w:color="auto"/>
              <w:right w:val="nil"/>
            </w:tcBorders>
            <w:shd w:val="clear" w:color="auto" w:fill="auto"/>
            <w:noWrap/>
            <w:vAlign w:val="center"/>
            <w:hideMark/>
          </w:tcPr>
          <w:p w14:paraId="41A893B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Total</w:t>
            </w:r>
          </w:p>
        </w:tc>
        <w:tc>
          <w:tcPr>
            <w:tcW w:w="506" w:type="dxa"/>
            <w:tcBorders>
              <w:top w:val="nil"/>
              <w:left w:val="nil"/>
              <w:bottom w:val="single" w:sz="8" w:space="0" w:color="auto"/>
              <w:right w:val="nil"/>
            </w:tcBorders>
            <w:shd w:val="clear" w:color="auto" w:fill="auto"/>
            <w:noWrap/>
            <w:vAlign w:val="center"/>
            <w:hideMark/>
          </w:tcPr>
          <w:p w14:paraId="7B384A4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 </w:t>
            </w:r>
          </w:p>
        </w:tc>
        <w:tc>
          <w:tcPr>
            <w:tcW w:w="960" w:type="dxa"/>
            <w:tcBorders>
              <w:top w:val="nil"/>
              <w:left w:val="nil"/>
              <w:bottom w:val="single" w:sz="8" w:space="0" w:color="auto"/>
              <w:right w:val="nil"/>
            </w:tcBorders>
            <w:shd w:val="clear" w:color="auto" w:fill="auto"/>
            <w:vAlign w:val="center"/>
            <w:hideMark/>
          </w:tcPr>
          <w:p w14:paraId="3987058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909</w:t>
            </w:r>
          </w:p>
        </w:tc>
        <w:tc>
          <w:tcPr>
            <w:tcW w:w="960" w:type="dxa"/>
            <w:tcBorders>
              <w:top w:val="nil"/>
              <w:left w:val="nil"/>
              <w:bottom w:val="single" w:sz="8" w:space="0" w:color="auto"/>
              <w:right w:val="nil"/>
            </w:tcBorders>
            <w:shd w:val="clear" w:color="auto" w:fill="auto"/>
            <w:noWrap/>
            <w:vAlign w:val="center"/>
            <w:hideMark/>
          </w:tcPr>
          <w:p w14:paraId="0BEBBD4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c>
          <w:tcPr>
            <w:tcW w:w="489" w:type="dxa"/>
            <w:tcBorders>
              <w:top w:val="nil"/>
              <w:left w:val="nil"/>
              <w:bottom w:val="single" w:sz="8" w:space="0" w:color="auto"/>
              <w:right w:val="nil"/>
            </w:tcBorders>
            <w:shd w:val="clear" w:color="auto" w:fill="auto"/>
            <w:noWrap/>
            <w:vAlign w:val="center"/>
            <w:hideMark/>
          </w:tcPr>
          <w:p w14:paraId="6DC8E6DE"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 </w:t>
            </w:r>
          </w:p>
        </w:tc>
        <w:tc>
          <w:tcPr>
            <w:tcW w:w="960" w:type="dxa"/>
            <w:tcBorders>
              <w:top w:val="nil"/>
              <w:left w:val="nil"/>
              <w:bottom w:val="single" w:sz="8" w:space="0" w:color="auto"/>
              <w:right w:val="nil"/>
            </w:tcBorders>
            <w:shd w:val="clear" w:color="auto" w:fill="auto"/>
            <w:noWrap/>
            <w:vAlign w:val="center"/>
            <w:hideMark/>
          </w:tcPr>
          <w:p w14:paraId="4F4DB49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710</w:t>
            </w:r>
          </w:p>
        </w:tc>
        <w:tc>
          <w:tcPr>
            <w:tcW w:w="960" w:type="dxa"/>
            <w:tcBorders>
              <w:top w:val="nil"/>
              <w:left w:val="nil"/>
              <w:bottom w:val="single" w:sz="8" w:space="0" w:color="auto"/>
              <w:right w:val="nil"/>
            </w:tcBorders>
            <w:shd w:val="clear" w:color="auto" w:fill="auto"/>
            <w:noWrap/>
            <w:vAlign w:val="center"/>
            <w:hideMark/>
          </w:tcPr>
          <w:p w14:paraId="73157B3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c>
          <w:tcPr>
            <w:tcW w:w="632" w:type="dxa"/>
            <w:tcBorders>
              <w:top w:val="nil"/>
              <w:left w:val="nil"/>
              <w:bottom w:val="single" w:sz="8" w:space="0" w:color="auto"/>
              <w:right w:val="nil"/>
            </w:tcBorders>
            <w:shd w:val="clear" w:color="auto" w:fill="auto"/>
            <w:noWrap/>
            <w:vAlign w:val="center"/>
            <w:hideMark/>
          </w:tcPr>
          <w:p w14:paraId="1A23D015"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 </w:t>
            </w:r>
          </w:p>
        </w:tc>
        <w:tc>
          <w:tcPr>
            <w:tcW w:w="1605" w:type="dxa"/>
            <w:tcBorders>
              <w:top w:val="nil"/>
              <w:left w:val="nil"/>
              <w:bottom w:val="single" w:sz="8" w:space="0" w:color="auto"/>
              <w:right w:val="nil"/>
            </w:tcBorders>
            <w:shd w:val="clear" w:color="auto" w:fill="auto"/>
            <w:noWrap/>
            <w:vAlign w:val="center"/>
            <w:hideMark/>
          </w:tcPr>
          <w:p w14:paraId="6AF281F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78.11</w:t>
            </w:r>
          </w:p>
        </w:tc>
      </w:tr>
      <w:tr w:rsidR="00943DFA" w:rsidRPr="00943DFA" w14:paraId="7B452442" w14:textId="77777777" w:rsidTr="00373B60">
        <w:trPr>
          <w:trHeight w:val="267"/>
        </w:trPr>
        <w:tc>
          <w:tcPr>
            <w:tcW w:w="9260" w:type="dxa"/>
            <w:gridSpan w:val="9"/>
            <w:tcBorders>
              <w:top w:val="nil"/>
              <w:left w:val="nil"/>
              <w:bottom w:val="single" w:sz="8" w:space="0" w:color="auto"/>
              <w:right w:val="nil"/>
            </w:tcBorders>
            <w:shd w:val="clear" w:color="auto" w:fill="auto"/>
            <w:noWrap/>
            <w:vAlign w:val="center"/>
            <w:hideMark/>
          </w:tcPr>
          <w:p w14:paraId="3B3855EC" w14:textId="77777777" w:rsidR="00195130" w:rsidRPr="00943DFA" w:rsidRDefault="00195130" w:rsidP="00373B60">
            <w:pPr>
              <w:contextualSpacing/>
              <w:rPr>
                <w:rFonts w:eastAsia="Times New Roman"/>
                <w:b/>
                <w:bCs/>
                <w:color w:val="0D0D0D" w:themeColor="text1" w:themeTint="F2"/>
                <w:sz w:val="18"/>
              </w:rPr>
            </w:pPr>
            <w:r w:rsidRPr="00943DFA">
              <w:rPr>
                <w:rFonts w:eastAsia="Times New Roman"/>
                <w:b/>
                <w:bCs/>
                <w:color w:val="0D0D0D" w:themeColor="text1" w:themeTint="F2"/>
                <w:sz w:val="18"/>
                <w:szCs w:val="22"/>
              </w:rPr>
              <w:t>Panel B. Industry distribution</w:t>
            </w:r>
          </w:p>
        </w:tc>
      </w:tr>
      <w:tr w:rsidR="00943DFA" w:rsidRPr="00943DFA" w14:paraId="681BC9A4" w14:textId="77777777" w:rsidTr="00373B60">
        <w:trPr>
          <w:trHeight w:val="682"/>
        </w:trPr>
        <w:tc>
          <w:tcPr>
            <w:tcW w:w="2188" w:type="dxa"/>
            <w:tcBorders>
              <w:top w:val="nil"/>
              <w:left w:val="nil"/>
              <w:bottom w:val="single" w:sz="8" w:space="0" w:color="auto"/>
              <w:right w:val="nil"/>
            </w:tcBorders>
            <w:shd w:val="clear" w:color="auto" w:fill="auto"/>
            <w:vAlign w:val="center"/>
            <w:hideMark/>
          </w:tcPr>
          <w:p w14:paraId="268CFCE7" w14:textId="77777777" w:rsidR="00195130" w:rsidRPr="00943DFA" w:rsidRDefault="00195130" w:rsidP="00373B60">
            <w:pPr>
              <w:contextualSpacing/>
              <w:rPr>
                <w:rFonts w:eastAsia="Times New Roman"/>
                <w:b/>
                <w:bCs/>
                <w:color w:val="0D0D0D" w:themeColor="text1" w:themeTint="F2"/>
                <w:sz w:val="18"/>
              </w:rPr>
            </w:pPr>
            <w:r w:rsidRPr="00943DFA">
              <w:rPr>
                <w:rFonts w:eastAsia="Times New Roman"/>
                <w:b/>
                <w:bCs/>
                <w:color w:val="0D0D0D" w:themeColor="text1" w:themeTint="F2"/>
                <w:sz w:val="18"/>
                <w:szCs w:val="22"/>
              </w:rPr>
              <w:t>Industry</w:t>
            </w:r>
          </w:p>
        </w:tc>
        <w:tc>
          <w:tcPr>
            <w:tcW w:w="506" w:type="dxa"/>
            <w:tcBorders>
              <w:top w:val="nil"/>
              <w:left w:val="nil"/>
              <w:bottom w:val="nil"/>
              <w:right w:val="nil"/>
            </w:tcBorders>
            <w:shd w:val="clear" w:color="auto" w:fill="auto"/>
            <w:vAlign w:val="center"/>
            <w:hideMark/>
          </w:tcPr>
          <w:p w14:paraId="09CEE664" w14:textId="77777777" w:rsidR="00195130" w:rsidRPr="00943DFA" w:rsidRDefault="00195130" w:rsidP="00373B60">
            <w:pPr>
              <w:contextualSpacing/>
              <w:rPr>
                <w:rFonts w:eastAsia="Times New Roman"/>
                <w:b/>
                <w:bCs/>
                <w:color w:val="0D0D0D" w:themeColor="text1" w:themeTint="F2"/>
                <w:sz w:val="18"/>
              </w:rPr>
            </w:pPr>
          </w:p>
        </w:tc>
        <w:tc>
          <w:tcPr>
            <w:tcW w:w="1920" w:type="dxa"/>
            <w:gridSpan w:val="2"/>
            <w:tcBorders>
              <w:top w:val="single" w:sz="8" w:space="0" w:color="auto"/>
              <w:left w:val="nil"/>
              <w:bottom w:val="single" w:sz="8" w:space="0" w:color="auto"/>
              <w:right w:val="nil"/>
            </w:tcBorders>
            <w:shd w:val="clear" w:color="auto" w:fill="auto"/>
            <w:vAlign w:val="center"/>
            <w:hideMark/>
          </w:tcPr>
          <w:p w14:paraId="61692DD8"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Total IPOs</w:t>
            </w:r>
          </w:p>
        </w:tc>
        <w:tc>
          <w:tcPr>
            <w:tcW w:w="489" w:type="dxa"/>
            <w:tcBorders>
              <w:top w:val="nil"/>
              <w:left w:val="nil"/>
              <w:bottom w:val="nil"/>
              <w:right w:val="nil"/>
            </w:tcBorders>
            <w:shd w:val="clear" w:color="auto" w:fill="auto"/>
            <w:vAlign w:val="center"/>
            <w:hideMark/>
          </w:tcPr>
          <w:p w14:paraId="1B10950F" w14:textId="77777777" w:rsidR="00195130" w:rsidRPr="00943DFA" w:rsidRDefault="00195130" w:rsidP="00373B60">
            <w:pPr>
              <w:contextualSpacing/>
              <w:jc w:val="center"/>
              <w:rPr>
                <w:rFonts w:eastAsia="Times New Roman"/>
                <w:b/>
                <w:bCs/>
                <w:color w:val="0D0D0D" w:themeColor="text1" w:themeTint="F2"/>
                <w:sz w:val="18"/>
              </w:rPr>
            </w:pPr>
          </w:p>
        </w:tc>
        <w:tc>
          <w:tcPr>
            <w:tcW w:w="1920" w:type="dxa"/>
            <w:gridSpan w:val="2"/>
            <w:tcBorders>
              <w:top w:val="single" w:sz="8" w:space="0" w:color="auto"/>
              <w:left w:val="nil"/>
              <w:bottom w:val="single" w:sz="8" w:space="0" w:color="auto"/>
              <w:right w:val="nil"/>
            </w:tcBorders>
            <w:shd w:val="clear" w:color="auto" w:fill="auto"/>
            <w:vAlign w:val="center"/>
            <w:hideMark/>
          </w:tcPr>
          <w:p w14:paraId="66330EE7"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IPOs receiving initial comment letters</w:t>
            </w:r>
          </w:p>
        </w:tc>
        <w:tc>
          <w:tcPr>
            <w:tcW w:w="632" w:type="dxa"/>
            <w:tcBorders>
              <w:top w:val="nil"/>
              <w:left w:val="nil"/>
              <w:bottom w:val="nil"/>
              <w:right w:val="nil"/>
            </w:tcBorders>
            <w:shd w:val="clear" w:color="auto" w:fill="auto"/>
            <w:vAlign w:val="center"/>
            <w:hideMark/>
          </w:tcPr>
          <w:p w14:paraId="4FCFA56F" w14:textId="77777777" w:rsidR="00195130" w:rsidRPr="00943DFA" w:rsidRDefault="00195130" w:rsidP="00373B60">
            <w:pPr>
              <w:contextualSpacing/>
              <w:jc w:val="center"/>
              <w:rPr>
                <w:rFonts w:eastAsia="Times New Roman"/>
                <w:b/>
                <w:bCs/>
                <w:color w:val="0D0D0D" w:themeColor="text1" w:themeTint="F2"/>
                <w:sz w:val="18"/>
              </w:rPr>
            </w:pPr>
          </w:p>
        </w:tc>
        <w:tc>
          <w:tcPr>
            <w:tcW w:w="1605" w:type="dxa"/>
            <w:tcBorders>
              <w:top w:val="nil"/>
              <w:left w:val="nil"/>
              <w:bottom w:val="single" w:sz="8" w:space="0" w:color="auto"/>
              <w:right w:val="nil"/>
            </w:tcBorders>
            <w:shd w:val="clear" w:color="auto" w:fill="auto"/>
            <w:vAlign w:val="center"/>
            <w:hideMark/>
          </w:tcPr>
          <w:p w14:paraId="6C0A7447"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 xml:space="preserve">Proportion of IPOs receiving initial comment letters (%) </w:t>
            </w:r>
          </w:p>
        </w:tc>
      </w:tr>
      <w:tr w:rsidR="00943DFA" w:rsidRPr="00943DFA" w14:paraId="798CD209" w14:textId="77777777" w:rsidTr="00373B60">
        <w:trPr>
          <w:trHeight w:val="315"/>
        </w:trPr>
        <w:tc>
          <w:tcPr>
            <w:tcW w:w="2188" w:type="dxa"/>
            <w:tcBorders>
              <w:top w:val="nil"/>
              <w:left w:val="nil"/>
              <w:bottom w:val="nil"/>
              <w:right w:val="nil"/>
            </w:tcBorders>
            <w:shd w:val="clear" w:color="auto" w:fill="auto"/>
            <w:vAlign w:val="center"/>
            <w:hideMark/>
          </w:tcPr>
          <w:p w14:paraId="0D13908B" w14:textId="77777777" w:rsidR="00195130" w:rsidRPr="00943DFA" w:rsidRDefault="00195130" w:rsidP="00373B60">
            <w:pPr>
              <w:contextualSpacing/>
              <w:jc w:val="center"/>
              <w:rPr>
                <w:rFonts w:eastAsia="Times New Roman"/>
                <w:b/>
                <w:bCs/>
                <w:color w:val="0D0D0D" w:themeColor="text1" w:themeTint="F2"/>
                <w:sz w:val="18"/>
              </w:rPr>
            </w:pPr>
          </w:p>
        </w:tc>
        <w:tc>
          <w:tcPr>
            <w:tcW w:w="506" w:type="dxa"/>
            <w:tcBorders>
              <w:top w:val="nil"/>
              <w:left w:val="nil"/>
              <w:bottom w:val="nil"/>
              <w:right w:val="nil"/>
            </w:tcBorders>
            <w:shd w:val="clear" w:color="auto" w:fill="auto"/>
            <w:vAlign w:val="center"/>
            <w:hideMark/>
          </w:tcPr>
          <w:p w14:paraId="429CD08E" w14:textId="77777777" w:rsidR="00195130" w:rsidRPr="00943DFA" w:rsidRDefault="00195130" w:rsidP="00373B60">
            <w:pPr>
              <w:contextualSpacing/>
              <w:rPr>
                <w:rFonts w:eastAsia="Times New Roman"/>
                <w:color w:val="0D0D0D" w:themeColor="text1" w:themeTint="F2"/>
                <w:sz w:val="18"/>
                <w:szCs w:val="20"/>
              </w:rPr>
            </w:pPr>
          </w:p>
        </w:tc>
        <w:tc>
          <w:tcPr>
            <w:tcW w:w="960" w:type="dxa"/>
            <w:tcBorders>
              <w:top w:val="nil"/>
              <w:left w:val="nil"/>
              <w:bottom w:val="single" w:sz="8" w:space="0" w:color="auto"/>
              <w:right w:val="nil"/>
            </w:tcBorders>
            <w:shd w:val="clear" w:color="auto" w:fill="auto"/>
            <w:vAlign w:val="center"/>
            <w:hideMark/>
          </w:tcPr>
          <w:p w14:paraId="14F9A9EF"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N</w:t>
            </w:r>
          </w:p>
        </w:tc>
        <w:tc>
          <w:tcPr>
            <w:tcW w:w="960" w:type="dxa"/>
            <w:tcBorders>
              <w:top w:val="nil"/>
              <w:left w:val="nil"/>
              <w:bottom w:val="single" w:sz="8" w:space="0" w:color="auto"/>
              <w:right w:val="nil"/>
            </w:tcBorders>
            <w:shd w:val="clear" w:color="auto" w:fill="auto"/>
            <w:vAlign w:val="center"/>
            <w:hideMark/>
          </w:tcPr>
          <w:p w14:paraId="48F90134"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w:t>
            </w:r>
          </w:p>
        </w:tc>
        <w:tc>
          <w:tcPr>
            <w:tcW w:w="489" w:type="dxa"/>
            <w:tcBorders>
              <w:top w:val="nil"/>
              <w:left w:val="nil"/>
              <w:bottom w:val="nil"/>
              <w:right w:val="nil"/>
            </w:tcBorders>
            <w:shd w:val="clear" w:color="auto" w:fill="auto"/>
            <w:vAlign w:val="center"/>
            <w:hideMark/>
          </w:tcPr>
          <w:p w14:paraId="13AFF764" w14:textId="77777777" w:rsidR="00195130" w:rsidRPr="00943DFA" w:rsidRDefault="00195130" w:rsidP="00373B60">
            <w:pPr>
              <w:contextualSpacing/>
              <w:jc w:val="center"/>
              <w:rPr>
                <w:rFonts w:eastAsia="Times New Roman"/>
                <w:b/>
                <w:bCs/>
                <w:color w:val="0D0D0D" w:themeColor="text1" w:themeTint="F2"/>
                <w:sz w:val="18"/>
              </w:rPr>
            </w:pPr>
          </w:p>
        </w:tc>
        <w:tc>
          <w:tcPr>
            <w:tcW w:w="960" w:type="dxa"/>
            <w:tcBorders>
              <w:top w:val="nil"/>
              <w:left w:val="nil"/>
              <w:bottom w:val="single" w:sz="8" w:space="0" w:color="auto"/>
              <w:right w:val="nil"/>
            </w:tcBorders>
            <w:shd w:val="clear" w:color="auto" w:fill="auto"/>
            <w:vAlign w:val="center"/>
            <w:hideMark/>
          </w:tcPr>
          <w:p w14:paraId="60B28673"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N</w:t>
            </w:r>
          </w:p>
        </w:tc>
        <w:tc>
          <w:tcPr>
            <w:tcW w:w="960" w:type="dxa"/>
            <w:tcBorders>
              <w:top w:val="nil"/>
              <w:left w:val="nil"/>
              <w:bottom w:val="single" w:sz="8" w:space="0" w:color="auto"/>
              <w:right w:val="nil"/>
            </w:tcBorders>
            <w:shd w:val="clear" w:color="auto" w:fill="auto"/>
            <w:vAlign w:val="center"/>
            <w:hideMark/>
          </w:tcPr>
          <w:p w14:paraId="3BDCE2CA" w14:textId="77777777" w:rsidR="00195130" w:rsidRPr="00943DFA" w:rsidRDefault="00195130" w:rsidP="00373B60">
            <w:pPr>
              <w:contextualSpacing/>
              <w:jc w:val="center"/>
              <w:rPr>
                <w:rFonts w:eastAsia="Times New Roman"/>
                <w:b/>
                <w:bCs/>
                <w:color w:val="0D0D0D" w:themeColor="text1" w:themeTint="F2"/>
                <w:sz w:val="18"/>
              </w:rPr>
            </w:pPr>
            <w:r w:rsidRPr="00943DFA">
              <w:rPr>
                <w:rFonts w:eastAsia="Times New Roman"/>
                <w:b/>
                <w:bCs/>
                <w:color w:val="0D0D0D" w:themeColor="text1" w:themeTint="F2"/>
                <w:sz w:val="18"/>
                <w:szCs w:val="22"/>
              </w:rPr>
              <w:t>%</w:t>
            </w:r>
          </w:p>
        </w:tc>
        <w:tc>
          <w:tcPr>
            <w:tcW w:w="632" w:type="dxa"/>
            <w:tcBorders>
              <w:top w:val="nil"/>
              <w:left w:val="nil"/>
              <w:bottom w:val="nil"/>
              <w:right w:val="nil"/>
            </w:tcBorders>
            <w:shd w:val="clear" w:color="auto" w:fill="auto"/>
            <w:vAlign w:val="center"/>
            <w:hideMark/>
          </w:tcPr>
          <w:p w14:paraId="23F52046" w14:textId="77777777" w:rsidR="00195130" w:rsidRPr="00943DFA" w:rsidRDefault="00195130" w:rsidP="00373B60">
            <w:pPr>
              <w:contextualSpacing/>
              <w:jc w:val="center"/>
              <w:rPr>
                <w:rFonts w:eastAsia="Times New Roman"/>
                <w:b/>
                <w:bCs/>
                <w:color w:val="0D0D0D" w:themeColor="text1" w:themeTint="F2"/>
                <w:sz w:val="18"/>
              </w:rPr>
            </w:pPr>
          </w:p>
        </w:tc>
        <w:tc>
          <w:tcPr>
            <w:tcW w:w="1605" w:type="dxa"/>
            <w:tcBorders>
              <w:top w:val="nil"/>
              <w:left w:val="nil"/>
              <w:bottom w:val="nil"/>
              <w:right w:val="nil"/>
            </w:tcBorders>
            <w:shd w:val="clear" w:color="auto" w:fill="auto"/>
            <w:vAlign w:val="center"/>
            <w:hideMark/>
          </w:tcPr>
          <w:p w14:paraId="0DE3DC73" w14:textId="77777777" w:rsidR="00195130" w:rsidRPr="00943DFA" w:rsidRDefault="00195130" w:rsidP="00373B60">
            <w:pPr>
              <w:contextualSpacing/>
              <w:rPr>
                <w:rFonts w:eastAsia="Times New Roman"/>
                <w:color w:val="0D0D0D" w:themeColor="text1" w:themeTint="F2"/>
                <w:sz w:val="18"/>
                <w:szCs w:val="20"/>
              </w:rPr>
            </w:pPr>
          </w:p>
        </w:tc>
      </w:tr>
      <w:tr w:rsidR="00943DFA" w:rsidRPr="00943DFA" w14:paraId="1C3D1030" w14:textId="77777777" w:rsidTr="00373B60">
        <w:trPr>
          <w:trHeight w:val="300"/>
        </w:trPr>
        <w:tc>
          <w:tcPr>
            <w:tcW w:w="2188" w:type="dxa"/>
            <w:tcBorders>
              <w:top w:val="nil"/>
              <w:left w:val="nil"/>
              <w:bottom w:val="nil"/>
              <w:right w:val="nil"/>
            </w:tcBorders>
            <w:shd w:val="clear" w:color="auto" w:fill="auto"/>
            <w:noWrap/>
            <w:vAlign w:val="center"/>
            <w:hideMark/>
          </w:tcPr>
          <w:p w14:paraId="2A628E32"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Oil and Gas</w:t>
            </w:r>
          </w:p>
        </w:tc>
        <w:tc>
          <w:tcPr>
            <w:tcW w:w="506" w:type="dxa"/>
            <w:tcBorders>
              <w:top w:val="nil"/>
              <w:left w:val="nil"/>
              <w:bottom w:val="nil"/>
              <w:right w:val="nil"/>
            </w:tcBorders>
            <w:shd w:val="clear" w:color="auto" w:fill="auto"/>
            <w:vAlign w:val="center"/>
            <w:hideMark/>
          </w:tcPr>
          <w:p w14:paraId="21F5CF6F"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6E23A2CC"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41</w:t>
            </w:r>
          </w:p>
        </w:tc>
        <w:tc>
          <w:tcPr>
            <w:tcW w:w="960" w:type="dxa"/>
            <w:tcBorders>
              <w:top w:val="nil"/>
              <w:left w:val="nil"/>
              <w:bottom w:val="nil"/>
              <w:right w:val="nil"/>
            </w:tcBorders>
            <w:shd w:val="clear" w:color="auto" w:fill="auto"/>
            <w:noWrap/>
            <w:vAlign w:val="center"/>
            <w:hideMark/>
          </w:tcPr>
          <w:p w14:paraId="6829654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4.51</w:t>
            </w:r>
          </w:p>
        </w:tc>
        <w:tc>
          <w:tcPr>
            <w:tcW w:w="489" w:type="dxa"/>
            <w:tcBorders>
              <w:top w:val="nil"/>
              <w:left w:val="nil"/>
              <w:bottom w:val="nil"/>
              <w:right w:val="nil"/>
            </w:tcBorders>
            <w:shd w:val="clear" w:color="auto" w:fill="auto"/>
            <w:noWrap/>
            <w:vAlign w:val="center"/>
            <w:hideMark/>
          </w:tcPr>
          <w:p w14:paraId="171ED6F8"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1529A5D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34</w:t>
            </w:r>
          </w:p>
        </w:tc>
        <w:tc>
          <w:tcPr>
            <w:tcW w:w="960" w:type="dxa"/>
            <w:tcBorders>
              <w:top w:val="nil"/>
              <w:left w:val="nil"/>
              <w:bottom w:val="nil"/>
              <w:right w:val="nil"/>
            </w:tcBorders>
            <w:shd w:val="clear" w:color="auto" w:fill="auto"/>
            <w:noWrap/>
            <w:vAlign w:val="center"/>
            <w:hideMark/>
          </w:tcPr>
          <w:p w14:paraId="79CBCFF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4.79</w:t>
            </w:r>
          </w:p>
        </w:tc>
        <w:tc>
          <w:tcPr>
            <w:tcW w:w="632" w:type="dxa"/>
            <w:tcBorders>
              <w:top w:val="nil"/>
              <w:left w:val="nil"/>
              <w:bottom w:val="nil"/>
              <w:right w:val="nil"/>
            </w:tcBorders>
            <w:shd w:val="clear" w:color="auto" w:fill="auto"/>
            <w:noWrap/>
            <w:vAlign w:val="center"/>
            <w:hideMark/>
          </w:tcPr>
          <w:p w14:paraId="1AF72788"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16B4416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82.93</w:t>
            </w:r>
          </w:p>
        </w:tc>
      </w:tr>
      <w:tr w:rsidR="00943DFA" w:rsidRPr="00943DFA" w14:paraId="1CBB0F5D" w14:textId="77777777" w:rsidTr="00373B60">
        <w:trPr>
          <w:trHeight w:val="300"/>
        </w:trPr>
        <w:tc>
          <w:tcPr>
            <w:tcW w:w="2188" w:type="dxa"/>
            <w:tcBorders>
              <w:top w:val="nil"/>
              <w:left w:val="nil"/>
              <w:bottom w:val="nil"/>
              <w:right w:val="nil"/>
            </w:tcBorders>
            <w:shd w:val="clear" w:color="auto" w:fill="auto"/>
            <w:noWrap/>
            <w:vAlign w:val="center"/>
            <w:hideMark/>
          </w:tcPr>
          <w:p w14:paraId="6DA2D521"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Food products</w:t>
            </w:r>
          </w:p>
        </w:tc>
        <w:tc>
          <w:tcPr>
            <w:tcW w:w="506" w:type="dxa"/>
            <w:tcBorders>
              <w:top w:val="nil"/>
              <w:left w:val="nil"/>
              <w:bottom w:val="nil"/>
              <w:right w:val="nil"/>
            </w:tcBorders>
            <w:shd w:val="clear" w:color="auto" w:fill="auto"/>
            <w:vAlign w:val="center"/>
            <w:hideMark/>
          </w:tcPr>
          <w:p w14:paraId="1AD74F12"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5101379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w:t>
            </w:r>
          </w:p>
        </w:tc>
        <w:tc>
          <w:tcPr>
            <w:tcW w:w="960" w:type="dxa"/>
            <w:tcBorders>
              <w:top w:val="nil"/>
              <w:left w:val="nil"/>
              <w:bottom w:val="nil"/>
              <w:right w:val="nil"/>
            </w:tcBorders>
            <w:shd w:val="clear" w:color="auto" w:fill="auto"/>
            <w:noWrap/>
            <w:vAlign w:val="center"/>
            <w:hideMark/>
          </w:tcPr>
          <w:p w14:paraId="36BE4B5C"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0.77</w:t>
            </w:r>
          </w:p>
        </w:tc>
        <w:tc>
          <w:tcPr>
            <w:tcW w:w="489" w:type="dxa"/>
            <w:tcBorders>
              <w:top w:val="nil"/>
              <w:left w:val="nil"/>
              <w:bottom w:val="nil"/>
              <w:right w:val="nil"/>
            </w:tcBorders>
            <w:shd w:val="clear" w:color="auto" w:fill="auto"/>
            <w:noWrap/>
            <w:vAlign w:val="center"/>
            <w:hideMark/>
          </w:tcPr>
          <w:p w14:paraId="3D5DE868"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56A9AB6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w:t>
            </w:r>
          </w:p>
        </w:tc>
        <w:tc>
          <w:tcPr>
            <w:tcW w:w="960" w:type="dxa"/>
            <w:tcBorders>
              <w:top w:val="nil"/>
              <w:left w:val="nil"/>
              <w:bottom w:val="nil"/>
              <w:right w:val="nil"/>
            </w:tcBorders>
            <w:shd w:val="clear" w:color="auto" w:fill="auto"/>
            <w:noWrap/>
            <w:vAlign w:val="center"/>
            <w:hideMark/>
          </w:tcPr>
          <w:p w14:paraId="4621958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1.13</w:t>
            </w:r>
          </w:p>
        </w:tc>
        <w:tc>
          <w:tcPr>
            <w:tcW w:w="632" w:type="dxa"/>
            <w:tcBorders>
              <w:top w:val="nil"/>
              <w:left w:val="nil"/>
              <w:bottom w:val="nil"/>
              <w:right w:val="nil"/>
            </w:tcBorders>
            <w:shd w:val="clear" w:color="auto" w:fill="auto"/>
            <w:noWrap/>
            <w:vAlign w:val="center"/>
            <w:hideMark/>
          </w:tcPr>
          <w:p w14:paraId="1171AF8A"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5167F8A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r>
      <w:tr w:rsidR="00943DFA" w:rsidRPr="00943DFA" w14:paraId="4F784CEF" w14:textId="77777777" w:rsidTr="00373B60">
        <w:trPr>
          <w:trHeight w:val="300"/>
        </w:trPr>
        <w:tc>
          <w:tcPr>
            <w:tcW w:w="2694" w:type="dxa"/>
            <w:gridSpan w:val="2"/>
            <w:tcBorders>
              <w:top w:val="nil"/>
              <w:left w:val="nil"/>
              <w:bottom w:val="nil"/>
              <w:right w:val="nil"/>
            </w:tcBorders>
            <w:shd w:val="clear" w:color="auto" w:fill="auto"/>
            <w:noWrap/>
            <w:vAlign w:val="center"/>
            <w:hideMark/>
          </w:tcPr>
          <w:p w14:paraId="4F491D74"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Paper and paper products</w:t>
            </w:r>
          </w:p>
        </w:tc>
        <w:tc>
          <w:tcPr>
            <w:tcW w:w="960" w:type="dxa"/>
            <w:tcBorders>
              <w:top w:val="nil"/>
              <w:left w:val="nil"/>
              <w:bottom w:val="nil"/>
              <w:right w:val="nil"/>
            </w:tcBorders>
            <w:shd w:val="clear" w:color="auto" w:fill="auto"/>
            <w:noWrap/>
            <w:vAlign w:val="center"/>
            <w:hideMark/>
          </w:tcPr>
          <w:p w14:paraId="42FBCD9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w:t>
            </w:r>
          </w:p>
        </w:tc>
        <w:tc>
          <w:tcPr>
            <w:tcW w:w="960" w:type="dxa"/>
            <w:tcBorders>
              <w:top w:val="nil"/>
              <w:left w:val="nil"/>
              <w:bottom w:val="nil"/>
              <w:right w:val="nil"/>
            </w:tcBorders>
            <w:shd w:val="clear" w:color="auto" w:fill="auto"/>
            <w:noWrap/>
            <w:vAlign w:val="center"/>
            <w:hideMark/>
          </w:tcPr>
          <w:p w14:paraId="510B33F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0.99</w:t>
            </w:r>
          </w:p>
        </w:tc>
        <w:tc>
          <w:tcPr>
            <w:tcW w:w="489" w:type="dxa"/>
            <w:tcBorders>
              <w:top w:val="nil"/>
              <w:left w:val="nil"/>
              <w:bottom w:val="nil"/>
              <w:right w:val="nil"/>
            </w:tcBorders>
            <w:shd w:val="clear" w:color="auto" w:fill="auto"/>
            <w:noWrap/>
            <w:vAlign w:val="center"/>
            <w:hideMark/>
          </w:tcPr>
          <w:p w14:paraId="35D61660"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712533D1"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w:t>
            </w:r>
          </w:p>
        </w:tc>
        <w:tc>
          <w:tcPr>
            <w:tcW w:w="960" w:type="dxa"/>
            <w:tcBorders>
              <w:top w:val="nil"/>
              <w:left w:val="nil"/>
              <w:bottom w:val="nil"/>
              <w:right w:val="nil"/>
            </w:tcBorders>
            <w:shd w:val="clear" w:color="auto" w:fill="auto"/>
            <w:noWrap/>
            <w:vAlign w:val="center"/>
            <w:hideMark/>
          </w:tcPr>
          <w:p w14:paraId="3B41DC0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1.41</w:t>
            </w:r>
          </w:p>
        </w:tc>
        <w:tc>
          <w:tcPr>
            <w:tcW w:w="632" w:type="dxa"/>
            <w:tcBorders>
              <w:top w:val="nil"/>
              <w:left w:val="nil"/>
              <w:bottom w:val="nil"/>
              <w:right w:val="nil"/>
            </w:tcBorders>
            <w:shd w:val="clear" w:color="auto" w:fill="auto"/>
            <w:noWrap/>
            <w:vAlign w:val="center"/>
            <w:hideMark/>
          </w:tcPr>
          <w:p w14:paraId="68A3B3C4"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6B34464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r>
      <w:tr w:rsidR="00943DFA" w:rsidRPr="00943DFA" w14:paraId="44201FC0" w14:textId="77777777" w:rsidTr="00373B60">
        <w:trPr>
          <w:trHeight w:val="300"/>
        </w:trPr>
        <w:tc>
          <w:tcPr>
            <w:tcW w:w="2188" w:type="dxa"/>
            <w:tcBorders>
              <w:top w:val="nil"/>
              <w:left w:val="nil"/>
              <w:bottom w:val="nil"/>
              <w:right w:val="nil"/>
            </w:tcBorders>
            <w:shd w:val="clear" w:color="auto" w:fill="auto"/>
            <w:noWrap/>
            <w:vAlign w:val="center"/>
            <w:hideMark/>
          </w:tcPr>
          <w:p w14:paraId="552C4982"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Chemical products</w:t>
            </w:r>
          </w:p>
        </w:tc>
        <w:tc>
          <w:tcPr>
            <w:tcW w:w="506" w:type="dxa"/>
            <w:tcBorders>
              <w:top w:val="nil"/>
              <w:left w:val="nil"/>
              <w:bottom w:val="nil"/>
              <w:right w:val="nil"/>
            </w:tcBorders>
            <w:shd w:val="clear" w:color="auto" w:fill="auto"/>
            <w:vAlign w:val="center"/>
            <w:hideMark/>
          </w:tcPr>
          <w:p w14:paraId="1F0CF485"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4F0D423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258</w:t>
            </w:r>
          </w:p>
        </w:tc>
        <w:tc>
          <w:tcPr>
            <w:tcW w:w="960" w:type="dxa"/>
            <w:tcBorders>
              <w:top w:val="nil"/>
              <w:left w:val="nil"/>
              <w:bottom w:val="nil"/>
              <w:right w:val="nil"/>
            </w:tcBorders>
            <w:shd w:val="clear" w:color="auto" w:fill="auto"/>
            <w:noWrap/>
            <w:vAlign w:val="center"/>
            <w:hideMark/>
          </w:tcPr>
          <w:p w14:paraId="4AB154A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28.38</w:t>
            </w:r>
          </w:p>
        </w:tc>
        <w:tc>
          <w:tcPr>
            <w:tcW w:w="489" w:type="dxa"/>
            <w:tcBorders>
              <w:top w:val="nil"/>
              <w:left w:val="nil"/>
              <w:bottom w:val="nil"/>
              <w:right w:val="nil"/>
            </w:tcBorders>
            <w:shd w:val="clear" w:color="auto" w:fill="auto"/>
            <w:noWrap/>
            <w:vAlign w:val="center"/>
            <w:hideMark/>
          </w:tcPr>
          <w:p w14:paraId="10085D83"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2BF826D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177</w:t>
            </w:r>
          </w:p>
        </w:tc>
        <w:tc>
          <w:tcPr>
            <w:tcW w:w="960" w:type="dxa"/>
            <w:tcBorders>
              <w:top w:val="nil"/>
              <w:left w:val="nil"/>
              <w:bottom w:val="nil"/>
              <w:right w:val="nil"/>
            </w:tcBorders>
            <w:shd w:val="clear" w:color="auto" w:fill="auto"/>
            <w:noWrap/>
            <w:vAlign w:val="center"/>
            <w:hideMark/>
          </w:tcPr>
          <w:p w14:paraId="69F694B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24.65</w:t>
            </w:r>
          </w:p>
        </w:tc>
        <w:tc>
          <w:tcPr>
            <w:tcW w:w="632" w:type="dxa"/>
            <w:tcBorders>
              <w:top w:val="nil"/>
              <w:left w:val="nil"/>
              <w:bottom w:val="nil"/>
              <w:right w:val="nil"/>
            </w:tcBorders>
            <w:shd w:val="clear" w:color="auto" w:fill="auto"/>
            <w:noWrap/>
            <w:vAlign w:val="center"/>
            <w:hideMark/>
          </w:tcPr>
          <w:p w14:paraId="33B41A6E"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1F66C1A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68.6</w:t>
            </w:r>
          </w:p>
        </w:tc>
      </w:tr>
      <w:tr w:rsidR="00943DFA" w:rsidRPr="00943DFA" w14:paraId="179F9F53" w14:textId="77777777" w:rsidTr="00373B60">
        <w:trPr>
          <w:trHeight w:val="300"/>
        </w:trPr>
        <w:tc>
          <w:tcPr>
            <w:tcW w:w="2188" w:type="dxa"/>
            <w:tcBorders>
              <w:top w:val="nil"/>
              <w:left w:val="nil"/>
              <w:bottom w:val="nil"/>
              <w:right w:val="nil"/>
            </w:tcBorders>
            <w:shd w:val="clear" w:color="auto" w:fill="auto"/>
            <w:noWrap/>
            <w:vAlign w:val="center"/>
            <w:hideMark/>
          </w:tcPr>
          <w:p w14:paraId="1F6EDACC"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Manufacturing</w:t>
            </w:r>
          </w:p>
        </w:tc>
        <w:tc>
          <w:tcPr>
            <w:tcW w:w="506" w:type="dxa"/>
            <w:tcBorders>
              <w:top w:val="nil"/>
              <w:left w:val="nil"/>
              <w:bottom w:val="nil"/>
              <w:right w:val="nil"/>
            </w:tcBorders>
            <w:shd w:val="clear" w:color="auto" w:fill="auto"/>
            <w:vAlign w:val="center"/>
            <w:hideMark/>
          </w:tcPr>
          <w:p w14:paraId="7ACC99F9"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163BEBC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26</w:t>
            </w:r>
          </w:p>
        </w:tc>
        <w:tc>
          <w:tcPr>
            <w:tcW w:w="960" w:type="dxa"/>
            <w:tcBorders>
              <w:top w:val="nil"/>
              <w:left w:val="nil"/>
              <w:bottom w:val="nil"/>
              <w:right w:val="nil"/>
            </w:tcBorders>
            <w:shd w:val="clear" w:color="auto" w:fill="auto"/>
            <w:noWrap/>
            <w:vAlign w:val="center"/>
            <w:hideMark/>
          </w:tcPr>
          <w:p w14:paraId="13D20B8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2.86</w:t>
            </w:r>
          </w:p>
        </w:tc>
        <w:tc>
          <w:tcPr>
            <w:tcW w:w="489" w:type="dxa"/>
            <w:tcBorders>
              <w:top w:val="nil"/>
              <w:left w:val="nil"/>
              <w:bottom w:val="nil"/>
              <w:right w:val="nil"/>
            </w:tcBorders>
            <w:shd w:val="clear" w:color="auto" w:fill="auto"/>
            <w:noWrap/>
            <w:vAlign w:val="center"/>
            <w:hideMark/>
          </w:tcPr>
          <w:p w14:paraId="7C116E78"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43C7DA6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19</w:t>
            </w:r>
          </w:p>
        </w:tc>
        <w:tc>
          <w:tcPr>
            <w:tcW w:w="960" w:type="dxa"/>
            <w:tcBorders>
              <w:top w:val="nil"/>
              <w:left w:val="nil"/>
              <w:bottom w:val="nil"/>
              <w:right w:val="nil"/>
            </w:tcBorders>
            <w:shd w:val="clear" w:color="auto" w:fill="auto"/>
            <w:noWrap/>
            <w:vAlign w:val="center"/>
            <w:hideMark/>
          </w:tcPr>
          <w:p w14:paraId="6513193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2.68</w:t>
            </w:r>
          </w:p>
        </w:tc>
        <w:tc>
          <w:tcPr>
            <w:tcW w:w="632" w:type="dxa"/>
            <w:tcBorders>
              <w:top w:val="nil"/>
              <w:left w:val="nil"/>
              <w:bottom w:val="nil"/>
              <w:right w:val="nil"/>
            </w:tcBorders>
            <w:shd w:val="clear" w:color="auto" w:fill="auto"/>
            <w:noWrap/>
            <w:vAlign w:val="center"/>
            <w:hideMark/>
          </w:tcPr>
          <w:p w14:paraId="28BAD408"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2264FF3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73.08</w:t>
            </w:r>
          </w:p>
        </w:tc>
      </w:tr>
      <w:tr w:rsidR="00943DFA" w:rsidRPr="00943DFA" w14:paraId="0C751ABE" w14:textId="77777777" w:rsidTr="00373B60">
        <w:trPr>
          <w:trHeight w:val="300"/>
        </w:trPr>
        <w:tc>
          <w:tcPr>
            <w:tcW w:w="2694" w:type="dxa"/>
            <w:gridSpan w:val="2"/>
            <w:tcBorders>
              <w:top w:val="nil"/>
              <w:left w:val="nil"/>
              <w:bottom w:val="nil"/>
              <w:right w:val="nil"/>
            </w:tcBorders>
            <w:shd w:val="clear" w:color="auto" w:fill="auto"/>
            <w:noWrap/>
            <w:vAlign w:val="center"/>
            <w:hideMark/>
          </w:tcPr>
          <w:p w14:paraId="61AFEB6C"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Computer equipment &amp; services</w:t>
            </w:r>
          </w:p>
        </w:tc>
        <w:tc>
          <w:tcPr>
            <w:tcW w:w="960" w:type="dxa"/>
            <w:tcBorders>
              <w:top w:val="nil"/>
              <w:left w:val="nil"/>
              <w:bottom w:val="nil"/>
              <w:right w:val="nil"/>
            </w:tcBorders>
            <w:shd w:val="clear" w:color="auto" w:fill="auto"/>
            <w:noWrap/>
            <w:vAlign w:val="center"/>
            <w:hideMark/>
          </w:tcPr>
          <w:p w14:paraId="34E777E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216</w:t>
            </w:r>
          </w:p>
        </w:tc>
        <w:tc>
          <w:tcPr>
            <w:tcW w:w="960" w:type="dxa"/>
            <w:tcBorders>
              <w:top w:val="nil"/>
              <w:left w:val="nil"/>
              <w:bottom w:val="nil"/>
              <w:right w:val="nil"/>
            </w:tcBorders>
            <w:shd w:val="clear" w:color="auto" w:fill="auto"/>
            <w:noWrap/>
            <w:vAlign w:val="center"/>
            <w:hideMark/>
          </w:tcPr>
          <w:p w14:paraId="2EEEF74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23.76</w:t>
            </w:r>
          </w:p>
        </w:tc>
        <w:tc>
          <w:tcPr>
            <w:tcW w:w="489" w:type="dxa"/>
            <w:tcBorders>
              <w:top w:val="nil"/>
              <w:left w:val="nil"/>
              <w:bottom w:val="nil"/>
              <w:right w:val="nil"/>
            </w:tcBorders>
            <w:shd w:val="clear" w:color="auto" w:fill="auto"/>
            <w:noWrap/>
            <w:vAlign w:val="center"/>
            <w:hideMark/>
          </w:tcPr>
          <w:p w14:paraId="209191B9"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0B9036C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173</w:t>
            </w:r>
          </w:p>
        </w:tc>
        <w:tc>
          <w:tcPr>
            <w:tcW w:w="960" w:type="dxa"/>
            <w:tcBorders>
              <w:top w:val="nil"/>
              <w:left w:val="nil"/>
              <w:bottom w:val="nil"/>
              <w:right w:val="nil"/>
            </w:tcBorders>
            <w:shd w:val="clear" w:color="auto" w:fill="auto"/>
            <w:noWrap/>
            <w:vAlign w:val="center"/>
            <w:hideMark/>
          </w:tcPr>
          <w:p w14:paraId="36916E1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24.37</w:t>
            </w:r>
          </w:p>
        </w:tc>
        <w:tc>
          <w:tcPr>
            <w:tcW w:w="632" w:type="dxa"/>
            <w:tcBorders>
              <w:top w:val="nil"/>
              <w:left w:val="nil"/>
              <w:bottom w:val="nil"/>
              <w:right w:val="nil"/>
            </w:tcBorders>
            <w:shd w:val="clear" w:color="auto" w:fill="auto"/>
            <w:noWrap/>
            <w:vAlign w:val="center"/>
            <w:hideMark/>
          </w:tcPr>
          <w:p w14:paraId="043867DC"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02F502B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80.09</w:t>
            </w:r>
          </w:p>
        </w:tc>
      </w:tr>
      <w:tr w:rsidR="00943DFA" w:rsidRPr="00943DFA" w14:paraId="7F3486E0" w14:textId="77777777" w:rsidTr="00373B60">
        <w:trPr>
          <w:trHeight w:val="300"/>
        </w:trPr>
        <w:tc>
          <w:tcPr>
            <w:tcW w:w="2188" w:type="dxa"/>
            <w:tcBorders>
              <w:top w:val="nil"/>
              <w:left w:val="nil"/>
              <w:bottom w:val="nil"/>
              <w:right w:val="nil"/>
            </w:tcBorders>
            <w:shd w:val="clear" w:color="auto" w:fill="auto"/>
            <w:noWrap/>
            <w:vAlign w:val="center"/>
            <w:hideMark/>
          </w:tcPr>
          <w:p w14:paraId="038FA7B9"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Electronic equipment</w:t>
            </w:r>
          </w:p>
        </w:tc>
        <w:tc>
          <w:tcPr>
            <w:tcW w:w="506" w:type="dxa"/>
            <w:tcBorders>
              <w:top w:val="nil"/>
              <w:left w:val="nil"/>
              <w:bottom w:val="nil"/>
              <w:right w:val="nil"/>
            </w:tcBorders>
            <w:shd w:val="clear" w:color="auto" w:fill="auto"/>
            <w:vAlign w:val="center"/>
            <w:hideMark/>
          </w:tcPr>
          <w:p w14:paraId="39220D42"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6A637C3C"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63</w:t>
            </w:r>
          </w:p>
        </w:tc>
        <w:tc>
          <w:tcPr>
            <w:tcW w:w="960" w:type="dxa"/>
            <w:tcBorders>
              <w:top w:val="nil"/>
              <w:left w:val="nil"/>
              <w:bottom w:val="nil"/>
              <w:right w:val="nil"/>
            </w:tcBorders>
            <w:shd w:val="clear" w:color="auto" w:fill="auto"/>
            <w:noWrap/>
            <w:vAlign w:val="center"/>
            <w:hideMark/>
          </w:tcPr>
          <w:p w14:paraId="05A20C4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6.93</w:t>
            </w:r>
          </w:p>
        </w:tc>
        <w:tc>
          <w:tcPr>
            <w:tcW w:w="489" w:type="dxa"/>
            <w:tcBorders>
              <w:top w:val="nil"/>
              <w:left w:val="nil"/>
              <w:bottom w:val="nil"/>
              <w:right w:val="nil"/>
            </w:tcBorders>
            <w:shd w:val="clear" w:color="auto" w:fill="auto"/>
            <w:noWrap/>
            <w:vAlign w:val="center"/>
            <w:hideMark/>
          </w:tcPr>
          <w:p w14:paraId="34BCAFCB"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45B0CF9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53</w:t>
            </w:r>
          </w:p>
        </w:tc>
        <w:tc>
          <w:tcPr>
            <w:tcW w:w="960" w:type="dxa"/>
            <w:tcBorders>
              <w:top w:val="nil"/>
              <w:left w:val="nil"/>
              <w:bottom w:val="nil"/>
              <w:right w:val="nil"/>
            </w:tcBorders>
            <w:shd w:val="clear" w:color="auto" w:fill="auto"/>
            <w:noWrap/>
            <w:vAlign w:val="center"/>
            <w:hideMark/>
          </w:tcPr>
          <w:p w14:paraId="2B18D3A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7.46</w:t>
            </w:r>
          </w:p>
        </w:tc>
        <w:tc>
          <w:tcPr>
            <w:tcW w:w="632" w:type="dxa"/>
            <w:tcBorders>
              <w:top w:val="nil"/>
              <w:left w:val="nil"/>
              <w:bottom w:val="nil"/>
              <w:right w:val="nil"/>
            </w:tcBorders>
            <w:shd w:val="clear" w:color="auto" w:fill="auto"/>
            <w:noWrap/>
            <w:vAlign w:val="center"/>
            <w:hideMark/>
          </w:tcPr>
          <w:p w14:paraId="727DB5C4"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5BB30E3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84.13</w:t>
            </w:r>
          </w:p>
        </w:tc>
      </w:tr>
      <w:tr w:rsidR="00943DFA" w:rsidRPr="00943DFA" w14:paraId="77002AD8" w14:textId="77777777" w:rsidTr="00373B60">
        <w:trPr>
          <w:trHeight w:val="300"/>
        </w:trPr>
        <w:tc>
          <w:tcPr>
            <w:tcW w:w="2694" w:type="dxa"/>
            <w:gridSpan w:val="2"/>
            <w:tcBorders>
              <w:top w:val="nil"/>
              <w:left w:val="nil"/>
              <w:bottom w:val="nil"/>
              <w:right w:val="nil"/>
            </w:tcBorders>
            <w:shd w:val="clear" w:color="auto" w:fill="auto"/>
            <w:noWrap/>
            <w:vAlign w:val="center"/>
            <w:hideMark/>
          </w:tcPr>
          <w:p w14:paraId="1D27431A"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Transportation &amp; public utilities</w:t>
            </w:r>
          </w:p>
        </w:tc>
        <w:tc>
          <w:tcPr>
            <w:tcW w:w="960" w:type="dxa"/>
            <w:tcBorders>
              <w:top w:val="nil"/>
              <w:left w:val="nil"/>
              <w:bottom w:val="nil"/>
              <w:right w:val="nil"/>
            </w:tcBorders>
            <w:shd w:val="clear" w:color="auto" w:fill="auto"/>
            <w:noWrap/>
            <w:vAlign w:val="center"/>
            <w:hideMark/>
          </w:tcPr>
          <w:p w14:paraId="0645FC8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50</w:t>
            </w:r>
          </w:p>
        </w:tc>
        <w:tc>
          <w:tcPr>
            <w:tcW w:w="960" w:type="dxa"/>
            <w:tcBorders>
              <w:top w:val="nil"/>
              <w:left w:val="nil"/>
              <w:bottom w:val="nil"/>
              <w:right w:val="nil"/>
            </w:tcBorders>
            <w:shd w:val="clear" w:color="auto" w:fill="auto"/>
            <w:noWrap/>
            <w:vAlign w:val="center"/>
            <w:hideMark/>
          </w:tcPr>
          <w:p w14:paraId="45F4ECA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5.5</w:t>
            </w:r>
          </w:p>
        </w:tc>
        <w:tc>
          <w:tcPr>
            <w:tcW w:w="489" w:type="dxa"/>
            <w:tcBorders>
              <w:top w:val="nil"/>
              <w:left w:val="nil"/>
              <w:bottom w:val="nil"/>
              <w:right w:val="nil"/>
            </w:tcBorders>
            <w:shd w:val="clear" w:color="auto" w:fill="auto"/>
            <w:noWrap/>
            <w:vAlign w:val="center"/>
            <w:hideMark/>
          </w:tcPr>
          <w:p w14:paraId="6028A6CD"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1293ED4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42</w:t>
            </w:r>
          </w:p>
        </w:tc>
        <w:tc>
          <w:tcPr>
            <w:tcW w:w="960" w:type="dxa"/>
            <w:tcBorders>
              <w:top w:val="nil"/>
              <w:left w:val="nil"/>
              <w:bottom w:val="nil"/>
              <w:right w:val="nil"/>
            </w:tcBorders>
            <w:shd w:val="clear" w:color="auto" w:fill="auto"/>
            <w:noWrap/>
            <w:vAlign w:val="center"/>
            <w:hideMark/>
          </w:tcPr>
          <w:p w14:paraId="5002785C"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5.92</w:t>
            </w:r>
          </w:p>
        </w:tc>
        <w:tc>
          <w:tcPr>
            <w:tcW w:w="632" w:type="dxa"/>
            <w:tcBorders>
              <w:top w:val="nil"/>
              <w:left w:val="nil"/>
              <w:bottom w:val="nil"/>
              <w:right w:val="nil"/>
            </w:tcBorders>
            <w:shd w:val="clear" w:color="auto" w:fill="auto"/>
            <w:noWrap/>
            <w:vAlign w:val="center"/>
            <w:hideMark/>
          </w:tcPr>
          <w:p w14:paraId="09D04AC6"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16D1503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84</w:t>
            </w:r>
          </w:p>
        </w:tc>
      </w:tr>
      <w:tr w:rsidR="00943DFA" w:rsidRPr="00943DFA" w14:paraId="18D51A34" w14:textId="77777777" w:rsidTr="00373B60">
        <w:trPr>
          <w:trHeight w:val="300"/>
        </w:trPr>
        <w:tc>
          <w:tcPr>
            <w:tcW w:w="2188" w:type="dxa"/>
            <w:tcBorders>
              <w:top w:val="nil"/>
              <w:left w:val="nil"/>
              <w:bottom w:val="nil"/>
              <w:right w:val="nil"/>
            </w:tcBorders>
            <w:shd w:val="clear" w:color="auto" w:fill="auto"/>
            <w:noWrap/>
            <w:vAlign w:val="center"/>
            <w:hideMark/>
          </w:tcPr>
          <w:p w14:paraId="5C7895E1"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Scientific instruments</w:t>
            </w:r>
          </w:p>
        </w:tc>
        <w:tc>
          <w:tcPr>
            <w:tcW w:w="506" w:type="dxa"/>
            <w:tcBorders>
              <w:top w:val="nil"/>
              <w:left w:val="nil"/>
              <w:bottom w:val="nil"/>
              <w:right w:val="nil"/>
            </w:tcBorders>
            <w:shd w:val="clear" w:color="auto" w:fill="auto"/>
            <w:vAlign w:val="center"/>
            <w:hideMark/>
          </w:tcPr>
          <w:p w14:paraId="191ACADB"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33E4FF8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68</w:t>
            </w:r>
          </w:p>
        </w:tc>
        <w:tc>
          <w:tcPr>
            <w:tcW w:w="960" w:type="dxa"/>
            <w:tcBorders>
              <w:top w:val="nil"/>
              <w:left w:val="nil"/>
              <w:bottom w:val="nil"/>
              <w:right w:val="nil"/>
            </w:tcBorders>
            <w:shd w:val="clear" w:color="auto" w:fill="auto"/>
            <w:noWrap/>
            <w:vAlign w:val="center"/>
            <w:hideMark/>
          </w:tcPr>
          <w:p w14:paraId="732C0BA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7.48</w:t>
            </w:r>
          </w:p>
        </w:tc>
        <w:tc>
          <w:tcPr>
            <w:tcW w:w="489" w:type="dxa"/>
            <w:tcBorders>
              <w:top w:val="nil"/>
              <w:left w:val="nil"/>
              <w:bottom w:val="nil"/>
              <w:right w:val="nil"/>
            </w:tcBorders>
            <w:shd w:val="clear" w:color="auto" w:fill="auto"/>
            <w:noWrap/>
            <w:vAlign w:val="center"/>
            <w:hideMark/>
          </w:tcPr>
          <w:p w14:paraId="7BC7DA2F"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3D0A391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48</w:t>
            </w:r>
          </w:p>
        </w:tc>
        <w:tc>
          <w:tcPr>
            <w:tcW w:w="960" w:type="dxa"/>
            <w:tcBorders>
              <w:top w:val="nil"/>
              <w:left w:val="nil"/>
              <w:bottom w:val="nil"/>
              <w:right w:val="nil"/>
            </w:tcBorders>
            <w:shd w:val="clear" w:color="auto" w:fill="auto"/>
            <w:noWrap/>
            <w:vAlign w:val="center"/>
            <w:hideMark/>
          </w:tcPr>
          <w:p w14:paraId="4C3CA5C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6.76</w:t>
            </w:r>
          </w:p>
        </w:tc>
        <w:tc>
          <w:tcPr>
            <w:tcW w:w="632" w:type="dxa"/>
            <w:tcBorders>
              <w:top w:val="nil"/>
              <w:left w:val="nil"/>
              <w:bottom w:val="nil"/>
              <w:right w:val="nil"/>
            </w:tcBorders>
            <w:shd w:val="clear" w:color="auto" w:fill="auto"/>
            <w:noWrap/>
            <w:vAlign w:val="center"/>
            <w:hideMark/>
          </w:tcPr>
          <w:p w14:paraId="4DB0CA9D"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1259C48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70.59</w:t>
            </w:r>
          </w:p>
        </w:tc>
      </w:tr>
      <w:tr w:rsidR="00943DFA" w:rsidRPr="00943DFA" w14:paraId="6E871AC7" w14:textId="77777777" w:rsidTr="00373B60">
        <w:trPr>
          <w:trHeight w:val="300"/>
        </w:trPr>
        <w:tc>
          <w:tcPr>
            <w:tcW w:w="2188" w:type="dxa"/>
            <w:tcBorders>
              <w:top w:val="nil"/>
              <w:left w:val="nil"/>
              <w:bottom w:val="nil"/>
              <w:right w:val="nil"/>
            </w:tcBorders>
            <w:shd w:val="clear" w:color="auto" w:fill="auto"/>
            <w:noWrap/>
            <w:vAlign w:val="center"/>
            <w:hideMark/>
          </w:tcPr>
          <w:p w14:paraId="425B0858"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Wholesale trade</w:t>
            </w:r>
          </w:p>
        </w:tc>
        <w:tc>
          <w:tcPr>
            <w:tcW w:w="506" w:type="dxa"/>
            <w:tcBorders>
              <w:top w:val="nil"/>
              <w:left w:val="nil"/>
              <w:bottom w:val="nil"/>
              <w:right w:val="nil"/>
            </w:tcBorders>
            <w:shd w:val="clear" w:color="auto" w:fill="auto"/>
            <w:vAlign w:val="center"/>
            <w:hideMark/>
          </w:tcPr>
          <w:p w14:paraId="395BEE70"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16D709B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20</w:t>
            </w:r>
          </w:p>
        </w:tc>
        <w:tc>
          <w:tcPr>
            <w:tcW w:w="960" w:type="dxa"/>
            <w:tcBorders>
              <w:top w:val="nil"/>
              <w:left w:val="nil"/>
              <w:bottom w:val="nil"/>
              <w:right w:val="nil"/>
            </w:tcBorders>
            <w:shd w:val="clear" w:color="auto" w:fill="auto"/>
            <w:noWrap/>
            <w:vAlign w:val="center"/>
            <w:hideMark/>
          </w:tcPr>
          <w:p w14:paraId="529B9E5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2.2</w:t>
            </w:r>
          </w:p>
        </w:tc>
        <w:tc>
          <w:tcPr>
            <w:tcW w:w="489" w:type="dxa"/>
            <w:tcBorders>
              <w:top w:val="nil"/>
              <w:left w:val="nil"/>
              <w:bottom w:val="nil"/>
              <w:right w:val="nil"/>
            </w:tcBorders>
            <w:shd w:val="clear" w:color="auto" w:fill="auto"/>
            <w:noWrap/>
            <w:vAlign w:val="center"/>
            <w:hideMark/>
          </w:tcPr>
          <w:p w14:paraId="37159385"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51C9261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19</w:t>
            </w:r>
          </w:p>
        </w:tc>
        <w:tc>
          <w:tcPr>
            <w:tcW w:w="960" w:type="dxa"/>
            <w:tcBorders>
              <w:top w:val="nil"/>
              <w:left w:val="nil"/>
              <w:bottom w:val="nil"/>
              <w:right w:val="nil"/>
            </w:tcBorders>
            <w:shd w:val="clear" w:color="auto" w:fill="auto"/>
            <w:noWrap/>
            <w:vAlign w:val="center"/>
            <w:hideMark/>
          </w:tcPr>
          <w:p w14:paraId="2CC712D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2.68</w:t>
            </w:r>
          </w:p>
        </w:tc>
        <w:tc>
          <w:tcPr>
            <w:tcW w:w="632" w:type="dxa"/>
            <w:tcBorders>
              <w:top w:val="nil"/>
              <w:left w:val="nil"/>
              <w:bottom w:val="nil"/>
              <w:right w:val="nil"/>
            </w:tcBorders>
            <w:shd w:val="clear" w:color="auto" w:fill="auto"/>
            <w:noWrap/>
            <w:vAlign w:val="center"/>
            <w:hideMark/>
          </w:tcPr>
          <w:p w14:paraId="6C2B0E82"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4AD87ED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95</w:t>
            </w:r>
          </w:p>
        </w:tc>
      </w:tr>
      <w:tr w:rsidR="00943DFA" w:rsidRPr="00943DFA" w14:paraId="0ACD541A" w14:textId="77777777" w:rsidTr="00373B60">
        <w:trPr>
          <w:trHeight w:val="300"/>
        </w:trPr>
        <w:tc>
          <w:tcPr>
            <w:tcW w:w="2188" w:type="dxa"/>
            <w:tcBorders>
              <w:top w:val="nil"/>
              <w:left w:val="nil"/>
              <w:bottom w:val="nil"/>
              <w:right w:val="nil"/>
            </w:tcBorders>
            <w:shd w:val="clear" w:color="auto" w:fill="auto"/>
            <w:noWrap/>
            <w:vAlign w:val="center"/>
            <w:hideMark/>
          </w:tcPr>
          <w:p w14:paraId="501B3D3A"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Retail trade</w:t>
            </w:r>
          </w:p>
        </w:tc>
        <w:tc>
          <w:tcPr>
            <w:tcW w:w="506" w:type="dxa"/>
            <w:tcBorders>
              <w:top w:val="nil"/>
              <w:left w:val="nil"/>
              <w:bottom w:val="nil"/>
              <w:right w:val="nil"/>
            </w:tcBorders>
            <w:shd w:val="clear" w:color="auto" w:fill="auto"/>
            <w:vAlign w:val="center"/>
            <w:hideMark/>
          </w:tcPr>
          <w:p w14:paraId="4008BA81"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29E7B7F0"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56</w:t>
            </w:r>
          </w:p>
        </w:tc>
        <w:tc>
          <w:tcPr>
            <w:tcW w:w="960" w:type="dxa"/>
            <w:tcBorders>
              <w:top w:val="nil"/>
              <w:left w:val="nil"/>
              <w:bottom w:val="nil"/>
              <w:right w:val="nil"/>
            </w:tcBorders>
            <w:shd w:val="clear" w:color="auto" w:fill="auto"/>
            <w:noWrap/>
            <w:vAlign w:val="center"/>
            <w:hideMark/>
          </w:tcPr>
          <w:p w14:paraId="39883A3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6.16</w:t>
            </w:r>
          </w:p>
        </w:tc>
        <w:tc>
          <w:tcPr>
            <w:tcW w:w="489" w:type="dxa"/>
            <w:tcBorders>
              <w:top w:val="nil"/>
              <w:left w:val="nil"/>
              <w:bottom w:val="nil"/>
              <w:right w:val="nil"/>
            </w:tcBorders>
            <w:shd w:val="clear" w:color="auto" w:fill="auto"/>
            <w:noWrap/>
            <w:vAlign w:val="center"/>
            <w:hideMark/>
          </w:tcPr>
          <w:p w14:paraId="3A2D58FF"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78BBF76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50</w:t>
            </w:r>
          </w:p>
        </w:tc>
        <w:tc>
          <w:tcPr>
            <w:tcW w:w="960" w:type="dxa"/>
            <w:tcBorders>
              <w:top w:val="nil"/>
              <w:left w:val="nil"/>
              <w:bottom w:val="nil"/>
              <w:right w:val="nil"/>
            </w:tcBorders>
            <w:shd w:val="clear" w:color="auto" w:fill="auto"/>
            <w:noWrap/>
            <w:vAlign w:val="center"/>
            <w:hideMark/>
          </w:tcPr>
          <w:p w14:paraId="5E0E9F7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7.04</w:t>
            </w:r>
          </w:p>
        </w:tc>
        <w:tc>
          <w:tcPr>
            <w:tcW w:w="632" w:type="dxa"/>
            <w:tcBorders>
              <w:top w:val="nil"/>
              <w:left w:val="nil"/>
              <w:bottom w:val="nil"/>
              <w:right w:val="nil"/>
            </w:tcBorders>
            <w:shd w:val="clear" w:color="auto" w:fill="auto"/>
            <w:noWrap/>
            <w:vAlign w:val="center"/>
            <w:hideMark/>
          </w:tcPr>
          <w:p w14:paraId="7208F7BD"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5D15077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89.29</w:t>
            </w:r>
          </w:p>
        </w:tc>
      </w:tr>
      <w:tr w:rsidR="00943DFA" w:rsidRPr="00943DFA" w14:paraId="52F40930" w14:textId="77777777" w:rsidTr="00373B60">
        <w:trPr>
          <w:trHeight w:val="300"/>
        </w:trPr>
        <w:tc>
          <w:tcPr>
            <w:tcW w:w="2694" w:type="dxa"/>
            <w:gridSpan w:val="2"/>
            <w:tcBorders>
              <w:top w:val="nil"/>
              <w:left w:val="nil"/>
              <w:bottom w:val="nil"/>
              <w:right w:val="nil"/>
            </w:tcBorders>
            <w:shd w:val="clear" w:color="auto" w:fill="auto"/>
            <w:noWrap/>
            <w:vAlign w:val="center"/>
            <w:hideMark/>
          </w:tcPr>
          <w:p w14:paraId="02202F6F"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Entertainment services</w:t>
            </w:r>
          </w:p>
        </w:tc>
        <w:tc>
          <w:tcPr>
            <w:tcW w:w="960" w:type="dxa"/>
            <w:tcBorders>
              <w:top w:val="nil"/>
              <w:left w:val="nil"/>
              <w:bottom w:val="nil"/>
              <w:right w:val="nil"/>
            </w:tcBorders>
            <w:shd w:val="clear" w:color="auto" w:fill="auto"/>
            <w:noWrap/>
            <w:vAlign w:val="center"/>
            <w:hideMark/>
          </w:tcPr>
          <w:p w14:paraId="27C85B7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16</w:t>
            </w:r>
          </w:p>
        </w:tc>
        <w:tc>
          <w:tcPr>
            <w:tcW w:w="960" w:type="dxa"/>
            <w:tcBorders>
              <w:top w:val="nil"/>
              <w:left w:val="nil"/>
              <w:bottom w:val="nil"/>
              <w:right w:val="nil"/>
            </w:tcBorders>
            <w:shd w:val="clear" w:color="auto" w:fill="auto"/>
            <w:noWrap/>
            <w:vAlign w:val="center"/>
            <w:hideMark/>
          </w:tcPr>
          <w:p w14:paraId="4C69A92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1.76</w:t>
            </w:r>
          </w:p>
        </w:tc>
        <w:tc>
          <w:tcPr>
            <w:tcW w:w="489" w:type="dxa"/>
            <w:tcBorders>
              <w:top w:val="nil"/>
              <w:left w:val="nil"/>
              <w:bottom w:val="nil"/>
              <w:right w:val="nil"/>
            </w:tcBorders>
            <w:shd w:val="clear" w:color="auto" w:fill="auto"/>
            <w:noWrap/>
            <w:vAlign w:val="center"/>
            <w:hideMark/>
          </w:tcPr>
          <w:p w14:paraId="0C8BA54D"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645123C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12</w:t>
            </w:r>
          </w:p>
        </w:tc>
        <w:tc>
          <w:tcPr>
            <w:tcW w:w="960" w:type="dxa"/>
            <w:tcBorders>
              <w:top w:val="nil"/>
              <w:left w:val="nil"/>
              <w:bottom w:val="nil"/>
              <w:right w:val="nil"/>
            </w:tcBorders>
            <w:shd w:val="clear" w:color="auto" w:fill="auto"/>
            <w:noWrap/>
            <w:vAlign w:val="center"/>
            <w:hideMark/>
          </w:tcPr>
          <w:p w14:paraId="17D795D1"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1.69</w:t>
            </w:r>
          </w:p>
        </w:tc>
        <w:tc>
          <w:tcPr>
            <w:tcW w:w="632" w:type="dxa"/>
            <w:tcBorders>
              <w:top w:val="nil"/>
              <w:left w:val="nil"/>
              <w:bottom w:val="nil"/>
              <w:right w:val="nil"/>
            </w:tcBorders>
            <w:shd w:val="clear" w:color="auto" w:fill="auto"/>
            <w:noWrap/>
            <w:vAlign w:val="center"/>
            <w:hideMark/>
          </w:tcPr>
          <w:p w14:paraId="449B2FB1"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10817F0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75</w:t>
            </w:r>
          </w:p>
        </w:tc>
      </w:tr>
      <w:tr w:rsidR="00943DFA" w:rsidRPr="00943DFA" w14:paraId="4153923A" w14:textId="77777777" w:rsidTr="00373B60">
        <w:trPr>
          <w:trHeight w:val="300"/>
        </w:trPr>
        <w:tc>
          <w:tcPr>
            <w:tcW w:w="2188" w:type="dxa"/>
            <w:tcBorders>
              <w:top w:val="nil"/>
              <w:left w:val="nil"/>
              <w:bottom w:val="nil"/>
              <w:right w:val="nil"/>
            </w:tcBorders>
            <w:shd w:val="clear" w:color="auto" w:fill="auto"/>
            <w:noWrap/>
            <w:vAlign w:val="center"/>
            <w:hideMark/>
          </w:tcPr>
          <w:p w14:paraId="77114CC0"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Health services</w:t>
            </w:r>
          </w:p>
        </w:tc>
        <w:tc>
          <w:tcPr>
            <w:tcW w:w="506" w:type="dxa"/>
            <w:tcBorders>
              <w:top w:val="nil"/>
              <w:left w:val="nil"/>
              <w:bottom w:val="nil"/>
              <w:right w:val="nil"/>
            </w:tcBorders>
            <w:shd w:val="clear" w:color="auto" w:fill="auto"/>
            <w:vAlign w:val="center"/>
            <w:hideMark/>
          </w:tcPr>
          <w:p w14:paraId="6DBA6B8A"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23BC8ED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27</w:t>
            </w:r>
          </w:p>
        </w:tc>
        <w:tc>
          <w:tcPr>
            <w:tcW w:w="960" w:type="dxa"/>
            <w:tcBorders>
              <w:top w:val="nil"/>
              <w:left w:val="nil"/>
              <w:bottom w:val="nil"/>
              <w:right w:val="nil"/>
            </w:tcBorders>
            <w:shd w:val="clear" w:color="auto" w:fill="auto"/>
            <w:noWrap/>
            <w:vAlign w:val="center"/>
            <w:hideMark/>
          </w:tcPr>
          <w:p w14:paraId="13C06B68"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2.97</w:t>
            </w:r>
          </w:p>
        </w:tc>
        <w:tc>
          <w:tcPr>
            <w:tcW w:w="489" w:type="dxa"/>
            <w:tcBorders>
              <w:top w:val="nil"/>
              <w:left w:val="nil"/>
              <w:bottom w:val="nil"/>
              <w:right w:val="nil"/>
            </w:tcBorders>
            <w:shd w:val="clear" w:color="auto" w:fill="auto"/>
            <w:noWrap/>
            <w:vAlign w:val="center"/>
            <w:hideMark/>
          </w:tcPr>
          <w:p w14:paraId="57E52914"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0D65DC3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18</w:t>
            </w:r>
          </w:p>
        </w:tc>
        <w:tc>
          <w:tcPr>
            <w:tcW w:w="960" w:type="dxa"/>
            <w:tcBorders>
              <w:top w:val="nil"/>
              <w:left w:val="nil"/>
              <w:bottom w:val="nil"/>
              <w:right w:val="nil"/>
            </w:tcBorders>
            <w:shd w:val="clear" w:color="auto" w:fill="auto"/>
            <w:noWrap/>
            <w:vAlign w:val="center"/>
            <w:hideMark/>
          </w:tcPr>
          <w:p w14:paraId="17BE6F7F"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2.54</w:t>
            </w:r>
          </w:p>
        </w:tc>
        <w:tc>
          <w:tcPr>
            <w:tcW w:w="632" w:type="dxa"/>
            <w:tcBorders>
              <w:top w:val="nil"/>
              <w:left w:val="nil"/>
              <w:bottom w:val="nil"/>
              <w:right w:val="nil"/>
            </w:tcBorders>
            <w:shd w:val="clear" w:color="auto" w:fill="auto"/>
            <w:noWrap/>
            <w:vAlign w:val="center"/>
            <w:hideMark/>
          </w:tcPr>
          <w:p w14:paraId="7FC8071E"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37C5FBA4"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66.67</w:t>
            </w:r>
          </w:p>
        </w:tc>
      </w:tr>
      <w:tr w:rsidR="00943DFA" w:rsidRPr="00943DFA" w14:paraId="07E59C58" w14:textId="77777777" w:rsidTr="00373B60">
        <w:trPr>
          <w:trHeight w:val="300"/>
        </w:trPr>
        <w:tc>
          <w:tcPr>
            <w:tcW w:w="2694" w:type="dxa"/>
            <w:gridSpan w:val="2"/>
            <w:tcBorders>
              <w:top w:val="nil"/>
              <w:left w:val="nil"/>
              <w:bottom w:val="nil"/>
              <w:right w:val="nil"/>
            </w:tcBorders>
            <w:shd w:val="clear" w:color="auto" w:fill="auto"/>
            <w:noWrap/>
            <w:vAlign w:val="center"/>
            <w:hideMark/>
          </w:tcPr>
          <w:p w14:paraId="3E1D9822"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Engineering &amp; Management Services</w:t>
            </w:r>
          </w:p>
        </w:tc>
        <w:tc>
          <w:tcPr>
            <w:tcW w:w="960" w:type="dxa"/>
            <w:tcBorders>
              <w:top w:val="nil"/>
              <w:left w:val="nil"/>
              <w:bottom w:val="nil"/>
              <w:right w:val="nil"/>
            </w:tcBorders>
            <w:shd w:val="clear" w:color="auto" w:fill="auto"/>
            <w:noWrap/>
            <w:vAlign w:val="center"/>
            <w:hideMark/>
          </w:tcPr>
          <w:p w14:paraId="10621AC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11</w:t>
            </w:r>
          </w:p>
        </w:tc>
        <w:tc>
          <w:tcPr>
            <w:tcW w:w="960" w:type="dxa"/>
            <w:tcBorders>
              <w:top w:val="nil"/>
              <w:left w:val="nil"/>
              <w:bottom w:val="nil"/>
              <w:right w:val="nil"/>
            </w:tcBorders>
            <w:shd w:val="clear" w:color="auto" w:fill="auto"/>
            <w:noWrap/>
            <w:vAlign w:val="center"/>
            <w:hideMark/>
          </w:tcPr>
          <w:p w14:paraId="1EA9461E"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14</w:t>
            </w:r>
          </w:p>
        </w:tc>
        <w:tc>
          <w:tcPr>
            <w:tcW w:w="489" w:type="dxa"/>
            <w:tcBorders>
              <w:top w:val="nil"/>
              <w:left w:val="nil"/>
              <w:bottom w:val="nil"/>
              <w:right w:val="nil"/>
            </w:tcBorders>
            <w:shd w:val="clear" w:color="auto" w:fill="auto"/>
            <w:noWrap/>
            <w:vAlign w:val="center"/>
            <w:hideMark/>
          </w:tcPr>
          <w:p w14:paraId="5EF3A4DE"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4408CCC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11</w:t>
            </w:r>
          </w:p>
        </w:tc>
        <w:tc>
          <w:tcPr>
            <w:tcW w:w="960" w:type="dxa"/>
            <w:tcBorders>
              <w:top w:val="nil"/>
              <w:left w:val="nil"/>
              <w:bottom w:val="nil"/>
              <w:right w:val="nil"/>
            </w:tcBorders>
            <w:shd w:val="clear" w:color="auto" w:fill="auto"/>
            <w:noWrap/>
            <w:vAlign w:val="center"/>
            <w:hideMark/>
          </w:tcPr>
          <w:p w14:paraId="20A529B1"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1.55</w:t>
            </w:r>
          </w:p>
        </w:tc>
        <w:tc>
          <w:tcPr>
            <w:tcW w:w="632" w:type="dxa"/>
            <w:tcBorders>
              <w:top w:val="nil"/>
              <w:left w:val="nil"/>
              <w:bottom w:val="nil"/>
              <w:right w:val="nil"/>
            </w:tcBorders>
            <w:shd w:val="clear" w:color="auto" w:fill="auto"/>
            <w:noWrap/>
            <w:vAlign w:val="center"/>
            <w:hideMark/>
          </w:tcPr>
          <w:p w14:paraId="7B3D29A3"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7473573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r>
      <w:tr w:rsidR="00943DFA" w:rsidRPr="00943DFA" w14:paraId="20F6779B" w14:textId="77777777" w:rsidTr="00373B60">
        <w:trPr>
          <w:trHeight w:val="300"/>
        </w:trPr>
        <w:tc>
          <w:tcPr>
            <w:tcW w:w="2188" w:type="dxa"/>
            <w:tcBorders>
              <w:top w:val="nil"/>
              <w:left w:val="nil"/>
              <w:bottom w:val="nil"/>
              <w:right w:val="nil"/>
            </w:tcBorders>
            <w:shd w:val="clear" w:color="auto" w:fill="auto"/>
            <w:noWrap/>
            <w:vAlign w:val="center"/>
            <w:hideMark/>
          </w:tcPr>
          <w:p w14:paraId="0EAB9AD6"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All others</w:t>
            </w:r>
          </w:p>
        </w:tc>
        <w:tc>
          <w:tcPr>
            <w:tcW w:w="506" w:type="dxa"/>
            <w:tcBorders>
              <w:top w:val="nil"/>
              <w:left w:val="nil"/>
              <w:bottom w:val="nil"/>
              <w:right w:val="nil"/>
            </w:tcBorders>
            <w:shd w:val="clear" w:color="auto" w:fill="auto"/>
            <w:vAlign w:val="center"/>
            <w:hideMark/>
          </w:tcPr>
          <w:p w14:paraId="685FC66D" w14:textId="77777777" w:rsidR="00195130" w:rsidRPr="00943DFA" w:rsidRDefault="00195130" w:rsidP="00373B60">
            <w:pPr>
              <w:contextualSpacing/>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3D4C36C3"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38</w:t>
            </w:r>
          </w:p>
        </w:tc>
        <w:tc>
          <w:tcPr>
            <w:tcW w:w="960" w:type="dxa"/>
            <w:tcBorders>
              <w:top w:val="nil"/>
              <w:left w:val="nil"/>
              <w:bottom w:val="nil"/>
              <w:right w:val="nil"/>
            </w:tcBorders>
            <w:shd w:val="clear" w:color="auto" w:fill="auto"/>
            <w:noWrap/>
            <w:vAlign w:val="center"/>
            <w:hideMark/>
          </w:tcPr>
          <w:p w14:paraId="2FDDB7A6"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4.18</w:t>
            </w:r>
          </w:p>
        </w:tc>
        <w:tc>
          <w:tcPr>
            <w:tcW w:w="489" w:type="dxa"/>
            <w:tcBorders>
              <w:top w:val="nil"/>
              <w:left w:val="nil"/>
              <w:bottom w:val="nil"/>
              <w:right w:val="nil"/>
            </w:tcBorders>
            <w:shd w:val="clear" w:color="auto" w:fill="auto"/>
            <w:noWrap/>
            <w:vAlign w:val="center"/>
            <w:hideMark/>
          </w:tcPr>
          <w:p w14:paraId="67DB28DA" w14:textId="77777777" w:rsidR="00195130" w:rsidRPr="00943DFA" w:rsidRDefault="00195130" w:rsidP="00373B60">
            <w:pPr>
              <w:contextualSpacing/>
              <w:jc w:val="center"/>
              <w:rPr>
                <w:rFonts w:eastAsia="Times New Roman"/>
                <w:color w:val="0D0D0D" w:themeColor="text1" w:themeTint="F2"/>
                <w:sz w:val="18"/>
              </w:rPr>
            </w:pPr>
          </w:p>
        </w:tc>
        <w:tc>
          <w:tcPr>
            <w:tcW w:w="960" w:type="dxa"/>
            <w:tcBorders>
              <w:top w:val="nil"/>
              <w:left w:val="nil"/>
              <w:bottom w:val="nil"/>
              <w:right w:val="nil"/>
            </w:tcBorders>
            <w:shd w:val="clear" w:color="auto" w:fill="auto"/>
            <w:noWrap/>
            <w:vAlign w:val="center"/>
            <w:hideMark/>
          </w:tcPr>
          <w:p w14:paraId="5DBB3352"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38</w:t>
            </w:r>
          </w:p>
        </w:tc>
        <w:tc>
          <w:tcPr>
            <w:tcW w:w="960" w:type="dxa"/>
            <w:tcBorders>
              <w:top w:val="nil"/>
              <w:left w:val="nil"/>
              <w:bottom w:val="nil"/>
              <w:right w:val="nil"/>
            </w:tcBorders>
            <w:shd w:val="clear" w:color="auto" w:fill="auto"/>
            <w:noWrap/>
            <w:vAlign w:val="center"/>
            <w:hideMark/>
          </w:tcPr>
          <w:p w14:paraId="71ACC1D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5.35</w:t>
            </w:r>
          </w:p>
        </w:tc>
        <w:tc>
          <w:tcPr>
            <w:tcW w:w="632" w:type="dxa"/>
            <w:tcBorders>
              <w:top w:val="nil"/>
              <w:left w:val="nil"/>
              <w:bottom w:val="nil"/>
              <w:right w:val="nil"/>
            </w:tcBorders>
            <w:shd w:val="clear" w:color="auto" w:fill="auto"/>
            <w:noWrap/>
            <w:vAlign w:val="center"/>
            <w:hideMark/>
          </w:tcPr>
          <w:p w14:paraId="0B95CC13" w14:textId="77777777" w:rsidR="00195130" w:rsidRPr="00943DFA" w:rsidRDefault="00195130" w:rsidP="00373B60">
            <w:pPr>
              <w:contextualSpacing/>
              <w:jc w:val="center"/>
              <w:rPr>
                <w:rFonts w:eastAsia="Times New Roman"/>
                <w:color w:val="0D0D0D" w:themeColor="text1" w:themeTint="F2"/>
                <w:sz w:val="18"/>
              </w:rPr>
            </w:pPr>
          </w:p>
        </w:tc>
        <w:tc>
          <w:tcPr>
            <w:tcW w:w="1605" w:type="dxa"/>
            <w:tcBorders>
              <w:top w:val="nil"/>
              <w:left w:val="nil"/>
              <w:bottom w:val="nil"/>
              <w:right w:val="nil"/>
            </w:tcBorders>
            <w:shd w:val="clear" w:color="auto" w:fill="auto"/>
            <w:noWrap/>
            <w:vAlign w:val="center"/>
            <w:hideMark/>
          </w:tcPr>
          <w:p w14:paraId="0CC29C6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r>
      <w:tr w:rsidR="00943DFA" w:rsidRPr="00943DFA" w14:paraId="5A3038B4" w14:textId="77777777" w:rsidTr="00373B60">
        <w:trPr>
          <w:trHeight w:val="315"/>
        </w:trPr>
        <w:tc>
          <w:tcPr>
            <w:tcW w:w="2188" w:type="dxa"/>
            <w:tcBorders>
              <w:top w:val="nil"/>
              <w:left w:val="nil"/>
              <w:bottom w:val="single" w:sz="8" w:space="0" w:color="auto"/>
              <w:right w:val="nil"/>
            </w:tcBorders>
            <w:shd w:val="clear" w:color="auto" w:fill="auto"/>
            <w:noWrap/>
            <w:vAlign w:val="center"/>
            <w:hideMark/>
          </w:tcPr>
          <w:p w14:paraId="2A572F88"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Total</w:t>
            </w:r>
          </w:p>
        </w:tc>
        <w:tc>
          <w:tcPr>
            <w:tcW w:w="506" w:type="dxa"/>
            <w:tcBorders>
              <w:top w:val="nil"/>
              <w:left w:val="nil"/>
              <w:bottom w:val="single" w:sz="8" w:space="0" w:color="auto"/>
              <w:right w:val="nil"/>
            </w:tcBorders>
            <w:shd w:val="clear" w:color="auto" w:fill="auto"/>
            <w:vAlign w:val="center"/>
            <w:hideMark/>
          </w:tcPr>
          <w:p w14:paraId="6DC72D0D"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 </w:t>
            </w:r>
          </w:p>
        </w:tc>
        <w:tc>
          <w:tcPr>
            <w:tcW w:w="960" w:type="dxa"/>
            <w:tcBorders>
              <w:top w:val="nil"/>
              <w:left w:val="nil"/>
              <w:bottom w:val="single" w:sz="8" w:space="0" w:color="auto"/>
              <w:right w:val="nil"/>
            </w:tcBorders>
            <w:shd w:val="clear" w:color="auto" w:fill="auto"/>
            <w:noWrap/>
            <w:vAlign w:val="center"/>
            <w:hideMark/>
          </w:tcPr>
          <w:p w14:paraId="0D1831DA"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909</w:t>
            </w:r>
          </w:p>
        </w:tc>
        <w:tc>
          <w:tcPr>
            <w:tcW w:w="960" w:type="dxa"/>
            <w:tcBorders>
              <w:top w:val="nil"/>
              <w:left w:val="nil"/>
              <w:bottom w:val="single" w:sz="8" w:space="0" w:color="auto"/>
              <w:right w:val="nil"/>
            </w:tcBorders>
            <w:shd w:val="clear" w:color="auto" w:fill="auto"/>
            <w:noWrap/>
            <w:vAlign w:val="center"/>
            <w:hideMark/>
          </w:tcPr>
          <w:p w14:paraId="743D41D9"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c>
          <w:tcPr>
            <w:tcW w:w="489" w:type="dxa"/>
            <w:tcBorders>
              <w:top w:val="nil"/>
              <w:left w:val="nil"/>
              <w:bottom w:val="single" w:sz="8" w:space="0" w:color="auto"/>
              <w:right w:val="nil"/>
            </w:tcBorders>
            <w:shd w:val="clear" w:color="auto" w:fill="auto"/>
            <w:noWrap/>
            <w:vAlign w:val="center"/>
            <w:hideMark/>
          </w:tcPr>
          <w:p w14:paraId="6D1410E0"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 </w:t>
            </w:r>
          </w:p>
        </w:tc>
        <w:tc>
          <w:tcPr>
            <w:tcW w:w="960" w:type="dxa"/>
            <w:tcBorders>
              <w:top w:val="nil"/>
              <w:left w:val="nil"/>
              <w:bottom w:val="single" w:sz="8" w:space="0" w:color="auto"/>
              <w:right w:val="nil"/>
            </w:tcBorders>
            <w:shd w:val="clear" w:color="auto" w:fill="auto"/>
            <w:noWrap/>
            <w:vAlign w:val="center"/>
            <w:hideMark/>
          </w:tcPr>
          <w:p w14:paraId="35D842B5"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710</w:t>
            </w:r>
          </w:p>
        </w:tc>
        <w:tc>
          <w:tcPr>
            <w:tcW w:w="960" w:type="dxa"/>
            <w:tcBorders>
              <w:top w:val="nil"/>
              <w:left w:val="nil"/>
              <w:bottom w:val="single" w:sz="8" w:space="0" w:color="auto"/>
              <w:right w:val="nil"/>
            </w:tcBorders>
            <w:shd w:val="clear" w:color="auto" w:fill="auto"/>
            <w:noWrap/>
            <w:vAlign w:val="center"/>
            <w:hideMark/>
          </w:tcPr>
          <w:p w14:paraId="4483F1CB"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100</w:t>
            </w:r>
          </w:p>
        </w:tc>
        <w:tc>
          <w:tcPr>
            <w:tcW w:w="632" w:type="dxa"/>
            <w:tcBorders>
              <w:top w:val="nil"/>
              <w:left w:val="nil"/>
              <w:bottom w:val="single" w:sz="8" w:space="0" w:color="auto"/>
              <w:right w:val="nil"/>
            </w:tcBorders>
            <w:shd w:val="clear" w:color="auto" w:fill="auto"/>
            <w:noWrap/>
            <w:vAlign w:val="center"/>
            <w:hideMark/>
          </w:tcPr>
          <w:p w14:paraId="14DFE2FF" w14:textId="77777777" w:rsidR="00195130" w:rsidRPr="00943DFA" w:rsidRDefault="00195130" w:rsidP="00373B60">
            <w:pPr>
              <w:contextualSpacing/>
              <w:rPr>
                <w:rFonts w:eastAsia="Times New Roman"/>
                <w:color w:val="0D0D0D" w:themeColor="text1" w:themeTint="F2"/>
                <w:sz w:val="18"/>
              </w:rPr>
            </w:pPr>
            <w:r w:rsidRPr="00943DFA">
              <w:rPr>
                <w:rFonts w:eastAsia="Times New Roman"/>
                <w:color w:val="0D0D0D" w:themeColor="text1" w:themeTint="F2"/>
                <w:sz w:val="18"/>
                <w:szCs w:val="22"/>
              </w:rPr>
              <w:t> </w:t>
            </w:r>
          </w:p>
        </w:tc>
        <w:tc>
          <w:tcPr>
            <w:tcW w:w="1605" w:type="dxa"/>
            <w:tcBorders>
              <w:top w:val="nil"/>
              <w:left w:val="nil"/>
              <w:bottom w:val="single" w:sz="8" w:space="0" w:color="auto"/>
              <w:right w:val="nil"/>
            </w:tcBorders>
            <w:shd w:val="clear" w:color="auto" w:fill="auto"/>
            <w:noWrap/>
            <w:vAlign w:val="center"/>
            <w:hideMark/>
          </w:tcPr>
          <w:p w14:paraId="6C1419D7" w14:textId="77777777" w:rsidR="00195130" w:rsidRPr="00943DFA" w:rsidRDefault="00195130" w:rsidP="00373B60">
            <w:pPr>
              <w:contextualSpacing/>
              <w:jc w:val="center"/>
              <w:rPr>
                <w:rFonts w:eastAsia="Times New Roman"/>
                <w:color w:val="0D0D0D" w:themeColor="text1" w:themeTint="F2"/>
                <w:sz w:val="18"/>
              </w:rPr>
            </w:pPr>
            <w:r w:rsidRPr="00943DFA">
              <w:rPr>
                <w:rFonts w:eastAsia="Times New Roman"/>
                <w:color w:val="0D0D0D" w:themeColor="text1" w:themeTint="F2"/>
                <w:sz w:val="18"/>
                <w:szCs w:val="22"/>
              </w:rPr>
              <w:t>78.11</w:t>
            </w:r>
          </w:p>
        </w:tc>
      </w:tr>
      <w:tr w:rsidR="00195130" w:rsidRPr="00943DFA" w14:paraId="1221D2F9" w14:textId="77777777" w:rsidTr="00373B60">
        <w:trPr>
          <w:trHeight w:val="930"/>
        </w:trPr>
        <w:tc>
          <w:tcPr>
            <w:tcW w:w="9260" w:type="dxa"/>
            <w:gridSpan w:val="9"/>
            <w:tcBorders>
              <w:top w:val="single" w:sz="8" w:space="0" w:color="auto"/>
              <w:left w:val="nil"/>
              <w:bottom w:val="single" w:sz="8" w:space="0" w:color="auto"/>
              <w:right w:val="nil"/>
            </w:tcBorders>
            <w:shd w:val="clear" w:color="auto" w:fill="auto"/>
            <w:vAlign w:val="center"/>
            <w:hideMark/>
          </w:tcPr>
          <w:p w14:paraId="06FC24F1" w14:textId="77777777" w:rsidR="00195130" w:rsidRPr="00943DFA" w:rsidRDefault="00195130" w:rsidP="00373B60">
            <w:pPr>
              <w:contextualSpacing/>
              <w:jc w:val="both"/>
              <w:rPr>
                <w:rFonts w:eastAsia="Times New Roman"/>
                <w:color w:val="0D0D0D" w:themeColor="text1" w:themeTint="F2"/>
                <w:sz w:val="18"/>
                <w:szCs w:val="18"/>
              </w:rPr>
            </w:pPr>
            <w:r w:rsidRPr="00943DFA">
              <w:rPr>
                <w:rFonts w:eastAsia="Times New Roman"/>
                <w:color w:val="0D0D0D" w:themeColor="text1" w:themeTint="F2"/>
                <w:sz w:val="18"/>
                <w:szCs w:val="18"/>
              </w:rPr>
              <w:t>This table presents the distribution of the full sample of 909 IPOs between 2005 and 2017 in terms of number of IPOs, number of IPOs receiving initial comment letters and proportion of IPOs receiving initial comment letters. Panel A present the sample distribution by filing year of initial S-1 filing. Panel B present the sample distribution by industry as classified by two-digits SIC code.</w:t>
            </w:r>
          </w:p>
        </w:tc>
      </w:tr>
    </w:tbl>
    <w:p w14:paraId="36A74E62" w14:textId="77777777" w:rsidR="00195130" w:rsidRPr="00943DFA" w:rsidRDefault="00195130" w:rsidP="00195130">
      <w:pPr>
        <w:spacing w:before="240" w:after="240" w:line="360" w:lineRule="auto"/>
        <w:rPr>
          <w:color w:val="0D0D0D" w:themeColor="text1" w:themeTint="F2"/>
          <w:lang w:eastAsia="en-US"/>
        </w:rPr>
        <w:sectPr w:rsidR="00195130" w:rsidRPr="00943DFA" w:rsidSect="00373B60">
          <w:pgSz w:w="11906" w:h="16838"/>
          <w:pgMar w:top="1440" w:right="1440" w:bottom="1440" w:left="1276" w:header="708" w:footer="708" w:gutter="0"/>
          <w:cols w:space="708"/>
          <w:docGrid w:linePitch="360"/>
        </w:sectPr>
      </w:pPr>
    </w:p>
    <w:p w14:paraId="4B76DAB8" w14:textId="77777777" w:rsidR="00195130" w:rsidRPr="00943DFA" w:rsidRDefault="00195130" w:rsidP="00195130">
      <w:pPr>
        <w:pStyle w:val="Caption"/>
        <w:spacing w:before="240" w:after="240" w:line="360" w:lineRule="auto"/>
        <w:jc w:val="center"/>
        <w:rPr>
          <w:b/>
          <w:i w:val="0"/>
          <w:color w:val="0D0D0D" w:themeColor="text1" w:themeTint="F2"/>
          <w:sz w:val="24"/>
          <w:szCs w:val="24"/>
        </w:rPr>
      </w:pPr>
    </w:p>
    <w:p w14:paraId="29B1ABDF" w14:textId="77777777" w:rsidR="00195130" w:rsidRPr="00943DFA" w:rsidRDefault="00195130" w:rsidP="00195130">
      <w:pPr>
        <w:pStyle w:val="Caption"/>
        <w:spacing w:before="240" w:after="240" w:line="360" w:lineRule="auto"/>
        <w:jc w:val="center"/>
        <w:rPr>
          <w:b/>
          <w:i w:val="0"/>
          <w:color w:val="0D0D0D" w:themeColor="text1" w:themeTint="F2"/>
          <w:sz w:val="24"/>
          <w:szCs w:val="24"/>
        </w:rPr>
      </w:pPr>
    </w:p>
    <w:p w14:paraId="201B5A7D" w14:textId="77777777" w:rsidR="00195130" w:rsidRPr="00943DFA" w:rsidRDefault="00195130" w:rsidP="00195130">
      <w:pPr>
        <w:pStyle w:val="Caption"/>
        <w:spacing w:before="240" w:after="240" w:line="360" w:lineRule="auto"/>
        <w:jc w:val="center"/>
        <w:rPr>
          <w:b/>
          <w:i w:val="0"/>
          <w:color w:val="0D0D0D" w:themeColor="text1" w:themeTint="F2"/>
          <w:sz w:val="24"/>
          <w:szCs w:val="24"/>
        </w:rPr>
      </w:pPr>
    </w:p>
    <w:p w14:paraId="546B2408" w14:textId="77777777" w:rsidR="00195130" w:rsidRPr="00943DFA" w:rsidRDefault="00195130" w:rsidP="00195130">
      <w:pPr>
        <w:pStyle w:val="Caption"/>
        <w:spacing w:before="240" w:after="240" w:line="360" w:lineRule="auto"/>
        <w:jc w:val="center"/>
        <w:rPr>
          <w:b/>
          <w:i w:val="0"/>
          <w:color w:val="0D0D0D" w:themeColor="text1" w:themeTint="F2"/>
          <w:sz w:val="24"/>
          <w:szCs w:val="24"/>
        </w:rPr>
      </w:pPr>
      <w:bookmarkStart w:id="45" w:name="_Ref50694778"/>
      <w:bookmarkStart w:id="46" w:name="_Toc69749944"/>
      <w:r w:rsidRPr="00943DFA">
        <w:rPr>
          <w:b/>
          <w:i w:val="0"/>
          <w:color w:val="0D0D0D" w:themeColor="text1" w:themeTint="F2"/>
          <w:sz w:val="24"/>
          <w:szCs w:val="24"/>
        </w:rPr>
        <w:t xml:space="preserve">Figure </w:t>
      </w:r>
      <w:r w:rsidRPr="00943DFA">
        <w:rPr>
          <w:b/>
          <w:i w:val="0"/>
          <w:color w:val="0D0D0D" w:themeColor="text1" w:themeTint="F2"/>
          <w:sz w:val="24"/>
          <w:szCs w:val="24"/>
        </w:rPr>
        <w:fldChar w:fldCharType="begin"/>
      </w:r>
      <w:r w:rsidRPr="00943DFA">
        <w:rPr>
          <w:b/>
          <w:i w:val="0"/>
          <w:color w:val="0D0D0D" w:themeColor="text1" w:themeTint="F2"/>
          <w:sz w:val="24"/>
          <w:szCs w:val="24"/>
        </w:rPr>
        <w:instrText xml:space="preserve"> STYLEREF 1 \s </w:instrText>
      </w:r>
      <w:r w:rsidRPr="00943DFA">
        <w:rPr>
          <w:b/>
          <w:i w:val="0"/>
          <w:color w:val="0D0D0D" w:themeColor="text1" w:themeTint="F2"/>
          <w:sz w:val="24"/>
          <w:szCs w:val="24"/>
        </w:rPr>
        <w:fldChar w:fldCharType="separate"/>
      </w:r>
      <w:r w:rsidRPr="00943DFA">
        <w:rPr>
          <w:b/>
          <w:i w:val="0"/>
          <w:noProof/>
          <w:color w:val="0D0D0D" w:themeColor="text1" w:themeTint="F2"/>
          <w:sz w:val="24"/>
          <w:szCs w:val="24"/>
        </w:rPr>
        <w:t>3</w:t>
      </w:r>
      <w:r w:rsidRPr="00943DFA">
        <w:rPr>
          <w:b/>
          <w:i w:val="0"/>
          <w:color w:val="0D0D0D" w:themeColor="text1" w:themeTint="F2"/>
          <w:sz w:val="24"/>
          <w:szCs w:val="24"/>
        </w:rPr>
        <w:fldChar w:fldCharType="end"/>
      </w:r>
      <w:r w:rsidRPr="00943DFA">
        <w:rPr>
          <w:b/>
          <w:i w:val="0"/>
          <w:color w:val="0D0D0D" w:themeColor="text1" w:themeTint="F2"/>
          <w:sz w:val="24"/>
          <w:szCs w:val="24"/>
        </w:rPr>
        <w:t>.</w:t>
      </w:r>
      <w:r w:rsidRPr="00943DFA">
        <w:rPr>
          <w:b/>
          <w:i w:val="0"/>
          <w:color w:val="0D0D0D" w:themeColor="text1" w:themeTint="F2"/>
          <w:sz w:val="24"/>
          <w:szCs w:val="24"/>
        </w:rPr>
        <w:fldChar w:fldCharType="begin"/>
      </w:r>
      <w:r w:rsidRPr="00943DFA">
        <w:rPr>
          <w:b/>
          <w:i w:val="0"/>
          <w:color w:val="0D0D0D" w:themeColor="text1" w:themeTint="F2"/>
          <w:sz w:val="24"/>
          <w:szCs w:val="24"/>
        </w:rPr>
        <w:instrText xml:space="preserve"> SEQ Figure \* ARABIC \s 1 </w:instrText>
      </w:r>
      <w:r w:rsidRPr="00943DFA">
        <w:rPr>
          <w:b/>
          <w:i w:val="0"/>
          <w:color w:val="0D0D0D" w:themeColor="text1" w:themeTint="F2"/>
          <w:sz w:val="24"/>
          <w:szCs w:val="24"/>
        </w:rPr>
        <w:fldChar w:fldCharType="separate"/>
      </w:r>
      <w:r w:rsidRPr="00943DFA">
        <w:rPr>
          <w:b/>
          <w:i w:val="0"/>
          <w:noProof/>
          <w:color w:val="0D0D0D" w:themeColor="text1" w:themeTint="F2"/>
          <w:sz w:val="24"/>
          <w:szCs w:val="24"/>
        </w:rPr>
        <w:t>2</w:t>
      </w:r>
      <w:r w:rsidRPr="00943DFA">
        <w:rPr>
          <w:b/>
          <w:i w:val="0"/>
          <w:color w:val="0D0D0D" w:themeColor="text1" w:themeTint="F2"/>
          <w:sz w:val="24"/>
          <w:szCs w:val="24"/>
        </w:rPr>
        <w:fldChar w:fldCharType="end"/>
      </w:r>
      <w:bookmarkEnd w:id="45"/>
      <w:r w:rsidRPr="00943DFA">
        <w:rPr>
          <w:b/>
          <w:i w:val="0"/>
          <w:color w:val="0D0D0D" w:themeColor="text1" w:themeTint="F2"/>
          <w:sz w:val="24"/>
          <w:szCs w:val="24"/>
        </w:rPr>
        <w:t>. Distribution of the sample over time</w:t>
      </w:r>
      <w:bookmarkEnd w:id="46"/>
    </w:p>
    <w:p w14:paraId="2D5230B5" w14:textId="77777777" w:rsidR="00195130" w:rsidRPr="00943DFA" w:rsidRDefault="00195130" w:rsidP="00195130">
      <w:pPr>
        <w:spacing w:before="240" w:after="240" w:line="360" w:lineRule="auto"/>
        <w:ind w:left="142"/>
        <w:rPr>
          <w:color w:val="0D0D0D" w:themeColor="text1" w:themeTint="F2"/>
        </w:rPr>
      </w:pPr>
      <w:r w:rsidRPr="00943DFA">
        <w:rPr>
          <w:noProof/>
          <w:color w:val="0D0D0D" w:themeColor="text1" w:themeTint="F2"/>
        </w:rPr>
        <w:drawing>
          <wp:inline distT="0" distB="0" distL="0" distR="0" wp14:anchorId="0D445BF4" wp14:editId="12884C60">
            <wp:extent cx="5629702" cy="3862316"/>
            <wp:effectExtent l="0" t="0" r="9525"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235583" w14:textId="77777777" w:rsidR="00195130" w:rsidRPr="00943DFA" w:rsidRDefault="00195130" w:rsidP="00195130">
      <w:pPr>
        <w:spacing w:before="240" w:after="240" w:line="360" w:lineRule="auto"/>
        <w:rPr>
          <w:color w:val="0D0D0D" w:themeColor="text1" w:themeTint="F2"/>
          <w:lang w:eastAsia="en-US"/>
        </w:rPr>
        <w:sectPr w:rsidR="00195130" w:rsidRPr="00943DFA" w:rsidSect="00373B60">
          <w:headerReference w:type="default" r:id="rId17"/>
          <w:footerReference w:type="default" r:id="rId18"/>
          <w:pgSz w:w="11906" w:h="16838"/>
          <w:pgMar w:top="1440" w:right="1440" w:bottom="1440" w:left="1276" w:header="708" w:footer="708" w:gutter="0"/>
          <w:cols w:space="708"/>
          <w:docGrid w:linePitch="360"/>
        </w:sectPr>
      </w:pPr>
    </w:p>
    <w:p w14:paraId="7794608C" w14:textId="77777777" w:rsidR="00195130" w:rsidRPr="00943DFA" w:rsidRDefault="00195130" w:rsidP="00195130">
      <w:pPr>
        <w:pStyle w:val="ListParagraph"/>
        <w:numPr>
          <w:ilvl w:val="2"/>
          <w:numId w:val="38"/>
        </w:numPr>
        <w:spacing w:before="240" w:after="240" w:line="360" w:lineRule="auto"/>
        <w:ind w:left="1560"/>
        <w:contextualSpacing w:val="0"/>
        <w:jc w:val="both"/>
        <w:outlineLvl w:val="2"/>
        <w:rPr>
          <w:b/>
          <w:color w:val="0D0D0D" w:themeColor="text1" w:themeTint="F2"/>
          <w:lang w:eastAsia="en-US"/>
        </w:rPr>
      </w:pPr>
      <w:bookmarkStart w:id="47" w:name="_Toc48203615"/>
      <w:bookmarkStart w:id="48" w:name="_Toc50713976"/>
      <w:bookmarkStart w:id="49" w:name="_Toc69749266"/>
      <w:r w:rsidRPr="00943DFA">
        <w:rPr>
          <w:b/>
          <w:color w:val="0D0D0D" w:themeColor="text1" w:themeTint="F2"/>
          <w:lang w:eastAsia="en-US"/>
        </w:rPr>
        <w:lastRenderedPageBreak/>
        <w:t>Descriptive statistics of SEC review attributes</w:t>
      </w:r>
      <w:bookmarkEnd w:id="47"/>
      <w:bookmarkEnd w:id="48"/>
      <w:bookmarkEnd w:id="49"/>
    </w:p>
    <w:p w14:paraId="1248D286" w14:textId="7C0BFF8A"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Table 3.5 provides descriptive statistics for </w:t>
      </w:r>
      <w:r w:rsidRPr="00943DFA">
        <w:rPr>
          <w:iCs/>
          <w:color w:val="0D0D0D" w:themeColor="text1" w:themeTint="F2"/>
          <w:lang w:eastAsia="en-US"/>
        </w:rPr>
        <w:t>the number of themes (</w:t>
      </w:r>
      <w:r w:rsidRPr="00943DFA">
        <w:rPr>
          <w:i/>
          <w:iCs/>
          <w:color w:val="0D0D0D" w:themeColor="text1" w:themeTint="F2"/>
          <w:lang w:eastAsia="en-US"/>
        </w:rPr>
        <w:t>#Themes)</w:t>
      </w:r>
      <w:r w:rsidRPr="00943DFA">
        <w:rPr>
          <w:color w:val="0D0D0D" w:themeColor="text1" w:themeTint="F2"/>
          <w:lang w:eastAsia="en-US"/>
        </w:rPr>
        <w:t xml:space="preserve">. Panel A presents summary descriptive statistics for the SEC review attribute. </w:t>
      </w:r>
      <w:r w:rsidR="006E2294" w:rsidRPr="00943DFA">
        <w:rPr>
          <w:color w:val="0D0D0D" w:themeColor="text1" w:themeTint="F2"/>
          <w:lang w:eastAsia="en-US"/>
        </w:rPr>
        <w:t>The result reveals that</w:t>
      </w:r>
      <w:r w:rsidRPr="00943DFA">
        <w:rPr>
          <w:i/>
          <w:color w:val="0D0D0D" w:themeColor="text1" w:themeTint="F2"/>
          <w:lang w:eastAsia="en-US"/>
        </w:rPr>
        <w:t xml:space="preserve"> </w:t>
      </w:r>
      <w:r w:rsidRPr="00943DFA">
        <w:rPr>
          <w:color w:val="0D0D0D" w:themeColor="text1" w:themeTint="F2"/>
          <w:lang w:eastAsia="en-US"/>
        </w:rPr>
        <w:t>the mean (median) SEC comment letter addresses 3.50 (4) issue types or themes.</w:t>
      </w:r>
    </w:p>
    <w:p w14:paraId="0EC1154E" w14:textId="68DE2743" w:rsidR="00195130" w:rsidRPr="00943DFA" w:rsidRDefault="00195130" w:rsidP="00195130">
      <w:pPr>
        <w:pStyle w:val="ListParagraph"/>
        <w:spacing w:before="240" w:after="240" w:line="360" w:lineRule="auto"/>
        <w:ind w:left="0"/>
        <w:contextualSpacing w:val="0"/>
        <w:jc w:val="both"/>
        <w:rPr>
          <w:color w:val="0D0D0D" w:themeColor="text1" w:themeTint="F2"/>
          <w:lang w:eastAsia="en-US"/>
        </w:rPr>
      </w:pPr>
      <w:r w:rsidRPr="00943DFA">
        <w:rPr>
          <w:color w:val="0D0D0D" w:themeColor="text1" w:themeTint="F2"/>
          <w:lang w:eastAsia="en-US"/>
        </w:rPr>
        <w:t xml:space="preserve">In general, the above results are all lower than comparable findings in the studies of </w:t>
      </w:r>
      <w:r w:rsidRPr="00943DFA">
        <w:rPr>
          <w:color w:val="0D0D0D" w:themeColor="text1" w:themeTint="F2"/>
        </w:rPr>
        <w:fldChar w:fldCharType="begin" w:fldLock="1"/>
      </w:r>
      <w:r w:rsidRPr="00943DFA">
        <w:rPr>
          <w:color w:val="0D0D0D" w:themeColor="text1" w:themeTint="F2"/>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IPO process","type":"article-journal","volume":"22"},"uris":["http://www.mendeley.com/documents/?uuid=14e67220-7f18-451c-bcec-f870e9e5ce78"]},{"id":"ITEM-2","itemData":{"abstract":"We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paper","id":"ITEM-2","issued":{"date-parts":[["2006"]]},"title":"IPO Firms and the SEC Comment Letter Process","type":"report"},"uris":["http://www.mendeley.com/documents/?uuid=df49ed71-71c0-4396-9eae-a351e94a1dce"]}],"mendeley":{"formattedCitation":"(Ertimur &amp; Nondorf, 2006b; B. Li &amp; Liu, 2017)","manualFormatting":"Ertimur &amp; Nondorf (2006) and Li &amp; Liu (2017)","plainTextFormattedCitation":"(Ertimur &amp; Nondorf, 2006b; B. Li &amp; Liu, 2017)","previouslyFormattedCitation":"(Ertimur &amp; Nondorf, 2006b; B. Li &amp; Liu,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Ertimur &amp; Nondorf (2006) and Li &amp; Liu (2017)</w:t>
      </w:r>
      <w:r w:rsidRPr="00943DFA">
        <w:rPr>
          <w:color w:val="0D0D0D" w:themeColor="text1" w:themeTint="F2"/>
        </w:rPr>
        <w:fldChar w:fldCharType="end"/>
      </w:r>
      <w:r w:rsidRPr="00943DFA">
        <w:rPr>
          <w:color w:val="0D0D0D" w:themeColor="text1" w:themeTint="F2"/>
          <w:lang w:eastAsia="en-US"/>
        </w:rPr>
        <w:t xml:space="preserve">, who also employ the same measures of SEC reviews of S-1 filings. This may be because sample periods examined by </w:t>
      </w:r>
      <w:r w:rsidRPr="00943DFA">
        <w:rPr>
          <w:color w:val="0D0D0D" w:themeColor="text1" w:themeTint="F2"/>
        </w:rPr>
        <w:fldChar w:fldCharType="begin" w:fldLock="1"/>
      </w:r>
      <w:r w:rsidRPr="00943DFA">
        <w:rPr>
          <w:color w:val="0D0D0D" w:themeColor="text1" w:themeTint="F2"/>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IPO process","type":"article-journal","volume":"22"},"uris":["http://www.mendeley.com/documents/?uuid=14e67220-7f18-451c-bcec-f870e9e5ce78"]},{"id":"ITEM-2","itemData":{"abstract":"We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paper","id":"ITEM-2","issued":{"date-parts":[["2006"]]},"title":"IPO Firms and the SEC Comment Letter Process","type":"report"},"uris":["http://www.mendeley.com/documents/?uuid=df49ed71-71c0-4396-9eae-a351e94a1dce"]}],"mendeley":{"formattedCitation":"(Ertimur &amp; Nondorf, 2006b; B. Li &amp; Liu, 2017)","manualFormatting":"Ertimur &amp; Nondorf (2006) and Li &amp; Liu (2017)","plainTextFormattedCitation":"(Ertimur &amp; Nondorf, 2006b; B. Li &amp; Liu, 2017)","previouslyFormattedCitation":"(Ertimur &amp; Nondorf, 2006b; B. Li &amp; Liu,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Ertimur &amp; Nondorf (2006) and Li &amp; Liu (2017)</w:t>
      </w:r>
      <w:r w:rsidRPr="00943DFA">
        <w:rPr>
          <w:color w:val="0D0D0D" w:themeColor="text1" w:themeTint="F2"/>
        </w:rPr>
        <w:fldChar w:fldCharType="end"/>
      </w:r>
      <w:r w:rsidRPr="00943DFA">
        <w:rPr>
          <w:color w:val="0D0D0D" w:themeColor="text1" w:themeTint="F2"/>
          <w:lang w:eastAsia="en-US"/>
        </w:rPr>
        <w:t xml:space="preserve"> are 12</w:t>
      </w:r>
      <w:r w:rsidRPr="00943DFA">
        <w:rPr>
          <w:color w:val="0D0D0D" w:themeColor="text1" w:themeTint="F2"/>
          <w:vertAlign w:val="superscript"/>
          <w:lang w:eastAsia="en-US"/>
        </w:rPr>
        <w:t>th</w:t>
      </w:r>
      <w:r w:rsidRPr="00943DFA">
        <w:rPr>
          <w:color w:val="0D0D0D" w:themeColor="text1" w:themeTint="F2"/>
          <w:lang w:eastAsia="en-US"/>
        </w:rPr>
        <w:t xml:space="preserve"> May 2005 to 30</w:t>
      </w:r>
      <w:r w:rsidRPr="00943DFA">
        <w:rPr>
          <w:color w:val="0D0D0D" w:themeColor="text1" w:themeTint="F2"/>
          <w:vertAlign w:val="superscript"/>
          <w:lang w:eastAsia="en-US"/>
        </w:rPr>
        <w:t>th</w:t>
      </w:r>
      <w:r w:rsidRPr="00943DFA">
        <w:rPr>
          <w:color w:val="0D0D0D" w:themeColor="text1" w:themeTint="F2"/>
          <w:lang w:eastAsia="en-US"/>
        </w:rPr>
        <w:t xml:space="preserve"> September 2006 and 12</w:t>
      </w:r>
      <w:r w:rsidRPr="00943DFA">
        <w:rPr>
          <w:color w:val="0D0D0D" w:themeColor="text1" w:themeTint="F2"/>
          <w:vertAlign w:val="superscript"/>
          <w:lang w:eastAsia="en-US"/>
        </w:rPr>
        <w:t>th</w:t>
      </w:r>
      <w:r w:rsidRPr="00943DFA">
        <w:rPr>
          <w:color w:val="0D0D0D" w:themeColor="text1" w:themeTint="F2"/>
          <w:lang w:eastAsia="en-US"/>
        </w:rPr>
        <w:t xml:space="preserve"> May 2005 to 31</w:t>
      </w:r>
      <w:r w:rsidRPr="00943DFA">
        <w:rPr>
          <w:color w:val="0D0D0D" w:themeColor="text1" w:themeTint="F2"/>
          <w:vertAlign w:val="superscript"/>
          <w:lang w:eastAsia="en-US"/>
        </w:rPr>
        <w:t>st</w:t>
      </w:r>
      <w:r w:rsidRPr="00943DFA">
        <w:rPr>
          <w:color w:val="0D0D0D" w:themeColor="text1" w:themeTint="F2"/>
          <w:lang w:eastAsia="en-US"/>
        </w:rPr>
        <w:t xml:space="preserve"> December 2011, respectively, while this study focuses a longer time period, from 12</w:t>
      </w:r>
      <w:r w:rsidRPr="00943DFA">
        <w:rPr>
          <w:color w:val="0D0D0D" w:themeColor="text1" w:themeTint="F2"/>
          <w:vertAlign w:val="superscript"/>
          <w:lang w:eastAsia="en-US"/>
        </w:rPr>
        <w:t>th</w:t>
      </w:r>
      <w:r w:rsidRPr="00943DFA">
        <w:rPr>
          <w:color w:val="0D0D0D" w:themeColor="text1" w:themeTint="F2"/>
          <w:lang w:eastAsia="en-US"/>
        </w:rPr>
        <w:t xml:space="preserve"> May 2005 to 31</w:t>
      </w:r>
      <w:r w:rsidRPr="00943DFA">
        <w:rPr>
          <w:color w:val="0D0D0D" w:themeColor="text1" w:themeTint="F2"/>
          <w:vertAlign w:val="superscript"/>
          <w:lang w:eastAsia="en-US"/>
        </w:rPr>
        <w:t>st</w:t>
      </w:r>
      <w:r w:rsidRPr="00943DFA">
        <w:rPr>
          <w:color w:val="0D0D0D" w:themeColor="text1" w:themeTint="F2"/>
          <w:lang w:eastAsia="en-US"/>
        </w:rPr>
        <w:t xml:space="preserve"> December 2017. In particular, the sample period employed in this study includes the period after the enactment of the JOBS Act in 2012. The JOBS Act relieved disclosure regulations for EGC IPOs, and hence is likely associated with decreases in the average values of SEC review attributes. It is worth noting that </w:t>
      </w:r>
      <w:r w:rsidRPr="00943DFA">
        <w:rPr>
          <w:i/>
          <w:iCs/>
          <w:color w:val="0D0D0D" w:themeColor="text1" w:themeTint="F2"/>
          <w:lang w:eastAsia="en-US"/>
        </w:rPr>
        <w:t xml:space="preserve">#Themes </w:t>
      </w:r>
      <w:r w:rsidRPr="00943DFA">
        <w:rPr>
          <w:color w:val="0D0D0D" w:themeColor="text1" w:themeTint="F2"/>
          <w:lang w:eastAsia="en-US"/>
        </w:rPr>
        <w:t xml:space="preserve">are moderately skewed. Furthermore, </w:t>
      </w:r>
      <w:r w:rsidR="006E2294" w:rsidRPr="00943DFA">
        <w:rPr>
          <w:color w:val="0D0D0D" w:themeColor="text1" w:themeTint="F2"/>
          <w:lang w:eastAsia="en-US"/>
        </w:rPr>
        <w:t>the proxy is</w:t>
      </w:r>
      <w:r w:rsidRPr="00943DFA">
        <w:rPr>
          <w:color w:val="0D0D0D" w:themeColor="text1" w:themeTint="F2"/>
          <w:lang w:eastAsia="en-US"/>
        </w:rPr>
        <w:t xml:space="preserve"> discrete and countable. Therefore, this would be statistically problematic if these proxies are employed as independent variables within conventional OLS regressions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Rock","given":"S.","non-dropping-particle":"","parse-names":false,"suffix":""},{"dropping-particle":"","family":"Sedo","given":"S.","non-dropping-particle":"","parse-names":false,"suffix":""},{"dropping-particle":"","family":"Willenborg","given":"M.","non-dropping-particle":"","parse-names":false,"suffix":""}],"container-title":"Journal of Accounting and Economics","id":"ITEM-1","issue":"3","issued":{"date-parts":[["2000"]]},"page":"351-373","title":"Analyst following and count-data econometrics","type":"article-journal","volume":"30"},"uris":["http://www.mendeley.com/documents/?uuid=93217e26-7207-4951-9c65-210fb370fa37"]}],"mendeley":{"formattedCitation":"(Rock, Sedo, &amp; Willenborg, 2000)","manualFormatting":"Rock et al. (2000)","plainTextFormattedCitation":"(Rock, Sedo, &amp; Willenborg, 2000)","previouslyFormattedCitation":"(Rock, Sedo, &amp; Willenborg, 2000)"},"properties":{"noteIndex":0},"schema":"https://github.com/citation-style-language/schema/raw/master/csl-citation.json"}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Rock et al., 2000)</w:t>
      </w:r>
      <w:r w:rsidRPr="00943DFA">
        <w:rPr>
          <w:color w:val="0D0D0D" w:themeColor="text1" w:themeTint="F2"/>
        </w:rPr>
        <w:fldChar w:fldCharType="end"/>
      </w:r>
      <w:r w:rsidRPr="00943DFA">
        <w:rPr>
          <w:color w:val="0D0D0D" w:themeColor="text1" w:themeTint="F2"/>
          <w:lang w:eastAsia="en-US"/>
        </w:rPr>
        <w:t>.</w:t>
      </w:r>
    </w:p>
    <w:p w14:paraId="09A58EDB" w14:textId="63830D7A"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Table 3.5, Panel B presents descriptive statistics for </w:t>
      </w:r>
      <w:r w:rsidR="006E2294" w:rsidRPr="00943DFA">
        <w:rPr>
          <w:i/>
          <w:color w:val="0D0D0D" w:themeColor="text1" w:themeTint="F2"/>
          <w:lang w:eastAsia="en-US"/>
        </w:rPr>
        <w:t>#Themes</w:t>
      </w:r>
      <w:r w:rsidR="006E2294" w:rsidRPr="00943DFA">
        <w:rPr>
          <w:color w:val="0D0D0D" w:themeColor="text1" w:themeTint="F2"/>
          <w:lang w:eastAsia="en-US"/>
        </w:rPr>
        <w:t xml:space="preserve"> </w:t>
      </w:r>
      <w:r w:rsidRPr="00943DFA">
        <w:rPr>
          <w:color w:val="0D0D0D" w:themeColor="text1" w:themeTint="F2"/>
          <w:lang w:eastAsia="en-US"/>
        </w:rPr>
        <w:t xml:space="preserve">by year. </w:t>
      </w:r>
      <w:r w:rsidR="006E2294" w:rsidRPr="00943DFA">
        <w:rPr>
          <w:color w:val="0D0D0D" w:themeColor="text1" w:themeTint="F2"/>
          <w:lang w:eastAsia="en-US"/>
        </w:rPr>
        <w:t xml:space="preserve">A </w:t>
      </w:r>
      <w:r w:rsidRPr="00943DFA">
        <w:rPr>
          <w:color w:val="0D0D0D" w:themeColor="text1" w:themeTint="F2"/>
          <w:lang w:eastAsia="en-US"/>
        </w:rPr>
        <w:t>gradual increase in the mean value of this attribute is observed from 2005 to 2009 (2005 to 2011) and the mean value reaches a peak in 2011 with a value of 5.59, shortly after the enactment of the Dodd Frank Act in 2010. A steady decrease in the mean (median) value of #</w:t>
      </w:r>
      <w:r w:rsidRPr="00943DFA">
        <w:rPr>
          <w:i/>
          <w:color w:val="0D0D0D" w:themeColor="text1" w:themeTint="F2"/>
          <w:lang w:eastAsia="en-US"/>
        </w:rPr>
        <w:t xml:space="preserve">Themes </w:t>
      </w:r>
      <w:r w:rsidRPr="00943DFA">
        <w:rPr>
          <w:color w:val="0D0D0D" w:themeColor="text1" w:themeTint="F2"/>
          <w:lang w:eastAsia="en-US"/>
        </w:rPr>
        <w:t>is observed</w:t>
      </w:r>
      <w:r w:rsidRPr="00943DFA">
        <w:rPr>
          <w:i/>
          <w:color w:val="0D0D0D" w:themeColor="text1" w:themeTint="F2"/>
          <w:lang w:eastAsia="en-US"/>
        </w:rPr>
        <w:t xml:space="preserve"> </w:t>
      </w:r>
      <w:r w:rsidRPr="00943DFA">
        <w:rPr>
          <w:color w:val="0D0D0D" w:themeColor="text1" w:themeTint="F2"/>
          <w:lang w:eastAsia="en-US"/>
        </w:rPr>
        <w:t xml:space="preserve">from 2012, reaching a low in 2017 with a value of 0.94 (0), during the post-JOBS Act era. Figure 3.3, Figure 3.4, Figure 3.5, Figure 3.6 display the mean and median value of each SEC review attribute by year, namely, </w:t>
      </w:r>
      <w:r w:rsidRPr="00943DFA">
        <w:rPr>
          <w:i/>
          <w:color w:val="0D0D0D" w:themeColor="text1" w:themeTint="F2"/>
          <w:lang w:eastAsia="en-US"/>
        </w:rPr>
        <w:t xml:space="preserve">Duration, #Comments, </w:t>
      </w:r>
      <w:r w:rsidRPr="00943DFA">
        <w:rPr>
          <w:color w:val="0D0D0D" w:themeColor="text1" w:themeTint="F2"/>
          <w:lang w:eastAsia="en-US"/>
        </w:rPr>
        <w:t>#</w:t>
      </w:r>
      <w:r w:rsidRPr="00943DFA">
        <w:rPr>
          <w:i/>
          <w:color w:val="0D0D0D" w:themeColor="text1" w:themeTint="F2"/>
          <w:lang w:eastAsia="en-US"/>
        </w:rPr>
        <w:t xml:space="preserve">Letters </w:t>
      </w:r>
      <w:r w:rsidRPr="00943DFA">
        <w:rPr>
          <w:color w:val="0D0D0D" w:themeColor="text1" w:themeTint="F2"/>
          <w:lang w:eastAsia="en-US"/>
        </w:rPr>
        <w:t xml:space="preserve">and </w:t>
      </w:r>
      <w:r w:rsidRPr="00943DFA">
        <w:rPr>
          <w:i/>
          <w:color w:val="0D0D0D" w:themeColor="text1" w:themeTint="F2"/>
          <w:lang w:eastAsia="en-US"/>
        </w:rPr>
        <w:t xml:space="preserve">#Themes, </w:t>
      </w:r>
      <w:r w:rsidRPr="00943DFA">
        <w:rPr>
          <w:color w:val="0D0D0D" w:themeColor="text1" w:themeTint="F2"/>
          <w:lang w:eastAsia="en-US"/>
        </w:rPr>
        <w:t>respectively</w:t>
      </w:r>
      <w:r w:rsidRPr="00943DFA">
        <w:rPr>
          <w:i/>
          <w:color w:val="0D0D0D" w:themeColor="text1" w:themeTint="F2"/>
          <w:lang w:eastAsia="en-US"/>
        </w:rPr>
        <w:t>.</w:t>
      </w:r>
    </w:p>
    <w:p w14:paraId="2F661E1C" w14:textId="3800CB10"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Table 3.5, Panel C provides descriptive statistics for </w:t>
      </w:r>
      <w:r w:rsidR="006E2294" w:rsidRPr="00943DFA">
        <w:rPr>
          <w:i/>
          <w:color w:val="0D0D0D" w:themeColor="text1" w:themeTint="F2"/>
          <w:lang w:eastAsia="en-US"/>
        </w:rPr>
        <w:t>#Themes</w:t>
      </w:r>
      <w:r w:rsidR="006E2294" w:rsidRPr="00943DFA">
        <w:rPr>
          <w:color w:val="0D0D0D" w:themeColor="text1" w:themeTint="F2"/>
          <w:lang w:eastAsia="en-US"/>
        </w:rPr>
        <w:t xml:space="preserve"> </w:t>
      </w:r>
      <w:r w:rsidRPr="00943DFA">
        <w:rPr>
          <w:color w:val="0D0D0D" w:themeColor="text1" w:themeTint="F2"/>
          <w:lang w:eastAsia="en-US"/>
        </w:rPr>
        <w:t xml:space="preserve">by industry. </w:t>
      </w:r>
      <w:r w:rsidR="006E2294" w:rsidRPr="00943DFA">
        <w:rPr>
          <w:color w:val="0D0D0D" w:themeColor="text1" w:themeTint="F2"/>
          <w:lang w:eastAsia="en-US"/>
        </w:rPr>
        <w:t>The</w:t>
      </w:r>
      <w:r w:rsidRPr="00943DFA">
        <w:rPr>
          <w:color w:val="0D0D0D" w:themeColor="text1" w:themeTint="F2"/>
          <w:lang w:eastAsia="en-US"/>
        </w:rPr>
        <w:t xml:space="preserve"> mean (median) value is smallest for Chemical Products (Chemical Products) with a value of 2.42 (2) and largest for Paper and paper products (Paper and paper products) with a value of 5.42 (5.75). In general, this study observes that SEC reviews are the most extensive in Paper and Paper Products and the least extensive in the Chemical Products industry, perhaps due to the impact of the SEC’s workload.</w:t>
      </w:r>
      <w:r w:rsidRPr="00943DFA">
        <w:rPr>
          <w:rStyle w:val="FootnoteReference"/>
          <w:color w:val="0D0D0D" w:themeColor="text1" w:themeTint="F2"/>
          <w:lang w:eastAsia="en-US"/>
        </w:rPr>
        <w:footnoteReference w:id="17"/>
      </w:r>
    </w:p>
    <w:p w14:paraId="1F4A8BF4" w14:textId="77777777" w:rsidR="006E2294" w:rsidRPr="00943DFA" w:rsidRDefault="006E2294" w:rsidP="00195130">
      <w:pPr>
        <w:pStyle w:val="Caption"/>
        <w:keepNext/>
        <w:spacing w:after="0" w:line="360" w:lineRule="auto"/>
        <w:contextualSpacing/>
        <w:rPr>
          <w:b/>
          <w:i w:val="0"/>
          <w:color w:val="0D0D0D" w:themeColor="text1" w:themeTint="F2"/>
          <w:sz w:val="22"/>
        </w:rPr>
        <w:sectPr w:rsidR="006E2294" w:rsidRPr="00943DFA" w:rsidSect="006E2294">
          <w:headerReference w:type="default" r:id="rId19"/>
          <w:footerReference w:type="default" r:id="rId20"/>
          <w:pgSz w:w="11906" w:h="16838"/>
          <w:pgMar w:top="1440" w:right="1440" w:bottom="1440" w:left="1276" w:header="708" w:footer="708" w:gutter="0"/>
          <w:cols w:space="708"/>
          <w:docGrid w:linePitch="360"/>
        </w:sectPr>
      </w:pPr>
      <w:bookmarkStart w:id="50" w:name="_Ref50694948"/>
      <w:bookmarkStart w:id="51" w:name="_Toc48203647"/>
      <w:bookmarkStart w:id="52" w:name="_Ref50694921"/>
      <w:bookmarkStart w:id="53" w:name="_Ref50695122"/>
      <w:bookmarkStart w:id="54" w:name="_Toc50708211"/>
      <w:bookmarkStart w:id="55" w:name="_Toc85100152"/>
    </w:p>
    <w:p w14:paraId="34F93DFE" w14:textId="77777777" w:rsidR="00195130" w:rsidRPr="00943DFA" w:rsidRDefault="00195130" w:rsidP="00195130">
      <w:pPr>
        <w:pStyle w:val="Caption"/>
        <w:keepNext/>
        <w:spacing w:after="0" w:line="360" w:lineRule="auto"/>
        <w:contextualSpacing/>
        <w:rPr>
          <w:b/>
          <w:i w:val="0"/>
          <w:color w:val="0D0D0D" w:themeColor="text1" w:themeTint="F2"/>
          <w:sz w:val="22"/>
        </w:rPr>
      </w:pPr>
      <w:r w:rsidRPr="00943DFA">
        <w:rPr>
          <w:b/>
          <w:i w:val="0"/>
          <w:color w:val="0D0D0D" w:themeColor="text1" w:themeTint="F2"/>
          <w:sz w:val="22"/>
        </w:rPr>
        <w:lastRenderedPageBreak/>
        <w:t xml:space="preserve">Table </w:t>
      </w:r>
      <w:r w:rsidRPr="00943DFA">
        <w:rPr>
          <w:b/>
          <w:i w:val="0"/>
          <w:color w:val="0D0D0D" w:themeColor="text1" w:themeTint="F2"/>
          <w:sz w:val="22"/>
        </w:rPr>
        <w:fldChar w:fldCharType="begin"/>
      </w:r>
      <w:r w:rsidRPr="00943DFA">
        <w:rPr>
          <w:b/>
          <w:i w:val="0"/>
          <w:color w:val="0D0D0D" w:themeColor="text1" w:themeTint="F2"/>
          <w:sz w:val="22"/>
        </w:rPr>
        <w:instrText xml:space="preserve"> STYLEREF 1 \s </w:instrText>
      </w:r>
      <w:r w:rsidRPr="00943DFA">
        <w:rPr>
          <w:b/>
          <w:i w:val="0"/>
          <w:color w:val="0D0D0D" w:themeColor="text1" w:themeTint="F2"/>
          <w:sz w:val="22"/>
        </w:rPr>
        <w:fldChar w:fldCharType="separate"/>
      </w:r>
      <w:r w:rsidRPr="00943DFA">
        <w:rPr>
          <w:b/>
          <w:i w:val="0"/>
          <w:noProof/>
          <w:color w:val="0D0D0D" w:themeColor="text1" w:themeTint="F2"/>
          <w:sz w:val="22"/>
        </w:rPr>
        <w:t>3</w:t>
      </w:r>
      <w:r w:rsidRPr="00943DFA">
        <w:rPr>
          <w:b/>
          <w:i w:val="0"/>
          <w:color w:val="0D0D0D" w:themeColor="text1" w:themeTint="F2"/>
          <w:sz w:val="22"/>
        </w:rPr>
        <w:fldChar w:fldCharType="end"/>
      </w:r>
      <w:r w:rsidRPr="00943DFA">
        <w:rPr>
          <w:b/>
          <w:i w:val="0"/>
          <w:color w:val="0D0D0D" w:themeColor="text1" w:themeTint="F2"/>
          <w:sz w:val="22"/>
        </w:rPr>
        <w:t>.</w:t>
      </w:r>
      <w:r w:rsidRPr="00943DFA">
        <w:rPr>
          <w:b/>
          <w:i w:val="0"/>
          <w:color w:val="0D0D0D" w:themeColor="text1" w:themeTint="F2"/>
          <w:sz w:val="22"/>
        </w:rPr>
        <w:fldChar w:fldCharType="begin"/>
      </w:r>
      <w:r w:rsidRPr="00943DFA">
        <w:rPr>
          <w:b/>
          <w:i w:val="0"/>
          <w:color w:val="0D0D0D" w:themeColor="text1" w:themeTint="F2"/>
          <w:sz w:val="22"/>
        </w:rPr>
        <w:instrText xml:space="preserve"> SEQ Table \* ARABIC \s 1 </w:instrText>
      </w:r>
      <w:r w:rsidRPr="00943DFA">
        <w:rPr>
          <w:b/>
          <w:i w:val="0"/>
          <w:color w:val="0D0D0D" w:themeColor="text1" w:themeTint="F2"/>
          <w:sz w:val="22"/>
        </w:rPr>
        <w:fldChar w:fldCharType="separate"/>
      </w:r>
      <w:r w:rsidRPr="00943DFA">
        <w:rPr>
          <w:b/>
          <w:i w:val="0"/>
          <w:noProof/>
          <w:color w:val="0D0D0D" w:themeColor="text1" w:themeTint="F2"/>
          <w:sz w:val="22"/>
        </w:rPr>
        <w:t>5</w:t>
      </w:r>
      <w:r w:rsidRPr="00943DFA">
        <w:rPr>
          <w:b/>
          <w:i w:val="0"/>
          <w:color w:val="0D0D0D" w:themeColor="text1" w:themeTint="F2"/>
          <w:sz w:val="22"/>
        </w:rPr>
        <w:fldChar w:fldCharType="end"/>
      </w:r>
      <w:bookmarkEnd w:id="50"/>
      <w:r w:rsidRPr="00943DFA">
        <w:rPr>
          <w:b/>
          <w:i w:val="0"/>
          <w:color w:val="0D0D0D" w:themeColor="text1" w:themeTint="F2"/>
          <w:sz w:val="22"/>
        </w:rPr>
        <w:t>. Descriptive statistics for SEC review attributes</w:t>
      </w:r>
      <w:bookmarkEnd w:id="51"/>
      <w:bookmarkEnd w:id="52"/>
      <w:bookmarkEnd w:id="53"/>
      <w:bookmarkEnd w:id="54"/>
      <w:bookmarkEnd w:id="55"/>
    </w:p>
    <w:tbl>
      <w:tblPr>
        <w:tblW w:w="13522" w:type="dxa"/>
        <w:tblLook w:val="04A0" w:firstRow="1" w:lastRow="0" w:firstColumn="1" w:lastColumn="0" w:noHBand="0" w:noVBand="1"/>
      </w:tblPr>
      <w:tblGrid>
        <w:gridCol w:w="1526"/>
        <w:gridCol w:w="266"/>
        <w:gridCol w:w="756"/>
        <w:gridCol w:w="742"/>
        <w:gridCol w:w="447"/>
        <w:gridCol w:w="266"/>
        <w:gridCol w:w="569"/>
        <w:gridCol w:w="179"/>
        <w:gridCol w:w="809"/>
        <w:gridCol w:w="179"/>
        <w:gridCol w:w="1022"/>
        <w:gridCol w:w="43"/>
        <w:gridCol w:w="748"/>
        <w:gridCol w:w="1420"/>
        <w:gridCol w:w="812"/>
        <w:gridCol w:w="1736"/>
        <w:gridCol w:w="266"/>
        <w:gridCol w:w="1736"/>
      </w:tblGrid>
      <w:tr w:rsidR="00943DFA" w:rsidRPr="00943DFA" w14:paraId="25A1CCC1" w14:textId="77777777" w:rsidTr="00373B60">
        <w:trPr>
          <w:trHeight w:val="255"/>
        </w:trPr>
        <w:tc>
          <w:tcPr>
            <w:tcW w:w="13522" w:type="dxa"/>
            <w:gridSpan w:val="18"/>
            <w:tcBorders>
              <w:top w:val="single" w:sz="4" w:space="0" w:color="auto"/>
              <w:left w:val="nil"/>
              <w:bottom w:val="single" w:sz="4" w:space="0" w:color="auto"/>
              <w:right w:val="nil"/>
            </w:tcBorders>
            <w:shd w:val="clear" w:color="auto" w:fill="auto"/>
            <w:noWrap/>
            <w:vAlign w:val="center"/>
            <w:hideMark/>
          </w:tcPr>
          <w:p w14:paraId="58CC0327" w14:textId="77777777" w:rsidR="00195130" w:rsidRPr="00943DFA" w:rsidRDefault="00195130" w:rsidP="00373B60">
            <w:pPr>
              <w:contextualSpacing/>
              <w:rPr>
                <w:rFonts w:eastAsia="Times New Roman"/>
                <w:b/>
                <w:bCs/>
                <w:color w:val="0D0D0D" w:themeColor="text1" w:themeTint="F2"/>
                <w:sz w:val="20"/>
                <w:szCs w:val="20"/>
              </w:rPr>
            </w:pPr>
            <w:r w:rsidRPr="00943DFA">
              <w:rPr>
                <w:rFonts w:eastAsia="Times New Roman"/>
                <w:b/>
                <w:bCs/>
                <w:color w:val="0D0D0D" w:themeColor="text1" w:themeTint="F2"/>
                <w:sz w:val="20"/>
                <w:szCs w:val="20"/>
              </w:rPr>
              <w:t>Panel A. Summary descriptive statistics of SEC review attributes</w:t>
            </w:r>
          </w:p>
        </w:tc>
      </w:tr>
      <w:tr w:rsidR="00943DFA" w:rsidRPr="00943DFA" w14:paraId="54E34B1E" w14:textId="77777777" w:rsidTr="00373B60">
        <w:trPr>
          <w:trHeight w:val="255"/>
        </w:trPr>
        <w:tc>
          <w:tcPr>
            <w:tcW w:w="1526" w:type="dxa"/>
            <w:tcBorders>
              <w:top w:val="nil"/>
              <w:left w:val="nil"/>
              <w:bottom w:val="nil"/>
              <w:right w:val="nil"/>
            </w:tcBorders>
            <w:shd w:val="clear" w:color="auto" w:fill="auto"/>
            <w:noWrap/>
            <w:vAlign w:val="center"/>
            <w:hideMark/>
          </w:tcPr>
          <w:p w14:paraId="4B38DCEF" w14:textId="77777777" w:rsidR="00195130" w:rsidRPr="00943DFA" w:rsidRDefault="00195130" w:rsidP="00373B60">
            <w:pPr>
              <w:contextualSpacing/>
              <w:rPr>
                <w:rFonts w:eastAsia="Times New Roman"/>
                <w:b/>
                <w:bCs/>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5F8087FA" w14:textId="77777777" w:rsidR="00195130" w:rsidRPr="00943DFA" w:rsidRDefault="00195130" w:rsidP="00373B60">
            <w:pPr>
              <w:contextualSpacing/>
              <w:rPr>
                <w:rFonts w:eastAsia="Times New Roman"/>
                <w:color w:val="0D0D0D" w:themeColor="text1" w:themeTint="F2"/>
                <w:sz w:val="20"/>
                <w:szCs w:val="20"/>
              </w:rPr>
            </w:pPr>
          </w:p>
        </w:tc>
        <w:tc>
          <w:tcPr>
            <w:tcW w:w="756" w:type="dxa"/>
            <w:tcBorders>
              <w:top w:val="nil"/>
              <w:left w:val="nil"/>
              <w:bottom w:val="single" w:sz="4" w:space="0" w:color="auto"/>
              <w:right w:val="nil"/>
            </w:tcBorders>
            <w:shd w:val="clear" w:color="auto" w:fill="auto"/>
            <w:noWrap/>
            <w:vAlign w:val="center"/>
            <w:hideMark/>
          </w:tcPr>
          <w:p w14:paraId="60ED62C7" w14:textId="77777777" w:rsidR="00195130" w:rsidRPr="00943DFA" w:rsidRDefault="00195130"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N</w:t>
            </w:r>
          </w:p>
        </w:tc>
        <w:tc>
          <w:tcPr>
            <w:tcW w:w="742" w:type="dxa"/>
            <w:tcBorders>
              <w:top w:val="nil"/>
              <w:left w:val="nil"/>
              <w:bottom w:val="nil"/>
              <w:right w:val="nil"/>
            </w:tcBorders>
            <w:shd w:val="clear" w:color="auto" w:fill="auto"/>
            <w:noWrap/>
            <w:vAlign w:val="bottom"/>
            <w:hideMark/>
          </w:tcPr>
          <w:p w14:paraId="0DF347C9" w14:textId="77777777" w:rsidR="00195130" w:rsidRPr="00943DFA" w:rsidRDefault="00195130" w:rsidP="00373B60">
            <w:pPr>
              <w:contextualSpacing/>
              <w:jc w:val="center"/>
              <w:rPr>
                <w:rFonts w:eastAsia="Times New Roman"/>
                <w:b/>
                <w:bCs/>
                <w:color w:val="0D0D0D" w:themeColor="text1" w:themeTint="F2"/>
                <w:sz w:val="20"/>
                <w:szCs w:val="20"/>
              </w:rPr>
            </w:pPr>
          </w:p>
        </w:tc>
        <w:tc>
          <w:tcPr>
            <w:tcW w:w="1282" w:type="dxa"/>
            <w:gridSpan w:val="3"/>
            <w:tcBorders>
              <w:top w:val="single" w:sz="4" w:space="0" w:color="auto"/>
              <w:left w:val="nil"/>
              <w:bottom w:val="single" w:sz="4" w:space="0" w:color="auto"/>
              <w:right w:val="nil"/>
            </w:tcBorders>
            <w:shd w:val="clear" w:color="auto" w:fill="auto"/>
            <w:noWrap/>
            <w:vAlign w:val="center"/>
            <w:hideMark/>
          </w:tcPr>
          <w:p w14:paraId="4915952E" w14:textId="77777777" w:rsidR="00195130" w:rsidRPr="00943DFA" w:rsidRDefault="00195130"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Mean</w:t>
            </w:r>
          </w:p>
        </w:tc>
        <w:tc>
          <w:tcPr>
            <w:tcW w:w="988" w:type="dxa"/>
            <w:gridSpan w:val="2"/>
            <w:tcBorders>
              <w:top w:val="nil"/>
              <w:left w:val="nil"/>
              <w:bottom w:val="nil"/>
              <w:right w:val="nil"/>
            </w:tcBorders>
            <w:shd w:val="clear" w:color="auto" w:fill="auto"/>
            <w:noWrap/>
            <w:vAlign w:val="bottom"/>
            <w:hideMark/>
          </w:tcPr>
          <w:p w14:paraId="5C08D12A" w14:textId="77777777" w:rsidR="00195130" w:rsidRPr="00943DFA" w:rsidRDefault="00195130" w:rsidP="00373B60">
            <w:pPr>
              <w:contextualSpacing/>
              <w:jc w:val="center"/>
              <w:rPr>
                <w:rFonts w:eastAsia="Times New Roman"/>
                <w:b/>
                <w:bCs/>
                <w:color w:val="0D0D0D" w:themeColor="text1" w:themeTint="F2"/>
                <w:sz w:val="20"/>
                <w:szCs w:val="20"/>
              </w:rPr>
            </w:pPr>
          </w:p>
        </w:tc>
        <w:tc>
          <w:tcPr>
            <w:tcW w:w="1244" w:type="dxa"/>
            <w:gridSpan w:val="3"/>
            <w:tcBorders>
              <w:top w:val="single" w:sz="4" w:space="0" w:color="auto"/>
              <w:left w:val="nil"/>
              <w:bottom w:val="single" w:sz="4" w:space="0" w:color="auto"/>
              <w:right w:val="nil"/>
            </w:tcBorders>
            <w:shd w:val="clear" w:color="auto" w:fill="auto"/>
            <w:noWrap/>
            <w:vAlign w:val="center"/>
            <w:hideMark/>
          </w:tcPr>
          <w:p w14:paraId="594D0EB9" w14:textId="77777777" w:rsidR="00195130" w:rsidRPr="00943DFA" w:rsidRDefault="00195130"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p1</w:t>
            </w:r>
          </w:p>
        </w:tc>
        <w:tc>
          <w:tcPr>
            <w:tcW w:w="748" w:type="dxa"/>
            <w:tcBorders>
              <w:top w:val="nil"/>
              <w:left w:val="nil"/>
              <w:bottom w:val="nil"/>
              <w:right w:val="nil"/>
            </w:tcBorders>
            <w:shd w:val="clear" w:color="auto" w:fill="auto"/>
            <w:noWrap/>
            <w:vAlign w:val="bottom"/>
            <w:hideMark/>
          </w:tcPr>
          <w:p w14:paraId="7C3AC092" w14:textId="77777777" w:rsidR="00195130" w:rsidRPr="00943DFA" w:rsidRDefault="00195130" w:rsidP="00373B60">
            <w:pPr>
              <w:contextualSpacing/>
              <w:jc w:val="center"/>
              <w:rPr>
                <w:rFonts w:eastAsia="Times New Roman"/>
                <w:b/>
                <w:bCs/>
                <w:color w:val="0D0D0D" w:themeColor="text1" w:themeTint="F2"/>
                <w:sz w:val="20"/>
                <w:szCs w:val="20"/>
              </w:rPr>
            </w:pPr>
          </w:p>
        </w:tc>
        <w:tc>
          <w:tcPr>
            <w:tcW w:w="1420" w:type="dxa"/>
            <w:tcBorders>
              <w:top w:val="single" w:sz="4" w:space="0" w:color="auto"/>
              <w:left w:val="nil"/>
              <w:bottom w:val="single" w:sz="4" w:space="0" w:color="auto"/>
              <w:right w:val="nil"/>
            </w:tcBorders>
            <w:shd w:val="clear" w:color="auto" w:fill="auto"/>
            <w:noWrap/>
            <w:vAlign w:val="center"/>
            <w:hideMark/>
          </w:tcPr>
          <w:p w14:paraId="74FA9A6C" w14:textId="77777777" w:rsidR="00195130" w:rsidRPr="00943DFA" w:rsidRDefault="00195130"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p50</w:t>
            </w:r>
          </w:p>
        </w:tc>
        <w:tc>
          <w:tcPr>
            <w:tcW w:w="812" w:type="dxa"/>
            <w:tcBorders>
              <w:top w:val="nil"/>
              <w:left w:val="nil"/>
              <w:bottom w:val="nil"/>
              <w:right w:val="nil"/>
            </w:tcBorders>
            <w:shd w:val="clear" w:color="auto" w:fill="auto"/>
            <w:noWrap/>
            <w:vAlign w:val="bottom"/>
            <w:hideMark/>
          </w:tcPr>
          <w:p w14:paraId="4D0304F7" w14:textId="77777777" w:rsidR="00195130" w:rsidRPr="00943DFA" w:rsidRDefault="00195130" w:rsidP="00373B60">
            <w:pPr>
              <w:contextualSpacing/>
              <w:jc w:val="center"/>
              <w:rPr>
                <w:rFonts w:eastAsia="Times New Roman"/>
                <w:b/>
                <w:bCs/>
                <w:color w:val="0D0D0D" w:themeColor="text1" w:themeTint="F2"/>
                <w:sz w:val="20"/>
                <w:szCs w:val="20"/>
              </w:rPr>
            </w:pPr>
          </w:p>
        </w:tc>
        <w:tc>
          <w:tcPr>
            <w:tcW w:w="1736" w:type="dxa"/>
            <w:tcBorders>
              <w:top w:val="single" w:sz="4" w:space="0" w:color="auto"/>
              <w:left w:val="nil"/>
              <w:bottom w:val="single" w:sz="4" w:space="0" w:color="auto"/>
              <w:right w:val="nil"/>
            </w:tcBorders>
            <w:shd w:val="clear" w:color="auto" w:fill="auto"/>
            <w:noWrap/>
            <w:vAlign w:val="center"/>
            <w:hideMark/>
          </w:tcPr>
          <w:p w14:paraId="07E24895" w14:textId="77777777" w:rsidR="00195130" w:rsidRPr="00943DFA" w:rsidRDefault="00195130"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p99</w:t>
            </w:r>
          </w:p>
        </w:tc>
        <w:tc>
          <w:tcPr>
            <w:tcW w:w="266" w:type="dxa"/>
            <w:tcBorders>
              <w:top w:val="nil"/>
              <w:left w:val="nil"/>
              <w:bottom w:val="nil"/>
              <w:right w:val="nil"/>
            </w:tcBorders>
            <w:shd w:val="clear" w:color="auto" w:fill="auto"/>
            <w:noWrap/>
            <w:vAlign w:val="bottom"/>
            <w:hideMark/>
          </w:tcPr>
          <w:p w14:paraId="0F072F3C" w14:textId="77777777" w:rsidR="00195130" w:rsidRPr="00943DFA" w:rsidRDefault="00195130" w:rsidP="00373B60">
            <w:pPr>
              <w:contextualSpacing/>
              <w:jc w:val="center"/>
              <w:rPr>
                <w:rFonts w:eastAsia="Times New Roman"/>
                <w:b/>
                <w:bCs/>
                <w:color w:val="0D0D0D" w:themeColor="text1" w:themeTint="F2"/>
                <w:sz w:val="20"/>
                <w:szCs w:val="20"/>
              </w:rPr>
            </w:pPr>
          </w:p>
        </w:tc>
        <w:tc>
          <w:tcPr>
            <w:tcW w:w="1736" w:type="dxa"/>
            <w:tcBorders>
              <w:top w:val="single" w:sz="4" w:space="0" w:color="auto"/>
              <w:left w:val="nil"/>
              <w:bottom w:val="single" w:sz="4" w:space="0" w:color="auto"/>
              <w:right w:val="nil"/>
            </w:tcBorders>
            <w:shd w:val="clear" w:color="auto" w:fill="auto"/>
            <w:noWrap/>
            <w:vAlign w:val="center"/>
            <w:hideMark/>
          </w:tcPr>
          <w:p w14:paraId="21ABBFA1" w14:textId="77777777" w:rsidR="00195130" w:rsidRPr="00943DFA" w:rsidRDefault="00195130"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S.D.</w:t>
            </w:r>
          </w:p>
        </w:tc>
      </w:tr>
      <w:tr w:rsidR="00943DFA" w:rsidRPr="00943DFA" w14:paraId="03EEB1B3" w14:textId="77777777" w:rsidTr="00373B60">
        <w:trPr>
          <w:trHeight w:val="255"/>
        </w:trPr>
        <w:tc>
          <w:tcPr>
            <w:tcW w:w="1526" w:type="dxa"/>
            <w:tcBorders>
              <w:top w:val="nil"/>
              <w:left w:val="nil"/>
              <w:bottom w:val="single" w:sz="4" w:space="0" w:color="auto"/>
              <w:right w:val="nil"/>
            </w:tcBorders>
            <w:shd w:val="clear" w:color="auto" w:fill="auto"/>
            <w:noWrap/>
            <w:vAlign w:val="center"/>
            <w:hideMark/>
          </w:tcPr>
          <w:p w14:paraId="7E9E801B"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#Themes</w:t>
            </w:r>
          </w:p>
        </w:tc>
        <w:tc>
          <w:tcPr>
            <w:tcW w:w="266" w:type="dxa"/>
            <w:tcBorders>
              <w:top w:val="nil"/>
              <w:left w:val="nil"/>
              <w:bottom w:val="single" w:sz="4" w:space="0" w:color="auto"/>
              <w:right w:val="nil"/>
            </w:tcBorders>
            <w:shd w:val="clear" w:color="auto" w:fill="auto"/>
            <w:noWrap/>
            <w:vAlign w:val="bottom"/>
            <w:hideMark/>
          </w:tcPr>
          <w:p w14:paraId="21A5984D"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756" w:type="dxa"/>
            <w:tcBorders>
              <w:top w:val="nil"/>
              <w:left w:val="nil"/>
              <w:bottom w:val="single" w:sz="4" w:space="0" w:color="auto"/>
              <w:right w:val="nil"/>
            </w:tcBorders>
            <w:shd w:val="clear" w:color="auto" w:fill="auto"/>
            <w:noWrap/>
            <w:vAlign w:val="center"/>
            <w:hideMark/>
          </w:tcPr>
          <w:p w14:paraId="68D08BA0" w14:textId="77777777" w:rsidR="00195130" w:rsidRPr="00943DFA" w:rsidRDefault="00195130"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909</w:t>
            </w:r>
          </w:p>
        </w:tc>
        <w:tc>
          <w:tcPr>
            <w:tcW w:w="742" w:type="dxa"/>
            <w:tcBorders>
              <w:top w:val="nil"/>
              <w:left w:val="nil"/>
              <w:bottom w:val="single" w:sz="4" w:space="0" w:color="auto"/>
              <w:right w:val="nil"/>
            </w:tcBorders>
            <w:shd w:val="clear" w:color="auto" w:fill="auto"/>
            <w:noWrap/>
            <w:vAlign w:val="bottom"/>
            <w:hideMark/>
          </w:tcPr>
          <w:p w14:paraId="2389682C"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1282" w:type="dxa"/>
            <w:gridSpan w:val="3"/>
            <w:tcBorders>
              <w:top w:val="nil"/>
              <w:left w:val="nil"/>
              <w:bottom w:val="single" w:sz="4" w:space="0" w:color="auto"/>
              <w:right w:val="nil"/>
            </w:tcBorders>
            <w:shd w:val="clear" w:color="auto" w:fill="auto"/>
            <w:noWrap/>
            <w:vAlign w:val="center"/>
            <w:hideMark/>
          </w:tcPr>
          <w:p w14:paraId="696E1ACD" w14:textId="77777777" w:rsidR="00195130" w:rsidRPr="00943DFA" w:rsidRDefault="00195130"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3.50***</w:t>
            </w:r>
          </w:p>
        </w:tc>
        <w:tc>
          <w:tcPr>
            <w:tcW w:w="988" w:type="dxa"/>
            <w:gridSpan w:val="2"/>
            <w:tcBorders>
              <w:top w:val="nil"/>
              <w:left w:val="nil"/>
              <w:bottom w:val="single" w:sz="4" w:space="0" w:color="auto"/>
              <w:right w:val="nil"/>
            </w:tcBorders>
            <w:shd w:val="clear" w:color="auto" w:fill="auto"/>
            <w:noWrap/>
            <w:vAlign w:val="bottom"/>
            <w:hideMark/>
          </w:tcPr>
          <w:p w14:paraId="40071ADE"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1244" w:type="dxa"/>
            <w:gridSpan w:val="3"/>
            <w:tcBorders>
              <w:top w:val="nil"/>
              <w:left w:val="nil"/>
              <w:bottom w:val="single" w:sz="4" w:space="0" w:color="auto"/>
              <w:right w:val="nil"/>
            </w:tcBorders>
            <w:shd w:val="clear" w:color="auto" w:fill="auto"/>
            <w:noWrap/>
            <w:vAlign w:val="center"/>
            <w:hideMark/>
          </w:tcPr>
          <w:p w14:paraId="6B9E7BCE" w14:textId="77777777" w:rsidR="00195130" w:rsidRPr="00943DFA" w:rsidRDefault="00195130"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0</w:t>
            </w:r>
          </w:p>
        </w:tc>
        <w:tc>
          <w:tcPr>
            <w:tcW w:w="748" w:type="dxa"/>
            <w:tcBorders>
              <w:top w:val="nil"/>
              <w:left w:val="nil"/>
              <w:bottom w:val="single" w:sz="4" w:space="0" w:color="auto"/>
              <w:right w:val="nil"/>
            </w:tcBorders>
            <w:shd w:val="clear" w:color="auto" w:fill="auto"/>
            <w:noWrap/>
            <w:vAlign w:val="bottom"/>
            <w:hideMark/>
          </w:tcPr>
          <w:p w14:paraId="3A0080C7"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1420" w:type="dxa"/>
            <w:tcBorders>
              <w:top w:val="nil"/>
              <w:left w:val="nil"/>
              <w:bottom w:val="single" w:sz="4" w:space="0" w:color="auto"/>
              <w:right w:val="nil"/>
            </w:tcBorders>
            <w:shd w:val="clear" w:color="auto" w:fill="auto"/>
            <w:noWrap/>
            <w:vAlign w:val="center"/>
            <w:hideMark/>
          </w:tcPr>
          <w:p w14:paraId="40591E58" w14:textId="77777777" w:rsidR="00195130" w:rsidRPr="00943DFA" w:rsidRDefault="00195130"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w:t>
            </w:r>
          </w:p>
        </w:tc>
        <w:tc>
          <w:tcPr>
            <w:tcW w:w="812" w:type="dxa"/>
            <w:tcBorders>
              <w:top w:val="nil"/>
              <w:left w:val="nil"/>
              <w:bottom w:val="single" w:sz="4" w:space="0" w:color="auto"/>
              <w:right w:val="nil"/>
            </w:tcBorders>
            <w:shd w:val="clear" w:color="auto" w:fill="auto"/>
            <w:noWrap/>
            <w:vAlign w:val="bottom"/>
            <w:hideMark/>
          </w:tcPr>
          <w:p w14:paraId="35EDFDD2"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1736" w:type="dxa"/>
            <w:tcBorders>
              <w:top w:val="nil"/>
              <w:left w:val="nil"/>
              <w:bottom w:val="single" w:sz="4" w:space="0" w:color="auto"/>
              <w:right w:val="nil"/>
            </w:tcBorders>
            <w:shd w:val="clear" w:color="auto" w:fill="auto"/>
            <w:noWrap/>
            <w:vAlign w:val="center"/>
            <w:hideMark/>
          </w:tcPr>
          <w:p w14:paraId="062F31B1" w14:textId="77777777" w:rsidR="00195130" w:rsidRPr="00943DFA" w:rsidRDefault="00195130"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7</w:t>
            </w:r>
          </w:p>
        </w:tc>
        <w:tc>
          <w:tcPr>
            <w:tcW w:w="266" w:type="dxa"/>
            <w:tcBorders>
              <w:top w:val="nil"/>
              <w:left w:val="nil"/>
              <w:bottom w:val="single" w:sz="4" w:space="0" w:color="auto"/>
              <w:right w:val="nil"/>
            </w:tcBorders>
            <w:shd w:val="clear" w:color="auto" w:fill="auto"/>
            <w:noWrap/>
            <w:vAlign w:val="bottom"/>
            <w:hideMark/>
          </w:tcPr>
          <w:p w14:paraId="5B9202F4" w14:textId="77777777" w:rsidR="00195130" w:rsidRPr="00943DFA" w:rsidRDefault="00195130"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1736" w:type="dxa"/>
            <w:tcBorders>
              <w:top w:val="nil"/>
              <w:left w:val="nil"/>
              <w:bottom w:val="single" w:sz="4" w:space="0" w:color="auto"/>
              <w:right w:val="nil"/>
            </w:tcBorders>
            <w:shd w:val="clear" w:color="auto" w:fill="auto"/>
            <w:noWrap/>
            <w:vAlign w:val="center"/>
            <w:hideMark/>
          </w:tcPr>
          <w:p w14:paraId="0B883890" w14:textId="77777777" w:rsidR="00195130" w:rsidRPr="00943DFA" w:rsidRDefault="00195130"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2.43</w:t>
            </w:r>
          </w:p>
        </w:tc>
      </w:tr>
      <w:tr w:rsidR="00943DFA" w:rsidRPr="00943DFA" w14:paraId="359B0058" w14:textId="77777777" w:rsidTr="00943DFA">
        <w:trPr>
          <w:trHeight w:val="255"/>
        </w:trPr>
        <w:tc>
          <w:tcPr>
            <w:tcW w:w="6761" w:type="dxa"/>
            <w:gridSpan w:val="11"/>
            <w:tcBorders>
              <w:top w:val="single" w:sz="4" w:space="0" w:color="auto"/>
              <w:left w:val="nil"/>
              <w:bottom w:val="single" w:sz="4" w:space="0" w:color="auto"/>
              <w:right w:val="nil"/>
            </w:tcBorders>
            <w:shd w:val="clear" w:color="auto" w:fill="auto"/>
            <w:noWrap/>
            <w:vAlign w:val="center"/>
            <w:hideMark/>
          </w:tcPr>
          <w:p w14:paraId="6807C3BD" w14:textId="77777777" w:rsidR="00943DFA" w:rsidRDefault="00943DFA" w:rsidP="00943DFA">
            <w:pPr>
              <w:contextualSpacing/>
              <w:rPr>
                <w:rFonts w:eastAsia="Times New Roman"/>
                <w:b/>
                <w:bCs/>
                <w:color w:val="0D0D0D" w:themeColor="text1" w:themeTint="F2"/>
                <w:sz w:val="20"/>
                <w:szCs w:val="20"/>
              </w:rPr>
            </w:pPr>
          </w:p>
          <w:p w14:paraId="74E0ED8D" w14:textId="0CED19C2" w:rsidR="00943DFA" w:rsidRDefault="00943DFA" w:rsidP="00943DFA">
            <w:pPr>
              <w:contextualSpacing/>
              <w:rPr>
                <w:rFonts w:eastAsia="Times New Roman"/>
                <w:b/>
                <w:bCs/>
                <w:color w:val="0D0D0D" w:themeColor="text1" w:themeTint="F2"/>
                <w:sz w:val="20"/>
                <w:szCs w:val="20"/>
              </w:rPr>
            </w:pPr>
            <w:r w:rsidRPr="00943DFA">
              <w:rPr>
                <w:rFonts w:eastAsia="Times New Roman"/>
                <w:b/>
                <w:bCs/>
                <w:color w:val="0D0D0D" w:themeColor="text1" w:themeTint="F2"/>
                <w:sz w:val="20"/>
                <w:szCs w:val="20"/>
              </w:rPr>
              <w:t>Panel B. Descriptive statistics of SEC review attributes by year</w:t>
            </w:r>
          </w:p>
        </w:tc>
        <w:tc>
          <w:tcPr>
            <w:tcW w:w="6761" w:type="dxa"/>
            <w:gridSpan w:val="7"/>
            <w:tcBorders>
              <w:left w:val="nil"/>
              <w:right w:val="nil"/>
            </w:tcBorders>
            <w:shd w:val="clear" w:color="auto" w:fill="auto"/>
            <w:vAlign w:val="center"/>
          </w:tcPr>
          <w:p w14:paraId="7723DB25" w14:textId="24E4871B" w:rsidR="00943DFA" w:rsidRPr="00943DFA" w:rsidRDefault="00943DFA" w:rsidP="00943DFA">
            <w:pPr>
              <w:contextualSpacing/>
              <w:rPr>
                <w:rFonts w:eastAsia="Times New Roman"/>
                <w:b/>
                <w:bCs/>
                <w:color w:val="0D0D0D" w:themeColor="text1" w:themeTint="F2"/>
                <w:sz w:val="20"/>
                <w:szCs w:val="20"/>
              </w:rPr>
            </w:pPr>
          </w:p>
        </w:tc>
      </w:tr>
      <w:tr w:rsidR="00943DFA" w:rsidRPr="00943DFA" w14:paraId="1B7AE7EB" w14:textId="77777777" w:rsidTr="002F028D">
        <w:trPr>
          <w:gridAfter w:val="8"/>
          <w:wAfter w:w="7783" w:type="dxa"/>
          <w:trHeight w:val="450"/>
        </w:trPr>
        <w:tc>
          <w:tcPr>
            <w:tcW w:w="1792" w:type="dxa"/>
            <w:gridSpan w:val="2"/>
            <w:tcBorders>
              <w:top w:val="single" w:sz="4" w:space="0" w:color="auto"/>
              <w:left w:val="nil"/>
              <w:bottom w:val="single" w:sz="4" w:space="0" w:color="auto"/>
              <w:right w:val="nil"/>
            </w:tcBorders>
            <w:shd w:val="clear" w:color="auto" w:fill="auto"/>
            <w:noWrap/>
            <w:vAlign w:val="center"/>
            <w:hideMark/>
          </w:tcPr>
          <w:p w14:paraId="16690B02" w14:textId="77777777" w:rsidR="00943DFA" w:rsidRPr="00943DFA" w:rsidRDefault="00943DFA" w:rsidP="00943DFA">
            <w:pPr>
              <w:contextualSpacing/>
              <w:rPr>
                <w:rFonts w:eastAsia="Times New Roman"/>
                <w:b/>
                <w:bCs/>
                <w:color w:val="0D0D0D" w:themeColor="text1" w:themeTint="F2"/>
                <w:sz w:val="20"/>
                <w:szCs w:val="20"/>
              </w:rPr>
            </w:pPr>
            <w:r w:rsidRPr="00943DFA">
              <w:rPr>
                <w:rFonts w:eastAsia="Times New Roman"/>
                <w:b/>
                <w:bCs/>
                <w:color w:val="0D0D0D" w:themeColor="text1" w:themeTint="F2"/>
                <w:sz w:val="20"/>
                <w:szCs w:val="20"/>
              </w:rPr>
              <w:t>Year</w:t>
            </w:r>
          </w:p>
        </w:tc>
        <w:tc>
          <w:tcPr>
            <w:tcW w:w="756" w:type="dxa"/>
            <w:tcBorders>
              <w:top w:val="nil"/>
              <w:left w:val="nil"/>
              <w:bottom w:val="nil"/>
              <w:right w:val="nil"/>
            </w:tcBorders>
            <w:shd w:val="clear" w:color="auto" w:fill="auto"/>
            <w:vAlign w:val="bottom"/>
            <w:hideMark/>
          </w:tcPr>
          <w:p w14:paraId="56D819CD" w14:textId="77777777" w:rsidR="00943DFA" w:rsidRPr="00943DFA" w:rsidRDefault="00943DFA" w:rsidP="00943DFA">
            <w:pPr>
              <w:contextualSpacing/>
              <w:rPr>
                <w:rFonts w:eastAsia="Times New Roman"/>
                <w:b/>
                <w:bCs/>
                <w:color w:val="0D0D0D" w:themeColor="text1" w:themeTint="F2"/>
                <w:sz w:val="20"/>
                <w:szCs w:val="20"/>
              </w:rPr>
            </w:pPr>
          </w:p>
        </w:tc>
        <w:tc>
          <w:tcPr>
            <w:tcW w:w="742" w:type="dxa"/>
            <w:tcBorders>
              <w:top w:val="nil"/>
              <w:left w:val="nil"/>
              <w:bottom w:val="single" w:sz="4" w:space="0" w:color="auto"/>
              <w:right w:val="nil"/>
            </w:tcBorders>
            <w:shd w:val="clear" w:color="auto" w:fill="auto"/>
            <w:vAlign w:val="center"/>
            <w:hideMark/>
          </w:tcPr>
          <w:p w14:paraId="3B62B1A7" w14:textId="77777777" w:rsidR="00943DFA" w:rsidRPr="00943DFA" w:rsidRDefault="00943DFA" w:rsidP="00943DFA">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N</w:t>
            </w:r>
          </w:p>
        </w:tc>
        <w:tc>
          <w:tcPr>
            <w:tcW w:w="447" w:type="dxa"/>
            <w:tcBorders>
              <w:top w:val="nil"/>
              <w:left w:val="nil"/>
              <w:bottom w:val="nil"/>
              <w:right w:val="nil"/>
            </w:tcBorders>
            <w:shd w:val="clear" w:color="auto" w:fill="auto"/>
            <w:vAlign w:val="bottom"/>
            <w:hideMark/>
          </w:tcPr>
          <w:p w14:paraId="544627E3" w14:textId="77777777" w:rsidR="00943DFA" w:rsidRPr="00943DFA" w:rsidRDefault="00943DFA" w:rsidP="00943DFA">
            <w:pPr>
              <w:contextualSpacing/>
              <w:jc w:val="center"/>
              <w:rPr>
                <w:rFonts w:eastAsia="Times New Roman"/>
                <w:b/>
                <w:bCs/>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766181F" w14:textId="77777777" w:rsidR="00943DFA" w:rsidRPr="00943DFA" w:rsidRDefault="00943DFA" w:rsidP="00943DFA">
            <w:pPr>
              <w:contextualSpacing/>
              <w:jc w:val="center"/>
              <w:rPr>
                <w:rFonts w:eastAsia="Times New Roman"/>
                <w:b/>
                <w:bCs/>
                <w:color w:val="0D0D0D" w:themeColor="text1" w:themeTint="F2"/>
                <w:sz w:val="20"/>
                <w:szCs w:val="20"/>
              </w:rPr>
            </w:pPr>
          </w:p>
        </w:tc>
        <w:tc>
          <w:tcPr>
            <w:tcW w:w="1736" w:type="dxa"/>
            <w:gridSpan w:val="4"/>
            <w:tcBorders>
              <w:top w:val="nil"/>
              <w:left w:val="nil"/>
              <w:bottom w:val="single" w:sz="4" w:space="0" w:color="auto"/>
            </w:tcBorders>
            <w:shd w:val="clear" w:color="auto" w:fill="auto"/>
            <w:vAlign w:val="center"/>
            <w:hideMark/>
          </w:tcPr>
          <w:p w14:paraId="72B817EE" w14:textId="77777777" w:rsidR="00943DFA" w:rsidRPr="00943DFA" w:rsidRDefault="00943DFA" w:rsidP="00943DFA">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#Themes</w:t>
            </w:r>
          </w:p>
        </w:tc>
      </w:tr>
      <w:tr w:rsidR="00943DFA" w:rsidRPr="00943DFA" w14:paraId="1404169A" w14:textId="77777777" w:rsidTr="00373B60">
        <w:trPr>
          <w:gridAfter w:val="8"/>
          <w:wAfter w:w="7783" w:type="dxa"/>
          <w:trHeight w:val="255"/>
        </w:trPr>
        <w:tc>
          <w:tcPr>
            <w:tcW w:w="1526" w:type="dxa"/>
            <w:tcBorders>
              <w:top w:val="nil"/>
              <w:left w:val="nil"/>
              <w:bottom w:val="nil"/>
              <w:right w:val="nil"/>
            </w:tcBorders>
            <w:shd w:val="clear" w:color="auto" w:fill="auto"/>
            <w:vAlign w:val="bottom"/>
            <w:hideMark/>
          </w:tcPr>
          <w:p w14:paraId="551FEFEC" w14:textId="77777777" w:rsidR="00943DFA" w:rsidRPr="00943DFA" w:rsidRDefault="00943DFA" w:rsidP="00943DFA">
            <w:pPr>
              <w:contextualSpacing/>
              <w:jc w:val="center"/>
              <w:rPr>
                <w:rFonts w:eastAsia="Times New Roman"/>
                <w:b/>
                <w:bCs/>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45440A80" w14:textId="77777777" w:rsidR="00943DFA" w:rsidRPr="00943DFA" w:rsidRDefault="00943DFA" w:rsidP="00943DFA">
            <w:pPr>
              <w:contextualSpacing/>
              <w:rPr>
                <w:rFonts w:eastAsia="Times New Roman"/>
                <w:color w:val="0D0D0D" w:themeColor="text1" w:themeTint="F2"/>
                <w:sz w:val="20"/>
                <w:szCs w:val="20"/>
              </w:rPr>
            </w:pPr>
          </w:p>
        </w:tc>
        <w:tc>
          <w:tcPr>
            <w:tcW w:w="756" w:type="dxa"/>
            <w:tcBorders>
              <w:top w:val="nil"/>
              <w:left w:val="nil"/>
              <w:bottom w:val="nil"/>
              <w:right w:val="nil"/>
            </w:tcBorders>
            <w:shd w:val="clear" w:color="auto" w:fill="auto"/>
            <w:noWrap/>
            <w:vAlign w:val="bottom"/>
            <w:hideMark/>
          </w:tcPr>
          <w:p w14:paraId="5E539B34"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bottom"/>
            <w:hideMark/>
          </w:tcPr>
          <w:p w14:paraId="4875F767" w14:textId="77777777" w:rsidR="00943DFA" w:rsidRPr="00943DFA" w:rsidRDefault="00943DFA" w:rsidP="00943DFA">
            <w:pPr>
              <w:contextualSpacing/>
              <w:rPr>
                <w:rFonts w:eastAsia="Times New Roman"/>
                <w:color w:val="0D0D0D" w:themeColor="text1" w:themeTint="F2"/>
                <w:sz w:val="20"/>
                <w:szCs w:val="20"/>
              </w:rPr>
            </w:pPr>
          </w:p>
        </w:tc>
        <w:tc>
          <w:tcPr>
            <w:tcW w:w="447" w:type="dxa"/>
            <w:tcBorders>
              <w:top w:val="nil"/>
              <w:left w:val="nil"/>
              <w:bottom w:val="nil"/>
              <w:right w:val="nil"/>
            </w:tcBorders>
            <w:shd w:val="clear" w:color="auto" w:fill="auto"/>
            <w:noWrap/>
            <w:vAlign w:val="bottom"/>
            <w:hideMark/>
          </w:tcPr>
          <w:p w14:paraId="70A0F844" w14:textId="77777777" w:rsidR="00943DFA" w:rsidRPr="00943DFA" w:rsidRDefault="00943DFA" w:rsidP="00943DFA">
            <w:pPr>
              <w:contextualSpacing/>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2F869D7C" w14:textId="77777777" w:rsidR="00943DFA" w:rsidRPr="00943DFA" w:rsidRDefault="00943DFA" w:rsidP="00943DFA">
            <w:pPr>
              <w:contextualSpacing/>
              <w:jc w:val="center"/>
              <w:rPr>
                <w:rFonts w:eastAsia="Times New Roman"/>
                <w:b/>
                <w:bCs/>
                <w:color w:val="0D0D0D" w:themeColor="text1" w:themeTint="F2"/>
                <w:sz w:val="20"/>
                <w:szCs w:val="20"/>
              </w:rPr>
            </w:pPr>
          </w:p>
        </w:tc>
        <w:tc>
          <w:tcPr>
            <w:tcW w:w="748" w:type="dxa"/>
            <w:gridSpan w:val="2"/>
            <w:tcBorders>
              <w:top w:val="nil"/>
              <w:left w:val="nil"/>
              <w:bottom w:val="single" w:sz="4" w:space="0" w:color="auto"/>
              <w:right w:val="nil"/>
            </w:tcBorders>
            <w:shd w:val="clear" w:color="auto" w:fill="auto"/>
            <w:noWrap/>
            <w:vAlign w:val="center"/>
            <w:hideMark/>
          </w:tcPr>
          <w:p w14:paraId="5A546BE5" w14:textId="77777777" w:rsidR="00943DFA" w:rsidRPr="00943DFA" w:rsidRDefault="00943DFA" w:rsidP="00943DFA">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Mean</w:t>
            </w:r>
          </w:p>
        </w:tc>
        <w:tc>
          <w:tcPr>
            <w:tcW w:w="988" w:type="dxa"/>
            <w:gridSpan w:val="2"/>
            <w:tcBorders>
              <w:top w:val="nil"/>
              <w:left w:val="nil"/>
              <w:bottom w:val="single" w:sz="4" w:space="0" w:color="auto"/>
              <w:right w:val="nil"/>
            </w:tcBorders>
            <w:shd w:val="clear" w:color="auto" w:fill="auto"/>
            <w:noWrap/>
            <w:vAlign w:val="center"/>
            <w:hideMark/>
          </w:tcPr>
          <w:p w14:paraId="73BC25D3" w14:textId="77777777" w:rsidR="00943DFA" w:rsidRPr="00943DFA" w:rsidRDefault="00943DFA" w:rsidP="00943DFA">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Median</w:t>
            </w:r>
          </w:p>
        </w:tc>
      </w:tr>
      <w:tr w:rsidR="00943DFA" w:rsidRPr="00943DFA" w14:paraId="47ED6D16"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7BE3CAAA"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2005</w:t>
            </w:r>
          </w:p>
        </w:tc>
        <w:tc>
          <w:tcPr>
            <w:tcW w:w="756" w:type="dxa"/>
            <w:tcBorders>
              <w:top w:val="nil"/>
              <w:left w:val="nil"/>
              <w:bottom w:val="nil"/>
              <w:right w:val="nil"/>
            </w:tcBorders>
            <w:shd w:val="clear" w:color="auto" w:fill="auto"/>
            <w:noWrap/>
            <w:vAlign w:val="center"/>
            <w:hideMark/>
          </w:tcPr>
          <w:p w14:paraId="6CE2C8DA"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53403F04"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57</w:t>
            </w:r>
          </w:p>
        </w:tc>
        <w:tc>
          <w:tcPr>
            <w:tcW w:w="447" w:type="dxa"/>
            <w:tcBorders>
              <w:top w:val="nil"/>
              <w:left w:val="nil"/>
              <w:bottom w:val="nil"/>
              <w:right w:val="nil"/>
            </w:tcBorders>
            <w:shd w:val="clear" w:color="auto" w:fill="auto"/>
            <w:noWrap/>
            <w:vAlign w:val="bottom"/>
            <w:hideMark/>
          </w:tcPr>
          <w:p w14:paraId="62BE64FA"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7BC96F72"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79C570C8"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4.23</w:t>
            </w:r>
          </w:p>
        </w:tc>
        <w:tc>
          <w:tcPr>
            <w:tcW w:w="988" w:type="dxa"/>
            <w:gridSpan w:val="2"/>
            <w:tcBorders>
              <w:top w:val="nil"/>
              <w:left w:val="nil"/>
              <w:bottom w:val="nil"/>
              <w:right w:val="nil"/>
            </w:tcBorders>
            <w:shd w:val="clear" w:color="auto" w:fill="auto"/>
            <w:noWrap/>
            <w:vAlign w:val="center"/>
            <w:hideMark/>
          </w:tcPr>
          <w:p w14:paraId="268498FA"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2EE73F10"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7A7EBCA8"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2006</w:t>
            </w:r>
          </w:p>
        </w:tc>
        <w:tc>
          <w:tcPr>
            <w:tcW w:w="756" w:type="dxa"/>
            <w:tcBorders>
              <w:top w:val="nil"/>
              <w:left w:val="nil"/>
              <w:bottom w:val="nil"/>
              <w:right w:val="nil"/>
            </w:tcBorders>
            <w:shd w:val="clear" w:color="auto" w:fill="auto"/>
            <w:noWrap/>
            <w:vAlign w:val="center"/>
            <w:hideMark/>
          </w:tcPr>
          <w:p w14:paraId="6B1866CD"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222CA45C"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103</w:t>
            </w:r>
          </w:p>
        </w:tc>
        <w:tc>
          <w:tcPr>
            <w:tcW w:w="447" w:type="dxa"/>
            <w:tcBorders>
              <w:top w:val="nil"/>
              <w:left w:val="nil"/>
              <w:bottom w:val="nil"/>
              <w:right w:val="nil"/>
            </w:tcBorders>
            <w:shd w:val="clear" w:color="auto" w:fill="auto"/>
            <w:noWrap/>
            <w:vAlign w:val="bottom"/>
            <w:hideMark/>
          </w:tcPr>
          <w:p w14:paraId="25AA27D4"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424EF370"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69DDF19E"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4.51</w:t>
            </w:r>
          </w:p>
        </w:tc>
        <w:tc>
          <w:tcPr>
            <w:tcW w:w="988" w:type="dxa"/>
            <w:gridSpan w:val="2"/>
            <w:tcBorders>
              <w:top w:val="nil"/>
              <w:left w:val="nil"/>
              <w:bottom w:val="nil"/>
              <w:right w:val="nil"/>
            </w:tcBorders>
            <w:shd w:val="clear" w:color="auto" w:fill="auto"/>
            <w:noWrap/>
            <w:vAlign w:val="center"/>
            <w:hideMark/>
          </w:tcPr>
          <w:p w14:paraId="028B23C0"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3680F6F4"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786B1923"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2007</w:t>
            </w:r>
          </w:p>
        </w:tc>
        <w:tc>
          <w:tcPr>
            <w:tcW w:w="756" w:type="dxa"/>
            <w:tcBorders>
              <w:top w:val="nil"/>
              <w:left w:val="nil"/>
              <w:bottom w:val="nil"/>
              <w:right w:val="nil"/>
            </w:tcBorders>
            <w:shd w:val="clear" w:color="auto" w:fill="auto"/>
            <w:noWrap/>
            <w:vAlign w:val="center"/>
            <w:hideMark/>
          </w:tcPr>
          <w:p w14:paraId="3FB039C4"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66A4FD53"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94</w:t>
            </w:r>
          </w:p>
        </w:tc>
        <w:tc>
          <w:tcPr>
            <w:tcW w:w="447" w:type="dxa"/>
            <w:tcBorders>
              <w:top w:val="nil"/>
              <w:left w:val="nil"/>
              <w:bottom w:val="nil"/>
              <w:right w:val="nil"/>
            </w:tcBorders>
            <w:shd w:val="clear" w:color="auto" w:fill="auto"/>
            <w:noWrap/>
            <w:vAlign w:val="bottom"/>
            <w:hideMark/>
          </w:tcPr>
          <w:p w14:paraId="62975349"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691EAE3"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26ECB3E0"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4.64</w:t>
            </w:r>
          </w:p>
        </w:tc>
        <w:tc>
          <w:tcPr>
            <w:tcW w:w="988" w:type="dxa"/>
            <w:gridSpan w:val="2"/>
            <w:tcBorders>
              <w:top w:val="nil"/>
              <w:left w:val="nil"/>
              <w:bottom w:val="nil"/>
              <w:right w:val="nil"/>
            </w:tcBorders>
            <w:shd w:val="clear" w:color="auto" w:fill="auto"/>
            <w:noWrap/>
            <w:vAlign w:val="center"/>
            <w:hideMark/>
          </w:tcPr>
          <w:p w14:paraId="61BD4EB2"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60A9FC3F"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0C8EC4E3"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2008</w:t>
            </w:r>
          </w:p>
        </w:tc>
        <w:tc>
          <w:tcPr>
            <w:tcW w:w="756" w:type="dxa"/>
            <w:tcBorders>
              <w:top w:val="nil"/>
              <w:left w:val="nil"/>
              <w:bottom w:val="nil"/>
              <w:right w:val="nil"/>
            </w:tcBorders>
            <w:shd w:val="clear" w:color="auto" w:fill="auto"/>
            <w:noWrap/>
            <w:vAlign w:val="center"/>
            <w:hideMark/>
          </w:tcPr>
          <w:p w14:paraId="5C23EE90"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6983E9B2"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19</w:t>
            </w:r>
          </w:p>
        </w:tc>
        <w:tc>
          <w:tcPr>
            <w:tcW w:w="447" w:type="dxa"/>
            <w:tcBorders>
              <w:top w:val="nil"/>
              <w:left w:val="nil"/>
              <w:bottom w:val="nil"/>
              <w:right w:val="nil"/>
            </w:tcBorders>
            <w:shd w:val="clear" w:color="auto" w:fill="auto"/>
            <w:noWrap/>
            <w:vAlign w:val="bottom"/>
            <w:hideMark/>
          </w:tcPr>
          <w:p w14:paraId="04A93446"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38406E1"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7B08A2BA"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c>
          <w:tcPr>
            <w:tcW w:w="988" w:type="dxa"/>
            <w:gridSpan w:val="2"/>
            <w:tcBorders>
              <w:top w:val="nil"/>
              <w:left w:val="nil"/>
              <w:bottom w:val="nil"/>
              <w:right w:val="nil"/>
            </w:tcBorders>
            <w:shd w:val="clear" w:color="auto" w:fill="auto"/>
            <w:noWrap/>
            <w:vAlign w:val="center"/>
            <w:hideMark/>
          </w:tcPr>
          <w:p w14:paraId="1557B43B"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w:t>
            </w:r>
          </w:p>
        </w:tc>
      </w:tr>
      <w:tr w:rsidR="00943DFA" w:rsidRPr="00943DFA" w14:paraId="0FF14E6C"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743EDB4B"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2009</w:t>
            </w:r>
          </w:p>
        </w:tc>
        <w:tc>
          <w:tcPr>
            <w:tcW w:w="756" w:type="dxa"/>
            <w:tcBorders>
              <w:top w:val="nil"/>
              <w:left w:val="nil"/>
              <w:bottom w:val="nil"/>
              <w:right w:val="nil"/>
            </w:tcBorders>
            <w:shd w:val="clear" w:color="auto" w:fill="auto"/>
            <w:noWrap/>
            <w:vAlign w:val="center"/>
            <w:hideMark/>
          </w:tcPr>
          <w:p w14:paraId="2A6FC75B"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1D3FB252"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41</w:t>
            </w:r>
          </w:p>
        </w:tc>
        <w:tc>
          <w:tcPr>
            <w:tcW w:w="447" w:type="dxa"/>
            <w:tcBorders>
              <w:top w:val="nil"/>
              <w:left w:val="nil"/>
              <w:bottom w:val="nil"/>
              <w:right w:val="nil"/>
            </w:tcBorders>
            <w:shd w:val="clear" w:color="auto" w:fill="auto"/>
            <w:noWrap/>
            <w:vAlign w:val="bottom"/>
            <w:hideMark/>
          </w:tcPr>
          <w:p w14:paraId="2FA8B979"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6869BC46"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3B68B2C8"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5.39</w:t>
            </w:r>
          </w:p>
        </w:tc>
        <w:tc>
          <w:tcPr>
            <w:tcW w:w="988" w:type="dxa"/>
            <w:gridSpan w:val="2"/>
            <w:tcBorders>
              <w:top w:val="nil"/>
              <w:left w:val="nil"/>
              <w:bottom w:val="nil"/>
              <w:right w:val="nil"/>
            </w:tcBorders>
            <w:shd w:val="clear" w:color="auto" w:fill="auto"/>
            <w:noWrap/>
            <w:vAlign w:val="center"/>
            <w:hideMark/>
          </w:tcPr>
          <w:p w14:paraId="3A9F64F8"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w:t>
            </w:r>
          </w:p>
        </w:tc>
      </w:tr>
      <w:tr w:rsidR="00943DFA" w:rsidRPr="00943DFA" w14:paraId="4677BC88"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375A2DEC"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2010</w:t>
            </w:r>
          </w:p>
        </w:tc>
        <w:tc>
          <w:tcPr>
            <w:tcW w:w="756" w:type="dxa"/>
            <w:tcBorders>
              <w:top w:val="nil"/>
              <w:left w:val="nil"/>
              <w:bottom w:val="nil"/>
              <w:right w:val="nil"/>
            </w:tcBorders>
            <w:shd w:val="clear" w:color="auto" w:fill="auto"/>
            <w:noWrap/>
            <w:vAlign w:val="center"/>
            <w:hideMark/>
          </w:tcPr>
          <w:p w14:paraId="19A0826A"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3DB7E184"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66</w:t>
            </w:r>
          </w:p>
        </w:tc>
        <w:tc>
          <w:tcPr>
            <w:tcW w:w="447" w:type="dxa"/>
            <w:tcBorders>
              <w:top w:val="nil"/>
              <w:left w:val="nil"/>
              <w:bottom w:val="nil"/>
              <w:right w:val="nil"/>
            </w:tcBorders>
            <w:shd w:val="clear" w:color="auto" w:fill="auto"/>
            <w:noWrap/>
            <w:vAlign w:val="bottom"/>
            <w:hideMark/>
          </w:tcPr>
          <w:p w14:paraId="525369F5"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37BF7BF7"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48037F88"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5.27</w:t>
            </w:r>
          </w:p>
        </w:tc>
        <w:tc>
          <w:tcPr>
            <w:tcW w:w="988" w:type="dxa"/>
            <w:gridSpan w:val="2"/>
            <w:tcBorders>
              <w:top w:val="nil"/>
              <w:left w:val="nil"/>
              <w:bottom w:val="nil"/>
              <w:right w:val="nil"/>
            </w:tcBorders>
            <w:shd w:val="clear" w:color="auto" w:fill="auto"/>
            <w:noWrap/>
            <w:vAlign w:val="center"/>
            <w:hideMark/>
          </w:tcPr>
          <w:p w14:paraId="49406537"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w:t>
            </w:r>
          </w:p>
        </w:tc>
      </w:tr>
      <w:tr w:rsidR="00943DFA" w:rsidRPr="00943DFA" w14:paraId="157445AB"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7A88872B"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2011</w:t>
            </w:r>
          </w:p>
        </w:tc>
        <w:tc>
          <w:tcPr>
            <w:tcW w:w="756" w:type="dxa"/>
            <w:tcBorders>
              <w:top w:val="nil"/>
              <w:left w:val="nil"/>
              <w:bottom w:val="nil"/>
              <w:right w:val="nil"/>
            </w:tcBorders>
            <w:shd w:val="clear" w:color="auto" w:fill="auto"/>
            <w:noWrap/>
            <w:vAlign w:val="center"/>
            <w:hideMark/>
          </w:tcPr>
          <w:p w14:paraId="62B66DB0"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0B9AD687"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68</w:t>
            </w:r>
          </w:p>
        </w:tc>
        <w:tc>
          <w:tcPr>
            <w:tcW w:w="447" w:type="dxa"/>
            <w:tcBorders>
              <w:top w:val="nil"/>
              <w:left w:val="nil"/>
              <w:bottom w:val="nil"/>
              <w:right w:val="nil"/>
            </w:tcBorders>
            <w:shd w:val="clear" w:color="auto" w:fill="auto"/>
            <w:noWrap/>
            <w:vAlign w:val="bottom"/>
            <w:hideMark/>
          </w:tcPr>
          <w:p w14:paraId="4E24A77F"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E0414EA"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4DA31AB1"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5.59</w:t>
            </w:r>
          </w:p>
        </w:tc>
        <w:tc>
          <w:tcPr>
            <w:tcW w:w="988" w:type="dxa"/>
            <w:gridSpan w:val="2"/>
            <w:tcBorders>
              <w:top w:val="nil"/>
              <w:left w:val="nil"/>
              <w:bottom w:val="nil"/>
              <w:right w:val="nil"/>
            </w:tcBorders>
            <w:shd w:val="clear" w:color="auto" w:fill="auto"/>
            <w:noWrap/>
            <w:vAlign w:val="center"/>
            <w:hideMark/>
          </w:tcPr>
          <w:p w14:paraId="0543CF4C"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w:t>
            </w:r>
          </w:p>
        </w:tc>
      </w:tr>
      <w:tr w:rsidR="00943DFA" w:rsidRPr="00943DFA" w14:paraId="255427B1"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28A1674C"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2012</w:t>
            </w:r>
          </w:p>
        </w:tc>
        <w:tc>
          <w:tcPr>
            <w:tcW w:w="756" w:type="dxa"/>
            <w:tcBorders>
              <w:top w:val="nil"/>
              <w:left w:val="nil"/>
              <w:bottom w:val="nil"/>
              <w:right w:val="nil"/>
            </w:tcBorders>
            <w:shd w:val="clear" w:color="auto" w:fill="auto"/>
            <w:noWrap/>
            <w:vAlign w:val="center"/>
            <w:hideMark/>
          </w:tcPr>
          <w:p w14:paraId="53048E99"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70DF6210"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41</w:t>
            </w:r>
          </w:p>
        </w:tc>
        <w:tc>
          <w:tcPr>
            <w:tcW w:w="447" w:type="dxa"/>
            <w:tcBorders>
              <w:top w:val="nil"/>
              <w:left w:val="nil"/>
              <w:bottom w:val="nil"/>
              <w:right w:val="nil"/>
            </w:tcBorders>
            <w:shd w:val="clear" w:color="auto" w:fill="auto"/>
            <w:noWrap/>
            <w:vAlign w:val="bottom"/>
            <w:hideMark/>
          </w:tcPr>
          <w:p w14:paraId="44C201E3"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61F010DC"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51C3ACED"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4.41</w:t>
            </w:r>
          </w:p>
        </w:tc>
        <w:tc>
          <w:tcPr>
            <w:tcW w:w="988" w:type="dxa"/>
            <w:gridSpan w:val="2"/>
            <w:tcBorders>
              <w:top w:val="nil"/>
              <w:left w:val="nil"/>
              <w:bottom w:val="nil"/>
              <w:right w:val="nil"/>
            </w:tcBorders>
            <w:shd w:val="clear" w:color="auto" w:fill="auto"/>
            <w:noWrap/>
            <w:vAlign w:val="center"/>
            <w:hideMark/>
          </w:tcPr>
          <w:p w14:paraId="5ACDD43E"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1DD5594E"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28836A9F"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2013</w:t>
            </w:r>
          </w:p>
        </w:tc>
        <w:tc>
          <w:tcPr>
            <w:tcW w:w="756" w:type="dxa"/>
            <w:tcBorders>
              <w:top w:val="nil"/>
              <w:left w:val="nil"/>
              <w:bottom w:val="nil"/>
              <w:right w:val="nil"/>
            </w:tcBorders>
            <w:shd w:val="clear" w:color="auto" w:fill="auto"/>
            <w:noWrap/>
            <w:vAlign w:val="center"/>
            <w:hideMark/>
          </w:tcPr>
          <w:p w14:paraId="549E2DE0"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5352DB97"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114</w:t>
            </w:r>
          </w:p>
        </w:tc>
        <w:tc>
          <w:tcPr>
            <w:tcW w:w="447" w:type="dxa"/>
            <w:tcBorders>
              <w:top w:val="nil"/>
              <w:left w:val="nil"/>
              <w:bottom w:val="nil"/>
              <w:right w:val="nil"/>
            </w:tcBorders>
            <w:shd w:val="clear" w:color="auto" w:fill="auto"/>
            <w:noWrap/>
            <w:vAlign w:val="bottom"/>
            <w:hideMark/>
          </w:tcPr>
          <w:p w14:paraId="2CBF1B4E"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686C62A2"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2110BFDD"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2.6</w:t>
            </w:r>
          </w:p>
        </w:tc>
        <w:tc>
          <w:tcPr>
            <w:tcW w:w="988" w:type="dxa"/>
            <w:gridSpan w:val="2"/>
            <w:tcBorders>
              <w:top w:val="nil"/>
              <w:left w:val="nil"/>
              <w:bottom w:val="nil"/>
              <w:right w:val="nil"/>
            </w:tcBorders>
            <w:shd w:val="clear" w:color="auto" w:fill="auto"/>
            <w:noWrap/>
            <w:vAlign w:val="center"/>
            <w:hideMark/>
          </w:tcPr>
          <w:p w14:paraId="1A9D410D"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2.5</w:t>
            </w:r>
          </w:p>
        </w:tc>
      </w:tr>
      <w:tr w:rsidR="00943DFA" w:rsidRPr="00943DFA" w14:paraId="425DB478"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1CCFC70D"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2014</w:t>
            </w:r>
          </w:p>
        </w:tc>
        <w:tc>
          <w:tcPr>
            <w:tcW w:w="756" w:type="dxa"/>
            <w:tcBorders>
              <w:top w:val="nil"/>
              <w:left w:val="nil"/>
              <w:bottom w:val="nil"/>
              <w:right w:val="nil"/>
            </w:tcBorders>
            <w:shd w:val="clear" w:color="auto" w:fill="auto"/>
            <w:noWrap/>
            <w:vAlign w:val="center"/>
            <w:hideMark/>
          </w:tcPr>
          <w:p w14:paraId="6A13FCA9"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1BD0CF6A"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123</w:t>
            </w:r>
          </w:p>
        </w:tc>
        <w:tc>
          <w:tcPr>
            <w:tcW w:w="447" w:type="dxa"/>
            <w:tcBorders>
              <w:top w:val="nil"/>
              <w:left w:val="nil"/>
              <w:bottom w:val="nil"/>
              <w:right w:val="nil"/>
            </w:tcBorders>
            <w:shd w:val="clear" w:color="auto" w:fill="auto"/>
            <w:noWrap/>
            <w:vAlign w:val="bottom"/>
            <w:hideMark/>
          </w:tcPr>
          <w:p w14:paraId="34B1DE30"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2AF7890"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20B0E8B5"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1.98</w:t>
            </w:r>
          </w:p>
        </w:tc>
        <w:tc>
          <w:tcPr>
            <w:tcW w:w="988" w:type="dxa"/>
            <w:gridSpan w:val="2"/>
            <w:tcBorders>
              <w:top w:val="nil"/>
              <w:left w:val="nil"/>
              <w:bottom w:val="nil"/>
              <w:right w:val="nil"/>
            </w:tcBorders>
            <w:shd w:val="clear" w:color="auto" w:fill="auto"/>
            <w:noWrap/>
            <w:vAlign w:val="center"/>
            <w:hideMark/>
          </w:tcPr>
          <w:p w14:paraId="3DDC2AAB"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w:t>
            </w:r>
          </w:p>
        </w:tc>
      </w:tr>
      <w:tr w:rsidR="00943DFA" w:rsidRPr="00943DFA" w14:paraId="568A1A53"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1FE12AF9"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2015</w:t>
            </w:r>
          </w:p>
        </w:tc>
        <w:tc>
          <w:tcPr>
            <w:tcW w:w="756" w:type="dxa"/>
            <w:tcBorders>
              <w:top w:val="nil"/>
              <w:left w:val="nil"/>
              <w:bottom w:val="nil"/>
              <w:right w:val="nil"/>
            </w:tcBorders>
            <w:shd w:val="clear" w:color="auto" w:fill="auto"/>
            <w:noWrap/>
            <w:vAlign w:val="center"/>
            <w:hideMark/>
          </w:tcPr>
          <w:p w14:paraId="1C3A61F5"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06CCC322"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78</w:t>
            </w:r>
          </w:p>
        </w:tc>
        <w:tc>
          <w:tcPr>
            <w:tcW w:w="447" w:type="dxa"/>
            <w:tcBorders>
              <w:top w:val="nil"/>
              <w:left w:val="nil"/>
              <w:bottom w:val="nil"/>
              <w:right w:val="nil"/>
            </w:tcBorders>
            <w:shd w:val="clear" w:color="auto" w:fill="auto"/>
            <w:noWrap/>
            <w:vAlign w:val="bottom"/>
            <w:hideMark/>
          </w:tcPr>
          <w:p w14:paraId="78669BA2"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3E41F27C"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030058BD"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1.6</w:t>
            </w:r>
          </w:p>
        </w:tc>
        <w:tc>
          <w:tcPr>
            <w:tcW w:w="988" w:type="dxa"/>
            <w:gridSpan w:val="2"/>
            <w:tcBorders>
              <w:top w:val="nil"/>
              <w:left w:val="nil"/>
              <w:bottom w:val="nil"/>
              <w:right w:val="nil"/>
            </w:tcBorders>
            <w:shd w:val="clear" w:color="auto" w:fill="auto"/>
            <w:noWrap/>
            <w:vAlign w:val="center"/>
            <w:hideMark/>
          </w:tcPr>
          <w:p w14:paraId="3F590E65"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w:t>
            </w:r>
          </w:p>
        </w:tc>
      </w:tr>
      <w:tr w:rsidR="00943DFA" w:rsidRPr="00943DFA" w14:paraId="367BF182"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0B20C6A2"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2016</w:t>
            </w:r>
          </w:p>
        </w:tc>
        <w:tc>
          <w:tcPr>
            <w:tcW w:w="756" w:type="dxa"/>
            <w:tcBorders>
              <w:top w:val="nil"/>
              <w:left w:val="nil"/>
              <w:bottom w:val="nil"/>
              <w:right w:val="nil"/>
            </w:tcBorders>
            <w:shd w:val="clear" w:color="auto" w:fill="auto"/>
            <w:noWrap/>
            <w:vAlign w:val="center"/>
            <w:hideMark/>
          </w:tcPr>
          <w:p w14:paraId="0370FE96"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20E369C8"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58</w:t>
            </w:r>
          </w:p>
        </w:tc>
        <w:tc>
          <w:tcPr>
            <w:tcW w:w="447" w:type="dxa"/>
            <w:tcBorders>
              <w:top w:val="nil"/>
              <w:left w:val="nil"/>
              <w:bottom w:val="nil"/>
              <w:right w:val="nil"/>
            </w:tcBorders>
            <w:shd w:val="clear" w:color="auto" w:fill="auto"/>
            <w:noWrap/>
            <w:vAlign w:val="bottom"/>
            <w:hideMark/>
          </w:tcPr>
          <w:p w14:paraId="4F5DD45A"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7CE88F8E"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00D84189"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1.88</w:t>
            </w:r>
          </w:p>
        </w:tc>
        <w:tc>
          <w:tcPr>
            <w:tcW w:w="988" w:type="dxa"/>
            <w:gridSpan w:val="2"/>
            <w:tcBorders>
              <w:top w:val="nil"/>
              <w:left w:val="nil"/>
              <w:bottom w:val="nil"/>
              <w:right w:val="nil"/>
            </w:tcBorders>
            <w:shd w:val="clear" w:color="auto" w:fill="auto"/>
            <w:noWrap/>
            <w:vAlign w:val="center"/>
            <w:hideMark/>
          </w:tcPr>
          <w:p w14:paraId="0356DD7F"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1.5</w:t>
            </w:r>
          </w:p>
        </w:tc>
      </w:tr>
      <w:tr w:rsidR="00943DFA" w:rsidRPr="00943DFA" w14:paraId="690B3C96" w14:textId="77777777" w:rsidTr="00373B60">
        <w:trPr>
          <w:gridAfter w:val="8"/>
          <w:wAfter w:w="7783" w:type="dxa"/>
          <w:trHeight w:val="255"/>
        </w:trPr>
        <w:tc>
          <w:tcPr>
            <w:tcW w:w="1792" w:type="dxa"/>
            <w:gridSpan w:val="2"/>
            <w:tcBorders>
              <w:top w:val="nil"/>
              <w:left w:val="nil"/>
              <w:bottom w:val="nil"/>
              <w:right w:val="nil"/>
            </w:tcBorders>
            <w:shd w:val="clear" w:color="auto" w:fill="auto"/>
            <w:noWrap/>
            <w:vAlign w:val="center"/>
            <w:hideMark/>
          </w:tcPr>
          <w:p w14:paraId="4BECD92E"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2017</w:t>
            </w:r>
          </w:p>
        </w:tc>
        <w:tc>
          <w:tcPr>
            <w:tcW w:w="756" w:type="dxa"/>
            <w:tcBorders>
              <w:top w:val="nil"/>
              <w:left w:val="nil"/>
              <w:bottom w:val="nil"/>
              <w:right w:val="nil"/>
            </w:tcBorders>
            <w:shd w:val="clear" w:color="auto" w:fill="auto"/>
            <w:noWrap/>
            <w:vAlign w:val="center"/>
            <w:hideMark/>
          </w:tcPr>
          <w:p w14:paraId="5854A934" w14:textId="77777777" w:rsidR="00943DFA" w:rsidRPr="00943DFA" w:rsidRDefault="00943DFA" w:rsidP="00943DFA">
            <w:pPr>
              <w:contextualSpacing/>
              <w:rPr>
                <w:rFonts w:eastAsia="Times New Roman"/>
                <w:color w:val="0D0D0D" w:themeColor="text1" w:themeTint="F2"/>
                <w:sz w:val="20"/>
                <w:szCs w:val="20"/>
              </w:rPr>
            </w:pPr>
          </w:p>
        </w:tc>
        <w:tc>
          <w:tcPr>
            <w:tcW w:w="742" w:type="dxa"/>
            <w:tcBorders>
              <w:top w:val="nil"/>
              <w:left w:val="nil"/>
              <w:bottom w:val="nil"/>
              <w:right w:val="nil"/>
            </w:tcBorders>
            <w:shd w:val="clear" w:color="auto" w:fill="auto"/>
            <w:noWrap/>
            <w:vAlign w:val="center"/>
            <w:hideMark/>
          </w:tcPr>
          <w:p w14:paraId="42EC1485"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47</w:t>
            </w:r>
          </w:p>
        </w:tc>
        <w:tc>
          <w:tcPr>
            <w:tcW w:w="447" w:type="dxa"/>
            <w:tcBorders>
              <w:top w:val="nil"/>
              <w:left w:val="nil"/>
              <w:bottom w:val="nil"/>
              <w:right w:val="nil"/>
            </w:tcBorders>
            <w:shd w:val="clear" w:color="auto" w:fill="auto"/>
            <w:noWrap/>
            <w:vAlign w:val="bottom"/>
            <w:hideMark/>
          </w:tcPr>
          <w:p w14:paraId="75DC09FB" w14:textId="77777777" w:rsidR="00943DFA" w:rsidRPr="00943DFA" w:rsidRDefault="00943DFA" w:rsidP="00943DFA">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1EFF7A69" w14:textId="77777777" w:rsidR="00943DFA" w:rsidRPr="00943DFA" w:rsidRDefault="00943DFA" w:rsidP="00943DFA">
            <w:pPr>
              <w:contextualSpacing/>
              <w:jc w:val="center"/>
              <w:rPr>
                <w:rFonts w:eastAsia="Times New Roman"/>
                <w:color w:val="0D0D0D" w:themeColor="text1" w:themeTint="F2"/>
                <w:sz w:val="20"/>
                <w:szCs w:val="20"/>
              </w:rPr>
            </w:pPr>
          </w:p>
        </w:tc>
        <w:tc>
          <w:tcPr>
            <w:tcW w:w="748" w:type="dxa"/>
            <w:gridSpan w:val="2"/>
            <w:tcBorders>
              <w:top w:val="nil"/>
              <w:left w:val="nil"/>
              <w:bottom w:val="nil"/>
              <w:right w:val="nil"/>
            </w:tcBorders>
            <w:shd w:val="clear" w:color="auto" w:fill="auto"/>
            <w:noWrap/>
            <w:vAlign w:val="center"/>
            <w:hideMark/>
          </w:tcPr>
          <w:p w14:paraId="4A07E1EA"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0.94</w:t>
            </w:r>
          </w:p>
        </w:tc>
        <w:tc>
          <w:tcPr>
            <w:tcW w:w="988" w:type="dxa"/>
            <w:gridSpan w:val="2"/>
            <w:tcBorders>
              <w:top w:val="nil"/>
              <w:left w:val="nil"/>
              <w:bottom w:val="nil"/>
              <w:right w:val="nil"/>
            </w:tcBorders>
            <w:shd w:val="clear" w:color="auto" w:fill="auto"/>
            <w:noWrap/>
            <w:vAlign w:val="center"/>
            <w:hideMark/>
          </w:tcPr>
          <w:p w14:paraId="2B72AAB2" w14:textId="77777777" w:rsidR="00943DFA" w:rsidRPr="00943DFA" w:rsidRDefault="00943DFA" w:rsidP="00943DFA">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0</w:t>
            </w:r>
          </w:p>
        </w:tc>
      </w:tr>
      <w:tr w:rsidR="00943DFA" w:rsidRPr="00943DFA" w14:paraId="6AA449D5" w14:textId="77777777" w:rsidTr="00373B60">
        <w:trPr>
          <w:gridAfter w:val="8"/>
          <w:wAfter w:w="7783" w:type="dxa"/>
          <w:trHeight w:val="255"/>
        </w:trPr>
        <w:tc>
          <w:tcPr>
            <w:tcW w:w="1792" w:type="dxa"/>
            <w:gridSpan w:val="2"/>
            <w:tcBorders>
              <w:top w:val="nil"/>
              <w:left w:val="nil"/>
              <w:bottom w:val="single" w:sz="4" w:space="0" w:color="auto"/>
              <w:right w:val="nil"/>
            </w:tcBorders>
            <w:shd w:val="clear" w:color="auto" w:fill="auto"/>
            <w:noWrap/>
            <w:vAlign w:val="center"/>
            <w:hideMark/>
          </w:tcPr>
          <w:p w14:paraId="6F204318" w14:textId="77777777" w:rsidR="00943DFA" w:rsidRPr="00943DFA" w:rsidRDefault="00943DFA" w:rsidP="00943DFA">
            <w:pPr>
              <w:contextualSpacing/>
              <w:rPr>
                <w:rFonts w:eastAsia="Times New Roman"/>
                <w:i/>
                <w:iCs/>
                <w:color w:val="0D0D0D" w:themeColor="text1" w:themeTint="F2"/>
                <w:sz w:val="20"/>
                <w:szCs w:val="20"/>
              </w:rPr>
            </w:pPr>
            <w:r w:rsidRPr="00943DFA">
              <w:rPr>
                <w:rFonts w:eastAsia="Times New Roman"/>
                <w:i/>
                <w:iCs/>
                <w:color w:val="0D0D0D" w:themeColor="text1" w:themeTint="F2"/>
                <w:sz w:val="20"/>
                <w:szCs w:val="20"/>
              </w:rPr>
              <w:t>Totals</w:t>
            </w:r>
          </w:p>
        </w:tc>
        <w:tc>
          <w:tcPr>
            <w:tcW w:w="756" w:type="dxa"/>
            <w:tcBorders>
              <w:top w:val="nil"/>
              <w:left w:val="nil"/>
              <w:bottom w:val="single" w:sz="4" w:space="0" w:color="auto"/>
              <w:right w:val="nil"/>
            </w:tcBorders>
            <w:shd w:val="clear" w:color="auto" w:fill="auto"/>
            <w:noWrap/>
            <w:vAlign w:val="center"/>
            <w:hideMark/>
          </w:tcPr>
          <w:p w14:paraId="43BAF28B"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742" w:type="dxa"/>
            <w:tcBorders>
              <w:top w:val="nil"/>
              <w:left w:val="nil"/>
              <w:bottom w:val="single" w:sz="4" w:space="0" w:color="auto"/>
              <w:right w:val="nil"/>
            </w:tcBorders>
            <w:shd w:val="clear" w:color="auto" w:fill="auto"/>
            <w:noWrap/>
            <w:vAlign w:val="center"/>
            <w:hideMark/>
          </w:tcPr>
          <w:p w14:paraId="75F79E07" w14:textId="77777777" w:rsidR="00943DFA" w:rsidRPr="00943DFA" w:rsidRDefault="00943DFA" w:rsidP="00943DFA">
            <w:pPr>
              <w:contextualSpacing/>
              <w:jc w:val="center"/>
              <w:rPr>
                <w:rFonts w:eastAsia="Times New Roman"/>
                <w:i/>
                <w:iCs/>
                <w:color w:val="0D0D0D" w:themeColor="text1" w:themeTint="F2"/>
                <w:sz w:val="20"/>
                <w:szCs w:val="20"/>
              </w:rPr>
            </w:pPr>
            <w:r w:rsidRPr="00943DFA">
              <w:rPr>
                <w:rFonts w:eastAsia="Times New Roman"/>
                <w:i/>
                <w:iCs/>
                <w:color w:val="0D0D0D" w:themeColor="text1" w:themeTint="F2"/>
                <w:sz w:val="20"/>
                <w:szCs w:val="20"/>
              </w:rPr>
              <w:t>909</w:t>
            </w:r>
          </w:p>
        </w:tc>
        <w:tc>
          <w:tcPr>
            <w:tcW w:w="447" w:type="dxa"/>
            <w:tcBorders>
              <w:top w:val="nil"/>
              <w:left w:val="nil"/>
              <w:bottom w:val="single" w:sz="4" w:space="0" w:color="auto"/>
              <w:right w:val="nil"/>
            </w:tcBorders>
            <w:shd w:val="clear" w:color="auto" w:fill="auto"/>
            <w:noWrap/>
            <w:vAlign w:val="bottom"/>
            <w:hideMark/>
          </w:tcPr>
          <w:p w14:paraId="37766316"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266" w:type="dxa"/>
            <w:tcBorders>
              <w:top w:val="nil"/>
              <w:left w:val="nil"/>
              <w:bottom w:val="single" w:sz="4" w:space="0" w:color="auto"/>
              <w:right w:val="nil"/>
            </w:tcBorders>
            <w:shd w:val="clear" w:color="auto" w:fill="auto"/>
            <w:noWrap/>
            <w:vAlign w:val="bottom"/>
            <w:hideMark/>
          </w:tcPr>
          <w:p w14:paraId="47459488" w14:textId="77777777" w:rsidR="00943DFA" w:rsidRPr="00943DFA" w:rsidRDefault="00943DFA" w:rsidP="00943DFA">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748" w:type="dxa"/>
            <w:gridSpan w:val="2"/>
            <w:tcBorders>
              <w:top w:val="nil"/>
              <w:left w:val="nil"/>
              <w:bottom w:val="single" w:sz="4" w:space="0" w:color="auto"/>
              <w:right w:val="nil"/>
            </w:tcBorders>
            <w:shd w:val="clear" w:color="auto" w:fill="auto"/>
            <w:noWrap/>
            <w:vAlign w:val="center"/>
            <w:hideMark/>
          </w:tcPr>
          <w:p w14:paraId="535FF342" w14:textId="77777777" w:rsidR="00943DFA" w:rsidRPr="00943DFA" w:rsidRDefault="00943DFA" w:rsidP="00943DFA">
            <w:pPr>
              <w:contextualSpacing/>
              <w:jc w:val="center"/>
              <w:rPr>
                <w:rFonts w:eastAsia="Times New Roman"/>
                <w:i/>
                <w:iCs/>
                <w:color w:val="0D0D0D" w:themeColor="text1" w:themeTint="F2"/>
                <w:sz w:val="20"/>
                <w:szCs w:val="20"/>
              </w:rPr>
            </w:pPr>
            <w:r w:rsidRPr="00943DFA">
              <w:rPr>
                <w:rFonts w:eastAsia="Times New Roman"/>
                <w:i/>
                <w:iCs/>
                <w:color w:val="0D0D0D" w:themeColor="text1" w:themeTint="F2"/>
                <w:sz w:val="20"/>
                <w:szCs w:val="20"/>
              </w:rPr>
              <w:t>3.5</w:t>
            </w:r>
          </w:p>
        </w:tc>
        <w:tc>
          <w:tcPr>
            <w:tcW w:w="988" w:type="dxa"/>
            <w:gridSpan w:val="2"/>
            <w:tcBorders>
              <w:top w:val="nil"/>
              <w:left w:val="nil"/>
              <w:bottom w:val="single" w:sz="4" w:space="0" w:color="auto"/>
              <w:right w:val="nil"/>
            </w:tcBorders>
            <w:shd w:val="clear" w:color="auto" w:fill="auto"/>
            <w:noWrap/>
            <w:vAlign w:val="center"/>
            <w:hideMark/>
          </w:tcPr>
          <w:p w14:paraId="2303FA41" w14:textId="77777777" w:rsidR="00943DFA" w:rsidRPr="00943DFA" w:rsidRDefault="00943DFA" w:rsidP="00943DFA">
            <w:pPr>
              <w:contextualSpacing/>
              <w:jc w:val="center"/>
              <w:rPr>
                <w:rFonts w:eastAsia="Times New Roman"/>
                <w:i/>
                <w:iCs/>
                <w:color w:val="0D0D0D" w:themeColor="text1" w:themeTint="F2"/>
                <w:sz w:val="20"/>
                <w:szCs w:val="20"/>
              </w:rPr>
            </w:pPr>
            <w:r w:rsidRPr="00943DFA">
              <w:rPr>
                <w:rFonts w:eastAsia="Times New Roman"/>
                <w:i/>
                <w:iCs/>
                <w:color w:val="0D0D0D" w:themeColor="text1" w:themeTint="F2"/>
                <w:sz w:val="20"/>
                <w:szCs w:val="20"/>
              </w:rPr>
              <w:t>4</w:t>
            </w:r>
          </w:p>
        </w:tc>
      </w:tr>
    </w:tbl>
    <w:p w14:paraId="3BB14F63" w14:textId="77777777" w:rsidR="00195130" w:rsidRPr="00943DFA" w:rsidRDefault="00195130" w:rsidP="00195130">
      <w:pPr>
        <w:spacing w:before="240" w:after="240" w:line="360" w:lineRule="auto"/>
        <w:jc w:val="both"/>
        <w:rPr>
          <w:color w:val="0D0D0D" w:themeColor="text1" w:themeTint="F2"/>
          <w:lang w:eastAsia="en-US"/>
        </w:rPr>
        <w:sectPr w:rsidR="00195130" w:rsidRPr="00943DFA" w:rsidSect="00373B60">
          <w:pgSz w:w="16838" w:h="11906" w:orient="landscape"/>
          <w:pgMar w:top="1276" w:right="1440" w:bottom="1440" w:left="1440" w:header="708" w:footer="708" w:gutter="0"/>
          <w:cols w:space="708"/>
          <w:docGrid w:linePitch="360"/>
        </w:sectPr>
      </w:pPr>
    </w:p>
    <w:tbl>
      <w:tblPr>
        <w:tblW w:w="14900" w:type="dxa"/>
        <w:tblLook w:val="04A0" w:firstRow="1" w:lastRow="0" w:firstColumn="1" w:lastColumn="0" w:noHBand="0" w:noVBand="1"/>
      </w:tblPr>
      <w:tblGrid>
        <w:gridCol w:w="1286"/>
        <w:gridCol w:w="747"/>
        <w:gridCol w:w="602"/>
        <w:gridCol w:w="768"/>
        <w:gridCol w:w="463"/>
        <w:gridCol w:w="266"/>
        <w:gridCol w:w="862"/>
        <w:gridCol w:w="1122"/>
        <w:gridCol w:w="1334"/>
        <w:gridCol w:w="6260"/>
        <w:gridCol w:w="1190"/>
      </w:tblGrid>
      <w:tr w:rsidR="00943DFA" w:rsidRPr="00943DFA" w14:paraId="4895B54C" w14:textId="77777777" w:rsidTr="00943DFA">
        <w:trPr>
          <w:trHeight w:val="255"/>
        </w:trPr>
        <w:tc>
          <w:tcPr>
            <w:tcW w:w="7450" w:type="dxa"/>
            <w:gridSpan w:val="9"/>
            <w:tcBorders>
              <w:top w:val="nil"/>
              <w:left w:val="nil"/>
              <w:bottom w:val="single" w:sz="4" w:space="0" w:color="auto"/>
              <w:right w:val="nil"/>
            </w:tcBorders>
            <w:shd w:val="clear" w:color="auto" w:fill="auto"/>
            <w:noWrap/>
            <w:vAlign w:val="center"/>
            <w:hideMark/>
          </w:tcPr>
          <w:p w14:paraId="3B59091A" w14:textId="77777777" w:rsidR="00943DFA" w:rsidRPr="00943DFA" w:rsidRDefault="00943DFA" w:rsidP="00373B60">
            <w:pPr>
              <w:contextualSpacing/>
              <w:rPr>
                <w:rFonts w:eastAsia="Times New Roman"/>
                <w:b/>
                <w:bCs/>
                <w:color w:val="0D0D0D" w:themeColor="text1" w:themeTint="F2"/>
                <w:sz w:val="20"/>
                <w:szCs w:val="20"/>
              </w:rPr>
            </w:pPr>
            <w:r w:rsidRPr="00943DFA">
              <w:rPr>
                <w:rFonts w:eastAsia="Times New Roman"/>
                <w:b/>
                <w:bCs/>
                <w:color w:val="0D0D0D" w:themeColor="text1" w:themeTint="F2"/>
                <w:sz w:val="20"/>
                <w:szCs w:val="20"/>
              </w:rPr>
              <w:lastRenderedPageBreak/>
              <w:t>Panel C. Descriptive statistics of SEC review attributes by industry</w:t>
            </w:r>
          </w:p>
        </w:tc>
        <w:tc>
          <w:tcPr>
            <w:tcW w:w="7450" w:type="dxa"/>
            <w:gridSpan w:val="2"/>
            <w:tcBorders>
              <w:top w:val="nil"/>
              <w:left w:val="nil"/>
              <w:right w:val="nil"/>
            </w:tcBorders>
            <w:shd w:val="clear" w:color="auto" w:fill="auto"/>
            <w:vAlign w:val="center"/>
          </w:tcPr>
          <w:p w14:paraId="1C3F6F18" w14:textId="3F3DA7BE" w:rsidR="00943DFA" w:rsidRPr="00943DFA" w:rsidRDefault="00943DFA" w:rsidP="00373B60">
            <w:pPr>
              <w:contextualSpacing/>
              <w:rPr>
                <w:rFonts w:eastAsia="Times New Roman"/>
                <w:b/>
                <w:bCs/>
                <w:color w:val="0D0D0D" w:themeColor="text1" w:themeTint="F2"/>
                <w:sz w:val="20"/>
                <w:szCs w:val="20"/>
              </w:rPr>
            </w:pPr>
          </w:p>
        </w:tc>
      </w:tr>
      <w:tr w:rsidR="00943DFA" w:rsidRPr="00943DFA" w14:paraId="0B21A4E3" w14:textId="77777777" w:rsidTr="00373B60">
        <w:trPr>
          <w:gridAfter w:val="3"/>
          <w:wAfter w:w="8784" w:type="dxa"/>
          <w:trHeight w:val="255"/>
        </w:trPr>
        <w:tc>
          <w:tcPr>
            <w:tcW w:w="2033" w:type="dxa"/>
            <w:gridSpan w:val="2"/>
            <w:tcBorders>
              <w:top w:val="nil"/>
              <w:left w:val="nil"/>
              <w:bottom w:val="single" w:sz="4" w:space="0" w:color="auto"/>
              <w:right w:val="nil"/>
            </w:tcBorders>
            <w:shd w:val="clear" w:color="auto" w:fill="auto"/>
            <w:noWrap/>
            <w:vAlign w:val="center"/>
            <w:hideMark/>
          </w:tcPr>
          <w:p w14:paraId="32590CB0" w14:textId="77777777" w:rsidR="006E2294" w:rsidRPr="00943DFA" w:rsidRDefault="006E2294"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Industry</w:t>
            </w:r>
          </w:p>
        </w:tc>
        <w:tc>
          <w:tcPr>
            <w:tcW w:w="602" w:type="dxa"/>
            <w:tcBorders>
              <w:top w:val="nil"/>
              <w:left w:val="nil"/>
              <w:bottom w:val="nil"/>
              <w:right w:val="nil"/>
            </w:tcBorders>
            <w:shd w:val="clear" w:color="auto" w:fill="auto"/>
            <w:vAlign w:val="bottom"/>
            <w:hideMark/>
          </w:tcPr>
          <w:p w14:paraId="1D487AE1" w14:textId="77777777" w:rsidR="006E2294" w:rsidRPr="00943DFA" w:rsidRDefault="006E2294" w:rsidP="00373B60">
            <w:pPr>
              <w:contextualSpacing/>
              <w:jc w:val="center"/>
              <w:rPr>
                <w:rFonts w:eastAsia="Times New Roman"/>
                <w:b/>
                <w:bCs/>
                <w:color w:val="0D0D0D" w:themeColor="text1" w:themeTint="F2"/>
                <w:sz w:val="20"/>
                <w:szCs w:val="20"/>
              </w:rPr>
            </w:pPr>
          </w:p>
        </w:tc>
        <w:tc>
          <w:tcPr>
            <w:tcW w:w="768" w:type="dxa"/>
            <w:tcBorders>
              <w:top w:val="nil"/>
              <w:left w:val="nil"/>
              <w:bottom w:val="single" w:sz="4" w:space="0" w:color="auto"/>
              <w:right w:val="nil"/>
            </w:tcBorders>
            <w:shd w:val="clear" w:color="auto" w:fill="auto"/>
            <w:vAlign w:val="center"/>
            <w:hideMark/>
          </w:tcPr>
          <w:p w14:paraId="009ED366" w14:textId="77777777" w:rsidR="006E2294" w:rsidRPr="00943DFA" w:rsidRDefault="006E2294"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N</w:t>
            </w:r>
          </w:p>
        </w:tc>
        <w:tc>
          <w:tcPr>
            <w:tcW w:w="463" w:type="dxa"/>
            <w:tcBorders>
              <w:top w:val="nil"/>
              <w:left w:val="nil"/>
              <w:bottom w:val="nil"/>
              <w:right w:val="nil"/>
            </w:tcBorders>
            <w:shd w:val="clear" w:color="auto" w:fill="auto"/>
            <w:vAlign w:val="bottom"/>
            <w:hideMark/>
          </w:tcPr>
          <w:p w14:paraId="6820925F" w14:textId="77777777" w:rsidR="006E2294" w:rsidRPr="00943DFA" w:rsidRDefault="006E2294" w:rsidP="00373B60">
            <w:pPr>
              <w:contextualSpacing/>
              <w:jc w:val="center"/>
              <w:rPr>
                <w:rFonts w:eastAsia="Times New Roman"/>
                <w:b/>
                <w:bCs/>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E1A549E" w14:textId="77777777" w:rsidR="006E2294" w:rsidRPr="00943DFA" w:rsidRDefault="006E2294" w:rsidP="00373B60">
            <w:pPr>
              <w:contextualSpacing/>
              <w:jc w:val="center"/>
              <w:rPr>
                <w:rFonts w:eastAsia="Times New Roman"/>
                <w:b/>
                <w:bCs/>
                <w:color w:val="0D0D0D" w:themeColor="text1" w:themeTint="F2"/>
                <w:sz w:val="20"/>
                <w:szCs w:val="20"/>
              </w:rPr>
            </w:pPr>
          </w:p>
        </w:tc>
        <w:tc>
          <w:tcPr>
            <w:tcW w:w="1984" w:type="dxa"/>
            <w:gridSpan w:val="2"/>
            <w:tcBorders>
              <w:top w:val="nil"/>
              <w:left w:val="nil"/>
              <w:bottom w:val="single" w:sz="4" w:space="0" w:color="auto"/>
              <w:right w:val="nil"/>
            </w:tcBorders>
            <w:shd w:val="clear" w:color="auto" w:fill="auto"/>
            <w:vAlign w:val="center"/>
            <w:hideMark/>
          </w:tcPr>
          <w:p w14:paraId="232CDCDC" w14:textId="77777777" w:rsidR="006E2294" w:rsidRPr="00943DFA" w:rsidRDefault="006E2294"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#Themes</w:t>
            </w:r>
          </w:p>
        </w:tc>
      </w:tr>
      <w:tr w:rsidR="00943DFA" w:rsidRPr="00943DFA" w14:paraId="0EE2A96C" w14:textId="77777777" w:rsidTr="00373B60">
        <w:trPr>
          <w:gridAfter w:val="3"/>
          <w:wAfter w:w="8784" w:type="dxa"/>
          <w:trHeight w:val="255"/>
        </w:trPr>
        <w:tc>
          <w:tcPr>
            <w:tcW w:w="1286" w:type="dxa"/>
            <w:tcBorders>
              <w:top w:val="nil"/>
              <w:left w:val="nil"/>
              <w:bottom w:val="nil"/>
              <w:right w:val="nil"/>
            </w:tcBorders>
            <w:shd w:val="clear" w:color="auto" w:fill="auto"/>
            <w:vAlign w:val="bottom"/>
            <w:hideMark/>
          </w:tcPr>
          <w:p w14:paraId="24BF5E73" w14:textId="77777777" w:rsidR="006E2294" w:rsidRPr="00943DFA" w:rsidRDefault="006E2294" w:rsidP="00373B60">
            <w:pPr>
              <w:contextualSpacing/>
              <w:jc w:val="center"/>
              <w:rPr>
                <w:rFonts w:eastAsia="Times New Roman"/>
                <w:b/>
                <w:bCs/>
                <w:color w:val="0D0D0D" w:themeColor="text1" w:themeTint="F2"/>
                <w:sz w:val="20"/>
                <w:szCs w:val="20"/>
              </w:rPr>
            </w:pPr>
          </w:p>
        </w:tc>
        <w:tc>
          <w:tcPr>
            <w:tcW w:w="747" w:type="dxa"/>
            <w:tcBorders>
              <w:top w:val="nil"/>
              <w:left w:val="nil"/>
              <w:bottom w:val="nil"/>
              <w:right w:val="nil"/>
            </w:tcBorders>
            <w:shd w:val="clear" w:color="auto" w:fill="auto"/>
            <w:noWrap/>
            <w:vAlign w:val="bottom"/>
            <w:hideMark/>
          </w:tcPr>
          <w:p w14:paraId="5C972E47" w14:textId="77777777" w:rsidR="006E2294" w:rsidRPr="00943DFA" w:rsidRDefault="006E2294" w:rsidP="00373B60">
            <w:pPr>
              <w:contextualSpacing/>
              <w:rPr>
                <w:rFonts w:eastAsia="Times New Roman"/>
                <w:color w:val="0D0D0D" w:themeColor="text1" w:themeTint="F2"/>
                <w:sz w:val="20"/>
                <w:szCs w:val="20"/>
              </w:rPr>
            </w:pPr>
          </w:p>
        </w:tc>
        <w:tc>
          <w:tcPr>
            <w:tcW w:w="602" w:type="dxa"/>
            <w:tcBorders>
              <w:top w:val="nil"/>
              <w:left w:val="nil"/>
              <w:bottom w:val="nil"/>
              <w:right w:val="nil"/>
            </w:tcBorders>
            <w:shd w:val="clear" w:color="auto" w:fill="auto"/>
            <w:noWrap/>
            <w:vAlign w:val="bottom"/>
            <w:hideMark/>
          </w:tcPr>
          <w:p w14:paraId="2ED74517"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bottom"/>
            <w:hideMark/>
          </w:tcPr>
          <w:p w14:paraId="13826165" w14:textId="77777777" w:rsidR="006E2294" w:rsidRPr="00943DFA" w:rsidRDefault="006E2294" w:rsidP="00373B60">
            <w:pPr>
              <w:contextualSpacing/>
              <w:rPr>
                <w:rFonts w:eastAsia="Times New Roman"/>
                <w:color w:val="0D0D0D" w:themeColor="text1" w:themeTint="F2"/>
                <w:sz w:val="20"/>
                <w:szCs w:val="20"/>
              </w:rPr>
            </w:pPr>
          </w:p>
        </w:tc>
        <w:tc>
          <w:tcPr>
            <w:tcW w:w="463" w:type="dxa"/>
            <w:tcBorders>
              <w:top w:val="nil"/>
              <w:left w:val="nil"/>
              <w:bottom w:val="nil"/>
              <w:right w:val="nil"/>
            </w:tcBorders>
            <w:shd w:val="clear" w:color="auto" w:fill="auto"/>
            <w:noWrap/>
            <w:vAlign w:val="bottom"/>
            <w:hideMark/>
          </w:tcPr>
          <w:p w14:paraId="0BDF1199" w14:textId="77777777" w:rsidR="006E2294" w:rsidRPr="00943DFA" w:rsidRDefault="006E2294" w:rsidP="00373B60">
            <w:pPr>
              <w:contextualSpacing/>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650144B7" w14:textId="77777777" w:rsidR="006E2294" w:rsidRPr="00943DFA" w:rsidRDefault="006E2294" w:rsidP="00373B60">
            <w:pPr>
              <w:contextualSpacing/>
              <w:jc w:val="center"/>
              <w:rPr>
                <w:rFonts w:eastAsia="Times New Roman"/>
                <w:b/>
                <w:bCs/>
                <w:color w:val="0D0D0D" w:themeColor="text1" w:themeTint="F2"/>
                <w:sz w:val="20"/>
                <w:szCs w:val="20"/>
              </w:rPr>
            </w:pPr>
          </w:p>
        </w:tc>
        <w:tc>
          <w:tcPr>
            <w:tcW w:w="862" w:type="dxa"/>
            <w:tcBorders>
              <w:top w:val="nil"/>
              <w:left w:val="nil"/>
              <w:bottom w:val="single" w:sz="4" w:space="0" w:color="auto"/>
              <w:right w:val="nil"/>
            </w:tcBorders>
            <w:shd w:val="clear" w:color="auto" w:fill="auto"/>
            <w:noWrap/>
            <w:vAlign w:val="center"/>
            <w:hideMark/>
          </w:tcPr>
          <w:p w14:paraId="7CB60C13" w14:textId="77777777" w:rsidR="006E2294" w:rsidRPr="00943DFA" w:rsidRDefault="006E2294"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Mean</w:t>
            </w:r>
          </w:p>
        </w:tc>
        <w:tc>
          <w:tcPr>
            <w:tcW w:w="1122" w:type="dxa"/>
            <w:tcBorders>
              <w:top w:val="nil"/>
              <w:left w:val="nil"/>
              <w:bottom w:val="single" w:sz="4" w:space="0" w:color="auto"/>
              <w:right w:val="nil"/>
            </w:tcBorders>
            <w:shd w:val="clear" w:color="auto" w:fill="auto"/>
            <w:noWrap/>
            <w:vAlign w:val="center"/>
            <w:hideMark/>
          </w:tcPr>
          <w:p w14:paraId="6EFA2ECF" w14:textId="77777777" w:rsidR="006E2294" w:rsidRPr="00943DFA" w:rsidRDefault="006E2294" w:rsidP="00373B60">
            <w:pPr>
              <w:contextualSpacing/>
              <w:jc w:val="center"/>
              <w:rPr>
                <w:rFonts w:eastAsia="Times New Roman"/>
                <w:b/>
                <w:bCs/>
                <w:color w:val="0D0D0D" w:themeColor="text1" w:themeTint="F2"/>
                <w:sz w:val="20"/>
                <w:szCs w:val="20"/>
              </w:rPr>
            </w:pPr>
            <w:r w:rsidRPr="00943DFA">
              <w:rPr>
                <w:rFonts w:eastAsia="Times New Roman"/>
                <w:b/>
                <w:bCs/>
                <w:color w:val="0D0D0D" w:themeColor="text1" w:themeTint="F2"/>
                <w:sz w:val="20"/>
                <w:szCs w:val="20"/>
              </w:rPr>
              <w:t>Median</w:t>
            </w:r>
          </w:p>
        </w:tc>
      </w:tr>
      <w:tr w:rsidR="00943DFA" w:rsidRPr="00943DFA" w14:paraId="18A82C43" w14:textId="77777777" w:rsidTr="00373B60">
        <w:trPr>
          <w:gridAfter w:val="3"/>
          <w:wAfter w:w="8784" w:type="dxa"/>
          <w:trHeight w:val="300"/>
        </w:trPr>
        <w:tc>
          <w:tcPr>
            <w:tcW w:w="2033" w:type="dxa"/>
            <w:gridSpan w:val="2"/>
            <w:tcBorders>
              <w:top w:val="nil"/>
              <w:left w:val="nil"/>
              <w:bottom w:val="nil"/>
              <w:right w:val="nil"/>
            </w:tcBorders>
            <w:shd w:val="clear" w:color="auto" w:fill="auto"/>
            <w:vAlign w:val="center"/>
            <w:hideMark/>
          </w:tcPr>
          <w:p w14:paraId="288A4F34"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Oil and Gas</w:t>
            </w:r>
          </w:p>
        </w:tc>
        <w:tc>
          <w:tcPr>
            <w:tcW w:w="602" w:type="dxa"/>
            <w:tcBorders>
              <w:top w:val="nil"/>
              <w:left w:val="nil"/>
              <w:bottom w:val="nil"/>
              <w:right w:val="nil"/>
            </w:tcBorders>
            <w:shd w:val="clear" w:color="auto" w:fill="auto"/>
            <w:noWrap/>
            <w:vAlign w:val="bottom"/>
            <w:hideMark/>
          </w:tcPr>
          <w:p w14:paraId="5D0D55DB"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63A395D6"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41</w:t>
            </w:r>
          </w:p>
        </w:tc>
        <w:tc>
          <w:tcPr>
            <w:tcW w:w="463" w:type="dxa"/>
            <w:tcBorders>
              <w:top w:val="nil"/>
              <w:left w:val="nil"/>
              <w:bottom w:val="nil"/>
              <w:right w:val="nil"/>
            </w:tcBorders>
            <w:shd w:val="clear" w:color="auto" w:fill="auto"/>
            <w:noWrap/>
            <w:vAlign w:val="bottom"/>
            <w:hideMark/>
          </w:tcPr>
          <w:p w14:paraId="15B8266F"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12B98A8D"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7304EFF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4.07</w:t>
            </w:r>
          </w:p>
        </w:tc>
        <w:tc>
          <w:tcPr>
            <w:tcW w:w="1122" w:type="dxa"/>
            <w:tcBorders>
              <w:top w:val="nil"/>
              <w:left w:val="nil"/>
              <w:bottom w:val="nil"/>
              <w:right w:val="nil"/>
            </w:tcBorders>
            <w:shd w:val="clear" w:color="auto" w:fill="auto"/>
            <w:noWrap/>
            <w:vAlign w:val="center"/>
            <w:hideMark/>
          </w:tcPr>
          <w:p w14:paraId="1F764E5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w:t>
            </w:r>
          </w:p>
        </w:tc>
      </w:tr>
      <w:tr w:rsidR="00943DFA" w:rsidRPr="00943DFA" w14:paraId="606805F8" w14:textId="77777777" w:rsidTr="00373B60">
        <w:trPr>
          <w:gridAfter w:val="3"/>
          <w:wAfter w:w="8784" w:type="dxa"/>
          <w:trHeight w:val="300"/>
        </w:trPr>
        <w:tc>
          <w:tcPr>
            <w:tcW w:w="2033" w:type="dxa"/>
            <w:gridSpan w:val="2"/>
            <w:tcBorders>
              <w:top w:val="nil"/>
              <w:left w:val="nil"/>
              <w:bottom w:val="nil"/>
              <w:right w:val="nil"/>
            </w:tcBorders>
            <w:shd w:val="clear" w:color="auto" w:fill="auto"/>
            <w:vAlign w:val="center"/>
            <w:hideMark/>
          </w:tcPr>
          <w:p w14:paraId="06B6B2DA"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Food products</w:t>
            </w:r>
          </w:p>
        </w:tc>
        <w:tc>
          <w:tcPr>
            <w:tcW w:w="602" w:type="dxa"/>
            <w:tcBorders>
              <w:top w:val="nil"/>
              <w:left w:val="nil"/>
              <w:bottom w:val="nil"/>
              <w:right w:val="nil"/>
            </w:tcBorders>
            <w:shd w:val="clear" w:color="auto" w:fill="auto"/>
            <w:noWrap/>
            <w:vAlign w:val="bottom"/>
            <w:hideMark/>
          </w:tcPr>
          <w:p w14:paraId="29F804A0"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2AD6472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7</w:t>
            </w:r>
          </w:p>
        </w:tc>
        <w:tc>
          <w:tcPr>
            <w:tcW w:w="463" w:type="dxa"/>
            <w:tcBorders>
              <w:top w:val="nil"/>
              <w:left w:val="nil"/>
              <w:bottom w:val="nil"/>
              <w:right w:val="nil"/>
            </w:tcBorders>
            <w:shd w:val="clear" w:color="auto" w:fill="auto"/>
            <w:noWrap/>
            <w:vAlign w:val="bottom"/>
            <w:hideMark/>
          </w:tcPr>
          <w:p w14:paraId="797401D2"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235F33CE"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165320A8"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4.43</w:t>
            </w:r>
          </w:p>
        </w:tc>
        <w:tc>
          <w:tcPr>
            <w:tcW w:w="1122" w:type="dxa"/>
            <w:tcBorders>
              <w:top w:val="nil"/>
              <w:left w:val="nil"/>
              <w:bottom w:val="nil"/>
              <w:right w:val="nil"/>
            </w:tcBorders>
            <w:shd w:val="clear" w:color="auto" w:fill="auto"/>
            <w:noWrap/>
            <w:vAlign w:val="center"/>
            <w:hideMark/>
          </w:tcPr>
          <w:p w14:paraId="0E189710"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32C6087B" w14:textId="77777777" w:rsidTr="00373B60">
        <w:trPr>
          <w:gridAfter w:val="3"/>
          <w:wAfter w:w="8784" w:type="dxa"/>
          <w:trHeight w:val="600"/>
        </w:trPr>
        <w:tc>
          <w:tcPr>
            <w:tcW w:w="2033" w:type="dxa"/>
            <w:gridSpan w:val="2"/>
            <w:tcBorders>
              <w:top w:val="nil"/>
              <w:left w:val="nil"/>
              <w:bottom w:val="nil"/>
              <w:right w:val="nil"/>
            </w:tcBorders>
            <w:shd w:val="clear" w:color="auto" w:fill="auto"/>
            <w:vAlign w:val="center"/>
            <w:hideMark/>
          </w:tcPr>
          <w:p w14:paraId="11B9EE09"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Paper and paper products</w:t>
            </w:r>
          </w:p>
        </w:tc>
        <w:tc>
          <w:tcPr>
            <w:tcW w:w="602" w:type="dxa"/>
            <w:tcBorders>
              <w:top w:val="nil"/>
              <w:left w:val="nil"/>
              <w:bottom w:val="nil"/>
              <w:right w:val="nil"/>
            </w:tcBorders>
            <w:shd w:val="clear" w:color="auto" w:fill="auto"/>
            <w:noWrap/>
            <w:vAlign w:val="bottom"/>
            <w:hideMark/>
          </w:tcPr>
          <w:p w14:paraId="24ED9B2D"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4A66C0E6"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9</w:t>
            </w:r>
          </w:p>
        </w:tc>
        <w:tc>
          <w:tcPr>
            <w:tcW w:w="463" w:type="dxa"/>
            <w:tcBorders>
              <w:top w:val="nil"/>
              <w:left w:val="nil"/>
              <w:bottom w:val="nil"/>
              <w:right w:val="nil"/>
            </w:tcBorders>
            <w:shd w:val="clear" w:color="auto" w:fill="auto"/>
            <w:noWrap/>
            <w:vAlign w:val="bottom"/>
            <w:hideMark/>
          </w:tcPr>
          <w:p w14:paraId="63031031"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608170DF"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60D3FE2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5.42</w:t>
            </w:r>
          </w:p>
        </w:tc>
        <w:tc>
          <w:tcPr>
            <w:tcW w:w="1122" w:type="dxa"/>
            <w:tcBorders>
              <w:top w:val="nil"/>
              <w:left w:val="nil"/>
              <w:bottom w:val="nil"/>
              <w:right w:val="nil"/>
            </w:tcBorders>
            <w:shd w:val="clear" w:color="auto" w:fill="auto"/>
            <w:noWrap/>
            <w:vAlign w:val="center"/>
            <w:hideMark/>
          </w:tcPr>
          <w:p w14:paraId="3FC990D5"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5.75</w:t>
            </w:r>
          </w:p>
        </w:tc>
      </w:tr>
      <w:tr w:rsidR="00943DFA" w:rsidRPr="00943DFA" w14:paraId="1C70E435" w14:textId="77777777" w:rsidTr="00373B60">
        <w:trPr>
          <w:gridAfter w:val="3"/>
          <w:wAfter w:w="8784" w:type="dxa"/>
          <w:trHeight w:val="563"/>
        </w:trPr>
        <w:tc>
          <w:tcPr>
            <w:tcW w:w="2033" w:type="dxa"/>
            <w:gridSpan w:val="2"/>
            <w:tcBorders>
              <w:top w:val="nil"/>
              <w:left w:val="nil"/>
              <w:bottom w:val="nil"/>
              <w:right w:val="nil"/>
            </w:tcBorders>
            <w:shd w:val="clear" w:color="auto" w:fill="auto"/>
            <w:vAlign w:val="center"/>
            <w:hideMark/>
          </w:tcPr>
          <w:p w14:paraId="72402D00"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Chemical products</w:t>
            </w:r>
          </w:p>
        </w:tc>
        <w:tc>
          <w:tcPr>
            <w:tcW w:w="602" w:type="dxa"/>
            <w:tcBorders>
              <w:top w:val="nil"/>
              <w:left w:val="nil"/>
              <w:bottom w:val="nil"/>
              <w:right w:val="nil"/>
            </w:tcBorders>
            <w:shd w:val="clear" w:color="auto" w:fill="auto"/>
            <w:noWrap/>
            <w:vAlign w:val="bottom"/>
            <w:hideMark/>
          </w:tcPr>
          <w:p w14:paraId="230B3C6F"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011A234D"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258</w:t>
            </w:r>
          </w:p>
        </w:tc>
        <w:tc>
          <w:tcPr>
            <w:tcW w:w="463" w:type="dxa"/>
            <w:tcBorders>
              <w:top w:val="nil"/>
              <w:left w:val="nil"/>
              <w:bottom w:val="nil"/>
              <w:right w:val="nil"/>
            </w:tcBorders>
            <w:shd w:val="clear" w:color="auto" w:fill="auto"/>
            <w:noWrap/>
            <w:vAlign w:val="bottom"/>
            <w:hideMark/>
          </w:tcPr>
          <w:p w14:paraId="62C9048E"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49CD7D71"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6B523C01"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2.42</w:t>
            </w:r>
          </w:p>
        </w:tc>
        <w:tc>
          <w:tcPr>
            <w:tcW w:w="1122" w:type="dxa"/>
            <w:tcBorders>
              <w:top w:val="nil"/>
              <w:left w:val="nil"/>
              <w:bottom w:val="nil"/>
              <w:right w:val="nil"/>
            </w:tcBorders>
            <w:shd w:val="clear" w:color="auto" w:fill="auto"/>
            <w:noWrap/>
            <w:vAlign w:val="center"/>
            <w:hideMark/>
          </w:tcPr>
          <w:p w14:paraId="4CD4D80A"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w:t>
            </w:r>
          </w:p>
        </w:tc>
      </w:tr>
      <w:tr w:rsidR="00943DFA" w:rsidRPr="00943DFA" w14:paraId="6936FAB7" w14:textId="77777777" w:rsidTr="00373B60">
        <w:trPr>
          <w:gridAfter w:val="3"/>
          <w:wAfter w:w="8784" w:type="dxa"/>
          <w:trHeight w:val="415"/>
        </w:trPr>
        <w:tc>
          <w:tcPr>
            <w:tcW w:w="2033" w:type="dxa"/>
            <w:gridSpan w:val="2"/>
            <w:tcBorders>
              <w:top w:val="nil"/>
              <w:left w:val="nil"/>
              <w:bottom w:val="nil"/>
              <w:right w:val="nil"/>
            </w:tcBorders>
            <w:shd w:val="clear" w:color="auto" w:fill="auto"/>
            <w:vAlign w:val="center"/>
            <w:hideMark/>
          </w:tcPr>
          <w:p w14:paraId="31EF804C"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xml:space="preserve">Manufacturing </w:t>
            </w:r>
          </w:p>
        </w:tc>
        <w:tc>
          <w:tcPr>
            <w:tcW w:w="602" w:type="dxa"/>
            <w:tcBorders>
              <w:top w:val="nil"/>
              <w:left w:val="nil"/>
              <w:bottom w:val="nil"/>
              <w:right w:val="nil"/>
            </w:tcBorders>
            <w:shd w:val="clear" w:color="auto" w:fill="auto"/>
            <w:noWrap/>
            <w:vAlign w:val="bottom"/>
            <w:hideMark/>
          </w:tcPr>
          <w:p w14:paraId="4C19C28B"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13492DA8"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26</w:t>
            </w:r>
          </w:p>
        </w:tc>
        <w:tc>
          <w:tcPr>
            <w:tcW w:w="463" w:type="dxa"/>
            <w:tcBorders>
              <w:top w:val="nil"/>
              <w:left w:val="nil"/>
              <w:bottom w:val="nil"/>
              <w:right w:val="nil"/>
            </w:tcBorders>
            <w:shd w:val="clear" w:color="auto" w:fill="auto"/>
            <w:noWrap/>
            <w:vAlign w:val="bottom"/>
            <w:hideMark/>
          </w:tcPr>
          <w:p w14:paraId="796953BB"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74F3C013"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461C8ADE"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4.37</w:t>
            </w:r>
          </w:p>
        </w:tc>
        <w:tc>
          <w:tcPr>
            <w:tcW w:w="1122" w:type="dxa"/>
            <w:tcBorders>
              <w:top w:val="nil"/>
              <w:left w:val="nil"/>
              <w:bottom w:val="nil"/>
              <w:right w:val="nil"/>
            </w:tcBorders>
            <w:shd w:val="clear" w:color="auto" w:fill="auto"/>
            <w:noWrap/>
            <w:vAlign w:val="center"/>
            <w:hideMark/>
          </w:tcPr>
          <w:p w14:paraId="50084B20"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4.6</w:t>
            </w:r>
          </w:p>
        </w:tc>
      </w:tr>
      <w:tr w:rsidR="00943DFA" w:rsidRPr="00943DFA" w14:paraId="2CF747E4" w14:textId="77777777" w:rsidTr="00373B60">
        <w:trPr>
          <w:gridAfter w:val="3"/>
          <w:wAfter w:w="8784" w:type="dxa"/>
          <w:trHeight w:val="718"/>
        </w:trPr>
        <w:tc>
          <w:tcPr>
            <w:tcW w:w="2033" w:type="dxa"/>
            <w:gridSpan w:val="2"/>
            <w:tcBorders>
              <w:top w:val="nil"/>
              <w:left w:val="nil"/>
              <w:bottom w:val="nil"/>
              <w:right w:val="nil"/>
            </w:tcBorders>
            <w:shd w:val="clear" w:color="auto" w:fill="auto"/>
            <w:vAlign w:val="center"/>
            <w:hideMark/>
          </w:tcPr>
          <w:p w14:paraId="7D3D347D"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Computer equipment &amp; services</w:t>
            </w:r>
          </w:p>
        </w:tc>
        <w:tc>
          <w:tcPr>
            <w:tcW w:w="602" w:type="dxa"/>
            <w:tcBorders>
              <w:top w:val="nil"/>
              <w:left w:val="nil"/>
              <w:bottom w:val="nil"/>
              <w:right w:val="nil"/>
            </w:tcBorders>
            <w:shd w:val="clear" w:color="auto" w:fill="auto"/>
            <w:noWrap/>
            <w:vAlign w:val="bottom"/>
            <w:hideMark/>
          </w:tcPr>
          <w:p w14:paraId="3013A2D6"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7C5AB64B"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216</w:t>
            </w:r>
          </w:p>
        </w:tc>
        <w:tc>
          <w:tcPr>
            <w:tcW w:w="463" w:type="dxa"/>
            <w:tcBorders>
              <w:top w:val="nil"/>
              <w:left w:val="nil"/>
              <w:bottom w:val="nil"/>
              <w:right w:val="nil"/>
            </w:tcBorders>
            <w:shd w:val="clear" w:color="auto" w:fill="auto"/>
            <w:noWrap/>
            <w:vAlign w:val="bottom"/>
            <w:hideMark/>
          </w:tcPr>
          <w:p w14:paraId="3F10512F"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5BA6D52"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5C009943"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3.47</w:t>
            </w:r>
          </w:p>
        </w:tc>
        <w:tc>
          <w:tcPr>
            <w:tcW w:w="1122" w:type="dxa"/>
            <w:tcBorders>
              <w:top w:val="nil"/>
              <w:left w:val="nil"/>
              <w:bottom w:val="nil"/>
              <w:right w:val="nil"/>
            </w:tcBorders>
            <w:shd w:val="clear" w:color="auto" w:fill="auto"/>
            <w:noWrap/>
            <w:vAlign w:val="center"/>
            <w:hideMark/>
          </w:tcPr>
          <w:p w14:paraId="1E047B3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4.6</w:t>
            </w:r>
          </w:p>
        </w:tc>
      </w:tr>
      <w:tr w:rsidR="00943DFA" w:rsidRPr="00943DFA" w14:paraId="1EDE41C5" w14:textId="77777777" w:rsidTr="00373B60">
        <w:trPr>
          <w:gridAfter w:val="3"/>
          <w:wAfter w:w="8784" w:type="dxa"/>
          <w:trHeight w:val="561"/>
        </w:trPr>
        <w:tc>
          <w:tcPr>
            <w:tcW w:w="2033" w:type="dxa"/>
            <w:gridSpan w:val="2"/>
            <w:tcBorders>
              <w:top w:val="nil"/>
              <w:left w:val="nil"/>
              <w:bottom w:val="nil"/>
              <w:right w:val="nil"/>
            </w:tcBorders>
            <w:shd w:val="clear" w:color="auto" w:fill="auto"/>
            <w:vAlign w:val="center"/>
            <w:hideMark/>
          </w:tcPr>
          <w:p w14:paraId="258DD30A"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Electronic equipment</w:t>
            </w:r>
          </w:p>
        </w:tc>
        <w:tc>
          <w:tcPr>
            <w:tcW w:w="602" w:type="dxa"/>
            <w:tcBorders>
              <w:top w:val="nil"/>
              <w:left w:val="nil"/>
              <w:bottom w:val="nil"/>
              <w:right w:val="nil"/>
            </w:tcBorders>
            <w:shd w:val="clear" w:color="auto" w:fill="auto"/>
            <w:noWrap/>
            <w:vAlign w:val="bottom"/>
            <w:hideMark/>
          </w:tcPr>
          <w:p w14:paraId="4CE5FEF9"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2E73763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63</w:t>
            </w:r>
          </w:p>
        </w:tc>
        <w:tc>
          <w:tcPr>
            <w:tcW w:w="463" w:type="dxa"/>
            <w:tcBorders>
              <w:top w:val="nil"/>
              <w:left w:val="nil"/>
              <w:bottom w:val="nil"/>
              <w:right w:val="nil"/>
            </w:tcBorders>
            <w:shd w:val="clear" w:color="auto" w:fill="auto"/>
            <w:noWrap/>
            <w:vAlign w:val="bottom"/>
            <w:hideMark/>
          </w:tcPr>
          <w:p w14:paraId="1E8AFB11"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70B8CEA"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6129A906"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4.16</w:t>
            </w:r>
          </w:p>
        </w:tc>
        <w:tc>
          <w:tcPr>
            <w:tcW w:w="1122" w:type="dxa"/>
            <w:tcBorders>
              <w:top w:val="nil"/>
              <w:left w:val="nil"/>
              <w:bottom w:val="nil"/>
              <w:right w:val="nil"/>
            </w:tcBorders>
            <w:shd w:val="clear" w:color="auto" w:fill="auto"/>
            <w:noWrap/>
            <w:vAlign w:val="center"/>
            <w:hideMark/>
          </w:tcPr>
          <w:p w14:paraId="164637FA"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3E099B79" w14:textId="77777777" w:rsidTr="00373B60">
        <w:trPr>
          <w:gridAfter w:val="3"/>
          <w:wAfter w:w="8784" w:type="dxa"/>
          <w:trHeight w:val="852"/>
        </w:trPr>
        <w:tc>
          <w:tcPr>
            <w:tcW w:w="2033" w:type="dxa"/>
            <w:gridSpan w:val="2"/>
            <w:tcBorders>
              <w:top w:val="nil"/>
              <w:left w:val="nil"/>
              <w:bottom w:val="nil"/>
              <w:right w:val="nil"/>
            </w:tcBorders>
            <w:shd w:val="clear" w:color="auto" w:fill="auto"/>
            <w:vAlign w:val="center"/>
            <w:hideMark/>
          </w:tcPr>
          <w:p w14:paraId="4F8DF523"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Transportation &amp; public utilities</w:t>
            </w:r>
          </w:p>
        </w:tc>
        <w:tc>
          <w:tcPr>
            <w:tcW w:w="602" w:type="dxa"/>
            <w:tcBorders>
              <w:top w:val="nil"/>
              <w:left w:val="nil"/>
              <w:bottom w:val="nil"/>
              <w:right w:val="nil"/>
            </w:tcBorders>
            <w:shd w:val="clear" w:color="auto" w:fill="auto"/>
            <w:noWrap/>
            <w:vAlign w:val="bottom"/>
            <w:hideMark/>
          </w:tcPr>
          <w:p w14:paraId="14022000"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30926323"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50</w:t>
            </w:r>
          </w:p>
        </w:tc>
        <w:tc>
          <w:tcPr>
            <w:tcW w:w="463" w:type="dxa"/>
            <w:tcBorders>
              <w:top w:val="nil"/>
              <w:left w:val="nil"/>
              <w:bottom w:val="nil"/>
              <w:right w:val="nil"/>
            </w:tcBorders>
            <w:shd w:val="clear" w:color="auto" w:fill="auto"/>
            <w:noWrap/>
            <w:vAlign w:val="bottom"/>
            <w:hideMark/>
          </w:tcPr>
          <w:p w14:paraId="7AF205F6"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5850AD37"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2A11EE46"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4.22</w:t>
            </w:r>
          </w:p>
        </w:tc>
        <w:tc>
          <w:tcPr>
            <w:tcW w:w="1122" w:type="dxa"/>
            <w:tcBorders>
              <w:top w:val="nil"/>
              <w:left w:val="nil"/>
              <w:bottom w:val="nil"/>
              <w:right w:val="nil"/>
            </w:tcBorders>
            <w:shd w:val="clear" w:color="auto" w:fill="auto"/>
            <w:noWrap/>
            <w:vAlign w:val="center"/>
            <w:hideMark/>
          </w:tcPr>
          <w:p w14:paraId="0CEEBE5D"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4.57</w:t>
            </w:r>
          </w:p>
        </w:tc>
      </w:tr>
      <w:tr w:rsidR="00943DFA" w:rsidRPr="00943DFA" w14:paraId="7D9575B9" w14:textId="77777777" w:rsidTr="00373B60">
        <w:trPr>
          <w:gridAfter w:val="3"/>
          <w:wAfter w:w="8784" w:type="dxa"/>
          <w:trHeight w:val="600"/>
        </w:trPr>
        <w:tc>
          <w:tcPr>
            <w:tcW w:w="2033" w:type="dxa"/>
            <w:gridSpan w:val="2"/>
            <w:tcBorders>
              <w:top w:val="nil"/>
              <w:left w:val="nil"/>
              <w:bottom w:val="nil"/>
              <w:right w:val="nil"/>
            </w:tcBorders>
            <w:shd w:val="clear" w:color="auto" w:fill="auto"/>
            <w:vAlign w:val="center"/>
            <w:hideMark/>
          </w:tcPr>
          <w:p w14:paraId="119E58D0"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Scientific instruments</w:t>
            </w:r>
          </w:p>
        </w:tc>
        <w:tc>
          <w:tcPr>
            <w:tcW w:w="602" w:type="dxa"/>
            <w:tcBorders>
              <w:top w:val="nil"/>
              <w:left w:val="nil"/>
              <w:bottom w:val="nil"/>
              <w:right w:val="nil"/>
            </w:tcBorders>
            <w:shd w:val="clear" w:color="auto" w:fill="auto"/>
            <w:noWrap/>
            <w:vAlign w:val="bottom"/>
            <w:hideMark/>
          </w:tcPr>
          <w:p w14:paraId="02C1CD9A"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5FF93C99"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68</w:t>
            </w:r>
          </w:p>
        </w:tc>
        <w:tc>
          <w:tcPr>
            <w:tcW w:w="463" w:type="dxa"/>
            <w:tcBorders>
              <w:top w:val="nil"/>
              <w:left w:val="nil"/>
              <w:bottom w:val="nil"/>
              <w:right w:val="nil"/>
            </w:tcBorders>
            <w:shd w:val="clear" w:color="auto" w:fill="auto"/>
            <w:noWrap/>
            <w:vAlign w:val="bottom"/>
            <w:hideMark/>
          </w:tcPr>
          <w:p w14:paraId="7796A780"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0440963E"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3CD06C5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3.47</w:t>
            </w:r>
          </w:p>
        </w:tc>
        <w:tc>
          <w:tcPr>
            <w:tcW w:w="1122" w:type="dxa"/>
            <w:tcBorders>
              <w:top w:val="nil"/>
              <w:left w:val="nil"/>
              <w:bottom w:val="nil"/>
              <w:right w:val="nil"/>
            </w:tcBorders>
            <w:shd w:val="clear" w:color="auto" w:fill="auto"/>
            <w:noWrap/>
            <w:vAlign w:val="center"/>
            <w:hideMark/>
          </w:tcPr>
          <w:p w14:paraId="22D918B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w:t>
            </w:r>
          </w:p>
        </w:tc>
      </w:tr>
      <w:tr w:rsidR="00943DFA" w:rsidRPr="00943DFA" w14:paraId="3B5914F6" w14:textId="77777777" w:rsidTr="00373B60">
        <w:trPr>
          <w:gridAfter w:val="3"/>
          <w:wAfter w:w="8784" w:type="dxa"/>
          <w:trHeight w:val="533"/>
        </w:trPr>
        <w:tc>
          <w:tcPr>
            <w:tcW w:w="2033" w:type="dxa"/>
            <w:gridSpan w:val="2"/>
            <w:tcBorders>
              <w:top w:val="nil"/>
              <w:left w:val="nil"/>
              <w:bottom w:val="nil"/>
              <w:right w:val="nil"/>
            </w:tcBorders>
            <w:shd w:val="clear" w:color="auto" w:fill="auto"/>
            <w:vAlign w:val="center"/>
            <w:hideMark/>
          </w:tcPr>
          <w:p w14:paraId="69D22D38"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Wholesale trade</w:t>
            </w:r>
          </w:p>
        </w:tc>
        <w:tc>
          <w:tcPr>
            <w:tcW w:w="602" w:type="dxa"/>
            <w:tcBorders>
              <w:top w:val="nil"/>
              <w:left w:val="nil"/>
              <w:bottom w:val="nil"/>
              <w:right w:val="nil"/>
            </w:tcBorders>
            <w:shd w:val="clear" w:color="auto" w:fill="auto"/>
            <w:noWrap/>
            <w:vAlign w:val="bottom"/>
            <w:hideMark/>
          </w:tcPr>
          <w:p w14:paraId="3F1DB6A7"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71F5016D"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20</w:t>
            </w:r>
          </w:p>
        </w:tc>
        <w:tc>
          <w:tcPr>
            <w:tcW w:w="463" w:type="dxa"/>
            <w:tcBorders>
              <w:top w:val="nil"/>
              <w:left w:val="nil"/>
              <w:bottom w:val="nil"/>
              <w:right w:val="nil"/>
            </w:tcBorders>
            <w:shd w:val="clear" w:color="auto" w:fill="auto"/>
            <w:noWrap/>
            <w:vAlign w:val="bottom"/>
            <w:hideMark/>
          </w:tcPr>
          <w:p w14:paraId="5F44ADDA"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4C8A2318"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6A71217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4.9</w:t>
            </w:r>
          </w:p>
        </w:tc>
        <w:tc>
          <w:tcPr>
            <w:tcW w:w="1122" w:type="dxa"/>
            <w:tcBorders>
              <w:top w:val="nil"/>
              <w:left w:val="nil"/>
              <w:bottom w:val="nil"/>
              <w:right w:val="nil"/>
            </w:tcBorders>
            <w:shd w:val="clear" w:color="auto" w:fill="auto"/>
            <w:noWrap/>
            <w:vAlign w:val="center"/>
            <w:hideMark/>
          </w:tcPr>
          <w:p w14:paraId="111DB29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779984AF" w14:textId="77777777" w:rsidTr="00373B60">
        <w:trPr>
          <w:gridAfter w:val="3"/>
          <w:wAfter w:w="8784" w:type="dxa"/>
          <w:trHeight w:val="300"/>
        </w:trPr>
        <w:tc>
          <w:tcPr>
            <w:tcW w:w="2033" w:type="dxa"/>
            <w:gridSpan w:val="2"/>
            <w:tcBorders>
              <w:top w:val="nil"/>
              <w:left w:val="nil"/>
              <w:bottom w:val="nil"/>
              <w:right w:val="nil"/>
            </w:tcBorders>
            <w:shd w:val="clear" w:color="auto" w:fill="auto"/>
            <w:vAlign w:val="center"/>
            <w:hideMark/>
          </w:tcPr>
          <w:p w14:paraId="6385ED7E"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Retail trade</w:t>
            </w:r>
          </w:p>
        </w:tc>
        <w:tc>
          <w:tcPr>
            <w:tcW w:w="602" w:type="dxa"/>
            <w:tcBorders>
              <w:top w:val="nil"/>
              <w:left w:val="nil"/>
              <w:bottom w:val="nil"/>
              <w:right w:val="nil"/>
            </w:tcBorders>
            <w:shd w:val="clear" w:color="auto" w:fill="auto"/>
            <w:noWrap/>
            <w:vAlign w:val="bottom"/>
            <w:hideMark/>
          </w:tcPr>
          <w:p w14:paraId="23F4E998"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05B23880"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56</w:t>
            </w:r>
          </w:p>
        </w:tc>
        <w:tc>
          <w:tcPr>
            <w:tcW w:w="463" w:type="dxa"/>
            <w:tcBorders>
              <w:top w:val="nil"/>
              <w:left w:val="nil"/>
              <w:bottom w:val="nil"/>
              <w:right w:val="nil"/>
            </w:tcBorders>
            <w:shd w:val="clear" w:color="auto" w:fill="auto"/>
            <w:noWrap/>
            <w:vAlign w:val="bottom"/>
            <w:hideMark/>
          </w:tcPr>
          <w:p w14:paraId="212E3688"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647D4250"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3465F64B"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4.78</w:t>
            </w:r>
          </w:p>
        </w:tc>
        <w:tc>
          <w:tcPr>
            <w:tcW w:w="1122" w:type="dxa"/>
            <w:tcBorders>
              <w:top w:val="nil"/>
              <w:left w:val="nil"/>
              <w:bottom w:val="nil"/>
              <w:right w:val="nil"/>
            </w:tcBorders>
            <w:shd w:val="clear" w:color="auto" w:fill="auto"/>
            <w:noWrap/>
            <w:vAlign w:val="center"/>
            <w:hideMark/>
          </w:tcPr>
          <w:p w14:paraId="46A65F0E"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5.5</w:t>
            </w:r>
          </w:p>
        </w:tc>
      </w:tr>
      <w:tr w:rsidR="00943DFA" w:rsidRPr="00943DFA" w14:paraId="609F71E9" w14:textId="77777777" w:rsidTr="00373B60">
        <w:trPr>
          <w:gridAfter w:val="3"/>
          <w:wAfter w:w="8784" w:type="dxa"/>
          <w:trHeight w:val="600"/>
        </w:trPr>
        <w:tc>
          <w:tcPr>
            <w:tcW w:w="2033" w:type="dxa"/>
            <w:gridSpan w:val="2"/>
            <w:tcBorders>
              <w:top w:val="nil"/>
              <w:left w:val="nil"/>
              <w:bottom w:val="nil"/>
              <w:right w:val="nil"/>
            </w:tcBorders>
            <w:shd w:val="clear" w:color="auto" w:fill="auto"/>
            <w:vAlign w:val="center"/>
            <w:hideMark/>
          </w:tcPr>
          <w:p w14:paraId="57841D4B"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Entertainment services</w:t>
            </w:r>
          </w:p>
        </w:tc>
        <w:tc>
          <w:tcPr>
            <w:tcW w:w="602" w:type="dxa"/>
            <w:tcBorders>
              <w:top w:val="nil"/>
              <w:left w:val="nil"/>
              <w:bottom w:val="nil"/>
              <w:right w:val="nil"/>
            </w:tcBorders>
            <w:shd w:val="clear" w:color="auto" w:fill="auto"/>
            <w:noWrap/>
            <w:vAlign w:val="bottom"/>
            <w:hideMark/>
          </w:tcPr>
          <w:p w14:paraId="0264997F"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6861490B"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16</w:t>
            </w:r>
          </w:p>
        </w:tc>
        <w:tc>
          <w:tcPr>
            <w:tcW w:w="463" w:type="dxa"/>
            <w:tcBorders>
              <w:top w:val="nil"/>
              <w:left w:val="nil"/>
              <w:bottom w:val="nil"/>
              <w:right w:val="nil"/>
            </w:tcBorders>
            <w:shd w:val="clear" w:color="auto" w:fill="auto"/>
            <w:noWrap/>
            <w:vAlign w:val="bottom"/>
            <w:hideMark/>
          </w:tcPr>
          <w:p w14:paraId="773C15C5"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5F905B68"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400F9519"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4.03</w:t>
            </w:r>
          </w:p>
        </w:tc>
        <w:tc>
          <w:tcPr>
            <w:tcW w:w="1122" w:type="dxa"/>
            <w:tcBorders>
              <w:top w:val="nil"/>
              <w:left w:val="nil"/>
              <w:bottom w:val="nil"/>
              <w:right w:val="nil"/>
            </w:tcBorders>
            <w:shd w:val="clear" w:color="auto" w:fill="auto"/>
            <w:noWrap/>
            <w:vAlign w:val="center"/>
            <w:hideMark/>
          </w:tcPr>
          <w:p w14:paraId="30D7C4A3"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4.33</w:t>
            </w:r>
          </w:p>
        </w:tc>
      </w:tr>
      <w:tr w:rsidR="00943DFA" w:rsidRPr="00943DFA" w14:paraId="6D04E6AC" w14:textId="77777777" w:rsidTr="00373B60">
        <w:trPr>
          <w:gridAfter w:val="3"/>
          <w:wAfter w:w="8784" w:type="dxa"/>
          <w:trHeight w:val="300"/>
        </w:trPr>
        <w:tc>
          <w:tcPr>
            <w:tcW w:w="2033" w:type="dxa"/>
            <w:gridSpan w:val="2"/>
            <w:tcBorders>
              <w:top w:val="nil"/>
              <w:left w:val="nil"/>
              <w:bottom w:val="nil"/>
              <w:right w:val="nil"/>
            </w:tcBorders>
            <w:shd w:val="clear" w:color="auto" w:fill="auto"/>
            <w:vAlign w:val="center"/>
            <w:hideMark/>
          </w:tcPr>
          <w:p w14:paraId="5FE1E989"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Health services</w:t>
            </w:r>
          </w:p>
        </w:tc>
        <w:tc>
          <w:tcPr>
            <w:tcW w:w="602" w:type="dxa"/>
            <w:tcBorders>
              <w:top w:val="nil"/>
              <w:left w:val="nil"/>
              <w:bottom w:val="nil"/>
              <w:right w:val="nil"/>
            </w:tcBorders>
            <w:shd w:val="clear" w:color="auto" w:fill="auto"/>
            <w:noWrap/>
            <w:vAlign w:val="bottom"/>
            <w:hideMark/>
          </w:tcPr>
          <w:p w14:paraId="78C90A34"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53995A23"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27</w:t>
            </w:r>
          </w:p>
        </w:tc>
        <w:tc>
          <w:tcPr>
            <w:tcW w:w="463" w:type="dxa"/>
            <w:tcBorders>
              <w:top w:val="nil"/>
              <w:left w:val="nil"/>
              <w:bottom w:val="nil"/>
              <w:right w:val="nil"/>
            </w:tcBorders>
            <w:shd w:val="clear" w:color="auto" w:fill="auto"/>
            <w:noWrap/>
            <w:vAlign w:val="bottom"/>
            <w:hideMark/>
          </w:tcPr>
          <w:p w14:paraId="3D23C443"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330F153A"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64AE0E89"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3.85</w:t>
            </w:r>
          </w:p>
        </w:tc>
        <w:tc>
          <w:tcPr>
            <w:tcW w:w="1122" w:type="dxa"/>
            <w:tcBorders>
              <w:top w:val="nil"/>
              <w:left w:val="nil"/>
              <w:bottom w:val="nil"/>
              <w:right w:val="nil"/>
            </w:tcBorders>
            <w:shd w:val="clear" w:color="auto" w:fill="auto"/>
            <w:noWrap/>
            <w:vAlign w:val="center"/>
            <w:hideMark/>
          </w:tcPr>
          <w:p w14:paraId="04708E0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w:t>
            </w:r>
          </w:p>
        </w:tc>
      </w:tr>
      <w:tr w:rsidR="00943DFA" w:rsidRPr="00943DFA" w14:paraId="0E87371B" w14:textId="77777777" w:rsidTr="00373B60">
        <w:trPr>
          <w:gridAfter w:val="3"/>
          <w:wAfter w:w="8784" w:type="dxa"/>
          <w:trHeight w:val="900"/>
        </w:trPr>
        <w:tc>
          <w:tcPr>
            <w:tcW w:w="2033" w:type="dxa"/>
            <w:gridSpan w:val="2"/>
            <w:tcBorders>
              <w:top w:val="nil"/>
              <w:left w:val="nil"/>
              <w:bottom w:val="nil"/>
              <w:right w:val="nil"/>
            </w:tcBorders>
            <w:shd w:val="clear" w:color="auto" w:fill="auto"/>
            <w:vAlign w:val="center"/>
            <w:hideMark/>
          </w:tcPr>
          <w:p w14:paraId="70124FAA"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Engineering &amp; Management Services</w:t>
            </w:r>
          </w:p>
        </w:tc>
        <w:tc>
          <w:tcPr>
            <w:tcW w:w="602" w:type="dxa"/>
            <w:tcBorders>
              <w:top w:val="nil"/>
              <w:left w:val="nil"/>
              <w:bottom w:val="nil"/>
              <w:right w:val="nil"/>
            </w:tcBorders>
            <w:shd w:val="clear" w:color="auto" w:fill="auto"/>
            <w:noWrap/>
            <w:vAlign w:val="bottom"/>
            <w:hideMark/>
          </w:tcPr>
          <w:p w14:paraId="09871E47"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1FA1447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14</w:t>
            </w:r>
          </w:p>
        </w:tc>
        <w:tc>
          <w:tcPr>
            <w:tcW w:w="463" w:type="dxa"/>
            <w:tcBorders>
              <w:top w:val="nil"/>
              <w:left w:val="nil"/>
              <w:bottom w:val="nil"/>
              <w:right w:val="nil"/>
            </w:tcBorders>
            <w:shd w:val="clear" w:color="auto" w:fill="auto"/>
            <w:noWrap/>
            <w:vAlign w:val="bottom"/>
            <w:hideMark/>
          </w:tcPr>
          <w:p w14:paraId="08CC4554"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3517FFFF"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74C4B964"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4.43</w:t>
            </w:r>
          </w:p>
        </w:tc>
        <w:tc>
          <w:tcPr>
            <w:tcW w:w="1122" w:type="dxa"/>
            <w:tcBorders>
              <w:top w:val="nil"/>
              <w:left w:val="nil"/>
              <w:bottom w:val="nil"/>
              <w:right w:val="nil"/>
            </w:tcBorders>
            <w:shd w:val="clear" w:color="auto" w:fill="auto"/>
            <w:noWrap/>
            <w:vAlign w:val="center"/>
            <w:hideMark/>
          </w:tcPr>
          <w:p w14:paraId="3A0936C7"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5</w:t>
            </w:r>
          </w:p>
        </w:tc>
      </w:tr>
      <w:tr w:rsidR="00943DFA" w:rsidRPr="00943DFA" w14:paraId="36485E29" w14:textId="77777777" w:rsidTr="00373B60">
        <w:trPr>
          <w:gridAfter w:val="3"/>
          <w:wAfter w:w="8784" w:type="dxa"/>
          <w:trHeight w:val="300"/>
        </w:trPr>
        <w:tc>
          <w:tcPr>
            <w:tcW w:w="2033" w:type="dxa"/>
            <w:gridSpan w:val="2"/>
            <w:tcBorders>
              <w:top w:val="nil"/>
              <w:left w:val="nil"/>
              <w:bottom w:val="nil"/>
              <w:right w:val="nil"/>
            </w:tcBorders>
            <w:shd w:val="clear" w:color="auto" w:fill="auto"/>
            <w:vAlign w:val="center"/>
            <w:hideMark/>
          </w:tcPr>
          <w:p w14:paraId="7459ACDF"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All others</w:t>
            </w:r>
          </w:p>
        </w:tc>
        <w:tc>
          <w:tcPr>
            <w:tcW w:w="602" w:type="dxa"/>
            <w:tcBorders>
              <w:top w:val="nil"/>
              <w:left w:val="nil"/>
              <w:bottom w:val="nil"/>
              <w:right w:val="nil"/>
            </w:tcBorders>
            <w:shd w:val="clear" w:color="auto" w:fill="auto"/>
            <w:noWrap/>
            <w:vAlign w:val="bottom"/>
            <w:hideMark/>
          </w:tcPr>
          <w:p w14:paraId="2F49CB58" w14:textId="77777777" w:rsidR="006E2294" w:rsidRPr="00943DFA" w:rsidRDefault="006E2294" w:rsidP="00373B60">
            <w:pPr>
              <w:contextualSpacing/>
              <w:rPr>
                <w:rFonts w:eastAsia="Times New Roman"/>
                <w:color w:val="0D0D0D" w:themeColor="text1" w:themeTint="F2"/>
                <w:sz w:val="20"/>
                <w:szCs w:val="20"/>
              </w:rPr>
            </w:pPr>
          </w:p>
        </w:tc>
        <w:tc>
          <w:tcPr>
            <w:tcW w:w="768" w:type="dxa"/>
            <w:tcBorders>
              <w:top w:val="nil"/>
              <w:left w:val="nil"/>
              <w:bottom w:val="nil"/>
              <w:right w:val="nil"/>
            </w:tcBorders>
            <w:shd w:val="clear" w:color="auto" w:fill="auto"/>
            <w:noWrap/>
            <w:vAlign w:val="center"/>
            <w:hideMark/>
          </w:tcPr>
          <w:p w14:paraId="3D0AAAD6"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38</w:t>
            </w:r>
          </w:p>
        </w:tc>
        <w:tc>
          <w:tcPr>
            <w:tcW w:w="463" w:type="dxa"/>
            <w:tcBorders>
              <w:top w:val="nil"/>
              <w:left w:val="nil"/>
              <w:bottom w:val="nil"/>
              <w:right w:val="nil"/>
            </w:tcBorders>
            <w:shd w:val="clear" w:color="auto" w:fill="auto"/>
            <w:noWrap/>
            <w:vAlign w:val="bottom"/>
            <w:hideMark/>
          </w:tcPr>
          <w:p w14:paraId="5D48B29A" w14:textId="77777777" w:rsidR="006E2294" w:rsidRPr="00943DFA" w:rsidRDefault="006E2294" w:rsidP="00373B60">
            <w:pPr>
              <w:contextualSpacing/>
              <w:jc w:val="center"/>
              <w:rPr>
                <w:rFonts w:eastAsia="Times New Roman"/>
                <w:color w:val="0D0D0D" w:themeColor="text1" w:themeTint="F2"/>
                <w:sz w:val="20"/>
                <w:szCs w:val="20"/>
              </w:rPr>
            </w:pPr>
          </w:p>
        </w:tc>
        <w:tc>
          <w:tcPr>
            <w:tcW w:w="266" w:type="dxa"/>
            <w:tcBorders>
              <w:top w:val="nil"/>
              <w:left w:val="nil"/>
              <w:bottom w:val="nil"/>
              <w:right w:val="nil"/>
            </w:tcBorders>
            <w:shd w:val="clear" w:color="auto" w:fill="auto"/>
            <w:noWrap/>
            <w:vAlign w:val="bottom"/>
            <w:hideMark/>
          </w:tcPr>
          <w:p w14:paraId="35E80159" w14:textId="77777777" w:rsidR="006E2294" w:rsidRPr="00943DFA" w:rsidRDefault="006E2294" w:rsidP="00373B60">
            <w:pPr>
              <w:contextualSpacing/>
              <w:jc w:val="center"/>
              <w:rPr>
                <w:rFonts w:eastAsia="Times New Roman"/>
                <w:color w:val="0D0D0D" w:themeColor="text1" w:themeTint="F2"/>
                <w:sz w:val="20"/>
                <w:szCs w:val="20"/>
              </w:rPr>
            </w:pPr>
          </w:p>
        </w:tc>
        <w:tc>
          <w:tcPr>
            <w:tcW w:w="862" w:type="dxa"/>
            <w:tcBorders>
              <w:top w:val="nil"/>
              <w:left w:val="nil"/>
              <w:bottom w:val="nil"/>
              <w:right w:val="nil"/>
            </w:tcBorders>
            <w:shd w:val="clear" w:color="auto" w:fill="auto"/>
            <w:noWrap/>
            <w:vAlign w:val="center"/>
            <w:hideMark/>
          </w:tcPr>
          <w:p w14:paraId="208878CB"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3.87</w:t>
            </w:r>
          </w:p>
        </w:tc>
        <w:tc>
          <w:tcPr>
            <w:tcW w:w="1122" w:type="dxa"/>
            <w:tcBorders>
              <w:top w:val="nil"/>
              <w:left w:val="nil"/>
              <w:bottom w:val="nil"/>
              <w:right w:val="nil"/>
            </w:tcBorders>
            <w:shd w:val="clear" w:color="auto" w:fill="auto"/>
            <w:noWrap/>
            <w:vAlign w:val="center"/>
            <w:hideMark/>
          </w:tcPr>
          <w:p w14:paraId="2E8EC5D6" w14:textId="77777777" w:rsidR="006E2294" w:rsidRPr="00943DFA" w:rsidRDefault="006E2294" w:rsidP="00373B60">
            <w:pPr>
              <w:contextualSpacing/>
              <w:jc w:val="center"/>
              <w:rPr>
                <w:rFonts w:eastAsia="Times New Roman"/>
                <w:color w:val="0D0D0D" w:themeColor="text1" w:themeTint="F2"/>
                <w:sz w:val="20"/>
                <w:szCs w:val="20"/>
              </w:rPr>
            </w:pPr>
            <w:r w:rsidRPr="00943DFA">
              <w:rPr>
                <w:rFonts w:eastAsia="Times New Roman"/>
                <w:color w:val="0D0D0D" w:themeColor="text1" w:themeTint="F2"/>
                <w:sz w:val="20"/>
                <w:szCs w:val="20"/>
              </w:rPr>
              <w:t>4.33</w:t>
            </w:r>
          </w:p>
        </w:tc>
      </w:tr>
      <w:tr w:rsidR="00943DFA" w:rsidRPr="00943DFA" w14:paraId="53F33DF2" w14:textId="77777777" w:rsidTr="00373B60">
        <w:trPr>
          <w:gridAfter w:val="3"/>
          <w:wAfter w:w="8784" w:type="dxa"/>
          <w:trHeight w:val="300"/>
        </w:trPr>
        <w:tc>
          <w:tcPr>
            <w:tcW w:w="2033" w:type="dxa"/>
            <w:gridSpan w:val="2"/>
            <w:tcBorders>
              <w:top w:val="nil"/>
              <w:left w:val="nil"/>
              <w:bottom w:val="single" w:sz="4" w:space="0" w:color="auto"/>
              <w:right w:val="nil"/>
            </w:tcBorders>
            <w:shd w:val="clear" w:color="auto" w:fill="auto"/>
            <w:vAlign w:val="center"/>
            <w:hideMark/>
          </w:tcPr>
          <w:p w14:paraId="1151264F" w14:textId="77777777" w:rsidR="006E2294" w:rsidRPr="00943DFA" w:rsidRDefault="006E2294" w:rsidP="00373B60">
            <w:pPr>
              <w:contextualSpacing/>
              <w:rPr>
                <w:rFonts w:eastAsia="Times New Roman"/>
                <w:i/>
                <w:iCs/>
                <w:color w:val="0D0D0D" w:themeColor="text1" w:themeTint="F2"/>
                <w:sz w:val="20"/>
                <w:szCs w:val="20"/>
              </w:rPr>
            </w:pPr>
            <w:r w:rsidRPr="00943DFA">
              <w:rPr>
                <w:rFonts w:eastAsia="Times New Roman"/>
                <w:i/>
                <w:iCs/>
                <w:color w:val="0D0D0D" w:themeColor="text1" w:themeTint="F2"/>
                <w:sz w:val="20"/>
                <w:szCs w:val="20"/>
              </w:rPr>
              <w:t>Totals</w:t>
            </w:r>
          </w:p>
        </w:tc>
        <w:tc>
          <w:tcPr>
            <w:tcW w:w="602" w:type="dxa"/>
            <w:tcBorders>
              <w:top w:val="nil"/>
              <w:left w:val="nil"/>
              <w:bottom w:val="single" w:sz="4" w:space="0" w:color="auto"/>
              <w:right w:val="nil"/>
            </w:tcBorders>
            <w:shd w:val="clear" w:color="auto" w:fill="auto"/>
            <w:noWrap/>
            <w:vAlign w:val="bottom"/>
            <w:hideMark/>
          </w:tcPr>
          <w:p w14:paraId="71376F40"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768" w:type="dxa"/>
            <w:tcBorders>
              <w:top w:val="nil"/>
              <w:left w:val="nil"/>
              <w:bottom w:val="single" w:sz="4" w:space="0" w:color="auto"/>
              <w:right w:val="nil"/>
            </w:tcBorders>
            <w:shd w:val="clear" w:color="auto" w:fill="auto"/>
            <w:noWrap/>
            <w:vAlign w:val="center"/>
            <w:hideMark/>
          </w:tcPr>
          <w:p w14:paraId="76B3E02F" w14:textId="77777777" w:rsidR="006E2294" w:rsidRPr="00943DFA" w:rsidRDefault="006E2294" w:rsidP="00373B60">
            <w:pPr>
              <w:contextualSpacing/>
              <w:jc w:val="center"/>
              <w:rPr>
                <w:rFonts w:eastAsia="Times New Roman"/>
                <w:i/>
                <w:iCs/>
                <w:color w:val="0D0D0D" w:themeColor="text1" w:themeTint="F2"/>
                <w:sz w:val="20"/>
                <w:szCs w:val="20"/>
              </w:rPr>
            </w:pPr>
            <w:r w:rsidRPr="00943DFA">
              <w:rPr>
                <w:rFonts w:eastAsia="Times New Roman"/>
                <w:i/>
                <w:iCs/>
                <w:color w:val="0D0D0D" w:themeColor="text1" w:themeTint="F2"/>
                <w:sz w:val="20"/>
                <w:szCs w:val="20"/>
              </w:rPr>
              <w:t>909</w:t>
            </w:r>
          </w:p>
        </w:tc>
        <w:tc>
          <w:tcPr>
            <w:tcW w:w="463" w:type="dxa"/>
            <w:tcBorders>
              <w:top w:val="nil"/>
              <w:left w:val="nil"/>
              <w:bottom w:val="single" w:sz="4" w:space="0" w:color="auto"/>
              <w:right w:val="nil"/>
            </w:tcBorders>
            <w:shd w:val="clear" w:color="auto" w:fill="auto"/>
            <w:noWrap/>
            <w:vAlign w:val="bottom"/>
            <w:hideMark/>
          </w:tcPr>
          <w:p w14:paraId="6DAC67AD"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266" w:type="dxa"/>
            <w:tcBorders>
              <w:top w:val="nil"/>
              <w:left w:val="nil"/>
              <w:bottom w:val="single" w:sz="4" w:space="0" w:color="auto"/>
              <w:right w:val="nil"/>
            </w:tcBorders>
            <w:shd w:val="clear" w:color="auto" w:fill="auto"/>
            <w:noWrap/>
            <w:vAlign w:val="bottom"/>
            <w:hideMark/>
          </w:tcPr>
          <w:p w14:paraId="4F16C6E4" w14:textId="77777777" w:rsidR="006E2294" w:rsidRPr="00943DFA" w:rsidRDefault="006E2294" w:rsidP="00373B60">
            <w:pPr>
              <w:contextualSpacing/>
              <w:rPr>
                <w:rFonts w:eastAsia="Times New Roman"/>
                <w:color w:val="0D0D0D" w:themeColor="text1" w:themeTint="F2"/>
                <w:sz w:val="20"/>
                <w:szCs w:val="20"/>
              </w:rPr>
            </w:pPr>
            <w:r w:rsidRPr="00943DFA">
              <w:rPr>
                <w:rFonts w:eastAsia="Times New Roman"/>
                <w:color w:val="0D0D0D" w:themeColor="text1" w:themeTint="F2"/>
                <w:sz w:val="20"/>
                <w:szCs w:val="20"/>
              </w:rPr>
              <w:t> </w:t>
            </w:r>
          </w:p>
        </w:tc>
        <w:tc>
          <w:tcPr>
            <w:tcW w:w="862" w:type="dxa"/>
            <w:tcBorders>
              <w:top w:val="nil"/>
              <w:left w:val="nil"/>
              <w:bottom w:val="single" w:sz="4" w:space="0" w:color="auto"/>
              <w:right w:val="nil"/>
            </w:tcBorders>
            <w:shd w:val="clear" w:color="auto" w:fill="auto"/>
            <w:noWrap/>
            <w:vAlign w:val="center"/>
            <w:hideMark/>
          </w:tcPr>
          <w:p w14:paraId="37D90B78" w14:textId="77777777" w:rsidR="006E2294" w:rsidRPr="00943DFA" w:rsidRDefault="006E2294" w:rsidP="00373B60">
            <w:pPr>
              <w:contextualSpacing/>
              <w:jc w:val="center"/>
              <w:rPr>
                <w:rFonts w:eastAsia="Times New Roman"/>
                <w:i/>
                <w:iCs/>
                <w:color w:val="0D0D0D" w:themeColor="text1" w:themeTint="F2"/>
                <w:sz w:val="20"/>
                <w:szCs w:val="20"/>
              </w:rPr>
            </w:pPr>
            <w:r w:rsidRPr="00943DFA">
              <w:rPr>
                <w:rFonts w:eastAsia="Times New Roman"/>
                <w:i/>
                <w:iCs/>
                <w:color w:val="0D0D0D" w:themeColor="text1" w:themeTint="F2"/>
                <w:sz w:val="20"/>
                <w:szCs w:val="20"/>
              </w:rPr>
              <w:t>3.5</w:t>
            </w:r>
          </w:p>
        </w:tc>
        <w:tc>
          <w:tcPr>
            <w:tcW w:w="1122" w:type="dxa"/>
            <w:tcBorders>
              <w:top w:val="nil"/>
              <w:left w:val="nil"/>
              <w:bottom w:val="single" w:sz="4" w:space="0" w:color="auto"/>
              <w:right w:val="nil"/>
            </w:tcBorders>
            <w:shd w:val="clear" w:color="auto" w:fill="auto"/>
            <w:noWrap/>
            <w:vAlign w:val="center"/>
            <w:hideMark/>
          </w:tcPr>
          <w:p w14:paraId="1C99D0FD" w14:textId="77777777" w:rsidR="006E2294" w:rsidRPr="00943DFA" w:rsidRDefault="006E2294" w:rsidP="00373B60">
            <w:pPr>
              <w:contextualSpacing/>
              <w:jc w:val="center"/>
              <w:rPr>
                <w:rFonts w:eastAsia="Times New Roman"/>
                <w:i/>
                <w:iCs/>
                <w:color w:val="0D0D0D" w:themeColor="text1" w:themeTint="F2"/>
                <w:sz w:val="20"/>
                <w:szCs w:val="20"/>
              </w:rPr>
            </w:pPr>
            <w:r w:rsidRPr="00943DFA">
              <w:rPr>
                <w:rFonts w:eastAsia="Times New Roman"/>
                <w:i/>
                <w:iCs/>
                <w:color w:val="0D0D0D" w:themeColor="text1" w:themeTint="F2"/>
                <w:sz w:val="20"/>
                <w:szCs w:val="20"/>
              </w:rPr>
              <w:t>4</w:t>
            </w:r>
          </w:p>
        </w:tc>
      </w:tr>
      <w:tr w:rsidR="00195130" w:rsidRPr="00943DFA" w14:paraId="63450747" w14:textId="77777777" w:rsidTr="00373B60">
        <w:trPr>
          <w:gridAfter w:val="1"/>
          <w:wAfter w:w="1190" w:type="dxa"/>
          <w:trHeight w:val="838"/>
        </w:trPr>
        <w:tc>
          <w:tcPr>
            <w:tcW w:w="13710" w:type="dxa"/>
            <w:gridSpan w:val="10"/>
            <w:tcBorders>
              <w:top w:val="nil"/>
              <w:left w:val="nil"/>
              <w:bottom w:val="nil"/>
              <w:right w:val="nil"/>
            </w:tcBorders>
            <w:shd w:val="clear" w:color="auto" w:fill="auto"/>
            <w:vAlign w:val="center"/>
            <w:hideMark/>
          </w:tcPr>
          <w:p w14:paraId="7547EC66" w14:textId="77777777" w:rsidR="00195130" w:rsidRPr="00943DFA" w:rsidRDefault="00195130" w:rsidP="00373B60">
            <w:pPr>
              <w:contextualSpacing/>
              <w:rPr>
                <w:rFonts w:eastAsia="Times New Roman"/>
                <w:color w:val="0D0D0D" w:themeColor="text1" w:themeTint="F2"/>
                <w:sz w:val="16"/>
                <w:szCs w:val="20"/>
              </w:rPr>
            </w:pPr>
            <w:r w:rsidRPr="00943DFA">
              <w:rPr>
                <w:rFonts w:eastAsia="Times New Roman"/>
                <w:color w:val="0D0D0D" w:themeColor="text1" w:themeTint="F2"/>
                <w:sz w:val="14"/>
                <w:szCs w:val="20"/>
              </w:rPr>
              <w:lastRenderedPageBreak/>
              <w:t>This table presents the descriptive statistics of three SEC review attributes including D</w:t>
            </w:r>
            <w:r w:rsidRPr="00943DFA">
              <w:rPr>
                <w:rFonts w:eastAsia="Times New Roman"/>
                <w:i/>
                <w:iCs/>
                <w:color w:val="0D0D0D" w:themeColor="text1" w:themeTint="F2"/>
                <w:sz w:val="14"/>
                <w:szCs w:val="20"/>
              </w:rPr>
              <w:t>uration</w:t>
            </w:r>
            <w:r w:rsidRPr="00943DFA">
              <w:rPr>
                <w:rFonts w:eastAsia="Times New Roman"/>
                <w:color w:val="0D0D0D" w:themeColor="text1" w:themeTint="F2"/>
                <w:sz w:val="14"/>
                <w:szCs w:val="20"/>
              </w:rPr>
              <w:t>, #L</w:t>
            </w:r>
            <w:r w:rsidRPr="00943DFA">
              <w:rPr>
                <w:rFonts w:eastAsia="Times New Roman"/>
                <w:i/>
                <w:iCs/>
                <w:color w:val="0D0D0D" w:themeColor="text1" w:themeTint="F2"/>
                <w:sz w:val="14"/>
                <w:szCs w:val="20"/>
              </w:rPr>
              <w:t xml:space="preserve">etters, #Comments </w:t>
            </w:r>
            <w:r w:rsidRPr="00943DFA">
              <w:rPr>
                <w:rFonts w:eastAsia="Times New Roman"/>
                <w:color w:val="0D0D0D" w:themeColor="text1" w:themeTint="F2"/>
                <w:sz w:val="14"/>
                <w:szCs w:val="20"/>
              </w:rPr>
              <w:t xml:space="preserve">and </w:t>
            </w:r>
            <w:r w:rsidRPr="00943DFA">
              <w:rPr>
                <w:rFonts w:eastAsia="Times New Roman"/>
                <w:i/>
                <w:iCs/>
                <w:color w:val="0D0D0D" w:themeColor="text1" w:themeTint="F2"/>
                <w:sz w:val="14"/>
                <w:szCs w:val="20"/>
              </w:rPr>
              <w:t>#Themes</w:t>
            </w:r>
            <w:r w:rsidRPr="00943DFA">
              <w:rPr>
                <w:rFonts w:eastAsia="Times New Roman"/>
                <w:color w:val="0D0D0D" w:themeColor="text1" w:themeTint="F2"/>
                <w:sz w:val="14"/>
                <w:szCs w:val="20"/>
              </w:rPr>
              <w:t>, for the full sample of 909 IPOs between 2005 and 2017. All variables are defined in Appendix 1. Panel A present the summary descriptive statistics of three SEC review attributes. Panel B presents the descriptive statistics of SEC review attributes by filing year of S-1 filing. Panel C presents the descriptive statistics of SEC review attributes by industry as classified by two-digits SIC code. Panel D presents the descriptive statistics of SEC review attributes by exchange listings, including AMEX, NYSE and NASDAQ. Panel E presents the summary descriptive statistics of SEC review attributes by SEC reviewers. Reviewer is the person who signed on the SEC comment letters. Among 710 initial comment letters, 4 comment letters having no signature are not included in this descriptive statistics. Panel F presents the descriptive statistics of SEC review attributes by offices of Division of Corporation Finance.  Office by company is collected basing on the 4-digits SIC codes as presented on EDGAR database, SIC code &amp; office list from SEC (</w:t>
            </w:r>
            <w:hyperlink r:id="rId21" w:history="1">
              <w:r w:rsidRPr="00943DFA">
                <w:rPr>
                  <w:rStyle w:val="Hyperlink"/>
                  <w:rFonts w:eastAsia="Times New Roman"/>
                  <w:color w:val="0D0D0D" w:themeColor="text1" w:themeTint="F2"/>
                  <w:sz w:val="14"/>
                  <w:szCs w:val="20"/>
                </w:rPr>
                <w:t>https://www.sec.gov/info/edgar/siccodes.htm?fbclid=IwAR05YInQ45LdvKZX1AJRrg-RQUG8p91Jz4wpn7EEBF13Ak4U2NSW_CC8hPo</w:t>
              </w:r>
            </w:hyperlink>
            <w:r w:rsidRPr="00943DFA">
              <w:rPr>
                <w:rFonts w:eastAsia="Times New Roman"/>
                <w:color w:val="0D0D0D" w:themeColor="text1" w:themeTint="F2"/>
                <w:sz w:val="14"/>
                <w:szCs w:val="20"/>
              </w:rPr>
              <w:t>) and name of the offices from SEC (</w:t>
            </w:r>
            <w:hyperlink r:id="rId22" w:history="1">
              <w:r w:rsidRPr="00943DFA">
                <w:rPr>
                  <w:rStyle w:val="Hyperlink"/>
                  <w:rFonts w:eastAsia="Times New Roman"/>
                  <w:color w:val="0D0D0D" w:themeColor="text1" w:themeTint="F2"/>
                  <w:sz w:val="14"/>
                  <w:szCs w:val="20"/>
                </w:rPr>
                <w:t>https://www.sec.gov/divisions/corpfin/ad-lookup.shtm</w:t>
              </w:r>
            </w:hyperlink>
            <w:r w:rsidRPr="00943DFA">
              <w:rPr>
                <w:rFonts w:eastAsia="Times New Roman"/>
                <w:color w:val="0D0D0D" w:themeColor="text1" w:themeTint="F2"/>
                <w:sz w:val="14"/>
                <w:szCs w:val="20"/>
              </w:rPr>
              <w:t xml:space="preserve"> ). </w:t>
            </w:r>
          </w:p>
        </w:tc>
      </w:tr>
    </w:tbl>
    <w:p w14:paraId="6A35234E" w14:textId="77777777" w:rsidR="00195130" w:rsidRPr="00943DFA" w:rsidRDefault="00195130" w:rsidP="00195130">
      <w:pPr>
        <w:spacing w:before="240" w:after="240" w:line="360" w:lineRule="auto"/>
        <w:jc w:val="both"/>
        <w:rPr>
          <w:color w:val="0D0D0D" w:themeColor="text1" w:themeTint="F2"/>
          <w:lang w:eastAsia="en-US"/>
        </w:rPr>
        <w:sectPr w:rsidR="00195130" w:rsidRPr="00943DFA" w:rsidSect="00373B60">
          <w:pgSz w:w="16838" w:h="11906" w:orient="landscape"/>
          <w:pgMar w:top="1276" w:right="1440" w:bottom="1440" w:left="1440" w:header="708" w:footer="708" w:gutter="0"/>
          <w:cols w:space="708"/>
          <w:docGrid w:linePitch="360"/>
        </w:sectPr>
      </w:pPr>
    </w:p>
    <w:p w14:paraId="1398527D" w14:textId="77777777" w:rsidR="00195130" w:rsidRPr="00943DFA" w:rsidRDefault="00195130" w:rsidP="00195130">
      <w:pPr>
        <w:pStyle w:val="Caption"/>
        <w:spacing w:before="240" w:after="240" w:line="360" w:lineRule="auto"/>
        <w:jc w:val="center"/>
        <w:rPr>
          <w:b/>
          <w:i w:val="0"/>
          <w:color w:val="0D0D0D" w:themeColor="text1" w:themeTint="F2"/>
          <w:sz w:val="36"/>
          <w:szCs w:val="24"/>
          <w:lang w:eastAsia="en-US"/>
        </w:rPr>
      </w:pPr>
      <w:bookmarkStart w:id="56" w:name="_Ref50695034"/>
      <w:bookmarkStart w:id="57" w:name="_Toc48144904"/>
      <w:bookmarkStart w:id="58" w:name="_Toc69749945"/>
      <w:r w:rsidRPr="00943DFA">
        <w:rPr>
          <w:b/>
          <w:i w:val="0"/>
          <w:color w:val="0D0D0D" w:themeColor="text1" w:themeTint="F2"/>
          <w:sz w:val="24"/>
        </w:rPr>
        <w:lastRenderedPageBreak/>
        <w:t xml:space="preserve">Figure </w:t>
      </w:r>
      <w:r w:rsidRPr="00943DFA">
        <w:rPr>
          <w:b/>
          <w:i w:val="0"/>
          <w:color w:val="0D0D0D" w:themeColor="text1" w:themeTint="F2"/>
          <w:sz w:val="24"/>
        </w:rPr>
        <w:fldChar w:fldCharType="begin"/>
      </w:r>
      <w:r w:rsidRPr="00943DFA">
        <w:rPr>
          <w:b/>
          <w:i w:val="0"/>
          <w:color w:val="0D0D0D" w:themeColor="text1" w:themeTint="F2"/>
          <w:sz w:val="24"/>
        </w:rPr>
        <w:instrText xml:space="preserve"> STYLEREF 1 \s </w:instrText>
      </w:r>
      <w:r w:rsidRPr="00943DFA">
        <w:rPr>
          <w:b/>
          <w:i w:val="0"/>
          <w:color w:val="0D0D0D" w:themeColor="text1" w:themeTint="F2"/>
          <w:sz w:val="24"/>
        </w:rPr>
        <w:fldChar w:fldCharType="separate"/>
      </w:r>
      <w:r w:rsidRPr="00943DFA">
        <w:rPr>
          <w:b/>
          <w:i w:val="0"/>
          <w:noProof/>
          <w:color w:val="0D0D0D" w:themeColor="text1" w:themeTint="F2"/>
          <w:sz w:val="24"/>
        </w:rPr>
        <w:t>3</w:t>
      </w:r>
      <w:r w:rsidRPr="00943DFA">
        <w:rPr>
          <w:b/>
          <w:i w:val="0"/>
          <w:color w:val="0D0D0D" w:themeColor="text1" w:themeTint="F2"/>
          <w:sz w:val="24"/>
        </w:rPr>
        <w:fldChar w:fldCharType="end"/>
      </w:r>
      <w:r w:rsidRPr="00943DFA">
        <w:rPr>
          <w:b/>
          <w:i w:val="0"/>
          <w:color w:val="0D0D0D" w:themeColor="text1" w:themeTint="F2"/>
          <w:sz w:val="24"/>
        </w:rPr>
        <w:t>.</w:t>
      </w:r>
      <w:r w:rsidRPr="00943DFA">
        <w:rPr>
          <w:b/>
          <w:i w:val="0"/>
          <w:color w:val="0D0D0D" w:themeColor="text1" w:themeTint="F2"/>
          <w:sz w:val="24"/>
        </w:rPr>
        <w:fldChar w:fldCharType="begin"/>
      </w:r>
      <w:r w:rsidRPr="00943DFA">
        <w:rPr>
          <w:b/>
          <w:i w:val="0"/>
          <w:color w:val="0D0D0D" w:themeColor="text1" w:themeTint="F2"/>
          <w:sz w:val="24"/>
        </w:rPr>
        <w:instrText xml:space="preserve"> SEQ Figure \* ARABIC \s 1 </w:instrText>
      </w:r>
      <w:r w:rsidRPr="00943DFA">
        <w:rPr>
          <w:b/>
          <w:i w:val="0"/>
          <w:color w:val="0D0D0D" w:themeColor="text1" w:themeTint="F2"/>
          <w:sz w:val="24"/>
        </w:rPr>
        <w:fldChar w:fldCharType="separate"/>
      </w:r>
      <w:r w:rsidRPr="00943DFA">
        <w:rPr>
          <w:b/>
          <w:i w:val="0"/>
          <w:noProof/>
          <w:color w:val="0D0D0D" w:themeColor="text1" w:themeTint="F2"/>
          <w:sz w:val="24"/>
        </w:rPr>
        <w:t>3</w:t>
      </w:r>
      <w:r w:rsidRPr="00943DFA">
        <w:rPr>
          <w:b/>
          <w:i w:val="0"/>
          <w:color w:val="0D0D0D" w:themeColor="text1" w:themeTint="F2"/>
          <w:sz w:val="24"/>
        </w:rPr>
        <w:fldChar w:fldCharType="end"/>
      </w:r>
      <w:bookmarkEnd w:id="56"/>
      <w:r w:rsidRPr="00943DFA">
        <w:rPr>
          <w:b/>
          <w:i w:val="0"/>
          <w:color w:val="0D0D0D" w:themeColor="text1" w:themeTint="F2"/>
          <w:sz w:val="24"/>
        </w:rPr>
        <w:t>. Duration of SEC reviews by year</w:t>
      </w:r>
      <w:bookmarkEnd w:id="57"/>
      <w:bookmarkEnd w:id="58"/>
    </w:p>
    <w:p w14:paraId="55A12F25" w14:textId="77777777" w:rsidR="00195130" w:rsidRPr="00943DFA" w:rsidRDefault="00195130" w:rsidP="00195130">
      <w:pPr>
        <w:spacing w:before="240" w:after="240" w:line="360" w:lineRule="auto"/>
        <w:ind w:left="993"/>
        <w:jc w:val="center"/>
        <w:rPr>
          <w:color w:val="0D0D0D" w:themeColor="text1" w:themeTint="F2"/>
          <w:lang w:eastAsia="en-US"/>
        </w:rPr>
      </w:pPr>
      <w:r w:rsidRPr="00943DFA">
        <w:rPr>
          <w:noProof/>
          <w:color w:val="0D0D0D" w:themeColor="text1" w:themeTint="F2"/>
        </w:rPr>
        <w:drawing>
          <wp:inline distT="0" distB="0" distL="0" distR="0" wp14:anchorId="11E6C336" wp14:editId="5CDBBB44">
            <wp:extent cx="4519930" cy="2225615"/>
            <wp:effectExtent l="0" t="0" r="1397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9A7EF3" w14:textId="77777777" w:rsidR="00195130" w:rsidRPr="00943DFA" w:rsidRDefault="00195130" w:rsidP="00195130">
      <w:pPr>
        <w:pStyle w:val="Caption"/>
        <w:spacing w:before="240" w:after="240" w:line="360" w:lineRule="auto"/>
        <w:jc w:val="center"/>
        <w:rPr>
          <w:b/>
          <w:i w:val="0"/>
          <w:color w:val="0D0D0D" w:themeColor="text1" w:themeTint="F2"/>
          <w:sz w:val="36"/>
          <w:szCs w:val="24"/>
        </w:rPr>
      </w:pPr>
      <w:bookmarkStart w:id="59" w:name="_Ref50695037"/>
      <w:bookmarkStart w:id="60" w:name="_Toc48144905"/>
      <w:bookmarkStart w:id="61" w:name="_Toc69749946"/>
      <w:r w:rsidRPr="00943DFA">
        <w:rPr>
          <w:b/>
          <w:i w:val="0"/>
          <w:color w:val="0D0D0D" w:themeColor="text1" w:themeTint="F2"/>
          <w:sz w:val="24"/>
        </w:rPr>
        <w:t xml:space="preserve">Figure </w:t>
      </w:r>
      <w:r w:rsidRPr="00943DFA">
        <w:rPr>
          <w:b/>
          <w:i w:val="0"/>
          <w:color w:val="0D0D0D" w:themeColor="text1" w:themeTint="F2"/>
          <w:sz w:val="24"/>
        </w:rPr>
        <w:fldChar w:fldCharType="begin"/>
      </w:r>
      <w:r w:rsidRPr="00943DFA">
        <w:rPr>
          <w:b/>
          <w:i w:val="0"/>
          <w:color w:val="0D0D0D" w:themeColor="text1" w:themeTint="F2"/>
          <w:sz w:val="24"/>
        </w:rPr>
        <w:instrText xml:space="preserve"> STYLEREF 1 \s </w:instrText>
      </w:r>
      <w:r w:rsidRPr="00943DFA">
        <w:rPr>
          <w:b/>
          <w:i w:val="0"/>
          <w:color w:val="0D0D0D" w:themeColor="text1" w:themeTint="F2"/>
          <w:sz w:val="24"/>
        </w:rPr>
        <w:fldChar w:fldCharType="separate"/>
      </w:r>
      <w:r w:rsidRPr="00943DFA">
        <w:rPr>
          <w:b/>
          <w:i w:val="0"/>
          <w:noProof/>
          <w:color w:val="0D0D0D" w:themeColor="text1" w:themeTint="F2"/>
          <w:sz w:val="24"/>
        </w:rPr>
        <w:t>3</w:t>
      </w:r>
      <w:r w:rsidRPr="00943DFA">
        <w:rPr>
          <w:b/>
          <w:i w:val="0"/>
          <w:color w:val="0D0D0D" w:themeColor="text1" w:themeTint="F2"/>
          <w:sz w:val="24"/>
        </w:rPr>
        <w:fldChar w:fldCharType="end"/>
      </w:r>
      <w:r w:rsidRPr="00943DFA">
        <w:rPr>
          <w:b/>
          <w:i w:val="0"/>
          <w:color w:val="0D0D0D" w:themeColor="text1" w:themeTint="F2"/>
          <w:sz w:val="24"/>
        </w:rPr>
        <w:t>.</w:t>
      </w:r>
      <w:r w:rsidRPr="00943DFA">
        <w:rPr>
          <w:b/>
          <w:i w:val="0"/>
          <w:color w:val="0D0D0D" w:themeColor="text1" w:themeTint="F2"/>
          <w:sz w:val="24"/>
        </w:rPr>
        <w:fldChar w:fldCharType="begin"/>
      </w:r>
      <w:r w:rsidRPr="00943DFA">
        <w:rPr>
          <w:b/>
          <w:i w:val="0"/>
          <w:color w:val="0D0D0D" w:themeColor="text1" w:themeTint="F2"/>
          <w:sz w:val="24"/>
        </w:rPr>
        <w:instrText xml:space="preserve"> SEQ Figure \* ARABIC \s 1 </w:instrText>
      </w:r>
      <w:r w:rsidRPr="00943DFA">
        <w:rPr>
          <w:b/>
          <w:i w:val="0"/>
          <w:color w:val="0D0D0D" w:themeColor="text1" w:themeTint="F2"/>
          <w:sz w:val="24"/>
        </w:rPr>
        <w:fldChar w:fldCharType="separate"/>
      </w:r>
      <w:r w:rsidRPr="00943DFA">
        <w:rPr>
          <w:b/>
          <w:i w:val="0"/>
          <w:noProof/>
          <w:color w:val="0D0D0D" w:themeColor="text1" w:themeTint="F2"/>
          <w:sz w:val="24"/>
        </w:rPr>
        <w:t>4</w:t>
      </w:r>
      <w:r w:rsidRPr="00943DFA">
        <w:rPr>
          <w:b/>
          <w:i w:val="0"/>
          <w:color w:val="0D0D0D" w:themeColor="text1" w:themeTint="F2"/>
          <w:sz w:val="24"/>
        </w:rPr>
        <w:fldChar w:fldCharType="end"/>
      </w:r>
      <w:bookmarkEnd w:id="59"/>
      <w:r w:rsidRPr="00943DFA">
        <w:rPr>
          <w:b/>
          <w:i w:val="0"/>
          <w:color w:val="0D0D0D" w:themeColor="text1" w:themeTint="F2"/>
          <w:sz w:val="24"/>
        </w:rPr>
        <w:t>. The number of comment letters by year</w:t>
      </w:r>
      <w:bookmarkEnd w:id="60"/>
      <w:bookmarkEnd w:id="61"/>
    </w:p>
    <w:p w14:paraId="79050851" w14:textId="77777777" w:rsidR="00195130" w:rsidRPr="00943DFA" w:rsidRDefault="00195130" w:rsidP="00195130">
      <w:pPr>
        <w:spacing w:before="240" w:after="240" w:line="360" w:lineRule="auto"/>
        <w:ind w:left="851"/>
        <w:jc w:val="center"/>
        <w:rPr>
          <w:color w:val="0D0D0D" w:themeColor="text1" w:themeTint="F2"/>
        </w:rPr>
      </w:pPr>
      <w:r w:rsidRPr="00943DFA">
        <w:rPr>
          <w:noProof/>
          <w:color w:val="0D0D0D" w:themeColor="text1" w:themeTint="F2"/>
        </w:rPr>
        <w:drawing>
          <wp:inline distT="0" distB="0" distL="0" distR="0" wp14:anchorId="74AC18EF" wp14:editId="094584FC">
            <wp:extent cx="4520242" cy="1837426"/>
            <wp:effectExtent l="0" t="0" r="13970"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1CF5AC" w14:textId="77777777" w:rsidR="00195130" w:rsidRPr="00943DFA" w:rsidRDefault="00195130" w:rsidP="00195130">
      <w:pPr>
        <w:pStyle w:val="Caption"/>
        <w:spacing w:before="240" w:after="240" w:line="360" w:lineRule="auto"/>
        <w:rPr>
          <w:b/>
          <w:i w:val="0"/>
          <w:color w:val="0D0D0D" w:themeColor="text1" w:themeTint="F2"/>
          <w:sz w:val="24"/>
          <w:szCs w:val="24"/>
        </w:rPr>
      </w:pPr>
    </w:p>
    <w:p w14:paraId="5F09B733" w14:textId="77777777" w:rsidR="00195130" w:rsidRPr="00943DFA" w:rsidRDefault="00195130" w:rsidP="00195130">
      <w:pPr>
        <w:pStyle w:val="Caption"/>
        <w:spacing w:before="240" w:after="240" w:line="360" w:lineRule="auto"/>
        <w:jc w:val="center"/>
        <w:rPr>
          <w:b/>
          <w:i w:val="0"/>
          <w:color w:val="0D0D0D" w:themeColor="text1" w:themeTint="F2"/>
          <w:sz w:val="36"/>
          <w:szCs w:val="24"/>
        </w:rPr>
      </w:pPr>
      <w:bookmarkStart w:id="62" w:name="_Ref50695039"/>
      <w:bookmarkStart w:id="63" w:name="_Toc48144906"/>
      <w:bookmarkStart w:id="64" w:name="_Toc69749947"/>
      <w:r w:rsidRPr="00943DFA">
        <w:rPr>
          <w:b/>
          <w:i w:val="0"/>
          <w:color w:val="0D0D0D" w:themeColor="text1" w:themeTint="F2"/>
          <w:sz w:val="24"/>
        </w:rPr>
        <w:lastRenderedPageBreak/>
        <w:t xml:space="preserve">Figure </w:t>
      </w:r>
      <w:r w:rsidRPr="00943DFA">
        <w:rPr>
          <w:b/>
          <w:i w:val="0"/>
          <w:color w:val="0D0D0D" w:themeColor="text1" w:themeTint="F2"/>
          <w:sz w:val="24"/>
        </w:rPr>
        <w:fldChar w:fldCharType="begin"/>
      </w:r>
      <w:r w:rsidRPr="00943DFA">
        <w:rPr>
          <w:b/>
          <w:i w:val="0"/>
          <w:color w:val="0D0D0D" w:themeColor="text1" w:themeTint="F2"/>
          <w:sz w:val="24"/>
        </w:rPr>
        <w:instrText xml:space="preserve"> STYLEREF 1 \s </w:instrText>
      </w:r>
      <w:r w:rsidRPr="00943DFA">
        <w:rPr>
          <w:b/>
          <w:i w:val="0"/>
          <w:color w:val="0D0D0D" w:themeColor="text1" w:themeTint="F2"/>
          <w:sz w:val="24"/>
        </w:rPr>
        <w:fldChar w:fldCharType="separate"/>
      </w:r>
      <w:r w:rsidRPr="00943DFA">
        <w:rPr>
          <w:b/>
          <w:i w:val="0"/>
          <w:noProof/>
          <w:color w:val="0D0D0D" w:themeColor="text1" w:themeTint="F2"/>
          <w:sz w:val="24"/>
        </w:rPr>
        <w:t>3</w:t>
      </w:r>
      <w:r w:rsidRPr="00943DFA">
        <w:rPr>
          <w:b/>
          <w:i w:val="0"/>
          <w:color w:val="0D0D0D" w:themeColor="text1" w:themeTint="F2"/>
          <w:sz w:val="24"/>
        </w:rPr>
        <w:fldChar w:fldCharType="end"/>
      </w:r>
      <w:r w:rsidRPr="00943DFA">
        <w:rPr>
          <w:b/>
          <w:i w:val="0"/>
          <w:color w:val="0D0D0D" w:themeColor="text1" w:themeTint="F2"/>
          <w:sz w:val="24"/>
        </w:rPr>
        <w:t>.</w:t>
      </w:r>
      <w:r w:rsidRPr="00943DFA">
        <w:rPr>
          <w:b/>
          <w:i w:val="0"/>
          <w:color w:val="0D0D0D" w:themeColor="text1" w:themeTint="F2"/>
          <w:sz w:val="24"/>
        </w:rPr>
        <w:fldChar w:fldCharType="begin"/>
      </w:r>
      <w:r w:rsidRPr="00943DFA">
        <w:rPr>
          <w:b/>
          <w:i w:val="0"/>
          <w:color w:val="0D0D0D" w:themeColor="text1" w:themeTint="F2"/>
          <w:sz w:val="24"/>
        </w:rPr>
        <w:instrText xml:space="preserve"> SEQ Figure \* ARABIC \s 1 </w:instrText>
      </w:r>
      <w:r w:rsidRPr="00943DFA">
        <w:rPr>
          <w:b/>
          <w:i w:val="0"/>
          <w:color w:val="0D0D0D" w:themeColor="text1" w:themeTint="F2"/>
          <w:sz w:val="24"/>
        </w:rPr>
        <w:fldChar w:fldCharType="separate"/>
      </w:r>
      <w:r w:rsidRPr="00943DFA">
        <w:rPr>
          <w:b/>
          <w:i w:val="0"/>
          <w:noProof/>
          <w:color w:val="0D0D0D" w:themeColor="text1" w:themeTint="F2"/>
          <w:sz w:val="24"/>
        </w:rPr>
        <w:t>5</w:t>
      </w:r>
      <w:r w:rsidRPr="00943DFA">
        <w:rPr>
          <w:b/>
          <w:i w:val="0"/>
          <w:color w:val="0D0D0D" w:themeColor="text1" w:themeTint="F2"/>
          <w:sz w:val="24"/>
        </w:rPr>
        <w:fldChar w:fldCharType="end"/>
      </w:r>
      <w:bookmarkEnd w:id="62"/>
      <w:r w:rsidRPr="00943DFA">
        <w:rPr>
          <w:b/>
          <w:i w:val="0"/>
          <w:color w:val="0D0D0D" w:themeColor="text1" w:themeTint="F2"/>
          <w:sz w:val="24"/>
        </w:rPr>
        <w:t>. The number of comments by year</w:t>
      </w:r>
      <w:bookmarkEnd w:id="63"/>
      <w:bookmarkEnd w:id="64"/>
    </w:p>
    <w:p w14:paraId="12C61910" w14:textId="77777777" w:rsidR="00195130" w:rsidRPr="00943DFA" w:rsidRDefault="00195130" w:rsidP="00195130">
      <w:pPr>
        <w:spacing w:before="240" w:after="240" w:line="360" w:lineRule="auto"/>
        <w:ind w:left="993"/>
        <w:jc w:val="center"/>
        <w:rPr>
          <w:color w:val="0D0D0D" w:themeColor="text1" w:themeTint="F2"/>
          <w:lang w:eastAsia="en-US"/>
        </w:rPr>
      </w:pPr>
      <w:r w:rsidRPr="00943DFA">
        <w:rPr>
          <w:noProof/>
          <w:color w:val="0D0D0D" w:themeColor="text1" w:themeTint="F2"/>
        </w:rPr>
        <w:drawing>
          <wp:inline distT="0" distB="0" distL="0" distR="0" wp14:anchorId="4B0B6A46" wp14:editId="0FF8D826">
            <wp:extent cx="4900920" cy="2243240"/>
            <wp:effectExtent l="0" t="0" r="14605"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BC461D" w14:textId="77777777" w:rsidR="00195130" w:rsidRPr="00943DFA" w:rsidRDefault="00195130" w:rsidP="00195130">
      <w:pPr>
        <w:pStyle w:val="Caption"/>
        <w:spacing w:before="240" w:after="240" w:line="360" w:lineRule="auto"/>
        <w:jc w:val="center"/>
        <w:rPr>
          <w:b/>
          <w:i w:val="0"/>
          <w:color w:val="0D0D0D" w:themeColor="text1" w:themeTint="F2"/>
          <w:sz w:val="36"/>
          <w:lang w:eastAsia="en-US"/>
        </w:rPr>
      </w:pPr>
      <w:bookmarkStart w:id="65" w:name="_Ref50695041"/>
      <w:bookmarkStart w:id="66" w:name="_Toc48144907"/>
      <w:bookmarkStart w:id="67" w:name="_Toc69749948"/>
      <w:r w:rsidRPr="00943DFA">
        <w:rPr>
          <w:b/>
          <w:i w:val="0"/>
          <w:color w:val="0D0D0D" w:themeColor="text1" w:themeTint="F2"/>
          <w:sz w:val="24"/>
        </w:rPr>
        <w:t xml:space="preserve">Figure </w:t>
      </w:r>
      <w:r w:rsidRPr="00943DFA">
        <w:rPr>
          <w:b/>
          <w:i w:val="0"/>
          <w:color w:val="0D0D0D" w:themeColor="text1" w:themeTint="F2"/>
          <w:sz w:val="24"/>
        </w:rPr>
        <w:fldChar w:fldCharType="begin"/>
      </w:r>
      <w:r w:rsidRPr="00943DFA">
        <w:rPr>
          <w:b/>
          <w:i w:val="0"/>
          <w:color w:val="0D0D0D" w:themeColor="text1" w:themeTint="F2"/>
          <w:sz w:val="24"/>
        </w:rPr>
        <w:instrText xml:space="preserve"> STYLEREF 1 \s </w:instrText>
      </w:r>
      <w:r w:rsidRPr="00943DFA">
        <w:rPr>
          <w:b/>
          <w:i w:val="0"/>
          <w:color w:val="0D0D0D" w:themeColor="text1" w:themeTint="F2"/>
          <w:sz w:val="24"/>
        </w:rPr>
        <w:fldChar w:fldCharType="separate"/>
      </w:r>
      <w:r w:rsidRPr="00943DFA">
        <w:rPr>
          <w:b/>
          <w:i w:val="0"/>
          <w:noProof/>
          <w:color w:val="0D0D0D" w:themeColor="text1" w:themeTint="F2"/>
          <w:sz w:val="24"/>
        </w:rPr>
        <w:t>3</w:t>
      </w:r>
      <w:r w:rsidRPr="00943DFA">
        <w:rPr>
          <w:b/>
          <w:i w:val="0"/>
          <w:color w:val="0D0D0D" w:themeColor="text1" w:themeTint="F2"/>
          <w:sz w:val="24"/>
        </w:rPr>
        <w:fldChar w:fldCharType="end"/>
      </w:r>
      <w:r w:rsidRPr="00943DFA">
        <w:rPr>
          <w:b/>
          <w:i w:val="0"/>
          <w:color w:val="0D0D0D" w:themeColor="text1" w:themeTint="F2"/>
          <w:sz w:val="24"/>
        </w:rPr>
        <w:t>.</w:t>
      </w:r>
      <w:r w:rsidRPr="00943DFA">
        <w:rPr>
          <w:b/>
          <w:i w:val="0"/>
          <w:color w:val="0D0D0D" w:themeColor="text1" w:themeTint="F2"/>
          <w:sz w:val="24"/>
        </w:rPr>
        <w:fldChar w:fldCharType="begin"/>
      </w:r>
      <w:r w:rsidRPr="00943DFA">
        <w:rPr>
          <w:b/>
          <w:i w:val="0"/>
          <w:color w:val="0D0D0D" w:themeColor="text1" w:themeTint="F2"/>
          <w:sz w:val="24"/>
        </w:rPr>
        <w:instrText xml:space="preserve"> SEQ Figure \* ARABIC \s 1 </w:instrText>
      </w:r>
      <w:r w:rsidRPr="00943DFA">
        <w:rPr>
          <w:b/>
          <w:i w:val="0"/>
          <w:color w:val="0D0D0D" w:themeColor="text1" w:themeTint="F2"/>
          <w:sz w:val="24"/>
        </w:rPr>
        <w:fldChar w:fldCharType="separate"/>
      </w:r>
      <w:r w:rsidRPr="00943DFA">
        <w:rPr>
          <w:b/>
          <w:i w:val="0"/>
          <w:noProof/>
          <w:color w:val="0D0D0D" w:themeColor="text1" w:themeTint="F2"/>
          <w:sz w:val="24"/>
        </w:rPr>
        <w:t>6</w:t>
      </w:r>
      <w:r w:rsidRPr="00943DFA">
        <w:rPr>
          <w:b/>
          <w:i w:val="0"/>
          <w:color w:val="0D0D0D" w:themeColor="text1" w:themeTint="F2"/>
          <w:sz w:val="24"/>
        </w:rPr>
        <w:fldChar w:fldCharType="end"/>
      </w:r>
      <w:bookmarkEnd w:id="65"/>
      <w:r w:rsidRPr="00943DFA">
        <w:rPr>
          <w:b/>
          <w:i w:val="0"/>
          <w:color w:val="0D0D0D" w:themeColor="text1" w:themeTint="F2"/>
          <w:sz w:val="24"/>
        </w:rPr>
        <w:t>. The number of themes by year</w:t>
      </w:r>
      <w:bookmarkEnd w:id="66"/>
      <w:bookmarkEnd w:id="67"/>
    </w:p>
    <w:p w14:paraId="55DAB56E" w14:textId="77777777" w:rsidR="00195130" w:rsidRPr="00943DFA" w:rsidRDefault="00195130" w:rsidP="00195130">
      <w:pPr>
        <w:spacing w:before="240" w:after="240" w:line="360" w:lineRule="auto"/>
        <w:ind w:left="993"/>
        <w:jc w:val="center"/>
        <w:rPr>
          <w:color w:val="0D0D0D" w:themeColor="text1" w:themeTint="F2"/>
          <w:lang w:eastAsia="en-US"/>
        </w:rPr>
      </w:pPr>
      <w:r w:rsidRPr="00943DFA">
        <w:rPr>
          <w:noProof/>
          <w:color w:val="0D0D0D" w:themeColor="text1" w:themeTint="F2"/>
        </w:rPr>
        <w:drawing>
          <wp:inline distT="0" distB="0" distL="0" distR="0" wp14:anchorId="5888DFAD" wp14:editId="15F9E0B1">
            <wp:extent cx="5019675" cy="23907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6F1035" w14:textId="77777777" w:rsidR="00195130" w:rsidRPr="00943DFA" w:rsidRDefault="00195130" w:rsidP="00195130">
      <w:pPr>
        <w:spacing w:before="240" w:after="240" w:line="360" w:lineRule="auto"/>
        <w:jc w:val="both"/>
        <w:outlineLvl w:val="1"/>
        <w:rPr>
          <w:color w:val="0D0D0D" w:themeColor="text1" w:themeTint="F2"/>
          <w:lang w:eastAsia="en-US"/>
        </w:rPr>
        <w:sectPr w:rsidR="00195130" w:rsidRPr="00943DFA" w:rsidSect="00373B60">
          <w:pgSz w:w="16838" w:h="11906" w:orient="landscape"/>
          <w:pgMar w:top="1276" w:right="1440" w:bottom="1440" w:left="1440" w:header="708" w:footer="708" w:gutter="0"/>
          <w:cols w:space="708"/>
          <w:docGrid w:linePitch="360"/>
        </w:sectPr>
      </w:pPr>
    </w:p>
    <w:p w14:paraId="39CD9387" w14:textId="77777777" w:rsidR="00195130" w:rsidRPr="00943DFA" w:rsidRDefault="00195130" w:rsidP="00195130">
      <w:pPr>
        <w:pStyle w:val="ListParagraph"/>
        <w:numPr>
          <w:ilvl w:val="2"/>
          <w:numId w:val="38"/>
        </w:numPr>
        <w:spacing w:before="240" w:after="240" w:line="360" w:lineRule="auto"/>
        <w:ind w:left="1276"/>
        <w:contextualSpacing w:val="0"/>
        <w:jc w:val="both"/>
        <w:outlineLvl w:val="2"/>
        <w:rPr>
          <w:b/>
          <w:color w:val="0D0D0D" w:themeColor="text1" w:themeTint="F2"/>
          <w:lang w:eastAsia="en-US"/>
        </w:rPr>
      </w:pPr>
      <w:bookmarkStart w:id="68" w:name="_Toc48203616"/>
      <w:bookmarkStart w:id="69" w:name="_Toc50713977"/>
      <w:bookmarkStart w:id="70" w:name="_Toc69749267"/>
      <w:r w:rsidRPr="00943DFA">
        <w:rPr>
          <w:b/>
          <w:color w:val="0D0D0D" w:themeColor="text1" w:themeTint="F2"/>
          <w:lang w:eastAsia="en-US"/>
        </w:rPr>
        <w:lastRenderedPageBreak/>
        <w:t>Descriptive statistics for IPO firm characteristics</w:t>
      </w:r>
      <w:bookmarkEnd w:id="68"/>
      <w:bookmarkEnd w:id="69"/>
      <w:bookmarkEnd w:id="70"/>
    </w:p>
    <w:p w14:paraId="1EA16674"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lang w:eastAsia="en-US"/>
        </w:rPr>
        <w:t>Table 3.6 provides descriptive statistics for IPO firm characteristics.</w:t>
      </w:r>
      <w:r w:rsidRPr="00943DFA">
        <w:rPr>
          <w:rStyle w:val="FootnoteReference"/>
          <w:color w:val="0D0D0D" w:themeColor="text1" w:themeTint="F2"/>
        </w:rPr>
        <w:footnoteReference w:id="18"/>
      </w:r>
      <w:r w:rsidRPr="00943DFA">
        <w:rPr>
          <w:color w:val="0D0D0D" w:themeColor="text1" w:themeTint="F2"/>
          <w:lang w:eastAsia="en-US"/>
        </w:rPr>
        <w:t xml:space="preserve"> Regarding company size, the median value of </w:t>
      </w:r>
      <w:r w:rsidRPr="00943DFA">
        <w:rPr>
          <w:i/>
          <w:color w:val="0D0D0D" w:themeColor="text1" w:themeTint="F2"/>
          <w:lang w:eastAsia="en-US"/>
        </w:rPr>
        <w:t>Size</w:t>
      </w:r>
      <w:r w:rsidRPr="00943DFA">
        <w:rPr>
          <w:color w:val="0D0D0D" w:themeColor="text1" w:themeTint="F2"/>
          <w:lang w:eastAsia="en-US"/>
        </w:rPr>
        <w:t>, which is based on the firms’ total assets, is $64.89 million, which indicates that on average, U.S. IPOs in the sample are large companies.</w:t>
      </w:r>
      <w:r w:rsidRPr="00943DFA">
        <w:rPr>
          <w:rStyle w:val="FootnoteReference"/>
          <w:color w:val="0D0D0D" w:themeColor="text1" w:themeTint="F2"/>
        </w:rPr>
        <w:footnoteReference w:id="19"/>
      </w:r>
      <w:r w:rsidRPr="00943DFA">
        <w:rPr>
          <w:color w:val="0D0D0D" w:themeColor="text1" w:themeTint="F2"/>
          <w:lang w:eastAsia="en-US"/>
        </w:rPr>
        <w:t xml:space="preserve"> Concerning company age, the median value of </w:t>
      </w:r>
      <w:r w:rsidRPr="00943DFA">
        <w:rPr>
          <w:i/>
          <w:color w:val="0D0D0D" w:themeColor="text1" w:themeTint="F2"/>
          <w:lang w:eastAsia="en-US"/>
        </w:rPr>
        <w:t xml:space="preserve">Age </w:t>
      </w:r>
      <w:r w:rsidRPr="00943DFA">
        <w:rPr>
          <w:color w:val="0D0D0D" w:themeColor="text1" w:themeTint="F2"/>
          <w:lang w:eastAsia="en-US"/>
        </w:rPr>
        <w:t xml:space="preserve">is 1, which indicates that on average, U.S IPOs are young, having been established for approximately 1 years. </w:t>
      </w:r>
    </w:p>
    <w:p w14:paraId="30E443C3"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In terms of business complexity, </w:t>
      </w:r>
      <w:r w:rsidRPr="00943DFA">
        <w:rPr>
          <w:i/>
          <w:color w:val="0D0D0D" w:themeColor="text1" w:themeTint="F2"/>
          <w:lang w:eastAsia="en-US"/>
        </w:rPr>
        <w:t>Sales growth</w:t>
      </w:r>
      <w:r w:rsidRPr="00943DFA">
        <w:rPr>
          <w:color w:val="0D0D0D" w:themeColor="text1" w:themeTint="F2"/>
          <w:lang w:eastAsia="en-US"/>
        </w:rPr>
        <w:t xml:space="preserve"> is positive on average, with a median value of 30.89%, which indicates that U.S IPOs generally experience a relatively high growth in sales. The median value of </w:t>
      </w:r>
      <w:r w:rsidRPr="00943DFA">
        <w:rPr>
          <w:i/>
          <w:color w:val="0D0D0D" w:themeColor="text1" w:themeTint="F2"/>
          <w:lang w:eastAsia="en-US"/>
        </w:rPr>
        <w:t xml:space="preserve">Segments </w:t>
      </w:r>
      <w:r w:rsidRPr="00943DFA">
        <w:rPr>
          <w:color w:val="0D0D0D" w:themeColor="text1" w:themeTint="F2"/>
          <w:lang w:eastAsia="en-US"/>
        </w:rPr>
        <w:t xml:space="preserve">is 1, which indicates that on average, U.S IPOs are not diversified in their areas of operation, generally having only one business segment. The mean value of </w:t>
      </w:r>
      <w:r w:rsidRPr="00943DFA">
        <w:rPr>
          <w:i/>
          <w:color w:val="0D0D0D" w:themeColor="text1" w:themeTint="F2"/>
          <w:lang w:eastAsia="en-US"/>
        </w:rPr>
        <w:t xml:space="preserve">Restructuring </w:t>
      </w:r>
      <w:r w:rsidRPr="00943DFA">
        <w:rPr>
          <w:color w:val="0D0D0D" w:themeColor="text1" w:themeTint="F2"/>
          <w:lang w:eastAsia="en-US"/>
        </w:rPr>
        <w:t xml:space="preserve">is 0.09, which indicates that on average, 9% of U.S. IPOs in the sample engage in restructuring activities. The mean value of </w:t>
      </w:r>
      <w:r w:rsidRPr="00943DFA">
        <w:rPr>
          <w:i/>
          <w:color w:val="0D0D0D" w:themeColor="text1" w:themeTint="F2"/>
          <w:lang w:eastAsia="en-US"/>
        </w:rPr>
        <w:t xml:space="preserve">M&amp;A </w:t>
      </w:r>
      <w:r w:rsidRPr="00943DFA">
        <w:rPr>
          <w:color w:val="0D0D0D" w:themeColor="text1" w:themeTint="F2"/>
          <w:lang w:eastAsia="en-US"/>
        </w:rPr>
        <w:t xml:space="preserve">is 0.12, which indicates that approximately 12% of U.S IPOs in the sample conduct M&amp;A activities. </w:t>
      </w:r>
    </w:p>
    <w:p w14:paraId="40085E97"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Regarding financial health, </w:t>
      </w:r>
      <w:r w:rsidRPr="00943DFA">
        <w:rPr>
          <w:i/>
          <w:color w:val="0D0D0D" w:themeColor="text1" w:themeTint="F2"/>
          <w:lang w:eastAsia="en-US"/>
        </w:rPr>
        <w:t xml:space="preserve">Leverage </w:t>
      </w:r>
      <w:r w:rsidRPr="00943DFA">
        <w:rPr>
          <w:color w:val="0D0D0D" w:themeColor="text1" w:themeTint="F2"/>
          <w:lang w:eastAsia="en-US"/>
        </w:rPr>
        <w:t xml:space="preserve">is negative with a median value of -0.18, which is derived from negative total equity or deficit of U.S IPOs in the sample. The result indicates that, on average, U.S IPOs experience accumulated losses in several years and high borrowing cost to cover their losses. The median value of </w:t>
      </w:r>
      <w:proofErr w:type="spellStart"/>
      <w:r w:rsidRPr="00943DFA">
        <w:rPr>
          <w:i/>
          <w:color w:val="0D0D0D" w:themeColor="text1" w:themeTint="F2"/>
          <w:lang w:eastAsia="en-US"/>
        </w:rPr>
        <w:t>Zscore</w:t>
      </w:r>
      <w:proofErr w:type="spellEnd"/>
      <w:r w:rsidRPr="00943DFA">
        <w:rPr>
          <w:i/>
          <w:color w:val="0D0D0D" w:themeColor="text1" w:themeTint="F2"/>
          <w:lang w:eastAsia="en-US"/>
        </w:rPr>
        <w:t xml:space="preserve"> </w:t>
      </w:r>
      <w:r w:rsidRPr="00943DFA">
        <w:rPr>
          <w:color w:val="0D0D0D" w:themeColor="text1" w:themeTint="F2"/>
          <w:lang w:eastAsia="en-US"/>
        </w:rPr>
        <w:t xml:space="preserve">is -0.01, which is lower than 4.35 and indicates that in general, U.S IPOs have a high probability of bankruptcy. The negative value of </w:t>
      </w:r>
      <w:r w:rsidRPr="00943DFA">
        <w:rPr>
          <w:i/>
          <w:color w:val="0D0D0D" w:themeColor="text1" w:themeTint="F2"/>
          <w:lang w:eastAsia="en-US"/>
        </w:rPr>
        <w:t xml:space="preserve">Z-score </w:t>
      </w:r>
      <w:r w:rsidRPr="00943DFA">
        <w:rPr>
          <w:color w:val="0D0D0D" w:themeColor="text1" w:themeTint="F2"/>
          <w:lang w:eastAsia="en-US"/>
        </w:rPr>
        <w:t xml:space="preserve">is also reflective of the negative total equity of U.S. IPOs in the sample as the book value of equity is one of components in the </w:t>
      </w:r>
      <w:r w:rsidRPr="00943DFA">
        <w:rPr>
          <w:i/>
          <w:color w:val="0D0D0D" w:themeColor="text1" w:themeTint="F2"/>
          <w:lang w:eastAsia="en-US"/>
        </w:rPr>
        <w:t xml:space="preserve">Z-score </w:t>
      </w:r>
      <w:r w:rsidRPr="00943DFA">
        <w:rPr>
          <w:color w:val="0D0D0D" w:themeColor="text1" w:themeTint="F2"/>
          <w:lang w:eastAsia="en-US"/>
        </w:rPr>
        <w:t xml:space="preserve">measure.  The mean value of </w:t>
      </w:r>
      <w:r w:rsidRPr="00943DFA">
        <w:rPr>
          <w:i/>
          <w:color w:val="0D0D0D" w:themeColor="text1" w:themeTint="F2"/>
          <w:lang w:eastAsia="en-US"/>
        </w:rPr>
        <w:t xml:space="preserve">Positive earnings </w:t>
      </w:r>
      <w:r w:rsidRPr="00943DFA">
        <w:rPr>
          <w:color w:val="0D0D0D" w:themeColor="text1" w:themeTint="F2"/>
          <w:lang w:eastAsia="en-US"/>
        </w:rPr>
        <w:t>is 0.44, which indicates that on average, 44% of U.S IPOs in the sample make a profit. The median value of E</w:t>
      </w:r>
      <w:r w:rsidRPr="00943DFA">
        <w:rPr>
          <w:i/>
          <w:color w:val="0D0D0D" w:themeColor="text1" w:themeTint="F2"/>
          <w:lang w:eastAsia="en-US"/>
        </w:rPr>
        <w:t xml:space="preserve">xternal financing </w:t>
      </w:r>
      <w:r w:rsidRPr="00943DFA">
        <w:rPr>
          <w:color w:val="0D0D0D" w:themeColor="text1" w:themeTint="F2"/>
          <w:lang w:eastAsia="en-US"/>
        </w:rPr>
        <w:t xml:space="preserve">is 0.06, which indicates that on average, U.S. IPOs’ funds acquired from outside sources (debt financing and equity financing) equate to 6% of their total assets, which is a low level of external financing. As for auditor quality, mean value of </w:t>
      </w:r>
      <w:r w:rsidRPr="00943DFA">
        <w:rPr>
          <w:i/>
          <w:color w:val="0D0D0D" w:themeColor="text1" w:themeTint="F2"/>
          <w:lang w:eastAsia="en-US"/>
        </w:rPr>
        <w:t xml:space="preserve">Big 4 </w:t>
      </w:r>
      <w:r w:rsidRPr="00943DFA">
        <w:rPr>
          <w:color w:val="0D0D0D" w:themeColor="text1" w:themeTint="F2"/>
          <w:lang w:eastAsia="en-US"/>
        </w:rPr>
        <w:t xml:space="preserve">is 0.81, which indicates that approximately 81% or most of U.S IPOs in the sample are audited by Big 4 auditors. Concerning corporate governance quality, the mean value of </w:t>
      </w:r>
      <w:proofErr w:type="spellStart"/>
      <w:r w:rsidRPr="00943DFA">
        <w:rPr>
          <w:i/>
          <w:color w:val="0D0D0D" w:themeColor="text1" w:themeTint="F2"/>
          <w:lang w:eastAsia="en-US"/>
        </w:rPr>
        <w:t>CEOchairperson</w:t>
      </w:r>
      <w:proofErr w:type="spellEnd"/>
      <w:r w:rsidRPr="00943DFA">
        <w:rPr>
          <w:i/>
          <w:color w:val="0D0D0D" w:themeColor="text1" w:themeTint="F2"/>
          <w:lang w:eastAsia="en-US"/>
        </w:rPr>
        <w:t xml:space="preserve"> </w:t>
      </w:r>
      <w:r w:rsidRPr="00943DFA">
        <w:rPr>
          <w:color w:val="0D0D0D" w:themeColor="text1" w:themeTint="F2"/>
          <w:lang w:eastAsia="en-US"/>
        </w:rPr>
        <w:lastRenderedPageBreak/>
        <w:t>is 0.47, which indicates that around 47% of U.S. IPOs in the sample have a CEO who is also the chairperson of the board of directors.</w:t>
      </w:r>
      <w:bookmarkStart w:id="71" w:name="_Ref50695355"/>
      <w:bookmarkStart w:id="72" w:name="_Toc48203648"/>
      <w:bookmarkStart w:id="73" w:name="_Toc50708212"/>
    </w:p>
    <w:p w14:paraId="1C219D07" w14:textId="77777777" w:rsidR="00195130" w:rsidRPr="00943DFA" w:rsidRDefault="00195130" w:rsidP="00195130">
      <w:pPr>
        <w:spacing w:before="240" w:after="240" w:line="360" w:lineRule="auto"/>
        <w:jc w:val="both"/>
        <w:rPr>
          <w:b/>
          <w:i/>
          <w:color w:val="0D0D0D" w:themeColor="text1" w:themeTint="F2"/>
          <w:sz w:val="22"/>
        </w:rPr>
      </w:pPr>
      <w:bookmarkStart w:id="74" w:name="_Toc85100153"/>
      <w:r w:rsidRPr="00943DFA">
        <w:rPr>
          <w:b/>
          <w:color w:val="0D0D0D" w:themeColor="text1" w:themeTint="F2"/>
          <w:sz w:val="22"/>
        </w:rPr>
        <w:t xml:space="preserve">Table </w:t>
      </w:r>
      <w:r w:rsidRPr="00943DFA">
        <w:rPr>
          <w:b/>
          <w:iCs/>
          <w:color w:val="0D0D0D" w:themeColor="text1" w:themeTint="F2"/>
          <w:sz w:val="22"/>
        </w:rPr>
        <w:fldChar w:fldCharType="begin"/>
      </w:r>
      <w:r w:rsidRPr="00943DFA">
        <w:rPr>
          <w:b/>
          <w:iCs/>
          <w:color w:val="0D0D0D" w:themeColor="text1" w:themeTint="F2"/>
          <w:sz w:val="22"/>
        </w:rPr>
        <w:instrText xml:space="preserve"> STYLEREF 1 \s </w:instrText>
      </w:r>
      <w:r w:rsidRPr="00943DFA">
        <w:rPr>
          <w:b/>
          <w:iCs/>
          <w:color w:val="0D0D0D" w:themeColor="text1" w:themeTint="F2"/>
          <w:sz w:val="22"/>
        </w:rPr>
        <w:fldChar w:fldCharType="separate"/>
      </w:r>
      <w:r w:rsidRPr="00943DFA">
        <w:rPr>
          <w:b/>
          <w:iCs/>
          <w:noProof/>
          <w:color w:val="0D0D0D" w:themeColor="text1" w:themeTint="F2"/>
          <w:sz w:val="22"/>
        </w:rPr>
        <w:t>3</w:t>
      </w:r>
      <w:r w:rsidRPr="00943DFA">
        <w:rPr>
          <w:b/>
          <w:iCs/>
          <w:color w:val="0D0D0D" w:themeColor="text1" w:themeTint="F2"/>
          <w:sz w:val="22"/>
        </w:rPr>
        <w:fldChar w:fldCharType="end"/>
      </w:r>
      <w:r w:rsidRPr="00943DFA">
        <w:rPr>
          <w:b/>
          <w:iCs/>
          <w:color w:val="0D0D0D" w:themeColor="text1" w:themeTint="F2"/>
          <w:sz w:val="22"/>
        </w:rPr>
        <w:t>.</w:t>
      </w:r>
      <w:r w:rsidRPr="00943DFA">
        <w:rPr>
          <w:b/>
          <w:iCs/>
          <w:color w:val="0D0D0D" w:themeColor="text1" w:themeTint="F2"/>
          <w:sz w:val="22"/>
        </w:rPr>
        <w:fldChar w:fldCharType="begin"/>
      </w:r>
      <w:r w:rsidRPr="00943DFA">
        <w:rPr>
          <w:b/>
          <w:iCs/>
          <w:color w:val="0D0D0D" w:themeColor="text1" w:themeTint="F2"/>
          <w:sz w:val="22"/>
        </w:rPr>
        <w:instrText xml:space="preserve"> SEQ Table \* ARABIC \s 1 </w:instrText>
      </w:r>
      <w:r w:rsidRPr="00943DFA">
        <w:rPr>
          <w:b/>
          <w:iCs/>
          <w:color w:val="0D0D0D" w:themeColor="text1" w:themeTint="F2"/>
          <w:sz w:val="22"/>
        </w:rPr>
        <w:fldChar w:fldCharType="separate"/>
      </w:r>
      <w:r w:rsidRPr="00943DFA">
        <w:rPr>
          <w:b/>
          <w:iCs/>
          <w:noProof/>
          <w:color w:val="0D0D0D" w:themeColor="text1" w:themeTint="F2"/>
          <w:sz w:val="22"/>
        </w:rPr>
        <w:t>6</w:t>
      </w:r>
      <w:r w:rsidRPr="00943DFA">
        <w:rPr>
          <w:b/>
          <w:iCs/>
          <w:color w:val="0D0D0D" w:themeColor="text1" w:themeTint="F2"/>
          <w:sz w:val="22"/>
        </w:rPr>
        <w:fldChar w:fldCharType="end"/>
      </w:r>
      <w:bookmarkEnd w:id="71"/>
      <w:r w:rsidRPr="00943DFA">
        <w:rPr>
          <w:b/>
          <w:iCs/>
          <w:color w:val="0D0D0D" w:themeColor="text1" w:themeTint="F2"/>
          <w:sz w:val="22"/>
        </w:rPr>
        <w:t>. Descriptive statistics of IPO firms' characteristics</w:t>
      </w:r>
      <w:bookmarkEnd w:id="72"/>
      <w:bookmarkEnd w:id="73"/>
      <w:bookmarkEnd w:id="74"/>
    </w:p>
    <w:tbl>
      <w:tblPr>
        <w:tblW w:w="9333" w:type="dxa"/>
        <w:tblLook w:val="04A0" w:firstRow="1" w:lastRow="0" w:firstColumn="1" w:lastColumn="0" w:noHBand="0" w:noVBand="1"/>
      </w:tblPr>
      <w:tblGrid>
        <w:gridCol w:w="268"/>
        <w:gridCol w:w="2200"/>
        <w:gridCol w:w="269"/>
        <w:gridCol w:w="701"/>
        <w:gridCol w:w="269"/>
        <w:gridCol w:w="1033"/>
        <w:gridCol w:w="269"/>
        <w:gridCol w:w="841"/>
        <w:gridCol w:w="269"/>
        <w:gridCol w:w="875"/>
        <w:gridCol w:w="269"/>
        <w:gridCol w:w="937"/>
        <w:gridCol w:w="269"/>
        <w:gridCol w:w="937"/>
      </w:tblGrid>
      <w:tr w:rsidR="00943DFA" w:rsidRPr="00943DFA" w14:paraId="64B62059" w14:textId="77777777" w:rsidTr="00373B60">
        <w:trPr>
          <w:trHeight w:val="315"/>
        </w:trPr>
        <w:tc>
          <w:tcPr>
            <w:tcW w:w="271" w:type="dxa"/>
            <w:tcBorders>
              <w:top w:val="single" w:sz="4" w:space="0" w:color="auto"/>
              <w:left w:val="nil"/>
              <w:bottom w:val="nil"/>
              <w:right w:val="nil"/>
            </w:tcBorders>
            <w:shd w:val="clear" w:color="000000" w:fill="FFFFFF"/>
            <w:noWrap/>
            <w:vAlign w:val="center"/>
            <w:hideMark/>
          </w:tcPr>
          <w:p w14:paraId="5091C4A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281" w:type="dxa"/>
            <w:tcBorders>
              <w:top w:val="single" w:sz="4" w:space="0" w:color="auto"/>
              <w:left w:val="nil"/>
              <w:bottom w:val="nil"/>
              <w:right w:val="nil"/>
            </w:tcBorders>
            <w:shd w:val="clear" w:color="000000" w:fill="FFFFFF"/>
            <w:noWrap/>
            <w:vAlign w:val="center"/>
            <w:hideMark/>
          </w:tcPr>
          <w:p w14:paraId="0332DDFE"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single" w:sz="4" w:space="0" w:color="auto"/>
              <w:left w:val="nil"/>
              <w:bottom w:val="nil"/>
              <w:right w:val="nil"/>
            </w:tcBorders>
            <w:shd w:val="clear" w:color="000000" w:fill="FFFFFF"/>
            <w:noWrap/>
            <w:vAlign w:val="center"/>
            <w:hideMark/>
          </w:tcPr>
          <w:p w14:paraId="517B1524"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single" w:sz="4" w:space="0" w:color="auto"/>
              <w:left w:val="nil"/>
              <w:bottom w:val="single" w:sz="8" w:space="0" w:color="auto"/>
              <w:right w:val="nil"/>
            </w:tcBorders>
            <w:shd w:val="clear" w:color="000000" w:fill="FFFFFF"/>
            <w:noWrap/>
            <w:vAlign w:val="center"/>
            <w:hideMark/>
          </w:tcPr>
          <w:p w14:paraId="79E6E4F0" w14:textId="77777777" w:rsidR="00195130" w:rsidRPr="00943DFA" w:rsidRDefault="00195130" w:rsidP="00373B60">
            <w:pPr>
              <w:spacing w:line="360" w:lineRule="auto"/>
              <w:contextualSpacing/>
              <w:jc w:val="center"/>
              <w:rPr>
                <w:rFonts w:eastAsia="Times New Roman"/>
                <w:b/>
                <w:bCs/>
                <w:color w:val="0D0D0D" w:themeColor="text1" w:themeTint="F2"/>
                <w:sz w:val="20"/>
              </w:rPr>
            </w:pPr>
            <w:r w:rsidRPr="00943DFA">
              <w:rPr>
                <w:rFonts w:eastAsia="Times New Roman"/>
                <w:b/>
                <w:bCs/>
                <w:color w:val="0D0D0D" w:themeColor="text1" w:themeTint="F2"/>
                <w:sz w:val="20"/>
                <w:szCs w:val="22"/>
              </w:rPr>
              <w:t>N</w:t>
            </w:r>
          </w:p>
        </w:tc>
        <w:tc>
          <w:tcPr>
            <w:tcW w:w="271" w:type="dxa"/>
            <w:tcBorders>
              <w:top w:val="single" w:sz="4" w:space="0" w:color="auto"/>
              <w:left w:val="nil"/>
              <w:bottom w:val="nil"/>
              <w:right w:val="nil"/>
            </w:tcBorders>
            <w:shd w:val="clear" w:color="000000" w:fill="FFFFFF"/>
            <w:noWrap/>
            <w:vAlign w:val="center"/>
            <w:hideMark/>
          </w:tcPr>
          <w:p w14:paraId="29E9BA62"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single" w:sz="4" w:space="0" w:color="auto"/>
              <w:left w:val="nil"/>
              <w:bottom w:val="single" w:sz="8" w:space="0" w:color="auto"/>
              <w:right w:val="nil"/>
            </w:tcBorders>
            <w:shd w:val="clear" w:color="000000" w:fill="FFFFFF"/>
            <w:noWrap/>
            <w:vAlign w:val="center"/>
            <w:hideMark/>
          </w:tcPr>
          <w:p w14:paraId="06A00A5C" w14:textId="77777777" w:rsidR="00195130" w:rsidRPr="00943DFA" w:rsidRDefault="00195130" w:rsidP="00373B60">
            <w:pPr>
              <w:spacing w:line="360" w:lineRule="auto"/>
              <w:contextualSpacing/>
              <w:jc w:val="center"/>
              <w:rPr>
                <w:rFonts w:eastAsia="Times New Roman"/>
                <w:b/>
                <w:bCs/>
                <w:color w:val="0D0D0D" w:themeColor="text1" w:themeTint="F2"/>
                <w:sz w:val="20"/>
              </w:rPr>
            </w:pPr>
            <w:r w:rsidRPr="00943DFA">
              <w:rPr>
                <w:rFonts w:eastAsia="Times New Roman"/>
                <w:b/>
                <w:bCs/>
                <w:color w:val="0D0D0D" w:themeColor="text1" w:themeTint="F2"/>
                <w:sz w:val="20"/>
                <w:szCs w:val="22"/>
              </w:rPr>
              <w:t>Mean</w:t>
            </w:r>
          </w:p>
        </w:tc>
        <w:tc>
          <w:tcPr>
            <w:tcW w:w="271" w:type="dxa"/>
            <w:tcBorders>
              <w:top w:val="single" w:sz="4" w:space="0" w:color="auto"/>
              <w:left w:val="nil"/>
              <w:bottom w:val="nil"/>
              <w:right w:val="nil"/>
            </w:tcBorders>
            <w:shd w:val="clear" w:color="000000" w:fill="FFFFFF"/>
            <w:noWrap/>
            <w:vAlign w:val="center"/>
            <w:hideMark/>
          </w:tcPr>
          <w:p w14:paraId="44BA2D35"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single" w:sz="4" w:space="0" w:color="auto"/>
              <w:left w:val="nil"/>
              <w:bottom w:val="single" w:sz="8" w:space="0" w:color="auto"/>
              <w:right w:val="nil"/>
            </w:tcBorders>
            <w:shd w:val="clear" w:color="000000" w:fill="FFFFFF"/>
            <w:noWrap/>
            <w:vAlign w:val="center"/>
            <w:hideMark/>
          </w:tcPr>
          <w:p w14:paraId="35653687" w14:textId="77777777" w:rsidR="00195130" w:rsidRPr="00943DFA" w:rsidRDefault="00195130" w:rsidP="00373B60">
            <w:pPr>
              <w:spacing w:line="360" w:lineRule="auto"/>
              <w:contextualSpacing/>
              <w:jc w:val="center"/>
              <w:rPr>
                <w:rFonts w:eastAsia="Times New Roman"/>
                <w:b/>
                <w:bCs/>
                <w:color w:val="0D0D0D" w:themeColor="text1" w:themeTint="F2"/>
                <w:sz w:val="20"/>
              </w:rPr>
            </w:pPr>
            <w:r w:rsidRPr="00943DFA">
              <w:rPr>
                <w:rFonts w:eastAsia="Times New Roman"/>
                <w:b/>
                <w:bCs/>
                <w:color w:val="0D0D0D" w:themeColor="text1" w:themeTint="F2"/>
                <w:sz w:val="20"/>
                <w:szCs w:val="22"/>
              </w:rPr>
              <w:t>STD</w:t>
            </w:r>
          </w:p>
        </w:tc>
        <w:tc>
          <w:tcPr>
            <w:tcW w:w="271" w:type="dxa"/>
            <w:tcBorders>
              <w:top w:val="single" w:sz="4" w:space="0" w:color="auto"/>
              <w:left w:val="nil"/>
              <w:bottom w:val="nil"/>
              <w:right w:val="nil"/>
            </w:tcBorders>
            <w:shd w:val="clear" w:color="000000" w:fill="FFFFFF"/>
            <w:noWrap/>
            <w:vAlign w:val="center"/>
            <w:hideMark/>
          </w:tcPr>
          <w:p w14:paraId="06E99E95"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single" w:sz="4" w:space="0" w:color="auto"/>
              <w:left w:val="nil"/>
              <w:bottom w:val="single" w:sz="8" w:space="0" w:color="auto"/>
              <w:right w:val="nil"/>
            </w:tcBorders>
            <w:shd w:val="clear" w:color="000000" w:fill="FFFFFF"/>
            <w:noWrap/>
            <w:vAlign w:val="center"/>
            <w:hideMark/>
          </w:tcPr>
          <w:p w14:paraId="4B755CD2" w14:textId="77777777" w:rsidR="00195130" w:rsidRPr="00943DFA" w:rsidRDefault="00195130" w:rsidP="00373B60">
            <w:pPr>
              <w:spacing w:line="360" w:lineRule="auto"/>
              <w:contextualSpacing/>
              <w:jc w:val="center"/>
              <w:rPr>
                <w:rFonts w:eastAsia="Times New Roman"/>
                <w:b/>
                <w:bCs/>
                <w:color w:val="0D0D0D" w:themeColor="text1" w:themeTint="F2"/>
                <w:sz w:val="20"/>
              </w:rPr>
            </w:pPr>
            <w:r w:rsidRPr="00943DFA">
              <w:rPr>
                <w:rFonts w:eastAsia="Times New Roman"/>
                <w:b/>
                <w:bCs/>
                <w:color w:val="0D0D0D" w:themeColor="text1" w:themeTint="F2"/>
                <w:sz w:val="20"/>
                <w:szCs w:val="22"/>
              </w:rPr>
              <w:t>p1</w:t>
            </w:r>
          </w:p>
        </w:tc>
        <w:tc>
          <w:tcPr>
            <w:tcW w:w="271" w:type="dxa"/>
            <w:tcBorders>
              <w:top w:val="single" w:sz="4" w:space="0" w:color="auto"/>
              <w:left w:val="nil"/>
              <w:bottom w:val="nil"/>
              <w:right w:val="nil"/>
            </w:tcBorders>
            <w:shd w:val="clear" w:color="000000" w:fill="FFFFFF"/>
            <w:noWrap/>
            <w:vAlign w:val="center"/>
            <w:hideMark/>
          </w:tcPr>
          <w:p w14:paraId="7076C1F2"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single" w:sz="4" w:space="0" w:color="auto"/>
              <w:left w:val="nil"/>
              <w:bottom w:val="single" w:sz="8" w:space="0" w:color="auto"/>
              <w:right w:val="nil"/>
            </w:tcBorders>
            <w:shd w:val="clear" w:color="000000" w:fill="FFFFFF"/>
            <w:noWrap/>
            <w:vAlign w:val="center"/>
            <w:hideMark/>
          </w:tcPr>
          <w:p w14:paraId="16FB6311" w14:textId="77777777" w:rsidR="00195130" w:rsidRPr="00943DFA" w:rsidRDefault="00195130" w:rsidP="00373B60">
            <w:pPr>
              <w:spacing w:line="360" w:lineRule="auto"/>
              <w:contextualSpacing/>
              <w:jc w:val="center"/>
              <w:rPr>
                <w:rFonts w:eastAsia="Times New Roman"/>
                <w:b/>
                <w:bCs/>
                <w:color w:val="0D0D0D" w:themeColor="text1" w:themeTint="F2"/>
                <w:sz w:val="20"/>
              </w:rPr>
            </w:pPr>
            <w:r w:rsidRPr="00943DFA">
              <w:rPr>
                <w:rFonts w:eastAsia="Times New Roman"/>
                <w:b/>
                <w:bCs/>
                <w:color w:val="0D0D0D" w:themeColor="text1" w:themeTint="F2"/>
                <w:sz w:val="20"/>
                <w:szCs w:val="22"/>
              </w:rPr>
              <w:t>Median</w:t>
            </w:r>
          </w:p>
        </w:tc>
        <w:tc>
          <w:tcPr>
            <w:tcW w:w="271" w:type="dxa"/>
            <w:tcBorders>
              <w:top w:val="single" w:sz="4" w:space="0" w:color="auto"/>
              <w:left w:val="nil"/>
              <w:bottom w:val="nil"/>
              <w:right w:val="nil"/>
            </w:tcBorders>
            <w:shd w:val="clear" w:color="000000" w:fill="FFFFFF"/>
            <w:noWrap/>
            <w:vAlign w:val="center"/>
            <w:hideMark/>
          </w:tcPr>
          <w:p w14:paraId="45144A4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single" w:sz="4" w:space="0" w:color="auto"/>
              <w:left w:val="nil"/>
              <w:bottom w:val="single" w:sz="8" w:space="0" w:color="auto"/>
              <w:right w:val="nil"/>
            </w:tcBorders>
            <w:shd w:val="clear" w:color="000000" w:fill="FFFFFF"/>
            <w:noWrap/>
            <w:vAlign w:val="center"/>
            <w:hideMark/>
          </w:tcPr>
          <w:p w14:paraId="36729475" w14:textId="77777777" w:rsidR="00195130" w:rsidRPr="00943DFA" w:rsidRDefault="00195130" w:rsidP="00373B60">
            <w:pPr>
              <w:spacing w:line="360" w:lineRule="auto"/>
              <w:contextualSpacing/>
              <w:jc w:val="center"/>
              <w:rPr>
                <w:rFonts w:eastAsia="Times New Roman"/>
                <w:b/>
                <w:bCs/>
                <w:color w:val="0D0D0D" w:themeColor="text1" w:themeTint="F2"/>
                <w:sz w:val="20"/>
              </w:rPr>
            </w:pPr>
            <w:r w:rsidRPr="00943DFA">
              <w:rPr>
                <w:rFonts w:eastAsia="Times New Roman"/>
                <w:b/>
                <w:bCs/>
                <w:color w:val="0D0D0D" w:themeColor="text1" w:themeTint="F2"/>
                <w:sz w:val="20"/>
                <w:szCs w:val="22"/>
              </w:rPr>
              <w:t>p99</w:t>
            </w:r>
          </w:p>
        </w:tc>
      </w:tr>
      <w:tr w:rsidR="00943DFA" w:rsidRPr="00943DFA" w14:paraId="40CE88B7" w14:textId="77777777" w:rsidTr="00373B60">
        <w:trPr>
          <w:trHeight w:val="300"/>
        </w:trPr>
        <w:tc>
          <w:tcPr>
            <w:tcW w:w="9333" w:type="dxa"/>
            <w:gridSpan w:val="14"/>
            <w:tcBorders>
              <w:top w:val="nil"/>
              <w:left w:val="nil"/>
              <w:bottom w:val="nil"/>
              <w:right w:val="nil"/>
            </w:tcBorders>
            <w:shd w:val="clear" w:color="000000" w:fill="FFFFFF"/>
            <w:noWrap/>
            <w:vAlign w:val="center"/>
            <w:hideMark/>
          </w:tcPr>
          <w:p w14:paraId="3A03D9FD" w14:textId="77777777" w:rsidR="00195130" w:rsidRPr="00943DFA" w:rsidRDefault="00195130" w:rsidP="00373B60">
            <w:pPr>
              <w:spacing w:line="360" w:lineRule="auto"/>
              <w:contextualSpacing/>
              <w:rPr>
                <w:rFonts w:eastAsia="Times New Roman"/>
                <w:b/>
                <w:bCs/>
                <w:color w:val="0D0D0D" w:themeColor="text1" w:themeTint="F2"/>
                <w:sz w:val="20"/>
              </w:rPr>
            </w:pPr>
            <w:r w:rsidRPr="00943DFA">
              <w:rPr>
                <w:rFonts w:eastAsia="Times New Roman"/>
                <w:b/>
                <w:bCs/>
                <w:color w:val="0D0D0D" w:themeColor="text1" w:themeTint="F2"/>
                <w:sz w:val="20"/>
                <w:szCs w:val="22"/>
              </w:rPr>
              <w:t>Company size</w:t>
            </w:r>
          </w:p>
        </w:tc>
      </w:tr>
      <w:tr w:rsidR="00943DFA" w:rsidRPr="00943DFA" w14:paraId="0527E0B3" w14:textId="77777777" w:rsidTr="00373B60">
        <w:trPr>
          <w:trHeight w:val="300"/>
        </w:trPr>
        <w:tc>
          <w:tcPr>
            <w:tcW w:w="271" w:type="dxa"/>
            <w:tcBorders>
              <w:top w:val="nil"/>
              <w:left w:val="nil"/>
              <w:bottom w:val="nil"/>
              <w:right w:val="nil"/>
            </w:tcBorders>
            <w:shd w:val="clear" w:color="auto" w:fill="auto"/>
            <w:noWrap/>
            <w:vAlign w:val="bottom"/>
            <w:hideMark/>
          </w:tcPr>
          <w:p w14:paraId="4E5FAB19" w14:textId="77777777" w:rsidR="00195130" w:rsidRPr="00943DFA" w:rsidRDefault="00195130" w:rsidP="00373B60">
            <w:pPr>
              <w:spacing w:line="360" w:lineRule="auto"/>
              <w:contextualSpacing/>
              <w:rPr>
                <w:rFonts w:eastAsia="Times New Roman"/>
                <w:b/>
                <w:bCs/>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4733B70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Size</w:t>
            </w:r>
          </w:p>
        </w:tc>
        <w:tc>
          <w:tcPr>
            <w:tcW w:w="271" w:type="dxa"/>
            <w:tcBorders>
              <w:top w:val="nil"/>
              <w:left w:val="nil"/>
              <w:bottom w:val="nil"/>
              <w:right w:val="nil"/>
            </w:tcBorders>
            <w:shd w:val="clear" w:color="000000" w:fill="FFFFFF"/>
            <w:noWrap/>
            <w:vAlign w:val="center"/>
            <w:hideMark/>
          </w:tcPr>
          <w:p w14:paraId="26012BF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16003A7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882</w:t>
            </w:r>
          </w:p>
        </w:tc>
        <w:tc>
          <w:tcPr>
            <w:tcW w:w="271" w:type="dxa"/>
            <w:tcBorders>
              <w:top w:val="nil"/>
              <w:left w:val="nil"/>
              <w:bottom w:val="nil"/>
              <w:right w:val="nil"/>
            </w:tcBorders>
            <w:shd w:val="clear" w:color="000000" w:fill="FFFFFF"/>
            <w:noWrap/>
            <w:vAlign w:val="center"/>
            <w:hideMark/>
          </w:tcPr>
          <w:p w14:paraId="21D070C7"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548351F1"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786.2***</w:t>
            </w:r>
          </w:p>
        </w:tc>
        <w:tc>
          <w:tcPr>
            <w:tcW w:w="271" w:type="dxa"/>
            <w:tcBorders>
              <w:top w:val="nil"/>
              <w:left w:val="nil"/>
              <w:bottom w:val="nil"/>
              <w:right w:val="nil"/>
            </w:tcBorders>
            <w:shd w:val="clear" w:color="000000" w:fill="FFFFFF"/>
            <w:noWrap/>
            <w:vAlign w:val="center"/>
            <w:hideMark/>
          </w:tcPr>
          <w:p w14:paraId="4CEB679C"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7DF2BC6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5113.65</w:t>
            </w:r>
          </w:p>
        </w:tc>
        <w:tc>
          <w:tcPr>
            <w:tcW w:w="271" w:type="dxa"/>
            <w:tcBorders>
              <w:top w:val="nil"/>
              <w:left w:val="nil"/>
              <w:bottom w:val="nil"/>
              <w:right w:val="nil"/>
            </w:tcBorders>
            <w:shd w:val="clear" w:color="000000" w:fill="FFFFFF"/>
            <w:noWrap/>
            <w:vAlign w:val="center"/>
            <w:hideMark/>
          </w:tcPr>
          <w:p w14:paraId="6433FCB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3971CA4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0.289</w:t>
            </w:r>
          </w:p>
        </w:tc>
        <w:tc>
          <w:tcPr>
            <w:tcW w:w="271" w:type="dxa"/>
            <w:tcBorders>
              <w:top w:val="nil"/>
              <w:left w:val="nil"/>
              <w:bottom w:val="nil"/>
              <w:right w:val="nil"/>
            </w:tcBorders>
            <w:shd w:val="clear" w:color="000000" w:fill="FFFFFF"/>
            <w:noWrap/>
            <w:vAlign w:val="center"/>
            <w:hideMark/>
          </w:tcPr>
          <w:p w14:paraId="5D69AD3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3A26928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64.89***</w:t>
            </w:r>
          </w:p>
        </w:tc>
        <w:tc>
          <w:tcPr>
            <w:tcW w:w="271" w:type="dxa"/>
            <w:tcBorders>
              <w:top w:val="nil"/>
              <w:left w:val="nil"/>
              <w:bottom w:val="nil"/>
              <w:right w:val="nil"/>
            </w:tcBorders>
            <w:shd w:val="clear" w:color="000000" w:fill="FFFFFF"/>
            <w:noWrap/>
            <w:vAlign w:val="center"/>
            <w:hideMark/>
          </w:tcPr>
          <w:p w14:paraId="74D15CA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1EDC514E"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10487.35</w:t>
            </w:r>
          </w:p>
        </w:tc>
      </w:tr>
      <w:tr w:rsidR="00943DFA" w:rsidRPr="00943DFA" w14:paraId="6FDEA0DD" w14:textId="77777777" w:rsidTr="00373B60">
        <w:trPr>
          <w:trHeight w:val="300"/>
        </w:trPr>
        <w:tc>
          <w:tcPr>
            <w:tcW w:w="2552" w:type="dxa"/>
            <w:gridSpan w:val="2"/>
            <w:tcBorders>
              <w:top w:val="nil"/>
              <w:left w:val="nil"/>
              <w:bottom w:val="nil"/>
              <w:right w:val="nil"/>
            </w:tcBorders>
            <w:shd w:val="clear" w:color="000000" w:fill="FFFFFF"/>
            <w:noWrap/>
            <w:vAlign w:val="center"/>
            <w:hideMark/>
          </w:tcPr>
          <w:p w14:paraId="65E3F1D1" w14:textId="77777777" w:rsidR="00195130" w:rsidRPr="00943DFA" w:rsidRDefault="00195130" w:rsidP="00373B60">
            <w:pPr>
              <w:spacing w:line="360" w:lineRule="auto"/>
              <w:contextualSpacing/>
              <w:rPr>
                <w:rFonts w:eastAsia="Times New Roman"/>
                <w:b/>
                <w:bCs/>
                <w:color w:val="0D0D0D" w:themeColor="text1" w:themeTint="F2"/>
                <w:sz w:val="20"/>
              </w:rPr>
            </w:pPr>
            <w:r w:rsidRPr="00943DFA">
              <w:rPr>
                <w:rFonts w:eastAsia="Times New Roman"/>
                <w:b/>
                <w:bCs/>
                <w:color w:val="0D0D0D" w:themeColor="text1" w:themeTint="F2"/>
                <w:sz w:val="20"/>
                <w:szCs w:val="22"/>
              </w:rPr>
              <w:t>Company age</w:t>
            </w:r>
          </w:p>
        </w:tc>
        <w:tc>
          <w:tcPr>
            <w:tcW w:w="271" w:type="dxa"/>
            <w:tcBorders>
              <w:top w:val="nil"/>
              <w:left w:val="nil"/>
              <w:bottom w:val="nil"/>
              <w:right w:val="nil"/>
            </w:tcBorders>
            <w:shd w:val="clear" w:color="000000" w:fill="FFFFFF"/>
            <w:noWrap/>
            <w:vAlign w:val="center"/>
            <w:hideMark/>
          </w:tcPr>
          <w:p w14:paraId="74C0C101"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21B93AA7"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5A0BD2BC"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12A06DB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2F9E8D4E"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709FB22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3982E461"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6D801F1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6735F552"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1C1132B8"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5AD36DD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7C29EFB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r>
      <w:tr w:rsidR="00943DFA" w:rsidRPr="00943DFA" w14:paraId="43E1F8CF" w14:textId="77777777" w:rsidTr="00373B60">
        <w:trPr>
          <w:trHeight w:val="300"/>
        </w:trPr>
        <w:tc>
          <w:tcPr>
            <w:tcW w:w="271" w:type="dxa"/>
            <w:tcBorders>
              <w:top w:val="nil"/>
              <w:left w:val="nil"/>
              <w:bottom w:val="nil"/>
              <w:right w:val="nil"/>
            </w:tcBorders>
            <w:shd w:val="clear" w:color="auto" w:fill="auto"/>
            <w:noWrap/>
            <w:vAlign w:val="bottom"/>
            <w:hideMark/>
          </w:tcPr>
          <w:p w14:paraId="4ACE2683"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61A83C8A"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Age</w:t>
            </w:r>
          </w:p>
        </w:tc>
        <w:tc>
          <w:tcPr>
            <w:tcW w:w="271" w:type="dxa"/>
            <w:tcBorders>
              <w:top w:val="nil"/>
              <w:left w:val="nil"/>
              <w:bottom w:val="nil"/>
              <w:right w:val="nil"/>
            </w:tcBorders>
            <w:shd w:val="clear" w:color="000000" w:fill="FFFFFF"/>
            <w:noWrap/>
            <w:vAlign w:val="center"/>
            <w:hideMark/>
          </w:tcPr>
          <w:p w14:paraId="0E2768E1"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18EF450D"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909</w:t>
            </w:r>
          </w:p>
        </w:tc>
        <w:tc>
          <w:tcPr>
            <w:tcW w:w="271" w:type="dxa"/>
            <w:tcBorders>
              <w:top w:val="nil"/>
              <w:left w:val="nil"/>
              <w:bottom w:val="nil"/>
              <w:right w:val="nil"/>
            </w:tcBorders>
            <w:shd w:val="clear" w:color="000000" w:fill="FFFFFF"/>
            <w:noWrap/>
            <w:vAlign w:val="center"/>
            <w:hideMark/>
          </w:tcPr>
          <w:p w14:paraId="2E38B7E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50F2D00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2.85***</w:t>
            </w:r>
          </w:p>
        </w:tc>
        <w:tc>
          <w:tcPr>
            <w:tcW w:w="271" w:type="dxa"/>
            <w:tcBorders>
              <w:top w:val="nil"/>
              <w:left w:val="nil"/>
              <w:bottom w:val="nil"/>
              <w:right w:val="nil"/>
            </w:tcBorders>
            <w:shd w:val="clear" w:color="000000" w:fill="FFFFFF"/>
            <w:noWrap/>
            <w:vAlign w:val="center"/>
            <w:hideMark/>
          </w:tcPr>
          <w:p w14:paraId="0E23C3F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0D20796D"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5.85</w:t>
            </w:r>
          </w:p>
        </w:tc>
        <w:tc>
          <w:tcPr>
            <w:tcW w:w="271" w:type="dxa"/>
            <w:tcBorders>
              <w:top w:val="nil"/>
              <w:left w:val="nil"/>
              <w:bottom w:val="nil"/>
              <w:right w:val="nil"/>
            </w:tcBorders>
            <w:shd w:val="clear" w:color="000000" w:fill="FFFFFF"/>
            <w:noWrap/>
            <w:vAlign w:val="center"/>
            <w:hideMark/>
          </w:tcPr>
          <w:p w14:paraId="31DEF6A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51A95D6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69701D9D"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0D2D05E7"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c>
          <w:tcPr>
            <w:tcW w:w="271" w:type="dxa"/>
            <w:tcBorders>
              <w:top w:val="nil"/>
              <w:left w:val="nil"/>
              <w:bottom w:val="nil"/>
              <w:right w:val="nil"/>
            </w:tcBorders>
            <w:shd w:val="clear" w:color="000000" w:fill="FFFFFF"/>
            <w:noWrap/>
            <w:vAlign w:val="center"/>
            <w:hideMark/>
          </w:tcPr>
          <w:p w14:paraId="134817AF"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4FC140DB"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32</w:t>
            </w:r>
          </w:p>
        </w:tc>
      </w:tr>
      <w:tr w:rsidR="00943DFA" w:rsidRPr="00943DFA" w14:paraId="4399B10B" w14:textId="77777777" w:rsidTr="00373B60">
        <w:trPr>
          <w:trHeight w:val="300"/>
        </w:trPr>
        <w:tc>
          <w:tcPr>
            <w:tcW w:w="2823" w:type="dxa"/>
            <w:gridSpan w:val="3"/>
            <w:tcBorders>
              <w:top w:val="nil"/>
              <w:left w:val="nil"/>
              <w:bottom w:val="nil"/>
              <w:right w:val="nil"/>
            </w:tcBorders>
            <w:shd w:val="clear" w:color="000000" w:fill="FFFFFF"/>
            <w:noWrap/>
            <w:vAlign w:val="center"/>
            <w:hideMark/>
          </w:tcPr>
          <w:p w14:paraId="4F130294" w14:textId="77777777" w:rsidR="00195130" w:rsidRPr="00943DFA" w:rsidRDefault="00195130" w:rsidP="00373B60">
            <w:pPr>
              <w:spacing w:line="360" w:lineRule="auto"/>
              <w:contextualSpacing/>
              <w:rPr>
                <w:rFonts w:eastAsia="Times New Roman"/>
                <w:b/>
                <w:bCs/>
                <w:color w:val="0D0D0D" w:themeColor="text1" w:themeTint="F2"/>
                <w:sz w:val="20"/>
              </w:rPr>
            </w:pPr>
            <w:r w:rsidRPr="00943DFA">
              <w:rPr>
                <w:rFonts w:eastAsia="Times New Roman"/>
                <w:b/>
                <w:bCs/>
                <w:color w:val="0D0D0D" w:themeColor="text1" w:themeTint="F2"/>
                <w:sz w:val="20"/>
                <w:szCs w:val="22"/>
              </w:rPr>
              <w:t>Business complexity</w:t>
            </w:r>
          </w:p>
        </w:tc>
        <w:tc>
          <w:tcPr>
            <w:tcW w:w="721" w:type="dxa"/>
            <w:tcBorders>
              <w:top w:val="nil"/>
              <w:left w:val="nil"/>
              <w:bottom w:val="nil"/>
              <w:right w:val="nil"/>
            </w:tcBorders>
            <w:shd w:val="clear" w:color="000000" w:fill="FFFFFF"/>
            <w:noWrap/>
            <w:vAlign w:val="center"/>
            <w:hideMark/>
          </w:tcPr>
          <w:p w14:paraId="2756B864"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44EC98E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43B21E0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233692B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7FA640D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2812E00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77288D75"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69C7AE7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2C7C4FD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000000" w:fill="FFFFFF"/>
            <w:noWrap/>
            <w:vAlign w:val="center"/>
            <w:hideMark/>
          </w:tcPr>
          <w:p w14:paraId="380EB6D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2788BBC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r>
      <w:tr w:rsidR="00943DFA" w:rsidRPr="00943DFA" w14:paraId="637E8925" w14:textId="77777777" w:rsidTr="00373B60">
        <w:trPr>
          <w:trHeight w:val="300"/>
        </w:trPr>
        <w:tc>
          <w:tcPr>
            <w:tcW w:w="271" w:type="dxa"/>
            <w:tcBorders>
              <w:top w:val="nil"/>
              <w:left w:val="nil"/>
              <w:bottom w:val="nil"/>
              <w:right w:val="nil"/>
            </w:tcBorders>
            <w:shd w:val="clear" w:color="auto" w:fill="auto"/>
            <w:noWrap/>
            <w:vAlign w:val="bottom"/>
            <w:hideMark/>
          </w:tcPr>
          <w:p w14:paraId="7A29B95A"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552" w:type="dxa"/>
            <w:gridSpan w:val="2"/>
            <w:tcBorders>
              <w:top w:val="nil"/>
              <w:left w:val="nil"/>
              <w:bottom w:val="nil"/>
              <w:right w:val="nil"/>
            </w:tcBorders>
            <w:shd w:val="clear" w:color="000000" w:fill="FFFFFF"/>
            <w:noWrap/>
            <w:vAlign w:val="center"/>
            <w:hideMark/>
          </w:tcPr>
          <w:p w14:paraId="2DB8A10A"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Sale growth</w:t>
            </w:r>
          </w:p>
        </w:tc>
        <w:tc>
          <w:tcPr>
            <w:tcW w:w="721" w:type="dxa"/>
            <w:tcBorders>
              <w:top w:val="nil"/>
              <w:left w:val="nil"/>
              <w:bottom w:val="nil"/>
              <w:right w:val="nil"/>
            </w:tcBorders>
            <w:shd w:val="clear" w:color="000000" w:fill="FFFFFF"/>
            <w:noWrap/>
            <w:vAlign w:val="center"/>
            <w:hideMark/>
          </w:tcPr>
          <w:p w14:paraId="1F06D37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577</w:t>
            </w:r>
          </w:p>
        </w:tc>
        <w:tc>
          <w:tcPr>
            <w:tcW w:w="271" w:type="dxa"/>
            <w:tcBorders>
              <w:top w:val="nil"/>
              <w:left w:val="nil"/>
              <w:bottom w:val="nil"/>
              <w:right w:val="nil"/>
            </w:tcBorders>
            <w:shd w:val="clear" w:color="auto" w:fill="auto"/>
            <w:noWrap/>
            <w:vAlign w:val="bottom"/>
            <w:hideMark/>
          </w:tcPr>
          <w:p w14:paraId="63EBB6CD"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821" w:type="dxa"/>
            <w:tcBorders>
              <w:top w:val="nil"/>
              <w:left w:val="nil"/>
              <w:bottom w:val="nil"/>
              <w:right w:val="nil"/>
            </w:tcBorders>
            <w:shd w:val="clear" w:color="000000" w:fill="FFFFFF"/>
            <w:noWrap/>
            <w:vAlign w:val="center"/>
            <w:hideMark/>
          </w:tcPr>
          <w:p w14:paraId="64D0BB4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233.75***</w:t>
            </w:r>
          </w:p>
        </w:tc>
        <w:tc>
          <w:tcPr>
            <w:tcW w:w="271" w:type="dxa"/>
            <w:tcBorders>
              <w:top w:val="nil"/>
              <w:left w:val="nil"/>
              <w:bottom w:val="nil"/>
              <w:right w:val="nil"/>
            </w:tcBorders>
            <w:shd w:val="clear" w:color="auto" w:fill="auto"/>
            <w:noWrap/>
            <w:vAlign w:val="bottom"/>
            <w:hideMark/>
          </w:tcPr>
          <w:p w14:paraId="36AC6BDB"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866" w:type="dxa"/>
            <w:tcBorders>
              <w:top w:val="nil"/>
              <w:left w:val="nil"/>
              <w:bottom w:val="nil"/>
              <w:right w:val="nil"/>
            </w:tcBorders>
            <w:shd w:val="clear" w:color="000000" w:fill="FFFFFF"/>
            <w:noWrap/>
            <w:vAlign w:val="center"/>
            <w:hideMark/>
          </w:tcPr>
          <w:p w14:paraId="0FB26FB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2413.92</w:t>
            </w:r>
          </w:p>
        </w:tc>
        <w:tc>
          <w:tcPr>
            <w:tcW w:w="271" w:type="dxa"/>
            <w:tcBorders>
              <w:top w:val="nil"/>
              <w:left w:val="nil"/>
              <w:bottom w:val="nil"/>
              <w:right w:val="nil"/>
            </w:tcBorders>
            <w:shd w:val="clear" w:color="auto" w:fill="auto"/>
            <w:noWrap/>
            <w:vAlign w:val="bottom"/>
            <w:hideMark/>
          </w:tcPr>
          <w:p w14:paraId="4B74EAC4"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902" w:type="dxa"/>
            <w:tcBorders>
              <w:top w:val="nil"/>
              <w:left w:val="nil"/>
              <w:bottom w:val="nil"/>
              <w:right w:val="nil"/>
            </w:tcBorders>
            <w:shd w:val="clear" w:color="000000" w:fill="FFFFFF"/>
            <w:noWrap/>
            <w:vAlign w:val="center"/>
            <w:hideMark/>
          </w:tcPr>
          <w:p w14:paraId="5F5F43E2"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-100</w:t>
            </w:r>
          </w:p>
        </w:tc>
        <w:tc>
          <w:tcPr>
            <w:tcW w:w="271" w:type="dxa"/>
            <w:tcBorders>
              <w:top w:val="nil"/>
              <w:left w:val="nil"/>
              <w:bottom w:val="nil"/>
              <w:right w:val="nil"/>
            </w:tcBorders>
            <w:shd w:val="clear" w:color="auto" w:fill="auto"/>
            <w:noWrap/>
            <w:vAlign w:val="bottom"/>
            <w:hideMark/>
          </w:tcPr>
          <w:p w14:paraId="64BC1768"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872" w:type="dxa"/>
            <w:tcBorders>
              <w:top w:val="nil"/>
              <w:left w:val="nil"/>
              <w:bottom w:val="nil"/>
              <w:right w:val="nil"/>
            </w:tcBorders>
            <w:shd w:val="clear" w:color="000000" w:fill="FFFFFF"/>
            <w:noWrap/>
            <w:vAlign w:val="center"/>
            <w:hideMark/>
          </w:tcPr>
          <w:p w14:paraId="1EDAD69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30.89***</w:t>
            </w:r>
          </w:p>
        </w:tc>
        <w:tc>
          <w:tcPr>
            <w:tcW w:w="271" w:type="dxa"/>
            <w:tcBorders>
              <w:top w:val="nil"/>
              <w:left w:val="nil"/>
              <w:bottom w:val="nil"/>
              <w:right w:val="nil"/>
            </w:tcBorders>
            <w:shd w:val="clear" w:color="auto" w:fill="auto"/>
            <w:noWrap/>
            <w:vAlign w:val="bottom"/>
            <w:hideMark/>
          </w:tcPr>
          <w:p w14:paraId="4C67F2BE"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966" w:type="dxa"/>
            <w:tcBorders>
              <w:top w:val="nil"/>
              <w:left w:val="nil"/>
              <w:bottom w:val="nil"/>
              <w:right w:val="nil"/>
            </w:tcBorders>
            <w:shd w:val="clear" w:color="000000" w:fill="FFFFFF"/>
            <w:noWrap/>
            <w:vAlign w:val="center"/>
            <w:hideMark/>
          </w:tcPr>
          <w:p w14:paraId="4AD83538"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3006.25</w:t>
            </w:r>
          </w:p>
        </w:tc>
      </w:tr>
      <w:tr w:rsidR="00943DFA" w:rsidRPr="00943DFA" w14:paraId="4DEABC53" w14:textId="77777777" w:rsidTr="00373B60">
        <w:trPr>
          <w:trHeight w:val="300"/>
        </w:trPr>
        <w:tc>
          <w:tcPr>
            <w:tcW w:w="271" w:type="dxa"/>
            <w:tcBorders>
              <w:top w:val="nil"/>
              <w:left w:val="nil"/>
              <w:bottom w:val="nil"/>
              <w:right w:val="nil"/>
            </w:tcBorders>
            <w:shd w:val="clear" w:color="auto" w:fill="auto"/>
            <w:noWrap/>
            <w:vAlign w:val="bottom"/>
            <w:hideMark/>
          </w:tcPr>
          <w:p w14:paraId="08604E8D"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71B21F3B"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Segments</w:t>
            </w:r>
          </w:p>
        </w:tc>
        <w:tc>
          <w:tcPr>
            <w:tcW w:w="271" w:type="dxa"/>
            <w:tcBorders>
              <w:top w:val="nil"/>
              <w:left w:val="nil"/>
              <w:bottom w:val="nil"/>
              <w:right w:val="nil"/>
            </w:tcBorders>
            <w:shd w:val="clear" w:color="000000" w:fill="FFFFFF"/>
            <w:noWrap/>
            <w:vAlign w:val="center"/>
            <w:hideMark/>
          </w:tcPr>
          <w:p w14:paraId="59651A7C"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16B5F13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869</w:t>
            </w:r>
          </w:p>
        </w:tc>
        <w:tc>
          <w:tcPr>
            <w:tcW w:w="271" w:type="dxa"/>
            <w:tcBorders>
              <w:top w:val="nil"/>
              <w:left w:val="nil"/>
              <w:bottom w:val="nil"/>
              <w:right w:val="nil"/>
            </w:tcBorders>
            <w:shd w:val="clear" w:color="000000" w:fill="FFFFFF"/>
            <w:noWrap/>
            <w:vAlign w:val="center"/>
            <w:hideMark/>
          </w:tcPr>
          <w:p w14:paraId="5CF3D9F1"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11FCE24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1.44***</w:t>
            </w:r>
          </w:p>
        </w:tc>
        <w:tc>
          <w:tcPr>
            <w:tcW w:w="271" w:type="dxa"/>
            <w:tcBorders>
              <w:top w:val="nil"/>
              <w:left w:val="nil"/>
              <w:bottom w:val="nil"/>
              <w:right w:val="nil"/>
            </w:tcBorders>
            <w:shd w:val="clear" w:color="000000" w:fill="FFFFFF"/>
            <w:noWrap/>
            <w:vAlign w:val="center"/>
            <w:hideMark/>
          </w:tcPr>
          <w:p w14:paraId="2D81443D"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5323A37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1.09</w:t>
            </w:r>
          </w:p>
        </w:tc>
        <w:tc>
          <w:tcPr>
            <w:tcW w:w="271" w:type="dxa"/>
            <w:tcBorders>
              <w:top w:val="nil"/>
              <w:left w:val="nil"/>
              <w:bottom w:val="nil"/>
              <w:right w:val="nil"/>
            </w:tcBorders>
            <w:shd w:val="clear" w:color="000000" w:fill="FFFFFF"/>
            <w:noWrap/>
            <w:vAlign w:val="center"/>
            <w:hideMark/>
          </w:tcPr>
          <w:p w14:paraId="1942D4C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33E9101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c>
          <w:tcPr>
            <w:tcW w:w="271" w:type="dxa"/>
            <w:tcBorders>
              <w:top w:val="nil"/>
              <w:left w:val="nil"/>
              <w:bottom w:val="nil"/>
              <w:right w:val="nil"/>
            </w:tcBorders>
            <w:shd w:val="clear" w:color="000000" w:fill="FFFFFF"/>
            <w:noWrap/>
            <w:vAlign w:val="center"/>
            <w:hideMark/>
          </w:tcPr>
          <w:p w14:paraId="0F1AEE4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17336B1E"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c>
          <w:tcPr>
            <w:tcW w:w="271" w:type="dxa"/>
            <w:tcBorders>
              <w:top w:val="nil"/>
              <w:left w:val="nil"/>
              <w:bottom w:val="nil"/>
              <w:right w:val="nil"/>
            </w:tcBorders>
            <w:shd w:val="clear" w:color="000000" w:fill="FFFFFF"/>
            <w:noWrap/>
            <w:vAlign w:val="center"/>
            <w:hideMark/>
          </w:tcPr>
          <w:p w14:paraId="2AA10B2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7F35CC47"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6</w:t>
            </w:r>
          </w:p>
        </w:tc>
      </w:tr>
      <w:tr w:rsidR="00943DFA" w:rsidRPr="00943DFA" w14:paraId="334B0F20" w14:textId="77777777" w:rsidTr="00373B60">
        <w:trPr>
          <w:trHeight w:val="300"/>
        </w:trPr>
        <w:tc>
          <w:tcPr>
            <w:tcW w:w="271" w:type="dxa"/>
            <w:tcBorders>
              <w:top w:val="nil"/>
              <w:left w:val="nil"/>
              <w:bottom w:val="nil"/>
              <w:right w:val="nil"/>
            </w:tcBorders>
            <w:shd w:val="clear" w:color="auto" w:fill="auto"/>
            <w:noWrap/>
            <w:vAlign w:val="bottom"/>
            <w:hideMark/>
          </w:tcPr>
          <w:p w14:paraId="414791CC"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552" w:type="dxa"/>
            <w:gridSpan w:val="2"/>
            <w:tcBorders>
              <w:top w:val="nil"/>
              <w:left w:val="nil"/>
              <w:bottom w:val="nil"/>
              <w:right w:val="nil"/>
            </w:tcBorders>
            <w:shd w:val="clear" w:color="000000" w:fill="FFFFFF"/>
            <w:noWrap/>
            <w:vAlign w:val="center"/>
            <w:hideMark/>
          </w:tcPr>
          <w:p w14:paraId="71B10A2F"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Restructuring</w:t>
            </w:r>
          </w:p>
        </w:tc>
        <w:tc>
          <w:tcPr>
            <w:tcW w:w="721" w:type="dxa"/>
            <w:tcBorders>
              <w:top w:val="nil"/>
              <w:left w:val="nil"/>
              <w:bottom w:val="nil"/>
              <w:right w:val="nil"/>
            </w:tcBorders>
            <w:shd w:val="clear" w:color="000000" w:fill="FFFFFF"/>
            <w:noWrap/>
            <w:vAlign w:val="center"/>
            <w:hideMark/>
          </w:tcPr>
          <w:p w14:paraId="2FE0AD6D"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909</w:t>
            </w:r>
          </w:p>
        </w:tc>
        <w:tc>
          <w:tcPr>
            <w:tcW w:w="271" w:type="dxa"/>
            <w:tcBorders>
              <w:top w:val="nil"/>
              <w:left w:val="nil"/>
              <w:bottom w:val="nil"/>
              <w:right w:val="nil"/>
            </w:tcBorders>
            <w:shd w:val="clear" w:color="000000" w:fill="FFFFFF"/>
            <w:noWrap/>
            <w:vAlign w:val="center"/>
            <w:hideMark/>
          </w:tcPr>
          <w:p w14:paraId="596A0E4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vAlign w:val="center"/>
            <w:hideMark/>
          </w:tcPr>
          <w:p w14:paraId="54B2B845"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0.09***</w:t>
            </w:r>
          </w:p>
        </w:tc>
        <w:tc>
          <w:tcPr>
            <w:tcW w:w="271" w:type="dxa"/>
            <w:tcBorders>
              <w:top w:val="nil"/>
              <w:left w:val="nil"/>
              <w:bottom w:val="nil"/>
              <w:right w:val="nil"/>
            </w:tcBorders>
            <w:shd w:val="clear" w:color="000000" w:fill="FFFFFF"/>
            <w:noWrap/>
            <w:vAlign w:val="center"/>
            <w:hideMark/>
          </w:tcPr>
          <w:p w14:paraId="6754204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vAlign w:val="center"/>
            <w:hideMark/>
          </w:tcPr>
          <w:p w14:paraId="2167559B"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0.29</w:t>
            </w:r>
          </w:p>
        </w:tc>
        <w:tc>
          <w:tcPr>
            <w:tcW w:w="271" w:type="dxa"/>
            <w:tcBorders>
              <w:top w:val="nil"/>
              <w:left w:val="nil"/>
              <w:bottom w:val="nil"/>
              <w:right w:val="nil"/>
            </w:tcBorders>
            <w:shd w:val="clear" w:color="000000" w:fill="FFFFFF"/>
            <w:noWrap/>
            <w:vAlign w:val="center"/>
            <w:hideMark/>
          </w:tcPr>
          <w:p w14:paraId="144BE0EC"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3E006765"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308B673B"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vAlign w:val="center"/>
            <w:hideMark/>
          </w:tcPr>
          <w:p w14:paraId="6F041E98"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0C169719"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vAlign w:val="center"/>
            <w:hideMark/>
          </w:tcPr>
          <w:p w14:paraId="59AF4085"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r>
      <w:tr w:rsidR="00943DFA" w:rsidRPr="00943DFA" w14:paraId="5D292852" w14:textId="77777777" w:rsidTr="00373B60">
        <w:trPr>
          <w:trHeight w:val="300"/>
        </w:trPr>
        <w:tc>
          <w:tcPr>
            <w:tcW w:w="271" w:type="dxa"/>
            <w:tcBorders>
              <w:top w:val="nil"/>
              <w:left w:val="nil"/>
              <w:bottom w:val="nil"/>
              <w:right w:val="nil"/>
            </w:tcBorders>
            <w:shd w:val="clear" w:color="auto" w:fill="auto"/>
            <w:noWrap/>
            <w:vAlign w:val="bottom"/>
            <w:hideMark/>
          </w:tcPr>
          <w:p w14:paraId="61900C2D"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6E2FF41C"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M&amp;A</w:t>
            </w:r>
          </w:p>
        </w:tc>
        <w:tc>
          <w:tcPr>
            <w:tcW w:w="271" w:type="dxa"/>
            <w:tcBorders>
              <w:top w:val="nil"/>
              <w:left w:val="nil"/>
              <w:bottom w:val="nil"/>
              <w:right w:val="nil"/>
            </w:tcBorders>
            <w:shd w:val="clear" w:color="000000" w:fill="FFFFFF"/>
            <w:noWrap/>
            <w:vAlign w:val="center"/>
            <w:hideMark/>
          </w:tcPr>
          <w:p w14:paraId="40B4C73D"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724C4CBE"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909</w:t>
            </w:r>
          </w:p>
        </w:tc>
        <w:tc>
          <w:tcPr>
            <w:tcW w:w="271" w:type="dxa"/>
            <w:tcBorders>
              <w:top w:val="nil"/>
              <w:left w:val="nil"/>
              <w:bottom w:val="nil"/>
              <w:right w:val="nil"/>
            </w:tcBorders>
            <w:shd w:val="clear" w:color="000000" w:fill="FFFFFF"/>
            <w:noWrap/>
            <w:vAlign w:val="center"/>
            <w:hideMark/>
          </w:tcPr>
          <w:p w14:paraId="7429103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vAlign w:val="center"/>
            <w:hideMark/>
          </w:tcPr>
          <w:p w14:paraId="665F8C68"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0.12***</w:t>
            </w:r>
          </w:p>
        </w:tc>
        <w:tc>
          <w:tcPr>
            <w:tcW w:w="271" w:type="dxa"/>
            <w:tcBorders>
              <w:top w:val="nil"/>
              <w:left w:val="nil"/>
              <w:bottom w:val="nil"/>
              <w:right w:val="nil"/>
            </w:tcBorders>
            <w:shd w:val="clear" w:color="000000" w:fill="FFFFFF"/>
            <w:noWrap/>
            <w:vAlign w:val="center"/>
            <w:hideMark/>
          </w:tcPr>
          <w:p w14:paraId="7A9A52CF"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vAlign w:val="center"/>
            <w:hideMark/>
          </w:tcPr>
          <w:p w14:paraId="0D67D80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0.33</w:t>
            </w:r>
          </w:p>
        </w:tc>
        <w:tc>
          <w:tcPr>
            <w:tcW w:w="271" w:type="dxa"/>
            <w:tcBorders>
              <w:top w:val="nil"/>
              <w:left w:val="nil"/>
              <w:bottom w:val="nil"/>
              <w:right w:val="nil"/>
            </w:tcBorders>
            <w:shd w:val="clear" w:color="000000" w:fill="FFFFFF"/>
            <w:noWrap/>
            <w:vAlign w:val="center"/>
            <w:hideMark/>
          </w:tcPr>
          <w:p w14:paraId="63D7055E"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4AF5C0E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50F69BB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vAlign w:val="center"/>
            <w:hideMark/>
          </w:tcPr>
          <w:p w14:paraId="1FC072A1"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34FA5857"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vAlign w:val="center"/>
            <w:hideMark/>
          </w:tcPr>
          <w:p w14:paraId="031BD0E2"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r>
      <w:tr w:rsidR="00943DFA" w:rsidRPr="00943DFA" w14:paraId="13D7A31C" w14:textId="77777777" w:rsidTr="00373B60">
        <w:trPr>
          <w:trHeight w:val="300"/>
        </w:trPr>
        <w:tc>
          <w:tcPr>
            <w:tcW w:w="2823" w:type="dxa"/>
            <w:gridSpan w:val="3"/>
            <w:tcBorders>
              <w:top w:val="nil"/>
              <w:left w:val="nil"/>
              <w:bottom w:val="nil"/>
              <w:right w:val="nil"/>
            </w:tcBorders>
            <w:shd w:val="clear" w:color="000000" w:fill="FFFFFF"/>
            <w:noWrap/>
            <w:vAlign w:val="center"/>
            <w:hideMark/>
          </w:tcPr>
          <w:p w14:paraId="0EFCB0CE" w14:textId="77777777" w:rsidR="00195130" w:rsidRPr="00943DFA" w:rsidRDefault="00195130" w:rsidP="00373B60">
            <w:pPr>
              <w:spacing w:line="360" w:lineRule="auto"/>
              <w:contextualSpacing/>
              <w:rPr>
                <w:rFonts w:eastAsia="Times New Roman"/>
                <w:b/>
                <w:bCs/>
                <w:color w:val="0D0D0D" w:themeColor="text1" w:themeTint="F2"/>
                <w:sz w:val="20"/>
              </w:rPr>
            </w:pPr>
            <w:r w:rsidRPr="00943DFA">
              <w:rPr>
                <w:rFonts w:eastAsia="Times New Roman"/>
                <w:b/>
                <w:bCs/>
                <w:color w:val="0D0D0D" w:themeColor="text1" w:themeTint="F2"/>
                <w:sz w:val="20"/>
                <w:szCs w:val="22"/>
              </w:rPr>
              <w:t>Financial health</w:t>
            </w:r>
          </w:p>
        </w:tc>
        <w:tc>
          <w:tcPr>
            <w:tcW w:w="721" w:type="dxa"/>
            <w:tcBorders>
              <w:top w:val="nil"/>
              <w:left w:val="nil"/>
              <w:bottom w:val="nil"/>
              <w:right w:val="nil"/>
            </w:tcBorders>
            <w:shd w:val="clear" w:color="000000" w:fill="FFFFFF"/>
            <w:noWrap/>
            <w:vAlign w:val="center"/>
            <w:hideMark/>
          </w:tcPr>
          <w:p w14:paraId="0F177F3E"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auto" w:fill="auto"/>
            <w:noWrap/>
            <w:vAlign w:val="bottom"/>
            <w:hideMark/>
          </w:tcPr>
          <w:p w14:paraId="13792E0A"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821" w:type="dxa"/>
            <w:tcBorders>
              <w:top w:val="nil"/>
              <w:left w:val="nil"/>
              <w:bottom w:val="nil"/>
              <w:right w:val="nil"/>
            </w:tcBorders>
            <w:shd w:val="clear" w:color="000000" w:fill="FFFFFF"/>
            <w:noWrap/>
            <w:vAlign w:val="center"/>
            <w:hideMark/>
          </w:tcPr>
          <w:p w14:paraId="2AE7F82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auto" w:fill="auto"/>
            <w:noWrap/>
            <w:vAlign w:val="bottom"/>
            <w:hideMark/>
          </w:tcPr>
          <w:p w14:paraId="20286EDA"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866" w:type="dxa"/>
            <w:tcBorders>
              <w:top w:val="nil"/>
              <w:left w:val="nil"/>
              <w:bottom w:val="nil"/>
              <w:right w:val="nil"/>
            </w:tcBorders>
            <w:shd w:val="clear" w:color="000000" w:fill="FFFFFF"/>
            <w:noWrap/>
            <w:vAlign w:val="center"/>
            <w:hideMark/>
          </w:tcPr>
          <w:p w14:paraId="4A3163E2"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auto" w:fill="auto"/>
            <w:noWrap/>
            <w:vAlign w:val="bottom"/>
            <w:hideMark/>
          </w:tcPr>
          <w:p w14:paraId="63D1A1E7"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902" w:type="dxa"/>
            <w:tcBorders>
              <w:top w:val="nil"/>
              <w:left w:val="nil"/>
              <w:bottom w:val="nil"/>
              <w:right w:val="nil"/>
            </w:tcBorders>
            <w:shd w:val="clear" w:color="000000" w:fill="FFFFFF"/>
            <w:noWrap/>
            <w:vAlign w:val="center"/>
            <w:hideMark/>
          </w:tcPr>
          <w:p w14:paraId="7C3CFBB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auto" w:fill="auto"/>
            <w:noWrap/>
            <w:vAlign w:val="bottom"/>
            <w:hideMark/>
          </w:tcPr>
          <w:p w14:paraId="4A91DC1F"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872" w:type="dxa"/>
            <w:tcBorders>
              <w:top w:val="nil"/>
              <w:left w:val="nil"/>
              <w:bottom w:val="nil"/>
              <w:right w:val="nil"/>
            </w:tcBorders>
            <w:shd w:val="clear" w:color="000000" w:fill="FFFFFF"/>
            <w:noWrap/>
            <w:vAlign w:val="center"/>
            <w:hideMark/>
          </w:tcPr>
          <w:p w14:paraId="58B66B1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c>
          <w:tcPr>
            <w:tcW w:w="271" w:type="dxa"/>
            <w:tcBorders>
              <w:top w:val="nil"/>
              <w:left w:val="nil"/>
              <w:bottom w:val="nil"/>
              <w:right w:val="nil"/>
            </w:tcBorders>
            <w:shd w:val="clear" w:color="auto" w:fill="auto"/>
            <w:noWrap/>
            <w:vAlign w:val="bottom"/>
            <w:hideMark/>
          </w:tcPr>
          <w:p w14:paraId="6937961D"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966" w:type="dxa"/>
            <w:tcBorders>
              <w:top w:val="nil"/>
              <w:left w:val="nil"/>
              <w:bottom w:val="nil"/>
              <w:right w:val="nil"/>
            </w:tcBorders>
            <w:shd w:val="clear" w:color="000000" w:fill="FFFFFF"/>
            <w:noWrap/>
            <w:vAlign w:val="center"/>
            <w:hideMark/>
          </w:tcPr>
          <w:p w14:paraId="1486D64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 </w:t>
            </w:r>
          </w:p>
        </w:tc>
      </w:tr>
      <w:tr w:rsidR="00943DFA" w:rsidRPr="00943DFA" w14:paraId="2AD75D91" w14:textId="77777777" w:rsidTr="00373B60">
        <w:trPr>
          <w:trHeight w:val="300"/>
        </w:trPr>
        <w:tc>
          <w:tcPr>
            <w:tcW w:w="271" w:type="dxa"/>
            <w:tcBorders>
              <w:top w:val="nil"/>
              <w:left w:val="nil"/>
              <w:bottom w:val="nil"/>
              <w:right w:val="nil"/>
            </w:tcBorders>
            <w:shd w:val="clear" w:color="auto" w:fill="auto"/>
            <w:noWrap/>
            <w:vAlign w:val="bottom"/>
            <w:hideMark/>
          </w:tcPr>
          <w:p w14:paraId="529934EC"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5A90341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Leverage</w:t>
            </w:r>
          </w:p>
        </w:tc>
        <w:tc>
          <w:tcPr>
            <w:tcW w:w="271" w:type="dxa"/>
            <w:tcBorders>
              <w:top w:val="nil"/>
              <w:left w:val="nil"/>
              <w:bottom w:val="nil"/>
              <w:right w:val="nil"/>
            </w:tcBorders>
            <w:shd w:val="clear" w:color="000000" w:fill="FFFFFF"/>
            <w:noWrap/>
            <w:vAlign w:val="center"/>
            <w:hideMark/>
          </w:tcPr>
          <w:p w14:paraId="692A9DC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22F3FC8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879</w:t>
            </w:r>
          </w:p>
        </w:tc>
        <w:tc>
          <w:tcPr>
            <w:tcW w:w="271" w:type="dxa"/>
            <w:tcBorders>
              <w:top w:val="nil"/>
              <w:left w:val="nil"/>
              <w:bottom w:val="nil"/>
              <w:right w:val="nil"/>
            </w:tcBorders>
            <w:shd w:val="clear" w:color="000000" w:fill="FFFFFF"/>
            <w:noWrap/>
            <w:vAlign w:val="center"/>
            <w:hideMark/>
          </w:tcPr>
          <w:p w14:paraId="052C0FC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0666106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-25.47***</w:t>
            </w:r>
          </w:p>
        </w:tc>
        <w:tc>
          <w:tcPr>
            <w:tcW w:w="271" w:type="dxa"/>
            <w:tcBorders>
              <w:top w:val="nil"/>
              <w:left w:val="nil"/>
              <w:bottom w:val="nil"/>
              <w:right w:val="nil"/>
            </w:tcBorders>
            <w:shd w:val="clear" w:color="000000" w:fill="FFFFFF"/>
            <w:noWrap/>
            <w:vAlign w:val="center"/>
            <w:hideMark/>
          </w:tcPr>
          <w:p w14:paraId="148EE681"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492D9C1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733.69</w:t>
            </w:r>
          </w:p>
        </w:tc>
        <w:tc>
          <w:tcPr>
            <w:tcW w:w="271" w:type="dxa"/>
            <w:tcBorders>
              <w:top w:val="nil"/>
              <w:left w:val="nil"/>
              <w:bottom w:val="nil"/>
              <w:right w:val="nil"/>
            </w:tcBorders>
            <w:shd w:val="clear" w:color="000000" w:fill="FFFFFF"/>
            <w:noWrap/>
            <w:vAlign w:val="center"/>
            <w:hideMark/>
          </w:tcPr>
          <w:p w14:paraId="75CAAF51"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7BB4ABC3"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-28.75</w:t>
            </w:r>
          </w:p>
        </w:tc>
        <w:tc>
          <w:tcPr>
            <w:tcW w:w="271" w:type="dxa"/>
            <w:tcBorders>
              <w:top w:val="nil"/>
              <w:left w:val="nil"/>
              <w:bottom w:val="nil"/>
              <w:right w:val="nil"/>
            </w:tcBorders>
            <w:shd w:val="clear" w:color="000000" w:fill="FFFFFF"/>
            <w:noWrap/>
            <w:vAlign w:val="center"/>
            <w:hideMark/>
          </w:tcPr>
          <w:p w14:paraId="5D2E431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52CF93F4"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-0.18***</w:t>
            </w:r>
          </w:p>
        </w:tc>
        <w:tc>
          <w:tcPr>
            <w:tcW w:w="271" w:type="dxa"/>
            <w:tcBorders>
              <w:top w:val="nil"/>
              <w:left w:val="nil"/>
              <w:bottom w:val="nil"/>
              <w:right w:val="nil"/>
            </w:tcBorders>
            <w:shd w:val="clear" w:color="000000" w:fill="FFFFFF"/>
            <w:noWrap/>
            <w:vAlign w:val="center"/>
            <w:hideMark/>
          </w:tcPr>
          <w:p w14:paraId="006BDB0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44BD3CEE"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42.46</w:t>
            </w:r>
          </w:p>
        </w:tc>
      </w:tr>
      <w:tr w:rsidR="00943DFA" w:rsidRPr="00943DFA" w14:paraId="24FB5AC6" w14:textId="77777777" w:rsidTr="00373B60">
        <w:trPr>
          <w:trHeight w:val="300"/>
        </w:trPr>
        <w:tc>
          <w:tcPr>
            <w:tcW w:w="271" w:type="dxa"/>
            <w:tcBorders>
              <w:top w:val="nil"/>
              <w:left w:val="nil"/>
              <w:bottom w:val="nil"/>
              <w:right w:val="nil"/>
            </w:tcBorders>
            <w:shd w:val="clear" w:color="auto" w:fill="auto"/>
            <w:noWrap/>
            <w:vAlign w:val="bottom"/>
            <w:hideMark/>
          </w:tcPr>
          <w:p w14:paraId="232D4038"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1A057532"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Z-score</w:t>
            </w:r>
          </w:p>
        </w:tc>
        <w:tc>
          <w:tcPr>
            <w:tcW w:w="271" w:type="dxa"/>
            <w:tcBorders>
              <w:top w:val="nil"/>
              <w:left w:val="nil"/>
              <w:bottom w:val="nil"/>
              <w:right w:val="nil"/>
            </w:tcBorders>
            <w:shd w:val="clear" w:color="000000" w:fill="FFFFFF"/>
            <w:noWrap/>
            <w:vAlign w:val="center"/>
            <w:hideMark/>
          </w:tcPr>
          <w:p w14:paraId="5E6DB24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315CAFE6"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826</w:t>
            </w:r>
          </w:p>
        </w:tc>
        <w:tc>
          <w:tcPr>
            <w:tcW w:w="271" w:type="dxa"/>
            <w:tcBorders>
              <w:top w:val="nil"/>
              <w:left w:val="nil"/>
              <w:bottom w:val="nil"/>
              <w:right w:val="nil"/>
            </w:tcBorders>
            <w:shd w:val="clear" w:color="000000" w:fill="FFFFFF"/>
            <w:noWrap/>
            <w:vAlign w:val="center"/>
            <w:hideMark/>
          </w:tcPr>
          <w:p w14:paraId="4BD4D230"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3E9047C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-13.35***</w:t>
            </w:r>
          </w:p>
        </w:tc>
        <w:tc>
          <w:tcPr>
            <w:tcW w:w="271" w:type="dxa"/>
            <w:tcBorders>
              <w:top w:val="nil"/>
              <w:left w:val="nil"/>
              <w:bottom w:val="nil"/>
              <w:right w:val="nil"/>
            </w:tcBorders>
            <w:shd w:val="clear" w:color="000000" w:fill="FFFFFF"/>
            <w:noWrap/>
            <w:vAlign w:val="center"/>
            <w:hideMark/>
          </w:tcPr>
          <w:p w14:paraId="401EEDBE"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7D93784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66.49</w:t>
            </w:r>
          </w:p>
        </w:tc>
        <w:tc>
          <w:tcPr>
            <w:tcW w:w="271" w:type="dxa"/>
            <w:tcBorders>
              <w:top w:val="nil"/>
              <w:left w:val="nil"/>
              <w:bottom w:val="nil"/>
              <w:right w:val="nil"/>
            </w:tcBorders>
            <w:shd w:val="clear" w:color="000000" w:fill="FFFFFF"/>
            <w:noWrap/>
            <w:vAlign w:val="center"/>
            <w:hideMark/>
          </w:tcPr>
          <w:p w14:paraId="1D7AF97E"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11C2103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-263.23</w:t>
            </w:r>
          </w:p>
        </w:tc>
        <w:tc>
          <w:tcPr>
            <w:tcW w:w="271" w:type="dxa"/>
            <w:tcBorders>
              <w:top w:val="nil"/>
              <w:left w:val="nil"/>
              <w:bottom w:val="nil"/>
              <w:right w:val="nil"/>
            </w:tcBorders>
            <w:shd w:val="clear" w:color="000000" w:fill="FFFFFF"/>
            <w:noWrap/>
            <w:vAlign w:val="center"/>
            <w:hideMark/>
          </w:tcPr>
          <w:p w14:paraId="5CF6009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6480F06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-0.01***</w:t>
            </w:r>
          </w:p>
        </w:tc>
        <w:tc>
          <w:tcPr>
            <w:tcW w:w="271" w:type="dxa"/>
            <w:tcBorders>
              <w:top w:val="nil"/>
              <w:left w:val="nil"/>
              <w:bottom w:val="nil"/>
              <w:right w:val="nil"/>
            </w:tcBorders>
            <w:shd w:val="clear" w:color="000000" w:fill="FFFFFF"/>
            <w:noWrap/>
            <w:vAlign w:val="center"/>
            <w:hideMark/>
          </w:tcPr>
          <w:p w14:paraId="41927F12"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2C21BA78"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17.05</w:t>
            </w:r>
          </w:p>
        </w:tc>
      </w:tr>
      <w:tr w:rsidR="00943DFA" w:rsidRPr="00943DFA" w14:paraId="4AB0FD23" w14:textId="77777777" w:rsidTr="00373B60">
        <w:trPr>
          <w:trHeight w:val="300"/>
        </w:trPr>
        <w:tc>
          <w:tcPr>
            <w:tcW w:w="271" w:type="dxa"/>
            <w:tcBorders>
              <w:top w:val="nil"/>
              <w:left w:val="nil"/>
              <w:bottom w:val="nil"/>
              <w:right w:val="nil"/>
            </w:tcBorders>
            <w:shd w:val="clear" w:color="auto" w:fill="auto"/>
            <w:noWrap/>
            <w:vAlign w:val="bottom"/>
            <w:hideMark/>
          </w:tcPr>
          <w:p w14:paraId="59D614DA"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552" w:type="dxa"/>
            <w:gridSpan w:val="2"/>
            <w:tcBorders>
              <w:top w:val="nil"/>
              <w:left w:val="nil"/>
              <w:bottom w:val="nil"/>
              <w:right w:val="nil"/>
            </w:tcBorders>
            <w:shd w:val="clear" w:color="000000" w:fill="FFFFFF"/>
            <w:noWrap/>
            <w:vAlign w:val="center"/>
            <w:hideMark/>
          </w:tcPr>
          <w:p w14:paraId="04EACE82"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Positive earnings</w:t>
            </w:r>
          </w:p>
        </w:tc>
        <w:tc>
          <w:tcPr>
            <w:tcW w:w="721" w:type="dxa"/>
            <w:tcBorders>
              <w:top w:val="nil"/>
              <w:left w:val="nil"/>
              <w:bottom w:val="nil"/>
              <w:right w:val="nil"/>
            </w:tcBorders>
            <w:shd w:val="clear" w:color="000000" w:fill="FFFFFF"/>
            <w:noWrap/>
            <w:vAlign w:val="center"/>
            <w:hideMark/>
          </w:tcPr>
          <w:p w14:paraId="3F01068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872</w:t>
            </w:r>
          </w:p>
        </w:tc>
        <w:tc>
          <w:tcPr>
            <w:tcW w:w="271" w:type="dxa"/>
            <w:tcBorders>
              <w:top w:val="nil"/>
              <w:left w:val="nil"/>
              <w:bottom w:val="nil"/>
              <w:right w:val="nil"/>
            </w:tcBorders>
            <w:shd w:val="clear" w:color="000000" w:fill="FFFFFF"/>
            <w:noWrap/>
            <w:vAlign w:val="center"/>
            <w:hideMark/>
          </w:tcPr>
          <w:p w14:paraId="25633BF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vAlign w:val="center"/>
            <w:hideMark/>
          </w:tcPr>
          <w:p w14:paraId="6B000F93"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0.44***</w:t>
            </w:r>
          </w:p>
        </w:tc>
        <w:tc>
          <w:tcPr>
            <w:tcW w:w="271" w:type="dxa"/>
            <w:tcBorders>
              <w:top w:val="nil"/>
              <w:left w:val="nil"/>
              <w:bottom w:val="nil"/>
              <w:right w:val="nil"/>
            </w:tcBorders>
            <w:shd w:val="clear" w:color="000000" w:fill="FFFFFF"/>
            <w:noWrap/>
            <w:vAlign w:val="center"/>
            <w:hideMark/>
          </w:tcPr>
          <w:p w14:paraId="7C6277FB"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vAlign w:val="center"/>
            <w:hideMark/>
          </w:tcPr>
          <w:p w14:paraId="68A1C281"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0.5</w:t>
            </w:r>
          </w:p>
        </w:tc>
        <w:tc>
          <w:tcPr>
            <w:tcW w:w="271" w:type="dxa"/>
            <w:tcBorders>
              <w:top w:val="nil"/>
              <w:left w:val="nil"/>
              <w:bottom w:val="nil"/>
              <w:right w:val="nil"/>
            </w:tcBorders>
            <w:shd w:val="clear" w:color="000000" w:fill="FFFFFF"/>
            <w:noWrap/>
            <w:vAlign w:val="center"/>
            <w:hideMark/>
          </w:tcPr>
          <w:p w14:paraId="20AFC57A"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1237A168"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7B37BC37"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vAlign w:val="center"/>
            <w:hideMark/>
          </w:tcPr>
          <w:p w14:paraId="243C74FB"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3E60835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vAlign w:val="center"/>
            <w:hideMark/>
          </w:tcPr>
          <w:p w14:paraId="179BAFB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r>
      <w:tr w:rsidR="00943DFA" w:rsidRPr="00943DFA" w14:paraId="1563A590" w14:textId="77777777" w:rsidTr="00373B60">
        <w:trPr>
          <w:trHeight w:val="300"/>
        </w:trPr>
        <w:tc>
          <w:tcPr>
            <w:tcW w:w="271" w:type="dxa"/>
            <w:tcBorders>
              <w:top w:val="nil"/>
              <w:left w:val="nil"/>
              <w:bottom w:val="nil"/>
              <w:right w:val="nil"/>
            </w:tcBorders>
            <w:shd w:val="clear" w:color="auto" w:fill="auto"/>
            <w:noWrap/>
            <w:vAlign w:val="bottom"/>
            <w:hideMark/>
          </w:tcPr>
          <w:p w14:paraId="02EBF2A6" w14:textId="77777777" w:rsidR="00195130" w:rsidRPr="00943DFA" w:rsidRDefault="00195130" w:rsidP="00373B60">
            <w:pPr>
              <w:spacing w:line="360" w:lineRule="auto"/>
              <w:contextualSpacing/>
              <w:jc w:val="center"/>
              <w:rPr>
                <w:rFonts w:eastAsia="Times New Roman"/>
                <w:color w:val="0D0D0D" w:themeColor="text1" w:themeTint="F2"/>
                <w:sz w:val="20"/>
              </w:rPr>
            </w:pPr>
          </w:p>
        </w:tc>
        <w:tc>
          <w:tcPr>
            <w:tcW w:w="2552" w:type="dxa"/>
            <w:gridSpan w:val="2"/>
            <w:tcBorders>
              <w:top w:val="nil"/>
              <w:left w:val="nil"/>
              <w:bottom w:val="nil"/>
              <w:right w:val="nil"/>
            </w:tcBorders>
            <w:shd w:val="clear" w:color="000000" w:fill="FFFFFF"/>
            <w:noWrap/>
            <w:vAlign w:val="center"/>
            <w:hideMark/>
          </w:tcPr>
          <w:p w14:paraId="30C86FFF"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External financing</w:t>
            </w:r>
          </w:p>
        </w:tc>
        <w:tc>
          <w:tcPr>
            <w:tcW w:w="721" w:type="dxa"/>
            <w:tcBorders>
              <w:top w:val="nil"/>
              <w:left w:val="nil"/>
              <w:bottom w:val="nil"/>
              <w:right w:val="nil"/>
            </w:tcBorders>
            <w:shd w:val="clear" w:color="000000" w:fill="FFFFFF"/>
            <w:noWrap/>
            <w:vAlign w:val="center"/>
            <w:hideMark/>
          </w:tcPr>
          <w:p w14:paraId="147D4B21"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769</w:t>
            </w:r>
          </w:p>
        </w:tc>
        <w:tc>
          <w:tcPr>
            <w:tcW w:w="271" w:type="dxa"/>
            <w:tcBorders>
              <w:top w:val="nil"/>
              <w:left w:val="nil"/>
              <w:bottom w:val="nil"/>
              <w:right w:val="nil"/>
            </w:tcBorders>
            <w:shd w:val="clear" w:color="000000" w:fill="FFFFFF"/>
            <w:noWrap/>
            <w:vAlign w:val="center"/>
            <w:hideMark/>
          </w:tcPr>
          <w:p w14:paraId="25B7F207"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noWrap/>
            <w:vAlign w:val="center"/>
            <w:hideMark/>
          </w:tcPr>
          <w:p w14:paraId="1CCCC37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0.32***</w:t>
            </w:r>
          </w:p>
        </w:tc>
        <w:tc>
          <w:tcPr>
            <w:tcW w:w="271" w:type="dxa"/>
            <w:tcBorders>
              <w:top w:val="nil"/>
              <w:left w:val="nil"/>
              <w:bottom w:val="nil"/>
              <w:right w:val="nil"/>
            </w:tcBorders>
            <w:shd w:val="clear" w:color="000000" w:fill="FFFFFF"/>
            <w:noWrap/>
            <w:vAlign w:val="center"/>
            <w:hideMark/>
          </w:tcPr>
          <w:p w14:paraId="7674A78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noWrap/>
            <w:vAlign w:val="center"/>
            <w:hideMark/>
          </w:tcPr>
          <w:p w14:paraId="744B5E9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1.24</w:t>
            </w:r>
          </w:p>
        </w:tc>
        <w:tc>
          <w:tcPr>
            <w:tcW w:w="271" w:type="dxa"/>
            <w:tcBorders>
              <w:top w:val="nil"/>
              <w:left w:val="nil"/>
              <w:bottom w:val="nil"/>
              <w:right w:val="nil"/>
            </w:tcBorders>
            <w:shd w:val="clear" w:color="000000" w:fill="FFFFFF"/>
            <w:noWrap/>
            <w:vAlign w:val="center"/>
            <w:hideMark/>
          </w:tcPr>
          <w:p w14:paraId="0A79FAB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0494093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-2.25</w:t>
            </w:r>
          </w:p>
        </w:tc>
        <w:tc>
          <w:tcPr>
            <w:tcW w:w="271" w:type="dxa"/>
            <w:tcBorders>
              <w:top w:val="nil"/>
              <w:left w:val="nil"/>
              <w:bottom w:val="nil"/>
              <w:right w:val="nil"/>
            </w:tcBorders>
            <w:shd w:val="clear" w:color="000000" w:fill="FFFFFF"/>
            <w:noWrap/>
            <w:vAlign w:val="center"/>
            <w:hideMark/>
          </w:tcPr>
          <w:p w14:paraId="3E312D9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noWrap/>
            <w:vAlign w:val="center"/>
            <w:hideMark/>
          </w:tcPr>
          <w:p w14:paraId="7FAEA157"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0.06***</w:t>
            </w:r>
          </w:p>
        </w:tc>
        <w:tc>
          <w:tcPr>
            <w:tcW w:w="271" w:type="dxa"/>
            <w:tcBorders>
              <w:top w:val="nil"/>
              <w:left w:val="nil"/>
              <w:bottom w:val="nil"/>
              <w:right w:val="nil"/>
            </w:tcBorders>
            <w:shd w:val="clear" w:color="000000" w:fill="FFFFFF"/>
            <w:noWrap/>
            <w:vAlign w:val="center"/>
            <w:hideMark/>
          </w:tcPr>
          <w:p w14:paraId="69707C3E"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noWrap/>
            <w:vAlign w:val="center"/>
            <w:hideMark/>
          </w:tcPr>
          <w:p w14:paraId="1B5B3742"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3.32</w:t>
            </w:r>
          </w:p>
        </w:tc>
      </w:tr>
      <w:tr w:rsidR="00943DFA" w:rsidRPr="00943DFA" w14:paraId="04D1A813" w14:textId="77777777" w:rsidTr="00373B60">
        <w:trPr>
          <w:trHeight w:val="300"/>
        </w:trPr>
        <w:tc>
          <w:tcPr>
            <w:tcW w:w="9333" w:type="dxa"/>
            <w:gridSpan w:val="14"/>
            <w:tcBorders>
              <w:top w:val="nil"/>
              <w:left w:val="nil"/>
              <w:bottom w:val="nil"/>
              <w:right w:val="nil"/>
            </w:tcBorders>
            <w:shd w:val="clear" w:color="000000" w:fill="FFFFFF"/>
            <w:noWrap/>
            <w:vAlign w:val="center"/>
            <w:hideMark/>
          </w:tcPr>
          <w:p w14:paraId="2AD33CD6" w14:textId="77777777" w:rsidR="00195130" w:rsidRPr="00943DFA" w:rsidRDefault="00195130" w:rsidP="00373B60">
            <w:pPr>
              <w:spacing w:line="360" w:lineRule="auto"/>
              <w:contextualSpacing/>
              <w:rPr>
                <w:rFonts w:eastAsia="Times New Roman"/>
                <w:b/>
                <w:bCs/>
                <w:color w:val="0D0D0D" w:themeColor="text1" w:themeTint="F2"/>
                <w:sz w:val="20"/>
              </w:rPr>
            </w:pPr>
            <w:r w:rsidRPr="00943DFA">
              <w:rPr>
                <w:rFonts w:eastAsia="Times New Roman"/>
                <w:b/>
                <w:bCs/>
                <w:color w:val="0D0D0D" w:themeColor="text1" w:themeTint="F2"/>
                <w:sz w:val="20"/>
                <w:szCs w:val="22"/>
              </w:rPr>
              <w:t>Auditor quality</w:t>
            </w:r>
          </w:p>
        </w:tc>
      </w:tr>
      <w:tr w:rsidR="00943DFA" w:rsidRPr="00943DFA" w14:paraId="43D1601B" w14:textId="77777777" w:rsidTr="00373B60">
        <w:trPr>
          <w:trHeight w:val="300"/>
        </w:trPr>
        <w:tc>
          <w:tcPr>
            <w:tcW w:w="271" w:type="dxa"/>
            <w:tcBorders>
              <w:top w:val="nil"/>
              <w:left w:val="nil"/>
              <w:bottom w:val="nil"/>
              <w:right w:val="nil"/>
            </w:tcBorders>
            <w:shd w:val="clear" w:color="auto" w:fill="auto"/>
            <w:noWrap/>
            <w:vAlign w:val="bottom"/>
            <w:hideMark/>
          </w:tcPr>
          <w:p w14:paraId="7A299B91" w14:textId="77777777" w:rsidR="00195130" w:rsidRPr="00943DFA" w:rsidRDefault="00195130" w:rsidP="00373B60">
            <w:pPr>
              <w:spacing w:line="360" w:lineRule="auto"/>
              <w:contextualSpacing/>
              <w:rPr>
                <w:rFonts w:eastAsia="Times New Roman"/>
                <w:b/>
                <w:bCs/>
                <w:color w:val="0D0D0D" w:themeColor="text1" w:themeTint="F2"/>
                <w:sz w:val="20"/>
              </w:rPr>
            </w:pPr>
          </w:p>
        </w:tc>
        <w:tc>
          <w:tcPr>
            <w:tcW w:w="2281" w:type="dxa"/>
            <w:tcBorders>
              <w:top w:val="nil"/>
              <w:left w:val="nil"/>
              <w:bottom w:val="nil"/>
              <w:right w:val="nil"/>
            </w:tcBorders>
            <w:shd w:val="clear" w:color="000000" w:fill="FFFFFF"/>
            <w:noWrap/>
            <w:vAlign w:val="center"/>
            <w:hideMark/>
          </w:tcPr>
          <w:p w14:paraId="2942127F"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Big 4</w:t>
            </w:r>
          </w:p>
        </w:tc>
        <w:tc>
          <w:tcPr>
            <w:tcW w:w="271" w:type="dxa"/>
            <w:tcBorders>
              <w:top w:val="nil"/>
              <w:left w:val="nil"/>
              <w:bottom w:val="nil"/>
              <w:right w:val="nil"/>
            </w:tcBorders>
            <w:shd w:val="clear" w:color="000000" w:fill="FFFFFF"/>
            <w:noWrap/>
            <w:vAlign w:val="center"/>
            <w:hideMark/>
          </w:tcPr>
          <w:p w14:paraId="66CC5FAF"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721" w:type="dxa"/>
            <w:tcBorders>
              <w:top w:val="nil"/>
              <w:left w:val="nil"/>
              <w:bottom w:val="nil"/>
              <w:right w:val="nil"/>
            </w:tcBorders>
            <w:shd w:val="clear" w:color="000000" w:fill="FFFFFF"/>
            <w:noWrap/>
            <w:vAlign w:val="center"/>
            <w:hideMark/>
          </w:tcPr>
          <w:p w14:paraId="497FBCB4"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885</w:t>
            </w:r>
          </w:p>
        </w:tc>
        <w:tc>
          <w:tcPr>
            <w:tcW w:w="271" w:type="dxa"/>
            <w:tcBorders>
              <w:top w:val="nil"/>
              <w:left w:val="nil"/>
              <w:bottom w:val="nil"/>
              <w:right w:val="nil"/>
            </w:tcBorders>
            <w:shd w:val="clear" w:color="000000" w:fill="FFFFFF"/>
            <w:noWrap/>
            <w:vAlign w:val="center"/>
            <w:hideMark/>
          </w:tcPr>
          <w:p w14:paraId="4477101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vAlign w:val="center"/>
            <w:hideMark/>
          </w:tcPr>
          <w:p w14:paraId="26B1463B"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0.81***</w:t>
            </w:r>
          </w:p>
        </w:tc>
        <w:tc>
          <w:tcPr>
            <w:tcW w:w="271" w:type="dxa"/>
            <w:tcBorders>
              <w:top w:val="nil"/>
              <w:left w:val="nil"/>
              <w:bottom w:val="nil"/>
              <w:right w:val="nil"/>
            </w:tcBorders>
            <w:shd w:val="clear" w:color="000000" w:fill="FFFFFF"/>
            <w:noWrap/>
            <w:vAlign w:val="center"/>
            <w:hideMark/>
          </w:tcPr>
          <w:p w14:paraId="79E01348"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vAlign w:val="center"/>
            <w:hideMark/>
          </w:tcPr>
          <w:p w14:paraId="2450A6CC"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0.39</w:t>
            </w:r>
          </w:p>
        </w:tc>
        <w:tc>
          <w:tcPr>
            <w:tcW w:w="271" w:type="dxa"/>
            <w:tcBorders>
              <w:top w:val="nil"/>
              <w:left w:val="nil"/>
              <w:bottom w:val="nil"/>
              <w:right w:val="nil"/>
            </w:tcBorders>
            <w:shd w:val="clear" w:color="000000" w:fill="FFFFFF"/>
            <w:noWrap/>
            <w:vAlign w:val="center"/>
            <w:hideMark/>
          </w:tcPr>
          <w:p w14:paraId="451B9A7B"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4F022744"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20A93997"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vAlign w:val="center"/>
            <w:hideMark/>
          </w:tcPr>
          <w:p w14:paraId="17132030"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c>
          <w:tcPr>
            <w:tcW w:w="271" w:type="dxa"/>
            <w:tcBorders>
              <w:top w:val="nil"/>
              <w:left w:val="nil"/>
              <w:bottom w:val="nil"/>
              <w:right w:val="nil"/>
            </w:tcBorders>
            <w:shd w:val="clear" w:color="000000" w:fill="FFFFFF"/>
            <w:noWrap/>
            <w:vAlign w:val="center"/>
            <w:hideMark/>
          </w:tcPr>
          <w:p w14:paraId="53C68C1B"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vAlign w:val="center"/>
            <w:hideMark/>
          </w:tcPr>
          <w:p w14:paraId="02F9CA45"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r>
      <w:tr w:rsidR="00943DFA" w:rsidRPr="00943DFA" w14:paraId="6371D229" w14:textId="77777777" w:rsidTr="00373B60">
        <w:trPr>
          <w:trHeight w:val="300"/>
        </w:trPr>
        <w:tc>
          <w:tcPr>
            <w:tcW w:w="9333" w:type="dxa"/>
            <w:gridSpan w:val="14"/>
            <w:tcBorders>
              <w:top w:val="nil"/>
              <w:left w:val="nil"/>
              <w:bottom w:val="nil"/>
              <w:right w:val="nil"/>
            </w:tcBorders>
            <w:shd w:val="clear" w:color="000000" w:fill="FFFFFF"/>
            <w:noWrap/>
            <w:vAlign w:val="center"/>
            <w:hideMark/>
          </w:tcPr>
          <w:p w14:paraId="5260B7A3" w14:textId="77777777" w:rsidR="00195130" w:rsidRPr="00943DFA" w:rsidRDefault="00195130" w:rsidP="00373B60">
            <w:pPr>
              <w:spacing w:line="360" w:lineRule="auto"/>
              <w:contextualSpacing/>
              <w:rPr>
                <w:rFonts w:eastAsia="Times New Roman"/>
                <w:b/>
                <w:bCs/>
                <w:color w:val="0D0D0D" w:themeColor="text1" w:themeTint="F2"/>
                <w:sz w:val="20"/>
              </w:rPr>
            </w:pPr>
            <w:r w:rsidRPr="00943DFA">
              <w:rPr>
                <w:rFonts w:eastAsia="Times New Roman"/>
                <w:b/>
                <w:bCs/>
                <w:color w:val="0D0D0D" w:themeColor="text1" w:themeTint="F2"/>
                <w:sz w:val="20"/>
                <w:szCs w:val="22"/>
              </w:rPr>
              <w:t>Corporate governance quality</w:t>
            </w:r>
          </w:p>
        </w:tc>
      </w:tr>
      <w:tr w:rsidR="00943DFA" w:rsidRPr="00943DFA" w14:paraId="505CFFED" w14:textId="77777777" w:rsidTr="00373B60">
        <w:trPr>
          <w:trHeight w:val="315"/>
        </w:trPr>
        <w:tc>
          <w:tcPr>
            <w:tcW w:w="271" w:type="dxa"/>
            <w:tcBorders>
              <w:top w:val="nil"/>
              <w:left w:val="nil"/>
              <w:bottom w:val="nil"/>
              <w:right w:val="nil"/>
            </w:tcBorders>
            <w:shd w:val="clear" w:color="auto" w:fill="auto"/>
            <w:noWrap/>
            <w:vAlign w:val="bottom"/>
            <w:hideMark/>
          </w:tcPr>
          <w:p w14:paraId="209868F4" w14:textId="77777777" w:rsidR="00195130" w:rsidRPr="00943DFA" w:rsidRDefault="00195130" w:rsidP="00373B60">
            <w:pPr>
              <w:spacing w:line="360" w:lineRule="auto"/>
              <w:contextualSpacing/>
              <w:rPr>
                <w:rFonts w:eastAsia="Times New Roman"/>
                <w:b/>
                <w:bCs/>
                <w:color w:val="0D0D0D" w:themeColor="text1" w:themeTint="F2"/>
                <w:sz w:val="20"/>
              </w:rPr>
            </w:pPr>
          </w:p>
        </w:tc>
        <w:tc>
          <w:tcPr>
            <w:tcW w:w="2552" w:type="dxa"/>
            <w:gridSpan w:val="2"/>
            <w:tcBorders>
              <w:top w:val="nil"/>
              <w:left w:val="nil"/>
              <w:bottom w:val="nil"/>
              <w:right w:val="nil"/>
            </w:tcBorders>
            <w:shd w:val="clear" w:color="000000" w:fill="FFFFFF"/>
            <w:noWrap/>
            <w:vAlign w:val="center"/>
            <w:hideMark/>
          </w:tcPr>
          <w:p w14:paraId="11FF2E5D" w14:textId="77777777" w:rsidR="00195130" w:rsidRPr="00943DFA" w:rsidRDefault="00195130" w:rsidP="00373B60">
            <w:pPr>
              <w:spacing w:line="360" w:lineRule="auto"/>
              <w:contextualSpacing/>
              <w:rPr>
                <w:rFonts w:eastAsia="Times New Roman"/>
                <w:color w:val="0D0D0D" w:themeColor="text1" w:themeTint="F2"/>
                <w:sz w:val="20"/>
              </w:rPr>
            </w:pPr>
            <w:proofErr w:type="spellStart"/>
            <w:r w:rsidRPr="00943DFA">
              <w:rPr>
                <w:rFonts w:eastAsia="Times New Roman"/>
                <w:color w:val="0D0D0D" w:themeColor="text1" w:themeTint="F2"/>
                <w:sz w:val="20"/>
                <w:szCs w:val="22"/>
              </w:rPr>
              <w:t>CEOchairperson</w:t>
            </w:r>
            <w:proofErr w:type="spellEnd"/>
          </w:p>
        </w:tc>
        <w:tc>
          <w:tcPr>
            <w:tcW w:w="721" w:type="dxa"/>
            <w:tcBorders>
              <w:top w:val="nil"/>
              <w:left w:val="nil"/>
              <w:bottom w:val="nil"/>
              <w:right w:val="nil"/>
            </w:tcBorders>
            <w:shd w:val="clear" w:color="000000" w:fill="FFFFFF"/>
            <w:noWrap/>
            <w:vAlign w:val="center"/>
            <w:hideMark/>
          </w:tcPr>
          <w:p w14:paraId="05A25179"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403</w:t>
            </w:r>
          </w:p>
        </w:tc>
        <w:tc>
          <w:tcPr>
            <w:tcW w:w="271" w:type="dxa"/>
            <w:tcBorders>
              <w:top w:val="nil"/>
              <w:left w:val="nil"/>
              <w:bottom w:val="nil"/>
              <w:right w:val="nil"/>
            </w:tcBorders>
            <w:shd w:val="clear" w:color="000000" w:fill="FFFFFF"/>
            <w:noWrap/>
            <w:vAlign w:val="center"/>
            <w:hideMark/>
          </w:tcPr>
          <w:p w14:paraId="3F1C3E76"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21" w:type="dxa"/>
            <w:tcBorders>
              <w:top w:val="nil"/>
              <w:left w:val="nil"/>
              <w:bottom w:val="nil"/>
              <w:right w:val="nil"/>
            </w:tcBorders>
            <w:shd w:val="clear" w:color="000000" w:fill="FFFFFF"/>
            <w:vAlign w:val="center"/>
            <w:hideMark/>
          </w:tcPr>
          <w:p w14:paraId="399514D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0.47***</w:t>
            </w:r>
          </w:p>
        </w:tc>
        <w:tc>
          <w:tcPr>
            <w:tcW w:w="271" w:type="dxa"/>
            <w:tcBorders>
              <w:top w:val="nil"/>
              <w:left w:val="nil"/>
              <w:bottom w:val="nil"/>
              <w:right w:val="nil"/>
            </w:tcBorders>
            <w:shd w:val="clear" w:color="000000" w:fill="FFFFFF"/>
            <w:noWrap/>
            <w:vAlign w:val="center"/>
            <w:hideMark/>
          </w:tcPr>
          <w:p w14:paraId="274DBCD3"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66" w:type="dxa"/>
            <w:tcBorders>
              <w:top w:val="nil"/>
              <w:left w:val="nil"/>
              <w:bottom w:val="nil"/>
              <w:right w:val="nil"/>
            </w:tcBorders>
            <w:shd w:val="clear" w:color="000000" w:fill="FFFFFF"/>
            <w:vAlign w:val="center"/>
            <w:hideMark/>
          </w:tcPr>
          <w:p w14:paraId="6C51A505"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0.5</w:t>
            </w:r>
          </w:p>
        </w:tc>
        <w:tc>
          <w:tcPr>
            <w:tcW w:w="271" w:type="dxa"/>
            <w:tcBorders>
              <w:top w:val="nil"/>
              <w:left w:val="nil"/>
              <w:bottom w:val="nil"/>
              <w:right w:val="nil"/>
            </w:tcBorders>
            <w:shd w:val="clear" w:color="000000" w:fill="FFFFFF"/>
            <w:noWrap/>
            <w:vAlign w:val="center"/>
            <w:hideMark/>
          </w:tcPr>
          <w:p w14:paraId="13349DC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02" w:type="dxa"/>
            <w:tcBorders>
              <w:top w:val="nil"/>
              <w:left w:val="nil"/>
              <w:bottom w:val="nil"/>
              <w:right w:val="nil"/>
            </w:tcBorders>
            <w:shd w:val="clear" w:color="000000" w:fill="FFFFFF"/>
            <w:noWrap/>
            <w:vAlign w:val="center"/>
            <w:hideMark/>
          </w:tcPr>
          <w:p w14:paraId="64951FD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47F4ACA4"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872" w:type="dxa"/>
            <w:tcBorders>
              <w:top w:val="nil"/>
              <w:left w:val="nil"/>
              <w:bottom w:val="nil"/>
              <w:right w:val="nil"/>
            </w:tcBorders>
            <w:shd w:val="clear" w:color="000000" w:fill="FFFFFF"/>
            <w:vAlign w:val="center"/>
            <w:hideMark/>
          </w:tcPr>
          <w:p w14:paraId="108FE85F"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0***</w:t>
            </w:r>
          </w:p>
        </w:tc>
        <w:tc>
          <w:tcPr>
            <w:tcW w:w="271" w:type="dxa"/>
            <w:tcBorders>
              <w:top w:val="nil"/>
              <w:left w:val="nil"/>
              <w:bottom w:val="nil"/>
              <w:right w:val="nil"/>
            </w:tcBorders>
            <w:shd w:val="clear" w:color="000000" w:fill="FFFFFF"/>
            <w:noWrap/>
            <w:vAlign w:val="center"/>
            <w:hideMark/>
          </w:tcPr>
          <w:p w14:paraId="7BD2415A" w14:textId="77777777" w:rsidR="00195130" w:rsidRPr="00943DFA" w:rsidRDefault="00195130" w:rsidP="00373B60">
            <w:pPr>
              <w:spacing w:line="360" w:lineRule="auto"/>
              <w:contextualSpacing/>
              <w:rPr>
                <w:rFonts w:eastAsia="Times New Roman"/>
                <w:color w:val="0D0D0D" w:themeColor="text1" w:themeTint="F2"/>
                <w:sz w:val="20"/>
              </w:rPr>
            </w:pPr>
            <w:r w:rsidRPr="00943DFA">
              <w:rPr>
                <w:rFonts w:eastAsia="Times New Roman"/>
                <w:color w:val="0D0D0D" w:themeColor="text1" w:themeTint="F2"/>
                <w:sz w:val="20"/>
                <w:szCs w:val="22"/>
              </w:rPr>
              <w:t> </w:t>
            </w:r>
          </w:p>
        </w:tc>
        <w:tc>
          <w:tcPr>
            <w:tcW w:w="966" w:type="dxa"/>
            <w:tcBorders>
              <w:top w:val="nil"/>
              <w:left w:val="nil"/>
              <w:bottom w:val="nil"/>
              <w:right w:val="nil"/>
            </w:tcBorders>
            <w:shd w:val="clear" w:color="000000" w:fill="FFFFFF"/>
            <w:vAlign w:val="center"/>
            <w:hideMark/>
          </w:tcPr>
          <w:p w14:paraId="4C22066A" w14:textId="77777777" w:rsidR="00195130" w:rsidRPr="00943DFA" w:rsidRDefault="00195130" w:rsidP="00373B60">
            <w:pPr>
              <w:spacing w:line="360" w:lineRule="auto"/>
              <w:contextualSpacing/>
              <w:jc w:val="center"/>
              <w:rPr>
                <w:rFonts w:eastAsia="Times New Roman"/>
                <w:color w:val="0D0D0D" w:themeColor="text1" w:themeTint="F2"/>
                <w:sz w:val="20"/>
              </w:rPr>
            </w:pPr>
            <w:r w:rsidRPr="00943DFA">
              <w:rPr>
                <w:rFonts w:eastAsia="Times New Roman"/>
                <w:color w:val="0D0D0D" w:themeColor="text1" w:themeTint="F2"/>
                <w:sz w:val="20"/>
                <w:szCs w:val="22"/>
              </w:rPr>
              <w:t>1</w:t>
            </w:r>
          </w:p>
        </w:tc>
      </w:tr>
      <w:tr w:rsidR="00943DFA" w:rsidRPr="00943DFA" w14:paraId="2C6A6244" w14:textId="77777777" w:rsidTr="00373B60">
        <w:trPr>
          <w:trHeight w:val="735"/>
        </w:trPr>
        <w:tc>
          <w:tcPr>
            <w:tcW w:w="9333" w:type="dxa"/>
            <w:gridSpan w:val="14"/>
            <w:tcBorders>
              <w:top w:val="single" w:sz="8" w:space="0" w:color="auto"/>
              <w:left w:val="nil"/>
              <w:bottom w:val="single" w:sz="8" w:space="0" w:color="auto"/>
              <w:right w:val="nil"/>
            </w:tcBorders>
            <w:shd w:val="clear" w:color="000000" w:fill="FFFFFF"/>
            <w:vAlign w:val="center"/>
            <w:hideMark/>
          </w:tcPr>
          <w:p w14:paraId="1AD304C3" w14:textId="77777777" w:rsidR="00195130" w:rsidRPr="00943DFA" w:rsidRDefault="00195130" w:rsidP="00373B60">
            <w:pPr>
              <w:spacing w:line="360" w:lineRule="auto"/>
              <w:contextualSpacing/>
              <w:jc w:val="both"/>
              <w:rPr>
                <w:rFonts w:eastAsia="Times New Roman"/>
                <w:color w:val="0D0D0D" w:themeColor="text1" w:themeTint="F2"/>
                <w:sz w:val="20"/>
                <w:szCs w:val="20"/>
              </w:rPr>
            </w:pPr>
            <w:r w:rsidRPr="00943DFA">
              <w:rPr>
                <w:rFonts w:eastAsia="Times New Roman"/>
                <w:color w:val="0D0D0D" w:themeColor="text1" w:themeTint="F2"/>
                <w:sz w:val="20"/>
                <w:szCs w:val="20"/>
              </w:rPr>
              <w:t xml:space="preserve">This table presents the descriptive statistics of the IPO firms' characteristics for the full sample of 909 IPOs between 2005 and 2017. The IPO firm's characteristics include </w:t>
            </w:r>
            <w:r w:rsidRPr="00943DFA">
              <w:rPr>
                <w:rFonts w:eastAsia="Times New Roman"/>
                <w:i/>
                <w:color w:val="0D0D0D" w:themeColor="text1" w:themeTint="F2"/>
                <w:sz w:val="20"/>
                <w:szCs w:val="20"/>
              </w:rPr>
              <w:t xml:space="preserve">Size, Age, Sale growth, Segments, Restructuring, M&amp;A, Leverage, Z-score, Positive earnings, External financing, Big 4, </w:t>
            </w:r>
            <w:proofErr w:type="spellStart"/>
            <w:r w:rsidRPr="00943DFA">
              <w:rPr>
                <w:rFonts w:eastAsia="Times New Roman"/>
                <w:i/>
                <w:color w:val="0D0D0D" w:themeColor="text1" w:themeTint="F2"/>
                <w:sz w:val="20"/>
                <w:szCs w:val="20"/>
              </w:rPr>
              <w:t>CEOchairperson</w:t>
            </w:r>
            <w:proofErr w:type="spellEnd"/>
            <w:r w:rsidRPr="00943DFA">
              <w:rPr>
                <w:rFonts w:eastAsia="Times New Roman"/>
                <w:color w:val="0D0D0D" w:themeColor="text1" w:themeTint="F2"/>
                <w:sz w:val="20"/>
                <w:szCs w:val="20"/>
              </w:rPr>
              <w:t>. All variables are defined in Appendix 1.</w:t>
            </w:r>
          </w:p>
        </w:tc>
      </w:tr>
    </w:tbl>
    <w:p w14:paraId="084891BD" w14:textId="77777777" w:rsidR="00195130" w:rsidRPr="00943DFA" w:rsidRDefault="00195130" w:rsidP="00195130">
      <w:pPr>
        <w:spacing w:before="240" w:after="240" w:line="360" w:lineRule="auto"/>
        <w:jc w:val="both"/>
        <w:rPr>
          <w:color w:val="0D0D0D" w:themeColor="text1" w:themeTint="F2"/>
          <w:lang w:eastAsia="en-US"/>
        </w:rPr>
        <w:sectPr w:rsidR="00195130" w:rsidRPr="00943DFA" w:rsidSect="00373B60">
          <w:pgSz w:w="11906" w:h="16838"/>
          <w:pgMar w:top="1440" w:right="1440" w:bottom="1440" w:left="1276" w:header="708" w:footer="708" w:gutter="0"/>
          <w:cols w:space="708"/>
          <w:docGrid w:linePitch="360"/>
        </w:sectPr>
      </w:pPr>
    </w:p>
    <w:p w14:paraId="630BBAA0" w14:textId="77777777" w:rsidR="00195130" w:rsidRPr="00943DFA" w:rsidRDefault="00195130" w:rsidP="00195130">
      <w:pPr>
        <w:pStyle w:val="ListParagraph"/>
        <w:numPr>
          <w:ilvl w:val="2"/>
          <w:numId w:val="38"/>
        </w:numPr>
        <w:spacing w:before="240" w:after="240" w:line="360" w:lineRule="auto"/>
        <w:ind w:left="1276"/>
        <w:contextualSpacing w:val="0"/>
        <w:jc w:val="both"/>
        <w:outlineLvl w:val="2"/>
        <w:rPr>
          <w:b/>
          <w:color w:val="0D0D0D" w:themeColor="text1" w:themeTint="F2"/>
          <w:lang w:eastAsia="en-US"/>
        </w:rPr>
      </w:pPr>
      <w:bookmarkStart w:id="75" w:name="_Toc48203617"/>
      <w:bookmarkStart w:id="76" w:name="_Toc50713978"/>
      <w:bookmarkStart w:id="77" w:name="_Toc69749268"/>
      <w:r w:rsidRPr="00943DFA">
        <w:rPr>
          <w:b/>
          <w:color w:val="0D0D0D" w:themeColor="text1" w:themeTint="F2"/>
          <w:lang w:eastAsia="en-US"/>
        </w:rPr>
        <w:lastRenderedPageBreak/>
        <w:t>Correlation matrix of SEC review attributes and IPO firms’ characteristics.</w:t>
      </w:r>
      <w:bookmarkEnd w:id="75"/>
      <w:bookmarkEnd w:id="76"/>
      <w:bookmarkEnd w:id="77"/>
    </w:p>
    <w:p w14:paraId="54038A74" w14:textId="07951DA9"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A correlation matrix for key variables including </w:t>
      </w:r>
      <w:r w:rsidR="006E2294" w:rsidRPr="00943DFA">
        <w:rPr>
          <w:i/>
          <w:color w:val="0D0D0D" w:themeColor="text1" w:themeTint="F2"/>
          <w:lang w:eastAsia="en-US"/>
        </w:rPr>
        <w:t xml:space="preserve">#Themes </w:t>
      </w:r>
      <w:r w:rsidRPr="00943DFA">
        <w:rPr>
          <w:color w:val="0D0D0D" w:themeColor="text1" w:themeTint="F2"/>
          <w:lang w:eastAsia="en-US"/>
        </w:rPr>
        <w:t xml:space="preserve">and IPO firms’ characteristics is presented in Table 3.7. Specifically, positive correlation </w:t>
      </w:r>
      <w:r w:rsidR="006E2294" w:rsidRPr="00943DFA">
        <w:rPr>
          <w:color w:val="0D0D0D" w:themeColor="text1" w:themeTint="F2"/>
          <w:lang w:eastAsia="en-US"/>
        </w:rPr>
        <w:t xml:space="preserve">is </w:t>
      </w:r>
      <w:r w:rsidRPr="00943DFA">
        <w:rPr>
          <w:color w:val="0D0D0D" w:themeColor="text1" w:themeTint="F2"/>
          <w:lang w:eastAsia="en-US"/>
        </w:rPr>
        <w:t>observed between</w:t>
      </w:r>
      <w:r w:rsidRPr="00943DFA">
        <w:rPr>
          <w:i/>
          <w:color w:val="0D0D0D" w:themeColor="text1" w:themeTint="F2"/>
          <w:lang w:eastAsia="en-US"/>
        </w:rPr>
        <w:t xml:space="preserve"> #Themes </w:t>
      </w:r>
      <w:r w:rsidRPr="00943DFA">
        <w:rPr>
          <w:color w:val="0D0D0D" w:themeColor="text1" w:themeTint="F2"/>
          <w:lang w:eastAsia="en-US"/>
        </w:rPr>
        <w:t xml:space="preserve">and </w:t>
      </w:r>
      <w:r w:rsidRPr="00943DFA">
        <w:rPr>
          <w:i/>
          <w:color w:val="0D0D0D" w:themeColor="text1" w:themeTint="F2"/>
          <w:lang w:eastAsia="en-US"/>
        </w:rPr>
        <w:t xml:space="preserve">Size, </w:t>
      </w:r>
      <w:r w:rsidRPr="00943DFA">
        <w:rPr>
          <w:color w:val="0D0D0D" w:themeColor="text1" w:themeTint="F2"/>
          <w:lang w:eastAsia="en-US"/>
        </w:rPr>
        <w:t xml:space="preserve">in line with the arguments of more complication and violations in reports prepared by bigger firms, resulting in more extensive SEC reviews (Cassell et al., 2013; Cassell et al., 2019; Cunningham &amp; </w:t>
      </w:r>
      <w:proofErr w:type="spellStart"/>
      <w:r w:rsidRPr="00943DFA">
        <w:rPr>
          <w:color w:val="0D0D0D" w:themeColor="text1" w:themeTint="F2"/>
          <w:lang w:eastAsia="en-US"/>
        </w:rPr>
        <w:t>Leidner</w:t>
      </w:r>
      <w:proofErr w:type="spellEnd"/>
      <w:r w:rsidRPr="00943DFA">
        <w:rPr>
          <w:color w:val="0D0D0D" w:themeColor="text1" w:themeTint="F2"/>
          <w:lang w:eastAsia="en-US"/>
        </w:rPr>
        <w:t xml:space="preserve">, 2019; </w:t>
      </w:r>
      <w:proofErr w:type="spellStart"/>
      <w:r w:rsidRPr="00943DFA">
        <w:rPr>
          <w:color w:val="0D0D0D" w:themeColor="text1" w:themeTint="F2"/>
          <w:lang w:eastAsia="en-US"/>
        </w:rPr>
        <w:t>Eiler</w:t>
      </w:r>
      <w:proofErr w:type="spellEnd"/>
      <w:r w:rsidRPr="00943DFA">
        <w:rPr>
          <w:color w:val="0D0D0D" w:themeColor="text1" w:themeTint="F2"/>
          <w:lang w:eastAsia="en-US"/>
        </w:rPr>
        <w:t xml:space="preserve"> &amp; Kutcher, 2016;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w:t>
      </w:r>
      <w:proofErr w:type="spellStart"/>
      <w:r w:rsidRPr="00943DFA">
        <w:rPr>
          <w:color w:val="0D0D0D" w:themeColor="text1" w:themeTint="F2"/>
          <w:lang w:eastAsia="en-US"/>
        </w:rPr>
        <w:t>Heese</w:t>
      </w:r>
      <w:proofErr w:type="spellEnd"/>
      <w:r w:rsidRPr="00943DFA">
        <w:rPr>
          <w:color w:val="0D0D0D" w:themeColor="text1" w:themeTint="F2"/>
          <w:lang w:eastAsia="en-US"/>
        </w:rPr>
        <w:t xml:space="preserve"> et al., 2017; Johnston &amp; </w:t>
      </w:r>
      <w:proofErr w:type="spellStart"/>
      <w:r w:rsidRPr="00943DFA">
        <w:rPr>
          <w:color w:val="0D0D0D" w:themeColor="text1" w:themeTint="F2"/>
          <w:lang w:eastAsia="en-US"/>
        </w:rPr>
        <w:t>Petacchi</w:t>
      </w:r>
      <w:proofErr w:type="spellEnd"/>
      <w:r w:rsidRPr="00943DFA">
        <w:rPr>
          <w:color w:val="0D0D0D" w:themeColor="text1" w:themeTint="F2"/>
          <w:lang w:eastAsia="en-US"/>
        </w:rPr>
        <w:t xml:space="preserve">, 2017; Li &amp; Liu, 2017; Wang, 2016). </w:t>
      </w:r>
    </w:p>
    <w:p w14:paraId="26E3676C" w14:textId="23D989BE"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In addition, the results show</w:t>
      </w:r>
      <w:r w:rsidR="006E2294" w:rsidRPr="00943DFA">
        <w:rPr>
          <w:color w:val="0D0D0D" w:themeColor="text1" w:themeTint="F2"/>
          <w:lang w:eastAsia="en-US"/>
        </w:rPr>
        <w:t xml:space="preserve"> a</w:t>
      </w:r>
      <w:r w:rsidRPr="00943DFA">
        <w:rPr>
          <w:color w:val="0D0D0D" w:themeColor="text1" w:themeTint="F2"/>
          <w:lang w:eastAsia="en-US"/>
        </w:rPr>
        <w:t xml:space="preserve"> positive correlation</w:t>
      </w:r>
      <w:r w:rsidR="006E2294" w:rsidRPr="00943DFA">
        <w:rPr>
          <w:color w:val="0D0D0D" w:themeColor="text1" w:themeTint="F2"/>
          <w:lang w:eastAsia="en-US"/>
        </w:rPr>
        <w:t xml:space="preserve"> </w:t>
      </w:r>
      <w:r w:rsidRPr="00943DFA">
        <w:rPr>
          <w:color w:val="0D0D0D" w:themeColor="text1" w:themeTint="F2"/>
          <w:lang w:eastAsia="en-US"/>
        </w:rPr>
        <w:t xml:space="preserve">between </w:t>
      </w:r>
      <w:r w:rsidR="006E2294" w:rsidRPr="00943DFA">
        <w:rPr>
          <w:i/>
          <w:color w:val="0D0D0D" w:themeColor="text1" w:themeTint="F2"/>
          <w:lang w:eastAsia="en-US"/>
        </w:rPr>
        <w:t xml:space="preserve">#Themes </w:t>
      </w:r>
      <w:r w:rsidRPr="00943DFA">
        <w:rPr>
          <w:color w:val="0D0D0D" w:themeColor="text1" w:themeTint="F2"/>
          <w:lang w:eastAsia="en-US"/>
        </w:rPr>
        <w:t xml:space="preserve">and </w:t>
      </w:r>
      <w:r w:rsidRPr="00943DFA">
        <w:rPr>
          <w:i/>
          <w:color w:val="0D0D0D" w:themeColor="text1" w:themeTint="F2"/>
          <w:lang w:eastAsia="en-US"/>
        </w:rPr>
        <w:t>Age</w:t>
      </w:r>
      <w:r w:rsidRPr="00943DFA">
        <w:rPr>
          <w:color w:val="0D0D0D" w:themeColor="text1" w:themeTint="F2"/>
          <w:lang w:eastAsia="en-US"/>
        </w:rPr>
        <w:t xml:space="preserve">, consistent with arguments that older firms experience more extensive SEC reviews </w:t>
      </w:r>
      <w:r w:rsidRPr="00943DFA">
        <w:rPr>
          <w:rFonts w:eastAsia="Times New Roman"/>
          <w:color w:val="0D0D0D" w:themeColor="text1" w:themeTint="F2"/>
        </w:rPr>
        <w:t xml:space="preserve">(Baugh et al., 2017; Cassell et al., 2013; Chen &amp; Johnston, 2010; </w:t>
      </w:r>
      <w:proofErr w:type="spellStart"/>
      <w:r w:rsidRPr="00943DFA">
        <w:rPr>
          <w:rFonts w:eastAsia="Times New Roman"/>
          <w:color w:val="0D0D0D" w:themeColor="text1" w:themeTint="F2"/>
        </w:rPr>
        <w:t>Colaco</w:t>
      </w:r>
      <w:proofErr w:type="spellEnd"/>
      <w:r w:rsidRPr="00943DFA">
        <w:rPr>
          <w:rFonts w:eastAsia="Times New Roman"/>
          <w:color w:val="0D0D0D" w:themeColor="text1" w:themeTint="F2"/>
        </w:rPr>
        <w:t xml:space="preserve"> et al., 2018; </w:t>
      </w:r>
      <w:proofErr w:type="spellStart"/>
      <w:r w:rsidRPr="00943DFA">
        <w:rPr>
          <w:rFonts w:eastAsia="Times New Roman"/>
          <w:color w:val="0D0D0D" w:themeColor="text1" w:themeTint="F2"/>
        </w:rPr>
        <w:t>Heese</w:t>
      </w:r>
      <w:proofErr w:type="spellEnd"/>
      <w:r w:rsidRPr="00943DFA">
        <w:rPr>
          <w:rFonts w:eastAsia="Times New Roman"/>
          <w:color w:val="0D0D0D" w:themeColor="text1" w:themeTint="F2"/>
        </w:rPr>
        <w:t xml:space="preserve"> et al., 2017; Johnston &amp; </w:t>
      </w:r>
      <w:proofErr w:type="spellStart"/>
      <w:r w:rsidRPr="00943DFA">
        <w:rPr>
          <w:rFonts w:eastAsia="Times New Roman"/>
          <w:color w:val="0D0D0D" w:themeColor="text1" w:themeTint="F2"/>
        </w:rPr>
        <w:t>Petacchi</w:t>
      </w:r>
      <w:proofErr w:type="spellEnd"/>
      <w:r w:rsidRPr="00943DFA">
        <w:rPr>
          <w:rFonts w:eastAsia="Times New Roman"/>
          <w:color w:val="0D0D0D" w:themeColor="text1" w:themeTint="F2"/>
        </w:rPr>
        <w:t>, 2017).</w:t>
      </w:r>
      <w:r w:rsidRPr="00943DFA">
        <w:rPr>
          <w:color w:val="0D0D0D" w:themeColor="text1" w:themeTint="F2"/>
          <w:lang w:eastAsia="en-US"/>
        </w:rPr>
        <w:t xml:space="preserve"> Furthermore</w:t>
      </w:r>
      <w:r w:rsidRPr="00943DFA">
        <w:rPr>
          <w:color w:val="0D0D0D" w:themeColor="text1" w:themeTint="F2"/>
        </w:rPr>
        <w:t xml:space="preserve">, it can be seen that </w:t>
      </w:r>
      <w:r w:rsidRPr="00943DFA">
        <w:rPr>
          <w:i/>
          <w:color w:val="0D0D0D" w:themeColor="text1" w:themeTint="F2"/>
        </w:rPr>
        <w:t xml:space="preserve">Age </w:t>
      </w:r>
      <w:r w:rsidRPr="00943DFA">
        <w:rPr>
          <w:color w:val="0D0D0D" w:themeColor="text1" w:themeTint="F2"/>
        </w:rPr>
        <w:t xml:space="preserve">is positively correlated with </w:t>
      </w:r>
      <w:r w:rsidRPr="00943DFA">
        <w:rPr>
          <w:i/>
          <w:color w:val="0D0D0D" w:themeColor="text1" w:themeTint="F2"/>
        </w:rPr>
        <w:t>Size</w:t>
      </w:r>
      <w:r w:rsidRPr="00943DFA">
        <w:rPr>
          <w:color w:val="0D0D0D" w:themeColor="text1" w:themeTint="F2"/>
        </w:rPr>
        <w:t xml:space="preserve">, suggesting that older firms are also larger. </w:t>
      </w:r>
      <w:r w:rsidRPr="00943DFA">
        <w:rPr>
          <w:color w:val="0D0D0D" w:themeColor="text1" w:themeTint="F2"/>
          <w:lang w:eastAsia="en-US"/>
        </w:rPr>
        <w:t xml:space="preserve">Correlation between all </w:t>
      </w:r>
      <w:r w:rsidR="006E2294" w:rsidRPr="00943DFA">
        <w:rPr>
          <w:i/>
          <w:color w:val="0D0D0D" w:themeColor="text1" w:themeTint="F2"/>
          <w:lang w:eastAsia="en-US"/>
        </w:rPr>
        <w:t xml:space="preserve">#Themes </w:t>
      </w:r>
      <w:r w:rsidRPr="00943DFA">
        <w:rPr>
          <w:color w:val="0D0D0D" w:themeColor="text1" w:themeTint="F2"/>
          <w:lang w:eastAsia="en-US"/>
        </w:rPr>
        <w:t xml:space="preserve">and </w:t>
      </w:r>
      <w:r w:rsidRPr="00943DFA">
        <w:rPr>
          <w:i/>
          <w:color w:val="0D0D0D" w:themeColor="text1" w:themeTint="F2"/>
          <w:lang w:eastAsia="en-US"/>
        </w:rPr>
        <w:t xml:space="preserve">Segments </w:t>
      </w:r>
      <w:proofErr w:type="spellStart"/>
      <w:r w:rsidR="006E2294" w:rsidRPr="00943DFA">
        <w:rPr>
          <w:color w:val="0D0D0D" w:themeColor="text1" w:themeTint="F2"/>
          <w:lang w:eastAsia="en-US"/>
        </w:rPr>
        <w:t>ia</w:t>
      </w:r>
      <w:proofErr w:type="spellEnd"/>
      <w:r w:rsidR="006E2294" w:rsidRPr="00943DFA">
        <w:rPr>
          <w:color w:val="0D0D0D" w:themeColor="text1" w:themeTint="F2"/>
          <w:lang w:eastAsia="en-US"/>
        </w:rPr>
        <w:t xml:space="preserve"> </w:t>
      </w:r>
      <w:r w:rsidRPr="00943DFA">
        <w:rPr>
          <w:color w:val="0D0D0D" w:themeColor="text1" w:themeTint="F2"/>
          <w:lang w:eastAsia="en-US"/>
        </w:rPr>
        <w:t xml:space="preserve">also positive, supporting the argument that reports prepared by firms having more business segments tend to be more complex, therefore attracting more intensive SEC reviews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 A. Cassell et al., 2013; Heese et al., 2017)","manualFormatting":"(Cassell et al., 2013)","plainTextFormattedCitation":"(C. A. Cassell et al., 2013; Heese et al., 2017)","previouslyFormattedCitation":"(C. A. Cassell et al., 2013; Heese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(Cassell et al., 2013)</w:t>
      </w:r>
      <w:r w:rsidRPr="00943DFA">
        <w:rPr>
          <w:color w:val="0D0D0D" w:themeColor="text1" w:themeTint="F2"/>
          <w:lang w:eastAsia="en-US"/>
        </w:rPr>
        <w:fldChar w:fldCharType="end"/>
      </w:r>
      <w:r w:rsidRPr="00943DFA">
        <w:rPr>
          <w:color w:val="0D0D0D" w:themeColor="text1" w:themeTint="F2"/>
          <w:lang w:eastAsia="en-US"/>
        </w:rPr>
        <w:t xml:space="preserve">. </w:t>
      </w:r>
    </w:p>
    <w:p w14:paraId="7D03678F" w14:textId="6A46FC51" w:rsidR="006E2294" w:rsidRPr="00943DFA" w:rsidRDefault="00195130" w:rsidP="006E2294">
      <w:pPr>
        <w:spacing w:before="240" w:after="240" w:line="360" w:lineRule="auto"/>
        <w:jc w:val="both"/>
        <w:rPr>
          <w:color w:val="0D0D0D" w:themeColor="text1" w:themeTint="F2"/>
          <w:lang w:eastAsia="en-US"/>
        </w:rPr>
      </w:pPr>
      <w:r w:rsidRPr="00943DFA">
        <w:rPr>
          <w:color w:val="0D0D0D" w:themeColor="text1" w:themeTint="F2"/>
          <w:lang w:eastAsia="en-US"/>
        </w:rPr>
        <w:t xml:space="preserve">Correlation between </w:t>
      </w:r>
      <w:r w:rsidRPr="00943DFA">
        <w:rPr>
          <w:i/>
          <w:color w:val="0D0D0D" w:themeColor="text1" w:themeTint="F2"/>
          <w:lang w:eastAsia="en-US"/>
        </w:rPr>
        <w:t xml:space="preserve">#Themes </w:t>
      </w:r>
      <w:r w:rsidRPr="00943DFA">
        <w:rPr>
          <w:color w:val="0D0D0D" w:themeColor="text1" w:themeTint="F2"/>
          <w:lang w:eastAsia="en-US"/>
        </w:rPr>
        <w:t xml:space="preserve">and </w:t>
      </w:r>
      <w:r w:rsidRPr="00943DFA">
        <w:rPr>
          <w:i/>
          <w:color w:val="0D0D0D" w:themeColor="text1" w:themeTint="F2"/>
          <w:lang w:eastAsia="en-US"/>
        </w:rPr>
        <w:t>Restructuring</w:t>
      </w:r>
      <w:r w:rsidR="006E2294" w:rsidRPr="00943DFA">
        <w:rPr>
          <w:i/>
          <w:color w:val="0D0D0D" w:themeColor="text1" w:themeTint="F2"/>
          <w:lang w:eastAsia="en-US"/>
        </w:rPr>
        <w:t xml:space="preserve"> </w:t>
      </w:r>
      <w:r w:rsidR="006E2294" w:rsidRPr="00943DFA">
        <w:rPr>
          <w:iCs/>
          <w:color w:val="0D0D0D" w:themeColor="text1" w:themeTint="F2"/>
          <w:lang w:eastAsia="en-US"/>
        </w:rPr>
        <w:t>is</w:t>
      </w:r>
      <w:r w:rsidRPr="00943DFA">
        <w:rPr>
          <w:color w:val="0D0D0D" w:themeColor="text1" w:themeTint="F2"/>
          <w:lang w:eastAsia="en-US"/>
        </w:rPr>
        <w:t xml:space="preserve"> also positive, in line with the argument that reports prepared by firms conducting restructuring activities are more complex, and therefore attract more extensive SEC reviews </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 A. Cassell et al., 2013; Heese et al., 2017)","manualFormatting":"(Baugh et al., 2017; Cassell et al., 2013; Wang, 2016)","plainTextFormattedCitation":"(C. A. Cassell et al., 2013; Heese et al., 2017)","previouslyFormattedCitation":"(C. A. Cassell et al., 2013; Heese et al., 2017)"},"properties":{"noteIndex":0},"schema":"https://github.com/citation-style-language/schema/raw/master/csl-citation.json"}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w:t>
      </w:r>
      <w:r w:rsidRPr="00943DFA">
        <w:rPr>
          <w:rFonts w:eastAsiaTheme="minorEastAsia"/>
          <w:noProof/>
          <w:color w:val="0D0D0D" w:themeColor="text1" w:themeTint="F2"/>
        </w:rPr>
        <w:t xml:space="preserve">Baugh et al., 2017; </w:t>
      </w:r>
      <w:r w:rsidRPr="00943DFA">
        <w:rPr>
          <w:noProof/>
          <w:color w:val="0D0D0D" w:themeColor="text1" w:themeTint="F2"/>
          <w:lang w:eastAsia="en-US"/>
        </w:rPr>
        <w:t>Cassell et al., 2013; Wang, 2016)</w:t>
      </w:r>
      <w:r w:rsidRPr="00943DFA">
        <w:rPr>
          <w:color w:val="0D0D0D" w:themeColor="text1" w:themeTint="F2"/>
          <w:lang w:eastAsia="en-US"/>
        </w:rPr>
        <w:fldChar w:fldCharType="end"/>
      </w:r>
      <w:r w:rsidRPr="00943DFA">
        <w:rPr>
          <w:color w:val="0D0D0D" w:themeColor="text1" w:themeTint="F2"/>
          <w:lang w:eastAsia="en-US"/>
        </w:rPr>
        <w:t xml:space="preserve">. </w:t>
      </w:r>
      <w:r w:rsidRPr="00943DFA">
        <w:rPr>
          <w:i/>
          <w:color w:val="0D0D0D" w:themeColor="text1" w:themeTint="F2"/>
        </w:rPr>
        <w:t>Restructuring</w:t>
      </w:r>
      <w:r w:rsidRPr="00943DFA">
        <w:rPr>
          <w:color w:val="0D0D0D" w:themeColor="text1" w:themeTint="F2"/>
        </w:rPr>
        <w:t xml:space="preserve"> is also found to be positively correlated with </w:t>
      </w:r>
      <w:r w:rsidRPr="00943DFA">
        <w:rPr>
          <w:i/>
          <w:color w:val="0D0D0D" w:themeColor="text1" w:themeTint="F2"/>
        </w:rPr>
        <w:t>Size</w:t>
      </w:r>
      <w:r w:rsidRPr="00943DFA">
        <w:rPr>
          <w:color w:val="0D0D0D" w:themeColor="text1" w:themeTint="F2"/>
        </w:rPr>
        <w:t>, suggesting that restructuring activities are more likely to be conducted by larger firms.</w:t>
      </w:r>
      <w:r w:rsidRPr="00943DFA">
        <w:rPr>
          <w:color w:val="0D0D0D" w:themeColor="text1" w:themeTint="F2"/>
          <w:lang w:eastAsia="en-US"/>
        </w:rPr>
        <w:t xml:space="preserve"> </w:t>
      </w:r>
    </w:p>
    <w:p w14:paraId="62D0E5FA" w14:textId="023DAC05" w:rsidR="00195130" w:rsidRPr="00943DFA" w:rsidRDefault="006E2294" w:rsidP="00195130">
      <w:pPr>
        <w:spacing w:before="240" w:after="240" w:line="360" w:lineRule="auto"/>
        <w:jc w:val="both"/>
        <w:rPr>
          <w:rFonts w:eastAsiaTheme="minorEastAsia"/>
          <w:color w:val="0D0D0D" w:themeColor="text1" w:themeTint="F2"/>
        </w:rPr>
        <w:sectPr w:rsidR="00195130" w:rsidRPr="00943DFA" w:rsidSect="00373B60">
          <w:pgSz w:w="11906" w:h="16838"/>
          <w:pgMar w:top="1440" w:right="1440" w:bottom="1440" w:left="1276" w:header="708" w:footer="708" w:gutter="0"/>
          <w:cols w:space="708"/>
          <w:docGrid w:linePitch="360"/>
        </w:sectPr>
      </w:pPr>
      <w:r w:rsidRPr="00943DFA">
        <w:rPr>
          <w:color w:val="0D0D0D" w:themeColor="text1" w:themeTint="F2"/>
          <w:lang w:eastAsia="en-US"/>
        </w:rPr>
        <w:t>Finally, a</w:t>
      </w:r>
      <w:r w:rsidR="00195130" w:rsidRPr="00943DFA">
        <w:rPr>
          <w:color w:val="0D0D0D" w:themeColor="text1" w:themeTint="F2"/>
          <w:lang w:eastAsia="en-US"/>
        </w:rPr>
        <w:t xml:space="preserve"> negative correlation is observed between </w:t>
      </w:r>
      <w:r w:rsidR="00195130" w:rsidRPr="00943DFA">
        <w:rPr>
          <w:i/>
          <w:color w:val="0D0D0D" w:themeColor="text1" w:themeTint="F2"/>
          <w:lang w:eastAsia="en-US"/>
        </w:rPr>
        <w:t xml:space="preserve">#Themes </w:t>
      </w:r>
      <w:r w:rsidR="00195130" w:rsidRPr="00943DFA">
        <w:rPr>
          <w:color w:val="0D0D0D" w:themeColor="text1" w:themeTint="F2"/>
          <w:lang w:eastAsia="en-US"/>
        </w:rPr>
        <w:t xml:space="preserve">and </w:t>
      </w:r>
      <w:r w:rsidR="00195130" w:rsidRPr="00943DFA">
        <w:rPr>
          <w:i/>
          <w:color w:val="0D0D0D" w:themeColor="text1" w:themeTint="F2"/>
          <w:lang w:eastAsia="en-US"/>
        </w:rPr>
        <w:t>External financing</w:t>
      </w:r>
      <w:r w:rsidR="00195130" w:rsidRPr="00943DFA">
        <w:rPr>
          <w:color w:val="0D0D0D" w:themeColor="text1" w:themeTint="F2"/>
          <w:lang w:eastAsia="en-US"/>
        </w:rPr>
        <w:t xml:space="preserve">, in agreement with extant studies documenting that </w:t>
      </w:r>
      <w:r w:rsidR="00195130" w:rsidRPr="00943DFA">
        <w:rPr>
          <w:rFonts w:eastAsiaTheme="minorEastAsia"/>
          <w:color w:val="0D0D0D" w:themeColor="text1" w:themeTint="F2"/>
        </w:rPr>
        <w:t xml:space="preserve">IPO firms conducting external financing might have higher disclosure quality </w:t>
      </w:r>
      <w:r w:rsidR="00195130" w:rsidRPr="00943DFA">
        <w:rPr>
          <w:rFonts w:eastAsiaTheme="minorEastAsia"/>
          <w:color w:val="0D0D0D" w:themeColor="text1" w:themeTint="F2"/>
        </w:rPr>
        <w:fldChar w:fldCharType="begin" w:fldLock="1"/>
      </w:r>
      <w:r w:rsidR="00195130" w:rsidRPr="00943DFA">
        <w:rPr>
          <w:rFonts w:eastAsiaTheme="minorEastAsia"/>
          <w:color w:val="0D0D0D" w:themeColor="text1" w:themeTint="F2"/>
        </w:rPr>
        <w:instrText>ADDIN CSL_CITATION {"citationItems":[{"id":"ITEM-1","itemData":{"ISSN":"13806653","abstract":"Motivated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2011)","manualFormatting":"(Ettredge et al., 2011; Lang &amp; Lundholm, 1993)","plainTextFormattedCitation":"(Ettredge et al., 2011)","previouslyFormattedCitation":"(Ettredge et al., 2011)"},"properties":{"noteIndex":0},"schema":"https://github.com/citation-style-language/schema/raw/master/csl-citation.json"}</w:instrText>
      </w:r>
      <w:r w:rsidR="00195130" w:rsidRPr="00943DFA">
        <w:rPr>
          <w:rFonts w:eastAsiaTheme="minorEastAsia"/>
          <w:color w:val="0D0D0D" w:themeColor="text1" w:themeTint="F2"/>
        </w:rPr>
        <w:fldChar w:fldCharType="separate"/>
      </w:r>
      <w:r w:rsidR="00195130" w:rsidRPr="00943DFA">
        <w:rPr>
          <w:rFonts w:eastAsiaTheme="minorEastAsia"/>
          <w:noProof/>
          <w:color w:val="0D0D0D" w:themeColor="text1" w:themeTint="F2"/>
        </w:rPr>
        <w:t>(Ettredge et al., 2011;</w:t>
      </w:r>
      <w:r w:rsidR="00195130" w:rsidRPr="00943DFA">
        <w:rPr>
          <w:noProof/>
          <w:color w:val="0D0D0D" w:themeColor="text1" w:themeTint="F2"/>
        </w:rPr>
        <w:t xml:space="preserve"> </w:t>
      </w:r>
      <w:r w:rsidR="00195130" w:rsidRPr="00943DFA">
        <w:rPr>
          <w:rFonts w:eastAsiaTheme="minorEastAsia"/>
          <w:noProof/>
          <w:color w:val="0D0D0D" w:themeColor="text1" w:themeTint="F2"/>
        </w:rPr>
        <w:t>Lang &amp; Lundholm, 1993)</w:t>
      </w:r>
      <w:r w:rsidR="00195130" w:rsidRPr="00943DFA">
        <w:rPr>
          <w:rFonts w:eastAsiaTheme="minorEastAsia"/>
          <w:color w:val="0D0D0D" w:themeColor="text1" w:themeTint="F2"/>
        </w:rPr>
        <w:fldChar w:fldCharType="end"/>
      </w:r>
      <w:r w:rsidR="00195130" w:rsidRPr="00943DFA">
        <w:rPr>
          <w:rFonts w:eastAsiaTheme="minorEastAsia"/>
          <w:color w:val="0D0D0D" w:themeColor="text1" w:themeTint="F2"/>
        </w:rPr>
        <w:t xml:space="preserve">, suggesting less extensive SEC scrutiny </w:t>
      </w:r>
      <w:r w:rsidR="00195130" w:rsidRPr="00943DFA">
        <w:rPr>
          <w:rFonts w:eastAsiaTheme="minorEastAsia"/>
          <w:color w:val="0D0D0D" w:themeColor="text1" w:themeTint="F2"/>
        </w:rPr>
        <w:fldChar w:fldCharType="begin" w:fldLock="1"/>
      </w:r>
      <w:r w:rsidR="00195130" w:rsidRPr="00943DFA">
        <w:rPr>
          <w:rFonts w:eastAsiaTheme="minorEastAsia"/>
          <w:color w:val="0D0D0D" w:themeColor="text1" w:themeTint="F2"/>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2017)","manualFormatting":"( Baugh et al., 2017; Cassel et al., 2013; Heese et al., 2017; Wang, 2016)","plainTextFormattedCitation":"(Heese et al., 2017)","previouslyFormattedCitation":"(Heese et al., 2017)"},"properties":{"noteIndex":0},"schema":"https://github.com/citation-style-language/schema/raw/master/csl-citation.json"}</w:instrText>
      </w:r>
      <w:r w:rsidR="00195130" w:rsidRPr="00943DFA">
        <w:rPr>
          <w:rFonts w:eastAsiaTheme="minorEastAsia"/>
          <w:color w:val="0D0D0D" w:themeColor="text1" w:themeTint="F2"/>
        </w:rPr>
        <w:fldChar w:fldCharType="separate"/>
      </w:r>
      <w:r w:rsidR="00195130" w:rsidRPr="00943DFA">
        <w:rPr>
          <w:rFonts w:eastAsiaTheme="minorEastAsia"/>
          <w:noProof/>
          <w:color w:val="0D0D0D" w:themeColor="text1" w:themeTint="F2"/>
        </w:rPr>
        <w:t>( Baugh et al., 2017; Cassel et al., 2013; Heese et al., 2017; Wang, 2016)</w:t>
      </w:r>
      <w:r w:rsidR="00195130" w:rsidRPr="00943DFA">
        <w:rPr>
          <w:rFonts w:eastAsiaTheme="minorEastAsia"/>
          <w:color w:val="0D0D0D" w:themeColor="text1" w:themeTint="F2"/>
        </w:rPr>
        <w:fldChar w:fldCharType="end"/>
      </w:r>
      <w:r w:rsidR="00195130" w:rsidRPr="00943DFA">
        <w:rPr>
          <w:rFonts w:eastAsiaTheme="minorEastAsia"/>
          <w:color w:val="0D0D0D" w:themeColor="text1" w:themeTint="F2"/>
        </w:rPr>
        <w:t xml:space="preserve">. </w:t>
      </w:r>
    </w:p>
    <w:p w14:paraId="0313A27B" w14:textId="77777777" w:rsidR="00195130" w:rsidRPr="00943DFA" w:rsidRDefault="00195130" w:rsidP="00195130">
      <w:pPr>
        <w:pStyle w:val="Caption"/>
        <w:keepNext/>
        <w:spacing w:before="240" w:after="240" w:line="360" w:lineRule="auto"/>
        <w:rPr>
          <w:b/>
          <w:i w:val="0"/>
          <w:color w:val="0D0D0D" w:themeColor="text1" w:themeTint="F2"/>
          <w:sz w:val="22"/>
        </w:rPr>
      </w:pPr>
      <w:bookmarkStart w:id="78" w:name="_Ref50695392"/>
      <w:bookmarkStart w:id="79" w:name="_Toc48203649"/>
      <w:bookmarkStart w:id="80" w:name="_Toc50708213"/>
      <w:bookmarkStart w:id="81" w:name="_Toc85100154"/>
      <w:r w:rsidRPr="00943DFA">
        <w:rPr>
          <w:b/>
          <w:i w:val="0"/>
          <w:color w:val="0D0D0D" w:themeColor="text1" w:themeTint="F2"/>
          <w:sz w:val="22"/>
        </w:rPr>
        <w:lastRenderedPageBreak/>
        <w:t xml:space="preserve">Table </w:t>
      </w:r>
      <w:r w:rsidRPr="00943DFA">
        <w:rPr>
          <w:b/>
          <w:i w:val="0"/>
          <w:color w:val="0D0D0D" w:themeColor="text1" w:themeTint="F2"/>
          <w:sz w:val="22"/>
        </w:rPr>
        <w:fldChar w:fldCharType="begin"/>
      </w:r>
      <w:r w:rsidRPr="00943DFA">
        <w:rPr>
          <w:b/>
          <w:i w:val="0"/>
          <w:color w:val="0D0D0D" w:themeColor="text1" w:themeTint="F2"/>
          <w:sz w:val="22"/>
        </w:rPr>
        <w:instrText xml:space="preserve"> STYLEREF 1 \s </w:instrText>
      </w:r>
      <w:r w:rsidRPr="00943DFA">
        <w:rPr>
          <w:b/>
          <w:i w:val="0"/>
          <w:color w:val="0D0D0D" w:themeColor="text1" w:themeTint="F2"/>
          <w:sz w:val="22"/>
        </w:rPr>
        <w:fldChar w:fldCharType="separate"/>
      </w:r>
      <w:r w:rsidRPr="00943DFA">
        <w:rPr>
          <w:b/>
          <w:i w:val="0"/>
          <w:noProof/>
          <w:color w:val="0D0D0D" w:themeColor="text1" w:themeTint="F2"/>
          <w:sz w:val="22"/>
        </w:rPr>
        <w:t>3</w:t>
      </w:r>
      <w:r w:rsidRPr="00943DFA">
        <w:rPr>
          <w:b/>
          <w:i w:val="0"/>
          <w:color w:val="0D0D0D" w:themeColor="text1" w:themeTint="F2"/>
          <w:sz w:val="22"/>
        </w:rPr>
        <w:fldChar w:fldCharType="end"/>
      </w:r>
      <w:r w:rsidRPr="00943DFA">
        <w:rPr>
          <w:b/>
          <w:i w:val="0"/>
          <w:color w:val="0D0D0D" w:themeColor="text1" w:themeTint="F2"/>
          <w:sz w:val="22"/>
        </w:rPr>
        <w:t>.</w:t>
      </w:r>
      <w:r w:rsidRPr="00943DFA">
        <w:rPr>
          <w:b/>
          <w:i w:val="0"/>
          <w:color w:val="0D0D0D" w:themeColor="text1" w:themeTint="F2"/>
          <w:sz w:val="22"/>
        </w:rPr>
        <w:fldChar w:fldCharType="begin"/>
      </w:r>
      <w:r w:rsidRPr="00943DFA">
        <w:rPr>
          <w:b/>
          <w:i w:val="0"/>
          <w:color w:val="0D0D0D" w:themeColor="text1" w:themeTint="F2"/>
          <w:sz w:val="22"/>
        </w:rPr>
        <w:instrText xml:space="preserve"> SEQ Table \* ARABIC \s 1 </w:instrText>
      </w:r>
      <w:r w:rsidRPr="00943DFA">
        <w:rPr>
          <w:b/>
          <w:i w:val="0"/>
          <w:color w:val="0D0D0D" w:themeColor="text1" w:themeTint="F2"/>
          <w:sz w:val="22"/>
        </w:rPr>
        <w:fldChar w:fldCharType="separate"/>
      </w:r>
      <w:r w:rsidRPr="00943DFA">
        <w:rPr>
          <w:b/>
          <w:i w:val="0"/>
          <w:noProof/>
          <w:color w:val="0D0D0D" w:themeColor="text1" w:themeTint="F2"/>
          <w:sz w:val="22"/>
        </w:rPr>
        <w:t>7</w:t>
      </w:r>
      <w:r w:rsidRPr="00943DFA">
        <w:rPr>
          <w:b/>
          <w:i w:val="0"/>
          <w:color w:val="0D0D0D" w:themeColor="text1" w:themeTint="F2"/>
          <w:sz w:val="22"/>
        </w:rPr>
        <w:fldChar w:fldCharType="end"/>
      </w:r>
      <w:bookmarkEnd w:id="78"/>
      <w:r w:rsidRPr="00943DFA">
        <w:rPr>
          <w:b/>
          <w:i w:val="0"/>
          <w:color w:val="0D0D0D" w:themeColor="text1" w:themeTint="F2"/>
          <w:sz w:val="22"/>
        </w:rPr>
        <w:t>. Pearson correlation matrix of SEC review attributes and IPO firms’ characteristics</w:t>
      </w:r>
      <w:bookmarkEnd w:id="79"/>
      <w:bookmarkEnd w:id="80"/>
      <w:bookmarkEnd w:id="81"/>
    </w:p>
    <w:tbl>
      <w:tblPr>
        <w:tblW w:w="13562" w:type="dxa"/>
        <w:tblLook w:val="04A0" w:firstRow="1" w:lastRow="0" w:firstColumn="1" w:lastColumn="0" w:noHBand="0" w:noVBand="1"/>
      </w:tblPr>
      <w:tblGrid>
        <w:gridCol w:w="1701"/>
        <w:gridCol w:w="736"/>
        <w:gridCol w:w="736"/>
        <w:gridCol w:w="736"/>
        <w:gridCol w:w="856"/>
        <w:gridCol w:w="850"/>
        <w:gridCol w:w="736"/>
        <w:gridCol w:w="736"/>
        <w:gridCol w:w="603"/>
        <w:gridCol w:w="902"/>
        <w:gridCol w:w="851"/>
        <w:gridCol w:w="708"/>
        <w:gridCol w:w="603"/>
        <w:gridCol w:w="485"/>
        <w:gridCol w:w="2323"/>
      </w:tblGrid>
      <w:tr w:rsidR="00943DFA" w:rsidRPr="00943DFA" w14:paraId="0004092A" w14:textId="77777777" w:rsidTr="00373B60">
        <w:trPr>
          <w:gridAfter w:val="1"/>
          <w:wAfter w:w="2323" w:type="dxa"/>
          <w:trHeight w:val="270"/>
        </w:trPr>
        <w:tc>
          <w:tcPr>
            <w:tcW w:w="1701" w:type="dxa"/>
            <w:tcBorders>
              <w:top w:val="nil"/>
              <w:left w:val="nil"/>
              <w:bottom w:val="single" w:sz="4" w:space="0" w:color="auto"/>
              <w:right w:val="single" w:sz="4" w:space="0" w:color="auto"/>
            </w:tcBorders>
            <w:shd w:val="clear" w:color="000000" w:fill="FFFFFF"/>
            <w:vAlign w:val="center"/>
            <w:hideMark/>
          </w:tcPr>
          <w:p w14:paraId="234D096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single" w:sz="4" w:space="0" w:color="auto"/>
              <w:right w:val="nil"/>
            </w:tcBorders>
            <w:shd w:val="clear" w:color="000000" w:fill="FFFFFF"/>
            <w:vAlign w:val="bottom"/>
            <w:hideMark/>
          </w:tcPr>
          <w:p w14:paraId="30E88FEB" w14:textId="1C80DF7C"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736" w:type="dxa"/>
            <w:tcBorders>
              <w:top w:val="nil"/>
              <w:left w:val="nil"/>
              <w:bottom w:val="single" w:sz="4" w:space="0" w:color="auto"/>
              <w:right w:val="nil"/>
            </w:tcBorders>
            <w:shd w:val="clear" w:color="000000" w:fill="FFFFFF"/>
            <w:vAlign w:val="bottom"/>
            <w:hideMark/>
          </w:tcPr>
          <w:p w14:paraId="64E5F3A6" w14:textId="056132EB"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(2)</w:t>
            </w:r>
          </w:p>
        </w:tc>
        <w:tc>
          <w:tcPr>
            <w:tcW w:w="736" w:type="dxa"/>
            <w:tcBorders>
              <w:top w:val="nil"/>
              <w:left w:val="nil"/>
              <w:bottom w:val="single" w:sz="4" w:space="0" w:color="auto"/>
              <w:right w:val="nil"/>
            </w:tcBorders>
            <w:shd w:val="clear" w:color="000000" w:fill="FFFFFF"/>
            <w:vAlign w:val="bottom"/>
            <w:hideMark/>
          </w:tcPr>
          <w:p w14:paraId="64C119DE" w14:textId="6215944B"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(3)</w:t>
            </w:r>
          </w:p>
        </w:tc>
        <w:tc>
          <w:tcPr>
            <w:tcW w:w="856" w:type="dxa"/>
            <w:tcBorders>
              <w:top w:val="nil"/>
              <w:left w:val="nil"/>
              <w:bottom w:val="single" w:sz="4" w:space="0" w:color="auto"/>
              <w:right w:val="nil"/>
            </w:tcBorders>
            <w:shd w:val="clear" w:color="000000" w:fill="FFFFFF"/>
            <w:vAlign w:val="bottom"/>
            <w:hideMark/>
          </w:tcPr>
          <w:p w14:paraId="5F0A4F6F" w14:textId="683DF54F"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(4)</w:t>
            </w:r>
          </w:p>
        </w:tc>
        <w:tc>
          <w:tcPr>
            <w:tcW w:w="850" w:type="dxa"/>
            <w:tcBorders>
              <w:top w:val="nil"/>
              <w:left w:val="nil"/>
              <w:bottom w:val="single" w:sz="4" w:space="0" w:color="auto"/>
              <w:right w:val="nil"/>
            </w:tcBorders>
            <w:shd w:val="clear" w:color="000000" w:fill="FFFFFF"/>
            <w:vAlign w:val="bottom"/>
            <w:hideMark/>
          </w:tcPr>
          <w:p w14:paraId="299643D8" w14:textId="0496898F"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(5)</w:t>
            </w:r>
          </w:p>
        </w:tc>
        <w:tc>
          <w:tcPr>
            <w:tcW w:w="736" w:type="dxa"/>
            <w:tcBorders>
              <w:top w:val="nil"/>
              <w:left w:val="nil"/>
              <w:bottom w:val="single" w:sz="4" w:space="0" w:color="auto"/>
              <w:right w:val="nil"/>
            </w:tcBorders>
            <w:shd w:val="clear" w:color="000000" w:fill="FFFFFF"/>
            <w:vAlign w:val="bottom"/>
            <w:hideMark/>
          </w:tcPr>
          <w:p w14:paraId="04B58C3D" w14:textId="7C7D6CBB"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(6)</w:t>
            </w:r>
          </w:p>
        </w:tc>
        <w:tc>
          <w:tcPr>
            <w:tcW w:w="736" w:type="dxa"/>
            <w:tcBorders>
              <w:top w:val="nil"/>
              <w:left w:val="nil"/>
              <w:bottom w:val="single" w:sz="4" w:space="0" w:color="auto"/>
              <w:right w:val="nil"/>
            </w:tcBorders>
            <w:shd w:val="clear" w:color="000000" w:fill="FFFFFF"/>
            <w:vAlign w:val="bottom"/>
            <w:hideMark/>
          </w:tcPr>
          <w:p w14:paraId="43D1C0AC" w14:textId="3E37AEFC"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(7)</w:t>
            </w:r>
          </w:p>
        </w:tc>
        <w:tc>
          <w:tcPr>
            <w:tcW w:w="603" w:type="dxa"/>
            <w:tcBorders>
              <w:top w:val="nil"/>
              <w:left w:val="nil"/>
              <w:bottom w:val="single" w:sz="4" w:space="0" w:color="auto"/>
              <w:right w:val="nil"/>
            </w:tcBorders>
            <w:shd w:val="clear" w:color="000000" w:fill="FFFFFF"/>
            <w:vAlign w:val="bottom"/>
            <w:hideMark/>
          </w:tcPr>
          <w:p w14:paraId="60D96F62" w14:textId="210FDDE3"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(8)</w:t>
            </w:r>
          </w:p>
        </w:tc>
        <w:tc>
          <w:tcPr>
            <w:tcW w:w="902" w:type="dxa"/>
            <w:tcBorders>
              <w:top w:val="nil"/>
              <w:left w:val="nil"/>
              <w:bottom w:val="single" w:sz="4" w:space="0" w:color="auto"/>
              <w:right w:val="nil"/>
            </w:tcBorders>
            <w:shd w:val="clear" w:color="000000" w:fill="FFFFFF"/>
            <w:vAlign w:val="bottom"/>
            <w:hideMark/>
          </w:tcPr>
          <w:p w14:paraId="1092E7D5" w14:textId="06D2876B"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(9)</w:t>
            </w:r>
          </w:p>
        </w:tc>
        <w:tc>
          <w:tcPr>
            <w:tcW w:w="851" w:type="dxa"/>
            <w:tcBorders>
              <w:top w:val="nil"/>
              <w:left w:val="nil"/>
              <w:bottom w:val="single" w:sz="4" w:space="0" w:color="auto"/>
              <w:right w:val="nil"/>
            </w:tcBorders>
            <w:shd w:val="clear" w:color="000000" w:fill="FFFFFF"/>
            <w:vAlign w:val="bottom"/>
            <w:hideMark/>
          </w:tcPr>
          <w:p w14:paraId="6ED49910" w14:textId="35AC8C98"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(10)</w:t>
            </w:r>
          </w:p>
        </w:tc>
        <w:tc>
          <w:tcPr>
            <w:tcW w:w="708" w:type="dxa"/>
            <w:tcBorders>
              <w:top w:val="nil"/>
              <w:left w:val="nil"/>
              <w:bottom w:val="single" w:sz="4" w:space="0" w:color="auto"/>
              <w:right w:val="nil"/>
            </w:tcBorders>
            <w:shd w:val="clear" w:color="000000" w:fill="FFFFFF"/>
            <w:vAlign w:val="bottom"/>
            <w:hideMark/>
          </w:tcPr>
          <w:p w14:paraId="6D00EDFA" w14:textId="3BB12626"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(11)</w:t>
            </w:r>
          </w:p>
        </w:tc>
        <w:tc>
          <w:tcPr>
            <w:tcW w:w="603" w:type="dxa"/>
            <w:tcBorders>
              <w:top w:val="nil"/>
              <w:left w:val="nil"/>
              <w:bottom w:val="single" w:sz="4" w:space="0" w:color="auto"/>
              <w:right w:val="nil"/>
            </w:tcBorders>
            <w:shd w:val="clear" w:color="000000" w:fill="FFFFFF"/>
            <w:vAlign w:val="bottom"/>
            <w:hideMark/>
          </w:tcPr>
          <w:p w14:paraId="57B670B4" w14:textId="32894209"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(12)</w:t>
            </w:r>
          </w:p>
        </w:tc>
        <w:tc>
          <w:tcPr>
            <w:tcW w:w="485" w:type="dxa"/>
            <w:tcBorders>
              <w:top w:val="nil"/>
              <w:left w:val="nil"/>
              <w:bottom w:val="single" w:sz="4" w:space="0" w:color="auto"/>
              <w:right w:val="nil"/>
            </w:tcBorders>
            <w:shd w:val="clear" w:color="000000" w:fill="FFFFFF"/>
            <w:vAlign w:val="bottom"/>
            <w:hideMark/>
          </w:tcPr>
          <w:p w14:paraId="0D0E7DFD" w14:textId="4D447198"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(13)</w:t>
            </w:r>
          </w:p>
        </w:tc>
      </w:tr>
      <w:tr w:rsidR="00943DFA" w:rsidRPr="00943DFA" w14:paraId="245AF1AF"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617F03EA" w14:textId="40023ECA"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(1) #Themes</w:t>
            </w:r>
          </w:p>
        </w:tc>
        <w:tc>
          <w:tcPr>
            <w:tcW w:w="736" w:type="dxa"/>
            <w:tcBorders>
              <w:top w:val="nil"/>
              <w:left w:val="nil"/>
              <w:bottom w:val="nil"/>
              <w:right w:val="nil"/>
            </w:tcBorders>
            <w:shd w:val="clear" w:color="auto" w:fill="auto"/>
            <w:vAlign w:val="center"/>
            <w:hideMark/>
          </w:tcPr>
          <w:p w14:paraId="0822432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736" w:type="dxa"/>
            <w:tcBorders>
              <w:top w:val="nil"/>
              <w:left w:val="nil"/>
              <w:bottom w:val="nil"/>
              <w:right w:val="nil"/>
            </w:tcBorders>
            <w:shd w:val="clear" w:color="000000" w:fill="FFFFFF"/>
            <w:vAlign w:val="center"/>
            <w:hideMark/>
          </w:tcPr>
          <w:p w14:paraId="2576AA7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5475D21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6" w:type="dxa"/>
            <w:tcBorders>
              <w:top w:val="nil"/>
              <w:left w:val="nil"/>
              <w:bottom w:val="nil"/>
              <w:right w:val="nil"/>
            </w:tcBorders>
            <w:shd w:val="clear" w:color="000000" w:fill="FFFFFF"/>
            <w:vAlign w:val="center"/>
            <w:hideMark/>
          </w:tcPr>
          <w:p w14:paraId="470A539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0" w:type="dxa"/>
            <w:tcBorders>
              <w:top w:val="nil"/>
              <w:left w:val="nil"/>
              <w:bottom w:val="nil"/>
              <w:right w:val="nil"/>
            </w:tcBorders>
            <w:shd w:val="clear" w:color="000000" w:fill="FFFFFF"/>
            <w:vAlign w:val="center"/>
            <w:hideMark/>
          </w:tcPr>
          <w:p w14:paraId="72351700"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79C04AB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60FF481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603" w:type="dxa"/>
            <w:tcBorders>
              <w:top w:val="nil"/>
              <w:left w:val="nil"/>
              <w:bottom w:val="nil"/>
              <w:right w:val="nil"/>
            </w:tcBorders>
            <w:shd w:val="clear" w:color="000000" w:fill="FFFFFF"/>
            <w:vAlign w:val="center"/>
            <w:hideMark/>
          </w:tcPr>
          <w:p w14:paraId="3C7D6CB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32C000C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0AEA551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5ACE3C4C"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34EC289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62DF1CA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621F7F60" w14:textId="77777777" w:rsidTr="00373B60">
        <w:trPr>
          <w:gridAfter w:val="1"/>
          <w:wAfter w:w="2323" w:type="dxa"/>
          <w:trHeight w:val="495"/>
        </w:trPr>
        <w:tc>
          <w:tcPr>
            <w:tcW w:w="1701" w:type="dxa"/>
            <w:tcBorders>
              <w:top w:val="nil"/>
              <w:left w:val="nil"/>
              <w:bottom w:val="nil"/>
              <w:right w:val="single" w:sz="4" w:space="0" w:color="auto"/>
            </w:tcBorders>
            <w:shd w:val="clear" w:color="000000" w:fill="FFFFFF"/>
            <w:vAlign w:val="center"/>
            <w:hideMark/>
          </w:tcPr>
          <w:p w14:paraId="4FF69732" w14:textId="09DA04CA"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(2) Size</w:t>
            </w:r>
          </w:p>
        </w:tc>
        <w:tc>
          <w:tcPr>
            <w:tcW w:w="736" w:type="dxa"/>
            <w:tcBorders>
              <w:top w:val="nil"/>
              <w:left w:val="nil"/>
              <w:bottom w:val="nil"/>
              <w:right w:val="nil"/>
            </w:tcBorders>
            <w:shd w:val="clear" w:color="auto" w:fill="auto"/>
            <w:vAlign w:val="center"/>
            <w:hideMark/>
          </w:tcPr>
          <w:p w14:paraId="263070E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0.08**</w:t>
            </w:r>
            <w:r w:rsidRPr="00943DFA">
              <w:rPr>
                <w:rFonts w:eastAsia="Times New Roman"/>
                <w:color w:val="0D0D0D" w:themeColor="text1" w:themeTint="F2"/>
                <w:sz w:val="16"/>
                <w:szCs w:val="16"/>
              </w:rPr>
              <w:br/>
              <w:t>(0.02)</w:t>
            </w:r>
          </w:p>
        </w:tc>
        <w:tc>
          <w:tcPr>
            <w:tcW w:w="736" w:type="dxa"/>
            <w:tcBorders>
              <w:top w:val="nil"/>
              <w:left w:val="nil"/>
              <w:bottom w:val="nil"/>
              <w:right w:val="nil"/>
            </w:tcBorders>
            <w:shd w:val="clear" w:color="000000" w:fill="FFFFFF"/>
            <w:vAlign w:val="center"/>
            <w:hideMark/>
          </w:tcPr>
          <w:p w14:paraId="2B69098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736" w:type="dxa"/>
            <w:tcBorders>
              <w:top w:val="nil"/>
              <w:left w:val="nil"/>
              <w:bottom w:val="nil"/>
              <w:right w:val="nil"/>
            </w:tcBorders>
            <w:shd w:val="clear" w:color="000000" w:fill="FFFFFF"/>
            <w:vAlign w:val="center"/>
            <w:hideMark/>
          </w:tcPr>
          <w:p w14:paraId="779EE97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6" w:type="dxa"/>
            <w:tcBorders>
              <w:top w:val="nil"/>
              <w:left w:val="nil"/>
              <w:bottom w:val="nil"/>
              <w:right w:val="nil"/>
            </w:tcBorders>
            <w:shd w:val="clear" w:color="000000" w:fill="FFFFFF"/>
            <w:vAlign w:val="center"/>
            <w:hideMark/>
          </w:tcPr>
          <w:p w14:paraId="267046C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0" w:type="dxa"/>
            <w:tcBorders>
              <w:top w:val="nil"/>
              <w:left w:val="nil"/>
              <w:bottom w:val="nil"/>
              <w:right w:val="nil"/>
            </w:tcBorders>
            <w:shd w:val="clear" w:color="000000" w:fill="FFFFFF"/>
            <w:vAlign w:val="center"/>
            <w:hideMark/>
          </w:tcPr>
          <w:p w14:paraId="3C57857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04A85C9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49F5847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603" w:type="dxa"/>
            <w:tcBorders>
              <w:top w:val="nil"/>
              <w:left w:val="nil"/>
              <w:bottom w:val="nil"/>
              <w:right w:val="nil"/>
            </w:tcBorders>
            <w:shd w:val="clear" w:color="000000" w:fill="FFFFFF"/>
            <w:vAlign w:val="center"/>
            <w:hideMark/>
          </w:tcPr>
          <w:p w14:paraId="6AE8BBF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7D80365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3AB2982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7084E311"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3507F28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0CEFAF2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1E8C9F28" w14:textId="77777777" w:rsidTr="00373B60">
        <w:trPr>
          <w:gridAfter w:val="1"/>
          <w:wAfter w:w="2323" w:type="dxa"/>
          <w:trHeight w:val="495"/>
        </w:trPr>
        <w:tc>
          <w:tcPr>
            <w:tcW w:w="1701" w:type="dxa"/>
            <w:tcBorders>
              <w:top w:val="nil"/>
              <w:left w:val="nil"/>
              <w:bottom w:val="nil"/>
              <w:right w:val="single" w:sz="4" w:space="0" w:color="auto"/>
            </w:tcBorders>
            <w:shd w:val="clear" w:color="000000" w:fill="FFFFFF"/>
            <w:vAlign w:val="center"/>
            <w:hideMark/>
          </w:tcPr>
          <w:p w14:paraId="6D666AA7" w14:textId="0A364904"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(3) Age</w:t>
            </w:r>
          </w:p>
        </w:tc>
        <w:tc>
          <w:tcPr>
            <w:tcW w:w="736" w:type="dxa"/>
            <w:tcBorders>
              <w:top w:val="nil"/>
              <w:left w:val="nil"/>
              <w:bottom w:val="nil"/>
              <w:right w:val="nil"/>
            </w:tcBorders>
            <w:shd w:val="clear" w:color="auto" w:fill="auto"/>
            <w:vAlign w:val="center"/>
            <w:hideMark/>
          </w:tcPr>
          <w:p w14:paraId="6385E7F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0.13***</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23211DC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0.51***</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487FA7A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856" w:type="dxa"/>
            <w:tcBorders>
              <w:top w:val="nil"/>
              <w:left w:val="nil"/>
              <w:bottom w:val="nil"/>
              <w:right w:val="nil"/>
            </w:tcBorders>
            <w:shd w:val="clear" w:color="000000" w:fill="FFFFFF"/>
            <w:vAlign w:val="center"/>
            <w:hideMark/>
          </w:tcPr>
          <w:p w14:paraId="64501F30"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0" w:type="dxa"/>
            <w:tcBorders>
              <w:top w:val="nil"/>
              <w:left w:val="nil"/>
              <w:bottom w:val="nil"/>
              <w:right w:val="nil"/>
            </w:tcBorders>
            <w:shd w:val="clear" w:color="000000" w:fill="FFFFFF"/>
            <w:vAlign w:val="center"/>
            <w:hideMark/>
          </w:tcPr>
          <w:p w14:paraId="70C96CF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7A675670"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696C04C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603" w:type="dxa"/>
            <w:tcBorders>
              <w:top w:val="nil"/>
              <w:left w:val="nil"/>
              <w:bottom w:val="nil"/>
              <w:right w:val="nil"/>
            </w:tcBorders>
            <w:shd w:val="clear" w:color="000000" w:fill="FFFFFF"/>
            <w:vAlign w:val="center"/>
            <w:hideMark/>
          </w:tcPr>
          <w:p w14:paraId="7000AE3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652794D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3A85226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20862C74"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56641FD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5A26D37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48E3F74C"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13C28A37" w14:textId="793E78B5"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(4) Sale growth</w:t>
            </w:r>
          </w:p>
        </w:tc>
        <w:tc>
          <w:tcPr>
            <w:tcW w:w="736" w:type="dxa"/>
            <w:tcBorders>
              <w:top w:val="nil"/>
              <w:left w:val="nil"/>
              <w:bottom w:val="nil"/>
              <w:right w:val="nil"/>
            </w:tcBorders>
            <w:shd w:val="clear" w:color="auto" w:fill="auto"/>
            <w:vAlign w:val="center"/>
            <w:hideMark/>
          </w:tcPr>
          <w:p w14:paraId="2437B8C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-0.04</w:t>
            </w:r>
            <w:r w:rsidRPr="00943DFA">
              <w:rPr>
                <w:rFonts w:eastAsia="Times New Roman"/>
                <w:color w:val="0D0D0D" w:themeColor="text1" w:themeTint="F2"/>
                <w:sz w:val="16"/>
                <w:szCs w:val="16"/>
              </w:rPr>
              <w:br/>
              <w:t>(0.36)</w:t>
            </w:r>
          </w:p>
        </w:tc>
        <w:tc>
          <w:tcPr>
            <w:tcW w:w="736" w:type="dxa"/>
            <w:tcBorders>
              <w:top w:val="nil"/>
              <w:left w:val="nil"/>
              <w:bottom w:val="nil"/>
              <w:right w:val="nil"/>
            </w:tcBorders>
            <w:shd w:val="clear" w:color="000000" w:fill="FFFFFF"/>
            <w:vAlign w:val="center"/>
            <w:hideMark/>
          </w:tcPr>
          <w:p w14:paraId="08B7B66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(0.73)</w:t>
            </w:r>
          </w:p>
        </w:tc>
        <w:tc>
          <w:tcPr>
            <w:tcW w:w="736" w:type="dxa"/>
            <w:tcBorders>
              <w:top w:val="nil"/>
              <w:left w:val="nil"/>
              <w:bottom w:val="nil"/>
              <w:right w:val="nil"/>
            </w:tcBorders>
            <w:shd w:val="clear" w:color="000000" w:fill="FFFFFF"/>
            <w:vAlign w:val="center"/>
            <w:hideMark/>
          </w:tcPr>
          <w:p w14:paraId="0ADC812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-0.03</w:t>
            </w:r>
            <w:r w:rsidRPr="00943DFA">
              <w:rPr>
                <w:rFonts w:eastAsia="Times New Roman"/>
                <w:color w:val="0D0D0D" w:themeColor="text1" w:themeTint="F2"/>
                <w:sz w:val="16"/>
                <w:szCs w:val="16"/>
              </w:rPr>
              <w:br/>
              <w:t>(0.52)</w:t>
            </w:r>
          </w:p>
        </w:tc>
        <w:tc>
          <w:tcPr>
            <w:tcW w:w="856" w:type="dxa"/>
            <w:tcBorders>
              <w:top w:val="nil"/>
              <w:left w:val="nil"/>
              <w:bottom w:val="nil"/>
              <w:right w:val="nil"/>
            </w:tcBorders>
            <w:shd w:val="clear" w:color="000000" w:fill="FFFFFF"/>
            <w:vAlign w:val="center"/>
            <w:hideMark/>
          </w:tcPr>
          <w:p w14:paraId="48538DC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850" w:type="dxa"/>
            <w:tcBorders>
              <w:top w:val="nil"/>
              <w:left w:val="nil"/>
              <w:bottom w:val="nil"/>
              <w:right w:val="nil"/>
            </w:tcBorders>
            <w:shd w:val="clear" w:color="000000" w:fill="FFFFFF"/>
            <w:vAlign w:val="center"/>
            <w:hideMark/>
          </w:tcPr>
          <w:p w14:paraId="4874137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281BB13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4969936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603" w:type="dxa"/>
            <w:tcBorders>
              <w:top w:val="nil"/>
              <w:left w:val="nil"/>
              <w:bottom w:val="nil"/>
              <w:right w:val="nil"/>
            </w:tcBorders>
            <w:shd w:val="clear" w:color="000000" w:fill="FFFFFF"/>
            <w:vAlign w:val="center"/>
            <w:hideMark/>
          </w:tcPr>
          <w:p w14:paraId="7248676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5EB4A35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52EB9D1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33F7778B"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37B1DBB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3D46317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25E83267"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6C92F560" w14:textId="42400F00"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(5) Segments</w:t>
            </w:r>
          </w:p>
        </w:tc>
        <w:tc>
          <w:tcPr>
            <w:tcW w:w="736" w:type="dxa"/>
            <w:tcBorders>
              <w:top w:val="nil"/>
              <w:left w:val="nil"/>
              <w:bottom w:val="nil"/>
              <w:right w:val="nil"/>
            </w:tcBorders>
            <w:shd w:val="clear" w:color="auto" w:fill="auto"/>
            <w:vAlign w:val="center"/>
            <w:hideMark/>
          </w:tcPr>
          <w:p w14:paraId="54AB555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0.16***</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4BF6048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0.20***</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3817CC8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0.21***</w:t>
            </w:r>
            <w:r w:rsidRPr="00943DFA">
              <w:rPr>
                <w:rFonts w:eastAsia="Times New Roman"/>
                <w:color w:val="0D0D0D" w:themeColor="text1" w:themeTint="F2"/>
                <w:sz w:val="16"/>
                <w:szCs w:val="16"/>
              </w:rPr>
              <w:br/>
              <w:t>(0.00)</w:t>
            </w:r>
          </w:p>
        </w:tc>
        <w:tc>
          <w:tcPr>
            <w:tcW w:w="856" w:type="dxa"/>
            <w:tcBorders>
              <w:top w:val="nil"/>
              <w:left w:val="nil"/>
              <w:bottom w:val="nil"/>
              <w:right w:val="nil"/>
            </w:tcBorders>
            <w:shd w:val="clear" w:color="000000" w:fill="FFFFFF"/>
            <w:vAlign w:val="center"/>
            <w:hideMark/>
          </w:tcPr>
          <w:p w14:paraId="040D9CE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-0.04</w:t>
            </w:r>
            <w:r w:rsidRPr="00943DFA">
              <w:rPr>
                <w:rFonts w:eastAsia="Times New Roman"/>
                <w:color w:val="0D0D0D" w:themeColor="text1" w:themeTint="F2"/>
                <w:sz w:val="16"/>
                <w:szCs w:val="16"/>
              </w:rPr>
              <w:br/>
              <w:t>(0.40)</w:t>
            </w:r>
          </w:p>
        </w:tc>
        <w:tc>
          <w:tcPr>
            <w:tcW w:w="850" w:type="dxa"/>
            <w:tcBorders>
              <w:top w:val="nil"/>
              <w:left w:val="nil"/>
              <w:bottom w:val="nil"/>
              <w:right w:val="nil"/>
            </w:tcBorders>
            <w:shd w:val="clear" w:color="000000" w:fill="FFFFFF"/>
            <w:vAlign w:val="center"/>
            <w:hideMark/>
          </w:tcPr>
          <w:p w14:paraId="1948FF3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1 </w:t>
            </w:r>
          </w:p>
        </w:tc>
        <w:tc>
          <w:tcPr>
            <w:tcW w:w="736" w:type="dxa"/>
            <w:tcBorders>
              <w:top w:val="nil"/>
              <w:left w:val="nil"/>
              <w:bottom w:val="nil"/>
              <w:right w:val="nil"/>
            </w:tcBorders>
            <w:shd w:val="clear" w:color="000000" w:fill="FFFFFF"/>
            <w:vAlign w:val="center"/>
            <w:hideMark/>
          </w:tcPr>
          <w:p w14:paraId="2072DA4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36" w:type="dxa"/>
            <w:tcBorders>
              <w:top w:val="nil"/>
              <w:left w:val="nil"/>
              <w:bottom w:val="nil"/>
              <w:right w:val="nil"/>
            </w:tcBorders>
            <w:shd w:val="clear" w:color="000000" w:fill="FFFFFF"/>
            <w:vAlign w:val="center"/>
            <w:hideMark/>
          </w:tcPr>
          <w:p w14:paraId="712BFF8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603" w:type="dxa"/>
            <w:tcBorders>
              <w:top w:val="nil"/>
              <w:left w:val="nil"/>
              <w:bottom w:val="nil"/>
              <w:right w:val="nil"/>
            </w:tcBorders>
            <w:shd w:val="clear" w:color="000000" w:fill="FFFFFF"/>
            <w:vAlign w:val="center"/>
            <w:hideMark/>
          </w:tcPr>
          <w:p w14:paraId="3FF79B7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1913020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0940FD4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1D40DAD1"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5C1757D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0691E41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79EAEE4A"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57E27069" w14:textId="574A2754"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 xml:space="preserve">(6) Restructuring </w:t>
            </w:r>
          </w:p>
        </w:tc>
        <w:tc>
          <w:tcPr>
            <w:tcW w:w="736" w:type="dxa"/>
            <w:tcBorders>
              <w:top w:val="nil"/>
              <w:left w:val="nil"/>
              <w:bottom w:val="nil"/>
              <w:right w:val="nil"/>
            </w:tcBorders>
            <w:shd w:val="clear" w:color="auto" w:fill="auto"/>
            <w:vAlign w:val="center"/>
            <w:hideMark/>
          </w:tcPr>
          <w:p w14:paraId="39F3FDB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0.11***</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6058F26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0.18***</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4F58379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0.12***</w:t>
            </w:r>
            <w:r w:rsidRPr="00943DFA">
              <w:rPr>
                <w:rFonts w:eastAsia="Times New Roman"/>
                <w:color w:val="0D0D0D" w:themeColor="text1" w:themeTint="F2"/>
                <w:sz w:val="16"/>
                <w:szCs w:val="16"/>
              </w:rPr>
              <w:br/>
              <w:t>(0.00)</w:t>
            </w:r>
          </w:p>
        </w:tc>
        <w:tc>
          <w:tcPr>
            <w:tcW w:w="856" w:type="dxa"/>
            <w:tcBorders>
              <w:top w:val="nil"/>
              <w:left w:val="nil"/>
              <w:bottom w:val="nil"/>
              <w:right w:val="nil"/>
            </w:tcBorders>
            <w:shd w:val="clear" w:color="000000" w:fill="FFFFFF"/>
            <w:vAlign w:val="center"/>
            <w:hideMark/>
          </w:tcPr>
          <w:p w14:paraId="0659F52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-0.03</w:t>
            </w:r>
            <w:r w:rsidRPr="00943DFA">
              <w:rPr>
                <w:rFonts w:eastAsia="Times New Roman"/>
                <w:color w:val="0D0D0D" w:themeColor="text1" w:themeTint="F2"/>
                <w:sz w:val="16"/>
                <w:szCs w:val="16"/>
              </w:rPr>
              <w:br/>
              <w:t>(0.51)</w:t>
            </w:r>
          </w:p>
        </w:tc>
        <w:tc>
          <w:tcPr>
            <w:tcW w:w="850" w:type="dxa"/>
            <w:tcBorders>
              <w:top w:val="nil"/>
              <w:left w:val="nil"/>
              <w:bottom w:val="nil"/>
              <w:right w:val="nil"/>
            </w:tcBorders>
            <w:shd w:val="clear" w:color="000000" w:fill="FFFFFF"/>
            <w:vAlign w:val="center"/>
            <w:hideMark/>
          </w:tcPr>
          <w:p w14:paraId="441E835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0.18***</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61A1F7A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736" w:type="dxa"/>
            <w:tcBorders>
              <w:top w:val="nil"/>
              <w:left w:val="nil"/>
              <w:bottom w:val="nil"/>
              <w:right w:val="nil"/>
            </w:tcBorders>
            <w:shd w:val="clear" w:color="000000" w:fill="FFFFFF"/>
            <w:vAlign w:val="center"/>
            <w:hideMark/>
          </w:tcPr>
          <w:p w14:paraId="1DA680F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603" w:type="dxa"/>
            <w:tcBorders>
              <w:top w:val="nil"/>
              <w:left w:val="nil"/>
              <w:bottom w:val="nil"/>
              <w:right w:val="nil"/>
            </w:tcBorders>
            <w:shd w:val="clear" w:color="000000" w:fill="FFFFFF"/>
            <w:vAlign w:val="center"/>
            <w:hideMark/>
          </w:tcPr>
          <w:p w14:paraId="17AF09A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311332A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488AED5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14C0C136"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41C0DF7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1F4A214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0C7B1BE2"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44C47CC0" w14:textId="1C93F15E"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 xml:space="preserve">(7) M&amp;A </w:t>
            </w:r>
          </w:p>
        </w:tc>
        <w:tc>
          <w:tcPr>
            <w:tcW w:w="736" w:type="dxa"/>
            <w:tcBorders>
              <w:top w:val="nil"/>
              <w:left w:val="nil"/>
              <w:bottom w:val="nil"/>
              <w:right w:val="nil"/>
            </w:tcBorders>
            <w:shd w:val="clear" w:color="auto" w:fill="auto"/>
            <w:vAlign w:val="center"/>
            <w:hideMark/>
          </w:tcPr>
          <w:p w14:paraId="75A4416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(0.59)</w:t>
            </w:r>
          </w:p>
        </w:tc>
        <w:tc>
          <w:tcPr>
            <w:tcW w:w="736" w:type="dxa"/>
            <w:tcBorders>
              <w:top w:val="nil"/>
              <w:left w:val="nil"/>
              <w:bottom w:val="nil"/>
              <w:right w:val="nil"/>
            </w:tcBorders>
            <w:shd w:val="clear" w:color="000000" w:fill="FFFFFF"/>
            <w:vAlign w:val="center"/>
            <w:hideMark/>
          </w:tcPr>
          <w:p w14:paraId="396E982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0.05</w:t>
            </w:r>
            <w:r w:rsidRPr="00943DFA">
              <w:rPr>
                <w:rFonts w:eastAsia="Times New Roman"/>
                <w:color w:val="0D0D0D" w:themeColor="text1" w:themeTint="F2"/>
                <w:sz w:val="16"/>
                <w:szCs w:val="16"/>
              </w:rPr>
              <w:br/>
              <w:t>(0.14)</w:t>
            </w:r>
          </w:p>
        </w:tc>
        <w:tc>
          <w:tcPr>
            <w:tcW w:w="736" w:type="dxa"/>
            <w:tcBorders>
              <w:top w:val="nil"/>
              <w:left w:val="nil"/>
              <w:bottom w:val="nil"/>
              <w:right w:val="nil"/>
            </w:tcBorders>
            <w:shd w:val="clear" w:color="000000" w:fill="FFFFFF"/>
            <w:vAlign w:val="center"/>
            <w:hideMark/>
          </w:tcPr>
          <w:p w14:paraId="62CF50B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0.08**</w:t>
            </w:r>
            <w:r w:rsidRPr="00943DFA">
              <w:rPr>
                <w:rFonts w:eastAsia="Times New Roman"/>
                <w:color w:val="0D0D0D" w:themeColor="text1" w:themeTint="F2"/>
                <w:sz w:val="16"/>
                <w:szCs w:val="16"/>
              </w:rPr>
              <w:br/>
              <w:t>(0.02)</w:t>
            </w:r>
          </w:p>
        </w:tc>
        <w:tc>
          <w:tcPr>
            <w:tcW w:w="856" w:type="dxa"/>
            <w:tcBorders>
              <w:top w:val="nil"/>
              <w:left w:val="nil"/>
              <w:bottom w:val="nil"/>
              <w:right w:val="nil"/>
            </w:tcBorders>
            <w:shd w:val="clear" w:color="000000" w:fill="FFFFFF"/>
            <w:vAlign w:val="center"/>
            <w:hideMark/>
          </w:tcPr>
          <w:p w14:paraId="4657E900"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-0.03</w:t>
            </w:r>
            <w:r w:rsidRPr="00943DFA">
              <w:rPr>
                <w:rFonts w:eastAsia="Times New Roman"/>
                <w:color w:val="0D0D0D" w:themeColor="text1" w:themeTint="F2"/>
                <w:sz w:val="16"/>
                <w:szCs w:val="16"/>
              </w:rPr>
              <w:br/>
              <w:t>(0.44)</w:t>
            </w:r>
          </w:p>
        </w:tc>
        <w:tc>
          <w:tcPr>
            <w:tcW w:w="850" w:type="dxa"/>
            <w:tcBorders>
              <w:top w:val="nil"/>
              <w:left w:val="nil"/>
              <w:bottom w:val="nil"/>
              <w:right w:val="nil"/>
            </w:tcBorders>
            <w:shd w:val="clear" w:color="000000" w:fill="FFFFFF"/>
            <w:vAlign w:val="center"/>
            <w:hideMark/>
          </w:tcPr>
          <w:p w14:paraId="3592762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0.12***</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4ECB5EC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0.31***</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6AFFE35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603" w:type="dxa"/>
            <w:tcBorders>
              <w:top w:val="nil"/>
              <w:left w:val="nil"/>
              <w:bottom w:val="nil"/>
              <w:right w:val="nil"/>
            </w:tcBorders>
            <w:shd w:val="clear" w:color="000000" w:fill="FFFFFF"/>
            <w:vAlign w:val="center"/>
            <w:hideMark/>
          </w:tcPr>
          <w:p w14:paraId="75C2564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902" w:type="dxa"/>
            <w:tcBorders>
              <w:top w:val="nil"/>
              <w:left w:val="nil"/>
              <w:bottom w:val="nil"/>
              <w:right w:val="nil"/>
            </w:tcBorders>
            <w:shd w:val="clear" w:color="000000" w:fill="FFFFFF"/>
            <w:vAlign w:val="center"/>
            <w:hideMark/>
          </w:tcPr>
          <w:p w14:paraId="3B74C66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09ECF4F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627EE932"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39C4FCD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5525214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238F9716"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69E95436" w14:textId="6A03D92B"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(8) Leverage</w:t>
            </w:r>
          </w:p>
        </w:tc>
        <w:tc>
          <w:tcPr>
            <w:tcW w:w="736" w:type="dxa"/>
            <w:tcBorders>
              <w:top w:val="nil"/>
              <w:left w:val="nil"/>
              <w:bottom w:val="nil"/>
              <w:right w:val="nil"/>
            </w:tcBorders>
            <w:shd w:val="clear" w:color="auto" w:fill="auto"/>
            <w:vAlign w:val="center"/>
            <w:hideMark/>
          </w:tcPr>
          <w:p w14:paraId="748CE3A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0.05</w:t>
            </w:r>
            <w:r w:rsidRPr="00943DFA">
              <w:rPr>
                <w:rFonts w:eastAsia="Times New Roman"/>
                <w:color w:val="0D0D0D" w:themeColor="text1" w:themeTint="F2"/>
                <w:sz w:val="16"/>
                <w:szCs w:val="16"/>
              </w:rPr>
              <w:br/>
              <w:t>(0.16)</w:t>
            </w:r>
          </w:p>
        </w:tc>
        <w:tc>
          <w:tcPr>
            <w:tcW w:w="736" w:type="dxa"/>
            <w:tcBorders>
              <w:top w:val="nil"/>
              <w:left w:val="nil"/>
              <w:bottom w:val="nil"/>
              <w:right w:val="nil"/>
            </w:tcBorders>
            <w:shd w:val="clear" w:color="000000" w:fill="FFFFFF"/>
            <w:vAlign w:val="center"/>
            <w:hideMark/>
          </w:tcPr>
          <w:p w14:paraId="5C05EE7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(0.90)</w:t>
            </w:r>
          </w:p>
        </w:tc>
        <w:tc>
          <w:tcPr>
            <w:tcW w:w="736" w:type="dxa"/>
            <w:tcBorders>
              <w:top w:val="nil"/>
              <w:left w:val="nil"/>
              <w:bottom w:val="nil"/>
              <w:right w:val="nil"/>
            </w:tcBorders>
            <w:shd w:val="clear" w:color="000000" w:fill="FFFFFF"/>
            <w:vAlign w:val="center"/>
            <w:hideMark/>
          </w:tcPr>
          <w:p w14:paraId="6A99DD4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(0.73)</w:t>
            </w:r>
          </w:p>
        </w:tc>
        <w:tc>
          <w:tcPr>
            <w:tcW w:w="856" w:type="dxa"/>
            <w:tcBorders>
              <w:top w:val="nil"/>
              <w:left w:val="nil"/>
              <w:bottom w:val="nil"/>
              <w:right w:val="nil"/>
            </w:tcBorders>
            <w:shd w:val="clear" w:color="000000" w:fill="FFFFFF"/>
            <w:vAlign w:val="center"/>
            <w:hideMark/>
          </w:tcPr>
          <w:p w14:paraId="2BCB311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(0.93)</w:t>
            </w:r>
          </w:p>
        </w:tc>
        <w:tc>
          <w:tcPr>
            <w:tcW w:w="850" w:type="dxa"/>
            <w:tcBorders>
              <w:top w:val="nil"/>
              <w:left w:val="nil"/>
              <w:bottom w:val="nil"/>
              <w:right w:val="nil"/>
            </w:tcBorders>
            <w:shd w:val="clear" w:color="000000" w:fill="FFFFFF"/>
            <w:vAlign w:val="center"/>
            <w:hideMark/>
          </w:tcPr>
          <w:p w14:paraId="2D27AEC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-0.21***</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6667E2B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(0.72)</w:t>
            </w:r>
          </w:p>
        </w:tc>
        <w:tc>
          <w:tcPr>
            <w:tcW w:w="736" w:type="dxa"/>
            <w:tcBorders>
              <w:top w:val="nil"/>
              <w:left w:val="nil"/>
              <w:bottom w:val="nil"/>
              <w:right w:val="nil"/>
            </w:tcBorders>
            <w:shd w:val="clear" w:color="000000" w:fill="FFFFFF"/>
            <w:vAlign w:val="center"/>
            <w:hideMark/>
          </w:tcPr>
          <w:p w14:paraId="3A70DCE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(0.69)</w:t>
            </w:r>
          </w:p>
        </w:tc>
        <w:tc>
          <w:tcPr>
            <w:tcW w:w="603" w:type="dxa"/>
            <w:tcBorders>
              <w:top w:val="nil"/>
              <w:left w:val="nil"/>
              <w:bottom w:val="nil"/>
              <w:right w:val="nil"/>
            </w:tcBorders>
            <w:shd w:val="clear" w:color="000000" w:fill="FFFFFF"/>
            <w:vAlign w:val="center"/>
            <w:hideMark/>
          </w:tcPr>
          <w:p w14:paraId="16D71E4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902" w:type="dxa"/>
            <w:tcBorders>
              <w:top w:val="nil"/>
              <w:left w:val="nil"/>
              <w:bottom w:val="nil"/>
              <w:right w:val="nil"/>
            </w:tcBorders>
            <w:shd w:val="clear" w:color="000000" w:fill="FFFFFF"/>
            <w:vAlign w:val="center"/>
            <w:hideMark/>
          </w:tcPr>
          <w:p w14:paraId="55B2330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851" w:type="dxa"/>
            <w:tcBorders>
              <w:top w:val="nil"/>
              <w:left w:val="nil"/>
              <w:bottom w:val="nil"/>
              <w:right w:val="nil"/>
            </w:tcBorders>
            <w:shd w:val="clear" w:color="000000" w:fill="FFFFFF"/>
            <w:vAlign w:val="center"/>
            <w:hideMark/>
          </w:tcPr>
          <w:p w14:paraId="305CA98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6DE1526C"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7823EF0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1595815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556F9592"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56A3EE79" w14:textId="5C078C5B"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(9) Z-score</w:t>
            </w:r>
          </w:p>
        </w:tc>
        <w:tc>
          <w:tcPr>
            <w:tcW w:w="736" w:type="dxa"/>
            <w:tcBorders>
              <w:top w:val="nil"/>
              <w:left w:val="nil"/>
              <w:bottom w:val="nil"/>
              <w:right w:val="nil"/>
            </w:tcBorders>
            <w:shd w:val="clear" w:color="auto" w:fill="auto"/>
            <w:vAlign w:val="center"/>
            <w:hideMark/>
          </w:tcPr>
          <w:p w14:paraId="7DC0922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(0.51)</w:t>
            </w:r>
          </w:p>
        </w:tc>
        <w:tc>
          <w:tcPr>
            <w:tcW w:w="736" w:type="dxa"/>
            <w:tcBorders>
              <w:top w:val="nil"/>
              <w:left w:val="nil"/>
              <w:bottom w:val="nil"/>
              <w:right w:val="nil"/>
            </w:tcBorders>
            <w:shd w:val="clear" w:color="000000" w:fill="FFFFFF"/>
            <w:vAlign w:val="center"/>
            <w:hideMark/>
          </w:tcPr>
          <w:p w14:paraId="5FB51E1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0.04</w:t>
            </w:r>
            <w:r w:rsidRPr="00943DFA">
              <w:rPr>
                <w:rFonts w:eastAsia="Times New Roman"/>
                <w:color w:val="0D0D0D" w:themeColor="text1" w:themeTint="F2"/>
                <w:sz w:val="16"/>
                <w:szCs w:val="16"/>
              </w:rPr>
              <w:br/>
              <w:t>(0.29)</w:t>
            </w:r>
          </w:p>
        </w:tc>
        <w:tc>
          <w:tcPr>
            <w:tcW w:w="736" w:type="dxa"/>
            <w:tcBorders>
              <w:top w:val="nil"/>
              <w:left w:val="nil"/>
              <w:bottom w:val="nil"/>
              <w:right w:val="nil"/>
            </w:tcBorders>
            <w:shd w:val="clear" w:color="000000" w:fill="FFFFFF"/>
            <w:vAlign w:val="center"/>
            <w:hideMark/>
          </w:tcPr>
          <w:p w14:paraId="4251474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(0.08)</w:t>
            </w:r>
          </w:p>
        </w:tc>
        <w:tc>
          <w:tcPr>
            <w:tcW w:w="856" w:type="dxa"/>
            <w:tcBorders>
              <w:top w:val="nil"/>
              <w:left w:val="nil"/>
              <w:bottom w:val="nil"/>
              <w:right w:val="nil"/>
            </w:tcBorders>
            <w:shd w:val="clear" w:color="000000" w:fill="FFFFFF"/>
            <w:vAlign w:val="center"/>
            <w:hideMark/>
          </w:tcPr>
          <w:p w14:paraId="43285B9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-0.11***</w:t>
            </w:r>
            <w:r w:rsidRPr="00943DFA">
              <w:rPr>
                <w:rFonts w:eastAsia="Times New Roman"/>
                <w:color w:val="0D0D0D" w:themeColor="text1" w:themeTint="F2"/>
                <w:sz w:val="16"/>
                <w:szCs w:val="16"/>
              </w:rPr>
              <w:br/>
              <w:t>(0.01)</w:t>
            </w:r>
          </w:p>
        </w:tc>
        <w:tc>
          <w:tcPr>
            <w:tcW w:w="850" w:type="dxa"/>
            <w:tcBorders>
              <w:top w:val="nil"/>
              <w:left w:val="nil"/>
              <w:bottom w:val="nil"/>
              <w:right w:val="nil"/>
            </w:tcBorders>
            <w:shd w:val="clear" w:color="000000" w:fill="FFFFFF"/>
            <w:vAlign w:val="center"/>
            <w:hideMark/>
          </w:tcPr>
          <w:p w14:paraId="7E4E7FC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0.09***</w:t>
            </w:r>
            <w:r w:rsidRPr="00943DFA">
              <w:rPr>
                <w:rFonts w:eastAsia="Times New Roman"/>
                <w:color w:val="0D0D0D" w:themeColor="text1" w:themeTint="F2"/>
                <w:sz w:val="16"/>
                <w:szCs w:val="16"/>
              </w:rPr>
              <w:br/>
              <w:t>(0.01)</w:t>
            </w:r>
          </w:p>
        </w:tc>
        <w:tc>
          <w:tcPr>
            <w:tcW w:w="736" w:type="dxa"/>
            <w:tcBorders>
              <w:top w:val="nil"/>
              <w:left w:val="nil"/>
              <w:bottom w:val="nil"/>
              <w:right w:val="nil"/>
            </w:tcBorders>
            <w:shd w:val="clear" w:color="000000" w:fill="FFFFFF"/>
            <w:vAlign w:val="center"/>
            <w:hideMark/>
          </w:tcPr>
          <w:p w14:paraId="2489D46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0.08**</w:t>
            </w:r>
            <w:r w:rsidRPr="00943DFA">
              <w:rPr>
                <w:rFonts w:eastAsia="Times New Roman"/>
                <w:color w:val="0D0D0D" w:themeColor="text1" w:themeTint="F2"/>
                <w:sz w:val="16"/>
                <w:szCs w:val="16"/>
              </w:rPr>
              <w:br/>
              <w:t>(0.03)</w:t>
            </w:r>
          </w:p>
        </w:tc>
        <w:tc>
          <w:tcPr>
            <w:tcW w:w="736" w:type="dxa"/>
            <w:tcBorders>
              <w:top w:val="nil"/>
              <w:left w:val="nil"/>
              <w:bottom w:val="nil"/>
              <w:right w:val="nil"/>
            </w:tcBorders>
            <w:shd w:val="clear" w:color="000000" w:fill="FFFFFF"/>
            <w:vAlign w:val="center"/>
            <w:hideMark/>
          </w:tcPr>
          <w:p w14:paraId="56A67A3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0.08***</w:t>
            </w:r>
            <w:r w:rsidRPr="00943DFA">
              <w:rPr>
                <w:rFonts w:eastAsia="Times New Roman"/>
                <w:color w:val="0D0D0D" w:themeColor="text1" w:themeTint="F2"/>
                <w:sz w:val="16"/>
                <w:szCs w:val="16"/>
              </w:rPr>
              <w:br/>
              <w:t>(0.01)</w:t>
            </w:r>
          </w:p>
        </w:tc>
        <w:tc>
          <w:tcPr>
            <w:tcW w:w="603" w:type="dxa"/>
            <w:tcBorders>
              <w:top w:val="nil"/>
              <w:left w:val="nil"/>
              <w:bottom w:val="nil"/>
              <w:right w:val="nil"/>
            </w:tcBorders>
            <w:shd w:val="clear" w:color="000000" w:fill="FFFFFF"/>
            <w:vAlign w:val="center"/>
            <w:hideMark/>
          </w:tcPr>
          <w:p w14:paraId="4BAB610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(0.79)</w:t>
            </w:r>
          </w:p>
        </w:tc>
        <w:tc>
          <w:tcPr>
            <w:tcW w:w="902" w:type="dxa"/>
            <w:tcBorders>
              <w:top w:val="nil"/>
              <w:left w:val="nil"/>
              <w:bottom w:val="nil"/>
              <w:right w:val="nil"/>
            </w:tcBorders>
            <w:shd w:val="clear" w:color="000000" w:fill="FFFFFF"/>
            <w:vAlign w:val="center"/>
            <w:hideMark/>
          </w:tcPr>
          <w:p w14:paraId="08B71E1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851" w:type="dxa"/>
            <w:tcBorders>
              <w:top w:val="nil"/>
              <w:left w:val="nil"/>
              <w:bottom w:val="nil"/>
              <w:right w:val="nil"/>
            </w:tcBorders>
            <w:shd w:val="clear" w:color="000000" w:fill="FFFFFF"/>
            <w:vAlign w:val="center"/>
            <w:hideMark/>
          </w:tcPr>
          <w:p w14:paraId="740A478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708" w:type="dxa"/>
            <w:tcBorders>
              <w:top w:val="nil"/>
              <w:left w:val="nil"/>
              <w:bottom w:val="nil"/>
              <w:right w:val="nil"/>
            </w:tcBorders>
            <w:shd w:val="clear" w:color="auto" w:fill="auto"/>
            <w:vAlign w:val="center"/>
            <w:hideMark/>
          </w:tcPr>
          <w:p w14:paraId="4967B4FA"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2A96C30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74C5703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68F5C810"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34C9F1E8" w14:textId="31924358"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(10) Positive earnings</w:t>
            </w:r>
          </w:p>
        </w:tc>
        <w:tc>
          <w:tcPr>
            <w:tcW w:w="736" w:type="dxa"/>
            <w:tcBorders>
              <w:top w:val="nil"/>
              <w:left w:val="nil"/>
              <w:bottom w:val="nil"/>
              <w:right w:val="nil"/>
            </w:tcBorders>
            <w:shd w:val="clear" w:color="auto" w:fill="auto"/>
            <w:vAlign w:val="center"/>
            <w:hideMark/>
          </w:tcPr>
          <w:p w14:paraId="11EFAEE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0.27***</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331496C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0.09***</w:t>
            </w:r>
            <w:r w:rsidRPr="00943DFA">
              <w:rPr>
                <w:rFonts w:eastAsia="Times New Roman"/>
                <w:color w:val="0D0D0D" w:themeColor="text1" w:themeTint="F2"/>
                <w:sz w:val="16"/>
                <w:szCs w:val="16"/>
              </w:rPr>
              <w:br/>
              <w:t>(0.01)</w:t>
            </w:r>
          </w:p>
        </w:tc>
        <w:tc>
          <w:tcPr>
            <w:tcW w:w="736" w:type="dxa"/>
            <w:tcBorders>
              <w:top w:val="nil"/>
              <w:left w:val="nil"/>
              <w:bottom w:val="nil"/>
              <w:right w:val="nil"/>
            </w:tcBorders>
            <w:shd w:val="clear" w:color="000000" w:fill="FFFFFF"/>
            <w:vAlign w:val="center"/>
            <w:hideMark/>
          </w:tcPr>
          <w:p w14:paraId="37E9FEA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0.15***</w:t>
            </w:r>
            <w:r w:rsidRPr="00943DFA">
              <w:rPr>
                <w:rFonts w:eastAsia="Times New Roman"/>
                <w:color w:val="0D0D0D" w:themeColor="text1" w:themeTint="F2"/>
                <w:sz w:val="16"/>
                <w:szCs w:val="16"/>
              </w:rPr>
              <w:br/>
              <w:t>(0.00)</w:t>
            </w:r>
          </w:p>
        </w:tc>
        <w:tc>
          <w:tcPr>
            <w:tcW w:w="856" w:type="dxa"/>
            <w:tcBorders>
              <w:top w:val="nil"/>
              <w:left w:val="nil"/>
              <w:bottom w:val="nil"/>
              <w:right w:val="nil"/>
            </w:tcBorders>
            <w:shd w:val="clear" w:color="000000" w:fill="FFFFFF"/>
            <w:vAlign w:val="center"/>
            <w:hideMark/>
          </w:tcPr>
          <w:p w14:paraId="26DA3D4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(0.84)</w:t>
            </w:r>
          </w:p>
        </w:tc>
        <w:tc>
          <w:tcPr>
            <w:tcW w:w="850" w:type="dxa"/>
            <w:tcBorders>
              <w:top w:val="nil"/>
              <w:left w:val="nil"/>
              <w:bottom w:val="nil"/>
              <w:right w:val="nil"/>
            </w:tcBorders>
            <w:shd w:val="clear" w:color="000000" w:fill="FFFFFF"/>
            <w:vAlign w:val="center"/>
            <w:hideMark/>
          </w:tcPr>
          <w:p w14:paraId="1D6CCD7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0.31***</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72141D4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0.21***</w:t>
            </w:r>
            <w:r w:rsidRPr="00943DFA">
              <w:rPr>
                <w:rFonts w:eastAsia="Times New Roman"/>
                <w:color w:val="0D0D0D" w:themeColor="text1" w:themeTint="F2"/>
                <w:sz w:val="16"/>
                <w:szCs w:val="16"/>
              </w:rPr>
              <w:br/>
              <w:t>(0.00)</w:t>
            </w:r>
          </w:p>
        </w:tc>
        <w:tc>
          <w:tcPr>
            <w:tcW w:w="736" w:type="dxa"/>
            <w:tcBorders>
              <w:top w:val="nil"/>
              <w:left w:val="nil"/>
              <w:bottom w:val="nil"/>
              <w:right w:val="nil"/>
            </w:tcBorders>
            <w:shd w:val="clear" w:color="000000" w:fill="FFFFFF"/>
            <w:vAlign w:val="center"/>
            <w:hideMark/>
          </w:tcPr>
          <w:p w14:paraId="08B544E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0.16***</w:t>
            </w:r>
            <w:r w:rsidRPr="00943DFA">
              <w:rPr>
                <w:rFonts w:eastAsia="Times New Roman"/>
                <w:color w:val="0D0D0D" w:themeColor="text1" w:themeTint="F2"/>
                <w:sz w:val="16"/>
                <w:szCs w:val="16"/>
              </w:rPr>
              <w:br/>
              <w:t>(0.00)</w:t>
            </w:r>
          </w:p>
        </w:tc>
        <w:tc>
          <w:tcPr>
            <w:tcW w:w="603" w:type="dxa"/>
            <w:tcBorders>
              <w:top w:val="nil"/>
              <w:left w:val="nil"/>
              <w:bottom w:val="nil"/>
              <w:right w:val="nil"/>
            </w:tcBorders>
            <w:shd w:val="clear" w:color="000000" w:fill="FFFFFF"/>
            <w:vAlign w:val="center"/>
            <w:hideMark/>
          </w:tcPr>
          <w:p w14:paraId="2D22213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-0.04</w:t>
            </w:r>
            <w:r w:rsidRPr="00943DFA">
              <w:rPr>
                <w:rFonts w:eastAsia="Times New Roman"/>
                <w:color w:val="0D0D0D" w:themeColor="text1" w:themeTint="F2"/>
                <w:sz w:val="16"/>
                <w:szCs w:val="16"/>
              </w:rPr>
              <w:br/>
              <w:t>(0.26)</w:t>
            </w:r>
          </w:p>
        </w:tc>
        <w:tc>
          <w:tcPr>
            <w:tcW w:w="902" w:type="dxa"/>
            <w:tcBorders>
              <w:top w:val="nil"/>
              <w:left w:val="nil"/>
              <w:bottom w:val="nil"/>
              <w:right w:val="nil"/>
            </w:tcBorders>
            <w:shd w:val="clear" w:color="000000" w:fill="FFFFFF"/>
            <w:vAlign w:val="center"/>
            <w:hideMark/>
          </w:tcPr>
          <w:p w14:paraId="11615B7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0.21***</w:t>
            </w:r>
            <w:r w:rsidRPr="00943DFA">
              <w:rPr>
                <w:rFonts w:eastAsia="Times New Roman"/>
                <w:color w:val="0D0D0D" w:themeColor="text1" w:themeTint="F2"/>
                <w:sz w:val="16"/>
                <w:szCs w:val="16"/>
              </w:rPr>
              <w:br/>
              <w:t>(0.00)</w:t>
            </w:r>
          </w:p>
        </w:tc>
        <w:tc>
          <w:tcPr>
            <w:tcW w:w="851" w:type="dxa"/>
            <w:tcBorders>
              <w:top w:val="nil"/>
              <w:left w:val="nil"/>
              <w:bottom w:val="nil"/>
              <w:right w:val="nil"/>
            </w:tcBorders>
            <w:shd w:val="clear" w:color="000000" w:fill="FFFFFF"/>
            <w:vAlign w:val="center"/>
            <w:hideMark/>
          </w:tcPr>
          <w:p w14:paraId="5EFF340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708" w:type="dxa"/>
            <w:tcBorders>
              <w:top w:val="nil"/>
              <w:left w:val="nil"/>
              <w:bottom w:val="nil"/>
              <w:right w:val="nil"/>
            </w:tcBorders>
            <w:shd w:val="clear" w:color="auto" w:fill="auto"/>
            <w:vAlign w:val="center"/>
            <w:hideMark/>
          </w:tcPr>
          <w:p w14:paraId="7F7AFEA6" w14:textId="77777777" w:rsidR="006E2294" w:rsidRPr="00943DFA" w:rsidRDefault="006E2294" w:rsidP="00373B60">
            <w:pPr>
              <w:contextualSpacing/>
              <w:jc w:val="center"/>
              <w:rPr>
                <w:rFonts w:eastAsia="Times New Roman"/>
                <w:color w:val="0D0D0D" w:themeColor="text1" w:themeTint="F2"/>
                <w:sz w:val="16"/>
                <w:szCs w:val="16"/>
              </w:rPr>
            </w:pPr>
          </w:p>
        </w:tc>
        <w:tc>
          <w:tcPr>
            <w:tcW w:w="603" w:type="dxa"/>
            <w:tcBorders>
              <w:top w:val="nil"/>
              <w:left w:val="nil"/>
              <w:bottom w:val="nil"/>
              <w:right w:val="nil"/>
            </w:tcBorders>
            <w:shd w:val="clear" w:color="000000" w:fill="FFFFFF"/>
            <w:vAlign w:val="center"/>
            <w:hideMark/>
          </w:tcPr>
          <w:p w14:paraId="2C8822E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7DB0212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39BBB7E1"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3808EC73" w14:textId="16EB40B9"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(11) External financing</w:t>
            </w:r>
          </w:p>
        </w:tc>
        <w:tc>
          <w:tcPr>
            <w:tcW w:w="736" w:type="dxa"/>
            <w:tcBorders>
              <w:top w:val="nil"/>
              <w:left w:val="nil"/>
              <w:bottom w:val="nil"/>
              <w:right w:val="nil"/>
            </w:tcBorders>
            <w:shd w:val="clear" w:color="auto" w:fill="auto"/>
            <w:vAlign w:val="center"/>
            <w:hideMark/>
          </w:tcPr>
          <w:p w14:paraId="0D6376A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(0.09)</w:t>
            </w:r>
          </w:p>
        </w:tc>
        <w:tc>
          <w:tcPr>
            <w:tcW w:w="736" w:type="dxa"/>
            <w:tcBorders>
              <w:top w:val="nil"/>
              <w:left w:val="nil"/>
              <w:bottom w:val="nil"/>
              <w:right w:val="nil"/>
            </w:tcBorders>
            <w:shd w:val="clear" w:color="000000" w:fill="FFFFFF"/>
            <w:vAlign w:val="center"/>
            <w:hideMark/>
          </w:tcPr>
          <w:p w14:paraId="3BCBC8B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-0.03</w:t>
            </w:r>
            <w:r w:rsidRPr="00943DFA">
              <w:rPr>
                <w:rFonts w:eastAsia="Times New Roman"/>
                <w:color w:val="0D0D0D" w:themeColor="text1" w:themeTint="F2"/>
                <w:sz w:val="16"/>
                <w:szCs w:val="16"/>
              </w:rPr>
              <w:br/>
              <w:t>(0.39)</w:t>
            </w:r>
          </w:p>
        </w:tc>
        <w:tc>
          <w:tcPr>
            <w:tcW w:w="736" w:type="dxa"/>
            <w:tcBorders>
              <w:top w:val="nil"/>
              <w:left w:val="nil"/>
              <w:bottom w:val="nil"/>
              <w:right w:val="nil"/>
            </w:tcBorders>
            <w:shd w:val="clear" w:color="auto" w:fill="auto"/>
            <w:vAlign w:val="center"/>
            <w:hideMark/>
          </w:tcPr>
          <w:p w14:paraId="13DF4150"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-0.05</w:t>
            </w:r>
            <w:r w:rsidRPr="00943DFA">
              <w:rPr>
                <w:rFonts w:eastAsia="Times New Roman"/>
                <w:color w:val="0D0D0D" w:themeColor="text1" w:themeTint="F2"/>
                <w:sz w:val="16"/>
                <w:szCs w:val="16"/>
              </w:rPr>
              <w:br/>
              <w:t>(0.13)</w:t>
            </w:r>
          </w:p>
        </w:tc>
        <w:tc>
          <w:tcPr>
            <w:tcW w:w="856" w:type="dxa"/>
            <w:tcBorders>
              <w:top w:val="nil"/>
              <w:left w:val="nil"/>
              <w:bottom w:val="nil"/>
              <w:right w:val="nil"/>
            </w:tcBorders>
            <w:shd w:val="clear" w:color="000000" w:fill="FFFFFF"/>
            <w:vAlign w:val="center"/>
            <w:hideMark/>
          </w:tcPr>
          <w:p w14:paraId="76D95C1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0.07</w:t>
            </w:r>
            <w:r w:rsidRPr="00943DFA">
              <w:rPr>
                <w:rFonts w:eastAsia="Times New Roman"/>
                <w:color w:val="0D0D0D" w:themeColor="text1" w:themeTint="F2"/>
                <w:sz w:val="16"/>
                <w:szCs w:val="16"/>
              </w:rPr>
              <w:br/>
              <w:t>(0.13)</w:t>
            </w:r>
          </w:p>
        </w:tc>
        <w:tc>
          <w:tcPr>
            <w:tcW w:w="850" w:type="dxa"/>
            <w:tcBorders>
              <w:top w:val="nil"/>
              <w:left w:val="nil"/>
              <w:bottom w:val="nil"/>
              <w:right w:val="nil"/>
            </w:tcBorders>
            <w:shd w:val="clear" w:color="auto" w:fill="auto"/>
            <w:vAlign w:val="center"/>
            <w:hideMark/>
          </w:tcPr>
          <w:p w14:paraId="0BAE1FB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-0.08**</w:t>
            </w:r>
            <w:r w:rsidRPr="00943DFA">
              <w:rPr>
                <w:rFonts w:eastAsia="Times New Roman"/>
                <w:color w:val="0D0D0D" w:themeColor="text1" w:themeTint="F2"/>
                <w:sz w:val="16"/>
                <w:szCs w:val="16"/>
              </w:rPr>
              <w:br/>
              <w:t>(0.02)</w:t>
            </w:r>
          </w:p>
        </w:tc>
        <w:tc>
          <w:tcPr>
            <w:tcW w:w="736" w:type="dxa"/>
            <w:tcBorders>
              <w:top w:val="nil"/>
              <w:left w:val="nil"/>
              <w:bottom w:val="nil"/>
              <w:right w:val="nil"/>
            </w:tcBorders>
            <w:shd w:val="clear" w:color="auto" w:fill="auto"/>
            <w:vAlign w:val="center"/>
            <w:hideMark/>
          </w:tcPr>
          <w:p w14:paraId="32038F0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(0.10)</w:t>
            </w:r>
          </w:p>
        </w:tc>
        <w:tc>
          <w:tcPr>
            <w:tcW w:w="736" w:type="dxa"/>
            <w:tcBorders>
              <w:top w:val="nil"/>
              <w:left w:val="nil"/>
              <w:bottom w:val="nil"/>
              <w:right w:val="nil"/>
            </w:tcBorders>
            <w:shd w:val="clear" w:color="auto" w:fill="auto"/>
            <w:vAlign w:val="center"/>
            <w:hideMark/>
          </w:tcPr>
          <w:p w14:paraId="4D9256A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-0.05</w:t>
            </w:r>
            <w:r w:rsidRPr="00943DFA">
              <w:rPr>
                <w:rFonts w:eastAsia="Times New Roman"/>
                <w:color w:val="0D0D0D" w:themeColor="text1" w:themeTint="F2"/>
                <w:sz w:val="16"/>
                <w:szCs w:val="16"/>
              </w:rPr>
              <w:br/>
              <w:t>(0.20)</w:t>
            </w:r>
          </w:p>
        </w:tc>
        <w:tc>
          <w:tcPr>
            <w:tcW w:w="603" w:type="dxa"/>
            <w:tcBorders>
              <w:top w:val="nil"/>
              <w:left w:val="nil"/>
              <w:bottom w:val="nil"/>
              <w:right w:val="nil"/>
            </w:tcBorders>
            <w:shd w:val="clear" w:color="000000" w:fill="FFFFFF"/>
            <w:vAlign w:val="center"/>
            <w:hideMark/>
          </w:tcPr>
          <w:p w14:paraId="021257F3"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(0.74)</w:t>
            </w:r>
          </w:p>
        </w:tc>
        <w:tc>
          <w:tcPr>
            <w:tcW w:w="902" w:type="dxa"/>
            <w:tcBorders>
              <w:top w:val="nil"/>
              <w:left w:val="nil"/>
              <w:bottom w:val="nil"/>
              <w:right w:val="nil"/>
            </w:tcBorders>
            <w:shd w:val="clear" w:color="auto" w:fill="auto"/>
            <w:vAlign w:val="center"/>
            <w:hideMark/>
          </w:tcPr>
          <w:p w14:paraId="14C4C99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-0.30***</w:t>
            </w:r>
            <w:r w:rsidRPr="00943DFA">
              <w:rPr>
                <w:rFonts w:eastAsia="Times New Roman"/>
                <w:color w:val="0D0D0D" w:themeColor="text1" w:themeTint="F2"/>
                <w:sz w:val="16"/>
                <w:szCs w:val="16"/>
              </w:rPr>
              <w:br/>
              <w:t>(0.00)</w:t>
            </w:r>
          </w:p>
        </w:tc>
        <w:tc>
          <w:tcPr>
            <w:tcW w:w="851" w:type="dxa"/>
            <w:tcBorders>
              <w:top w:val="nil"/>
              <w:left w:val="nil"/>
              <w:bottom w:val="nil"/>
              <w:right w:val="nil"/>
            </w:tcBorders>
            <w:shd w:val="clear" w:color="auto" w:fill="auto"/>
            <w:vAlign w:val="center"/>
            <w:hideMark/>
          </w:tcPr>
          <w:p w14:paraId="5C7758B0"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-0.20***</w:t>
            </w:r>
            <w:r w:rsidRPr="00943DFA">
              <w:rPr>
                <w:rFonts w:eastAsia="Times New Roman"/>
                <w:color w:val="0D0D0D" w:themeColor="text1" w:themeTint="F2"/>
                <w:sz w:val="16"/>
                <w:szCs w:val="16"/>
              </w:rPr>
              <w:br/>
              <w:t>(0.00)</w:t>
            </w:r>
          </w:p>
        </w:tc>
        <w:tc>
          <w:tcPr>
            <w:tcW w:w="708" w:type="dxa"/>
            <w:tcBorders>
              <w:top w:val="nil"/>
              <w:left w:val="nil"/>
              <w:bottom w:val="nil"/>
              <w:right w:val="nil"/>
            </w:tcBorders>
            <w:shd w:val="clear" w:color="auto" w:fill="auto"/>
            <w:vAlign w:val="center"/>
            <w:hideMark/>
          </w:tcPr>
          <w:p w14:paraId="699241C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603" w:type="dxa"/>
            <w:tcBorders>
              <w:top w:val="nil"/>
              <w:left w:val="nil"/>
              <w:bottom w:val="nil"/>
              <w:right w:val="nil"/>
            </w:tcBorders>
            <w:shd w:val="clear" w:color="000000" w:fill="FFFFFF"/>
            <w:vAlign w:val="center"/>
            <w:hideMark/>
          </w:tcPr>
          <w:p w14:paraId="2AF3954A"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c>
          <w:tcPr>
            <w:tcW w:w="485" w:type="dxa"/>
            <w:tcBorders>
              <w:top w:val="nil"/>
              <w:left w:val="nil"/>
              <w:bottom w:val="nil"/>
              <w:right w:val="nil"/>
            </w:tcBorders>
            <w:shd w:val="clear" w:color="000000" w:fill="FFFFFF"/>
            <w:vAlign w:val="center"/>
            <w:hideMark/>
          </w:tcPr>
          <w:p w14:paraId="5DB311B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1353625D" w14:textId="77777777" w:rsidTr="00373B60">
        <w:trPr>
          <w:gridAfter w:val="1"/>
          <w:wAfter w:w="2323" w:type="dxa"/>
          <w:trHeight w:val="450"/>
        </w:trPr>
        <w:tc>
          <w:tcPr>
            <w:tcW w:w="1701" w:type="dxa"/>
            <w:tcBorders>
              <w:top w:val="nil"/>
              <w:left w:val="nil"/>
              <w:bottom w:val="nil"/>
              <w:right w:val="single" w:sz="4" w:space="0" w:color="auto"/>
            </w:tcBorders>
            <w:shd w:val="clear" w:color="000000" w:fill="FFFFFF"/>
            <w:vAlign w:val="center"/>
            <w:hideMark/>
          </w:tcPr>
          <w:p w14:paraId="718A0C20" w14:textId="0A9FE7E0"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(12) Big 4</w:t>
            </w:r>
          </w:p>
        </w:tc>
        <w:tc>
          <w:tcPr>
            <w:tcW w:w="736" w:type="dxa"/>
            <w:tcBorders>
              <w:top w:val="nil"/>
              <w:left w:val="nil"/>
              <w:bottom w:val="nil"/>
              <w:right w:val="nil"/>
            </w:tcBorders>
            <w:shd w:val="clear" w:color="auto" w:fill="auto"/>
            <w:vAlign w:val="center"/>
            <w:hideMark/>
          </w:tcPr>
          <w:p w14:paraId="71D3134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(0.57)</w:t>
            </w:r>
          </w:p>
        </w:tc>
        <w:tc>
          <w:tcPr>
            <w:tcW w:w="736" w:type="dxa"/>
            <w:tcBorders>
              <w:top w:val="nil"/>
              <w:left w:val="nil"/>
              <w:bottom w:val="nil"/>
              <w:right w:val="nil"/>
            </w:tcBorders>
            <w:shd w:val="clear" w:color="000000" w:fill="FFFFFF"/>
            <w:vAlign w:val="center"/>
            <w:hideMark/>
          </w:tcPr>
          <w:p w14:paraId="4998B89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(0.08)</w:t>
            </w:r>
          </w:p>
        </w:tc>
        <w:tc>
          <w:tcPr>
            <w:tcW w:w="736" w:type="dxa"/>
            <w:tcBorders>
              <w:top w:val="nil"/>
              <w:left w:val="nil"/>
              <w:bottom w:val="nil"/>
              <w:right w:val="nil"/>
            </w:tcBorders>
            <w:shd w:val="clear" w:color="000000" w:fill="FFFFFF"/>
            <w:vAlign w:val="center"/>
            <w:hideMark/>
          </w:tcPr>
          <w:p w14:paraId="02EE01C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0.08**</w:t>
            </w:r>
            <w:r w:rsidRPr="00943DFA">
              <w:rPr>
                <w:rFonts w:eastAsia="Times New Roman"/>
                <w:color w:val="0D0D0D" w:themeColor="text1" w:themeTint="F2"/>
                <w:sz w:val="16"/>
                <w:szCs w:val="16"/>
              </w:rPr>
              <w:br/>
              <w:t>(0.02)</w:t>
            </w:r>
          </w:p>
        </w:tc>
        <w:tc>
          <w:tcPr>
            <w:tcW w:w="856" w:type="dxa"/>
            <w:tcBorders>
              <w:top w:val="nil"/>
              <w:left w:val="nil"/>
              <w:bottom w:val="nil"/>
              <w:right w:val="nil"/>
            </w:tcBorders>
            <w:shd w:val="clear" w:color="000000" w:fill="FFFFFF"/>
            <w:vAlign w:val="center"/>
            <w:hideMark/>
          </w:tcPr>
          <w:p w14:paraId="7FC6D40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(0.70)</w:t>
            </w:r>
          </w:p>
        </w:tc>
        <w:tc>
          <w:tcPr>
            <w:tcW w:w="850" w:type="dxa"/>
            <w:tcBorders>
              <w:top w:val="nil"/>
              <w:left w:val="nil"/>
              <w:bottom w:val="nil"/>
              <w:right w:val="nil"/>
            </w:tcBorders>
            <w:shd w:val="clear" w:color="000000" w:fill="FFFFFF"/>
            <w:vAlign w:val="center"/>
            <w:hideMark/>
          </w:tcPr>
          <w:p w14:paraId="09C02AB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(0.72)</w:t>
            </w:r>
          </w:p>
        </w:tc>
        <w:tc>
          <w:tcPr>
            <w:tcW w:w="736" w:type="dxa"/>
            <w:tcBorders>
              <w:top w:val="nil"/>
              <w:left w:val="nil"/>
              <w:bottom w:val="nil"/>
              <w:right w:val="nil"/>
            </w:tcBorders>
            <w:shd w:val="clear" w:color="000000" w:fill="FFFFFF"/>
            <w:vAlign w:val="center"/>
            <w:hideMark/>
          </w:tcPr>
          <w:p w14:paraId="2C33A518"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0.09***</w:t>
            </w:r>
            <w:r w:rsidRPr="00943DFA">
              <w:rPr>
                <w:rFonts w:eastAsia="Times New Roman"/>
                <w:color w:val="0D0D0D" w:themeColor="text1" w:themeTint="F2"/>
                <w:sz w:val="16"/>
                <w:szCs w:val="16"/>
              </w:rPr>
              <w:br/>
              <w:t>(0.01)</w:t>
            </w:r>
          </w:p>
        </w:tc>
        <w:tc>
          <w:tcPr>
            <w:tcW w:w="736" w:type="dxa"/>
            <w:tcBorders>
              <w:top w:val="nil"/>
              <w:left w:val="nil"/>
              <w:bottom w:val="nil"/>
              <w:right w:val="nil"/>
            </w:tcBorders>
            <w:shd w:val="clear" w:color="000000" w:fill="FFFFFF"/>
            <w:vAlign w:val="center"/>
            <w:hideMark/>
          </w:tcPr>
          <w:p w14:paraId="545151C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0.07**</w:t>
            </w:r>
            <w:r w:rsidRPr="00943DFA">
              <w:rPr>
                <w:rFonts w:eastAsia="Times New Roman"/>
                <w:color w:val="0D0D0D" w:themeColor="text1" w:themeTint="F2"/>
                <w:sz w:val="16"/>
                <w:szCs w:val="16"/>
              </w:rPr>
              <w:br/>
              <w:t>(0.03)</w:t>
            </w:r>
          </w:p>
        </w:tc>
        <w:tc>
          <w:tcPr>
            <w:tcW w:w="603" w:type="dxa"/>
            <w:tcBorders>
              <w:top w:val="nil"/>
              <w:left w:val="nil"/>
              <w:bottom w:val="nil"/>
              <w:right w:val="nil"/>
            </w:tcBorders>
            <w:shd w:val="clear" w:color="000000" w:fill="FFFFFF"/>
            <w:vAlign w:val="center"/>
            <w:hideMark/>
          </w:tcPr>
          <w:p w14:paraId="4EBBF545"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(0.61)</w:t>
            </w:r>
          </w:p>
        </w:tc>
        <w:tc>
          <w:tcPr>
            <w:tcW w:w="902" w:type="dxa"/>
            <w:tcBorders>
              <w:top w:val="nil"/>
              <w:left w:val="nil"/>
              <w:bottom w:val="nil"/>
              <w:right w:val="nil"/>
            </w:tcBorders>
            <w:shd w:val="clear" w:color="000000" w:fill="FFFFFF"/>
            <w:vAlign w:val="center"/>
            <w:hideMark/>
          </w:tcPr>
          <w:p w14:paraId="1BBD431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0.14***</w:t>
            </w:r>
            <w:r w:rsidRPr="00943DFA">
              <w:rPr>
                <w:rFonts w:eastAsia="Times New Roman"/>
                <w:color w:val="0D0D0D" w:themeColor="text1" w:themeTint="F2"/>
                <w:sz w:val="16"/>
                <w:szCs w:val="16"/>
              </w:rPr>
              <w:br/>
              <w:t>(0.00)</w:t>
            </w:r>
          </w:p>
        </w:tc>
        <w:tc>
          <w:tcPr>
            <w:tcW w:w="851" w:type="dxa"/>
            <w:tcBorders>
              <w:top w:val="nil"/>
              <w:left w:val="nil"/>
              <w:bottom w:val="nil"/>
              <w:right w:val="nil"/>
            </w:tcBorders>
            <w:shd w:val="clear" w:color="000000" w:fill="FFFFFF"/>
            <w:vAlign w:val="center"/>
            <w:hideMark/>
          </w:tcPr>
          <w:p w14:paraId="46C2A55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(0.82)</w:t>
            </w:r>
          </w:p>
        </w:tc>
        <w:tc>
          <w:tcPr>
            <w:tcW w:w="708" w:type="dxa"/>
            <w:tcBorders>
              <w:top w:val="nil"/>
              <w:left w:val="nil"/>
              <w:bottom w:val="nil"/>
              <w:right w:val="nil"/>
            </w:tcBorders>
            <w:shd w:val="clear" w:color="auto" w:fill="auto"/>
            <w:vAlign w:val="center"/>
            <w:hideMark/>
          </w:tcPr>
          <w:p w14:paraId="344DBCFE"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(0.09)</w:t>
            </w:r>
          </w:p>
        </w:tc>
        <w:tc>
          <w:tcPr>
            <w:tcW w:w="603" w:type="dxa"/>
            <w:tcBorders>
              <w:top w:val="nil"/>
              <w:left w:val="nil"/>
              <w:bottom w:val="nil"/>
              <w:right w:val="nil"/>
            </w:tcBorders>
            <w:shd w:val="clear" w:color="000000" w:fill="FFFFFF"/>
            <w:vAlign w:val="center"/>
            <w:hideMark/>
          </w:tcPr>
          <w:p w14:paraId="25583391"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c>
          <w:tcPr>
            <w:tcW w:w="485" w:type="dxa"/>
            <w:tcBorders>
              <w:top w:val="nil"/>
              <w:left w:val="nil"/>
              <w:bottom w:val="nil"/>
              <w:right w:val="nil"/>
            </w:tcBorders>
            <w:shd w:val="clear" w:color="000000" w:fill="FFFFFF"/>
            <w:vAlign w:val="center"/>
            <w:hideMark/>
          </w:tcPr>
          <w:p w14:paraId="43BF0C9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 </w:t>
            </w:r>
          </w:p>
        </w:tc>
      </w:tr>
      <w:tr w:rsidR="00943DFA" w:rsidRPr="00943DFA" w14:paraId="0BB79BA1" w14:textId="77777777" w:rsidTr="00373B60">
        <w:trPr>
          <w:gridAfter w:val="1"/>
          <w:wAfter w:w="2323" w:type="dxa"/>
          <w:trHeight w:val="450"/>
        </w:trPr>
        <w:tc>
          <w:tcPr>
            <w:tcW w:w="1701" w:type="dxa"/>
            <w:tcBorders>
              <w:top w:val="nil"/>
              <w:left w:val="nil"/>
              <w:bottom w:val="single" w:sz="4" w:space="0" w:color="auto"/>
              <w:right w:val="single" w:sz="4" w:space="0" w:color="auto"/>
            </w:tcBorders>
            <w:shd w:val="clear" w:color="000000" w:fill="FFFFFF"/>
            <w:vAlign w:val="center"/>
            <w:hideMark/>
          </w:tcPr>
          <w:p w14:paraId="00F14B47" w14:textId="72DED0F8" w:rsidR="006E2294" w:rsidRPr="00943DFA" w:rsidRDefault="006E2294"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 xml:space="preserve">(13) </w:t>
            </w:r>
            <w:proofErr w:type="spellStart"/>
            <w:r w:rsidRPr="00943DFA">
              <w:rPr>
                <w:rFonts w:eastAsia="Times New Roman"/>
                <w:color w:val="0D0D0D" w:themeColor="text1" w:themeTint="F2"/>
                <w:sz w:val="16"/>
                <w:szCs w:val="16"/>
              </w:rPr>
              <w:t>CEOchairperson</w:t>
            </w:r>
            <w:proofErr w:type="spellEnd"/>
          </w:p>
        </w:tc>
        <w:tc>
          <w:tcPr>
            <w:tcW w:w="736" w:type="dxa"/>
            <w:tcBorders>
              <w:top w:val="nil"/>
              <w:left w:val="nil"/>
              <w:bottom w:val="single" w:sz="4" w:space="0" w:color="auto"/>
              <w:right w:val="nil"/>
            </w:tcBorders>
            <w:shd w:val="clear" w:color="auto" w:fill="auto"/>
            <w:vAlign w:val="center"/>
            <w:hideMark/>
          </w:tcPr>
          <w:p w14:paraId="6002659C"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(0.53)</w:t>
            </w:r>
          </w:p>
        </w:tc>
        <w:tc>
          <w:tcPr>
            <w:tcW w:w="736" w:type="dxa"/>
            <w:tcBorders>
              <w:top w:val="nil"/>
              <w:left w:val="nil"/>
              <w:bottom w:val="single" w:sz="4" w:space="0" w:color="auto"/>
              <w:right w:val="nil"/>
            </w:tcBorders>
            <w:shd w:val="clear" w:color="000000" w:fill="FFFFFF"/>
            <w:vAlign w:val="center"/>
            <w:hideMark/>
          </w:tcPr>
          <w:p w14:paraId="570108C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(0.21)</w:t>
            </w:r>
          </w:p>
        </w:tc>
        <w:tc>
          <w:tcPr>
            <w:tcW w:w="736" w:type="dxa"/>
            <w:tcBorders>
              <w:top w:val="nil"/>
              <w:left w:val="nil"/>
              <w:bottom w:val="single" w:sz="4" w:space="0" w:color="auto"/>
              <w:right w:val="nil"/>
            </w:tcBorders>
            <w:shd w:val="clear" w:color="000000" w:fill="FFFFFF"/>
            <w:vAlign w:val="center"/>
            <w:hideMark/>
          </w:tcPr>
          <w:p w14:paraId="5DBBBFB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(0.97)</w:t>
            </w:r>
          </w:p>
        </w:tc>
        <w:tc>
          <w:tcPr>
            <w:tcW w:w="856" w:type="dxa"/>
            <w:tcBorders>
              <w:top w:val="nil"/>
              <w:left w:val="nil"/>
              <w:bottom w:val="single" w:sz="4" w:space="0" w:color="auto"/>
              <w:right w:val="nil"/>
            </w:tcBorders>
            <w:shd w:val="clear" w:color="000000" w:fill="FFFFFF"/>
            <w:vAlign w:val="center"/>
            <w:hideMark/>
          </w:tcPr>
          <w:p w14:paraId="06B5E8FB"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0.05</w:t>
            </w:r>
            <w:r w:rsidRPr="00943DFA">
              <w:rPr>
                <w:rFonts w:eastAsia="Times New Roman"/>
                <w:color w:val="0D0D0D" w:themeColor="text1" w:themeTint="F2"/>
                <w:sz w:val="16"/>
                <w:szCs w:val="16"/>
              </w:rPr>
              <w:br/>
              <w:t>(0.37)</w:t>
            </w:r>
          </w:p>
        </w:tc>
        <w:tc>
          <w:tcPr>
            <w:tcW w:w="850" w:type="dxa"/>
            <w:tcBorders>
              <w:top w:val="nil"/>
              <w:left w:val="nil"/>
              <w:bottom w:val="single" w:sz="4" w:space="0" w:color="auto"/>
              <w:right w:val="nil"/>
            </w:tcBorders>
            <w:shd w:val="clear" w:color="000000" w:fill="FFFFFF"/>
            <w:vAlign w:val="center"/>
            <w:hideMark/>
          </w:tcPr>
          <w:p w14:paraId="0BB7AC7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(0.23)</w:t>
            </w:r>
          </w:p>
        </w:tc>
        <w:tc>
          <w:tcPr>
            <w:tcW w:w="736" w:type="dxa"/>
            <w:tcBorders>
              <w:top w:val="nil"/>
              <w:left w:val="nil"/>
              <w:bottom w:val="single" w:sz="4" w:space="0" w:color="auto"/>
              <w:right w:val="nil"/>
            </w:tcBorders>
            <w:shd w:val="clear" w:color="000000" w:fill="FFFFFF"/>
            <w:vAlign w:val="center"/>
            <w:hideMark/>
          </w:tcPr>
          <w:p w14:paraId="205F3AED"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-0.02</w:t>
            </w:r>
            <w:r w:rsidRPr="00943DFA">
              <w:rPr>
                <w:rFonts w:eastAsia="Times New Roman"/>
                <w:color w:val="0D0D0D" w:themeColor="text1" w:themeTint="F2"/>
                <w:sz w:val="16"/>
                <w:szCs w:val="16"/>
              </w:rPr>
              <w:br/>
              <w:t>(0.72)</w:t>
            </w:r>
          </w:p>
        </w:tc>
        <w:tc>
          <w:tcPr>
            <w:tcW w:w="736" w:type="dxa"/>
            <w:tcBorders>
              <w:top w:val="nil"/>
              <w:left w:val="nil"/>
              <w:bottom w:val="single" w:sz="4" w:space="0" w:color="auto"/>
              <w:right w:val="nil"/>
            </w:tcBorders>
            <w:shd w:val="clear" w:color="000000" w:fill="FFFFFF"/>
            <w:vAlign w:val="center"/>
            <w:hideMark/>
          </w:tcPr>
          <w:p w14:paraId="006461B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-0.01</w:t>
            </w:r>
            <w:r w:rsidRPr="00943DFA">
              <w:rPr>
                <w:rFonts w:eastAsia="Times New Roman"/>
                <w:color w:val="0D0D0D" w:themeColor="text1" w:themeTint="F2"/>
                <w:sz w:val="16"/>
                <w:szCs w:val="16"/>
              </w:rPr>
              <w:br/>
              <w:t>(0.84)</w:t>
            </w:r>
          </w:p>
        </w:tc>
        <w:tc>
          <w:tcPr>
            <w:tcW w:w="603" w:type="dxa"/>
            <w:tcBorders>
              <w:top w:val="nil"/>
              <w:left w:val="nil"/>
              <w:bottom w:val="single" w:sz="4" w:space="0" w:color="auto"/>
              <w:right w:val="nil"/>
            </w:tcBorders>
            <w:shd w:val="clear" w:color="000000" w:fill="FFFFFF"/>
            <w:vAlign w:val="center"/>
            <w:hideMark/>
          </w:tcPr>
          <w:p w14:paraId="2604F46F"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0.04</w:t>
            </w:r>
            <w:r w:rsidRPr="00943DFA">
              <w:rPr>
                <w:rFonts w:eastAsia="Times New Roman"/>
                <w:color w:val="0D0D0D" w:themeColor="text1" w:themeTint="F2"/>
                <w:sz w:val="16"/>
                <w:szCs w:val="16"/>
              </w:rPr>
              <w:br/>
              <w:t>(0.49)</w:t>
            </w:r>
          </w:p>
        </w:tc>
        <w:tc>
          <w:tcPr>
            <w:tcW w:w="902" w:type="dxa"/>
            <w:tcBorders>
              <w:top w:val="nil"/>
              <w:left w:val="nil"/>
              <w:bottom w:val="single" w:sz="4" w:space="0" w:color="auto"/>
              <w:right w:val="nil"/>
            </w:tcBorders>
            <w:shd w:val="clear" w:color="000000" w:fill="FFFFFF"/>
            <w:vAlign w:val="center"/>
            <w:hideMark/>
          </w:tcPr>
          <w:p w14:paraId="27220917"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-0.09*</w:t>
            </w:r>
            <w:r w:rsidRPr="00943DFA">
              <w:rPr>
                <w:rFonts w:eastAsia="Times New Roman"/>
                <w:color w:val="0D0D0D" w:themeColor="text1" w:themeTint="F2"/>
                <w:sz w:val="16"/>
                <w:szCs w:val="16"/>
              </w:rPr>
              <w:br/>
              <w:t>(0.08)</w:t>
            </w:r>
          </w:p>
        </w:tc>
        <w:tc>
          <w:tcPr>
            <w:tcW w:w="851" w:type="dxa"/>
            <w:tcBorders>
              <w:top w:val="nil"/>
              <w:left w:val="nil"/>
              <w:bottom w:val="single" w:sz="4" w:space="0" w:color="auto"/>
              <w:right w:val="nil"/>
            </w:tcBorders>
            <w:shd w:val="clear" w:color="000000" w:fill="FFFFFF"/>
            <w:vAlign w:val="center"/>
            <w:hideMark/>
          </w:tcPr>
          <w:p w14:paraId="5FC37326"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(0.22)</w:t>
            </w:r>
          </w:p>
        </w:tc>
        <w:tc>
          <w:tcPr>
            <w:tcW w:w="708" w:type="dxa"/>
            <w:tcBorders>
              <w:top w:val="nil"/>
              <w:left w:val="nil"/>
              <w:bottom w:val="single" w:sz="4" w:space="0" w:color="auto"/>
              <w:right w:val="nil"/>
            </w:tcBorders>
            <w:shd w:val="clear" w:color="auto" w:fill="auto"/>
            <w:vAlign w:val="center"/>
            <w:hideMark/>
          </w:tcPr>
          <w:p w14:paraId="682550B2"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0.05</w:t>
            </w:r>
            <w:r w:rsidRPr="00943DFA">
              <w:rPr>
                <w:rFonts w:eastAsia="Times New Roman"/>
                <w:color w:val="0D0D0D" w:themeColor="text1" w:themeTint="F2"/>
                <w:sz w:val="16"/>
                <w:szCs w:val="16"/>
              </w:rPr>
              <w:br/>
              <w:t>(0.33)</w:t>
            </w:r>
          </w:p>
        </w:tc>
        <w:tc>
          <w:tcPr>
            <w:tcW w:w="603" w:type="dxa"/>
            <w:tcBorders>
              <w:top w:val="nil"/>
              <w:left w:val="nil"/>
              <w:bottom w:val="single" w:sz="4" w:space="0" w:color="auto"/>
              <w:right w:val="nil"/>
            </w:tcBorders>
            <w:shd w:val="clear" w:color="000000" w:fill="FFFFFF"/>
            <w:vAlign w:val="center"/>
            <w:hideMark/>
          </w:tcPr>
          <w:p w14:paraId="7A9598F9"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-0.06</w:t>
            </w:r>
            <w:r w:rsidRPr="00943DFA">
              <w:rPr>
                <w:rFonts w:eastAsia="Times New Roman"/>
                <w:color w:val="0D0D0D" w:themeColor="text1" w:themeTint="F2"/>
                <w:sz w:val="16"/>
                <w:szCs w:val="16"/>
              </w:rPr>
              <w:br/>
              <w:t>(0.25)</w:t>
            </w:r>
          </w:p>
        </w:tc>
        <w:tc>
          <w:tcPr>
            <w:tcW w:w="485" w:type="dxa"/>
            <w:tcBorders>
              <w:top w:val="nil"/>
              <w:left w:val="nil"/>
              <w:bottom w:val="single" w:sz="4" w:space="0" w:color="auto"/>
              <w:right w:val="nil"/>
            </w:tcBorders>
            <w:shd w:val="clear" w:color="000000" w:fill="FFFFFF"/>
            <w:vAlign w:val="center"/>
            <w:hideMark/>
          </w:tcPr>
          <w:p w14:paraId="581A8044" w14:textId="77777777" w:rsidR="006E2294" w:rsidRPr="00943DFA" w:rsidRDefault="006E2294" w:rsidP="00373B60">
            <w:pPr>
              <w:contextualSpacing/>
              <w:jc w:val="center"/>
              <w:rPr>
                <w:rFonts w:eastAsia="Times New Roman"/>
                <w:color w:val="0D0D0D" w:themeColor="text1" w:themeTint="F2"/>
                <w:sz w:val="16"/>
                <w:szCs w:val="16"/>
              </w:rPr>
            </w:pPr>
            <w:r w:rsidRPr="00943DFA">
              <w:rPr>
                <w:rFonts w:eastAsia="Times New Roman"/>
                <w:color w:val="0D0D0D" w:themeColor="text1" w:themeTint="F2"/>
                <w:sz w:val="16"/>
                <w:szCs w:val="16"/>
              </w:rPr>
              <w:t>1</w:t>
            </w:r>
          </w:p>
        </w:tc>
      </w:tr>
      <w:tr w:rsidR="00943DFA" w:rsidRPr="00943DFA" w14:paraId="55A44215" w14:textId="77777777" w:rsidTr="00373B60">
        <w:trPr>
          <w:trHeight w:val="409"/>
        </w:trPr>
        <w:tc>
          <w:tcPr>
            <w:tcW w:w="13562" w:type="dxa"/>
            <w:gridSpan w:val="15"/>
            <w:tcBorders>
              <w:top w:val="single" w:sz="4" w:space="0" w:color="auto"/>
              <w:left w:val="nil"/>
              <w:bottom w:val="single" w:sz="4" w:space="0" w:color="auto"/>
              <w:right w:val="nil"/>
            </w:tcBorders>
            <w:shd w:val="clear" w:color="000000" w:fill="FFFFFF"/>
            <w:vAlign w:val="bottom"/>
            <w:hideMark/>
          </w:tcPr>
          <w:p w14:paraId="1DDA2AAF" w14:textId="77777777" w:rsidR="00195130" w:rsidRPr="00943DFA" w:rsidRDefault="00195130" w:rsidP="00373B60">
            <w:pPr>
              <w:contextualSpacing/>
              <w:rPr>
                <w:rFonts w:eastAsia="Times New Roman"/>
                <w:color w:val="0D0D0D" w:themeColor="text1" w:themeTint="F2"/>
                <w:sz w:val="16"/>
                <w:szCs w:val="16"/>
              </w:rPr>
            </w:pPr>
            <w:r w:rsidRPr="00943DFA">
              <w:rPr>
                <w:rFonts w:eastAsia="Times New Roman"/>
                <w:color w:val="0D0D0D" w:themeColor="text1" w:themeTint="F2"/>
                <w:sz w:val="16"/>
                <w:szCs w:val="16"/>
              </w:rPr>
              <w:t xml:space="preserve">            This table presents the Pearson correlation matrix of the key variables employed in this study on the full sample of 909 IPOs between 2005 and 2017. All variables are defined in Appendix 1. Two-tailed p-values are reported in parentheses below correlation coefficients. . *, **, and *** denote significance at the 10%, 5%, and 1% levels, respectively.</w:t>
            </w:r>
          </w:p>
        </w:tc>
      </w:tr>
    </w:tbl>
    <w:p w14:paraId="1987F68C" w14:textId="77777777" w:rsidR="00195130" w:rsidRPr="00943DFA" w:rsidRDefault="00195130" w:rsidP="00195130">
      <w:pPr>
        <w:pStyle w:val="ListParagraph"/>
        <w:spacing w:before="240" w:after="240" w:line="360" w:lineRule="auto"/>
        <w:ind w:left="360"/>
        <w:contextualSpacing w:val="0"/>
        <w:jc w:val="center"/>
        <w:rPr>
          <w:b/>
          <w:color w:val="0D0D0D" w:themeColor="text1" w:themeTint="F2"/>
          <w:lang w:eastAsia="en-US"/>
        </w:rPr>
        <w:sectPr w:rsidR="00195130" w:rsidRPr="00943DFA" w:rsidSect="00373B60">
          <w:pgSz w:w="16838" w:h="11906" w:orient="landscape"/>
          <w:pgMar w:top="1276" w:right="1440" w:bottom="1440" w:left="1440" w:header="708" w:footer="708" w:gutter="0"/>
          <w:cols w:space="708"/>
          <w:docGrid w:linePitch="360"/>
        </w:sectPr>
      </w:pPr>
    </w:p>
    <w:p w14:paraId="100A2750" w14:textId="77777777" w:rsidR="00195130" w:rsidRPr="00943DFA" w:rsidRDefault="00195130" w:rsidP="00195130">
      <w:pPr>
        <w:pStyle w:val="ListParagraph"/>
        <w:numPr>
          <w:ilvl w:val="1"/>
          <w:numId w:val="38"/>
        </w:numPr>
        <w:spacing w:before="240" w:after="240" w:line="360" w:lineRule="auto"/>
        <w:ind w:left="900"/>
        <w:contextualSpacing w:val="0"/>
        <w:jc w:val="both"/>
        <w:outlineLvl w:val="1"/>
        <w:rPr>
          <w:b/>
          <w:color w:val="0D0D0D" w:themeColor="text1" w:themeTint="F2"/>
          <w:lang w:eastAsia="en-US"/>
        </w:rPr>
      </w:pPr>
      <w:bookmarkStart w:id="82" w:name="_Toc48203618"/>
      <w:bookmarkStart w:id="83" w:name="_Toc50713979"/>
      <w:bookmarkStart w:id="84" w:name="_Toc69749269"/>
      <w:r w:rsidRPr="00943DFA">
        <w:rPr>
          <w:b/>
          <w:color w:val="0D0D0D" w:themeColor="text1" w:themeTint="F2"/>
          <w:lang w:eastAsia="en-US"/>
        </w:rPr>
        <w:lastRenderedPageBreak/>
        <w:t>Multivariate analysis</w:t>
      </w:r>
      <w:bookmarkEnd w:id="82"/>
      <w:bookmarkEnd w:id="83"/>
      <w:bookmarkEnd w:id="84"/>
    </w:p>
    <w:p w14:paraId="7092E25B"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A series of multivariate analyses are conducted by estimating negative binomial regressions of the form expressed in Equation 3.4, in which dependent variable is one of four SEC review attributes including; </w:t>
      </w:r>
      <w:r w:rsidRPr="00943DFA">
        <w:rPr>
          <w:i/>
          <w:color w:val="0D0D0D" w:themeColor="text1" w:themeTint="F2"/>
          <w:lang w:eastAsia="en-US"/>
        </w:rPr>
        <w:t xml:space="preserve">Duration, #Letters, </w:t>
      </w:r>
      <w:r w:rsidRPr="00943DFA">
        <w:rPr>
          <w:color w:val="0D0D0D" w:themeColor="text1" w:themeTint="F2"/>
          <w:lang w:eastAsia="en-US"/>
        </w:rPr>
        <w:t>#</w:t>
      </w:r>
      <w:r w:rsidRPr="00943DFA">
        <w:rPr>
          <w:i/>
          <w:color w:val="0D0D0D" w:themeColor="text1" w:themeTint="F2"/>
          <w:lang w:eastAsia="en-US"/>
        </w:rPr>
        <w:t xml:space="preserve">Comments </w:t>
      </w:r>
      <w:r w:rsidRPr="00943DFA">
        <w:rPr>
          <w:color w:val="0D0D0D" w:themeColor="text1" w:themeTint="F2"/>
          <w:lang w:eastAsia="en-US"/>
        </w:rPr>
        <w:t xml:space="preserve">or </w:t>
      </w:r>
      <w:r w:rsidRPr="00943DFA">
        <w:rPr>
          <w:i/>
          <w:color w:val="0D0D0D" w:themeColor="text1" w:themeTint="F2"/>
          <w:lang w:eastAsia="en-US"/>
        </w:rPr>
        <w:t xml:space="preserve">#Themes, </w:t>
      </w:r>
      <w:r w:rsidRPr="00943DFA">
        <w:rPr>
          <w:color w:val="0D0D0D" w:themeColor="text1" w:themeTint="F2"/>
          <w:lang w:eastAsia="en-US"/>
        </w:rPr>
        <w:t xml:space="preserve">and independent variables are the aforementioned IPO firm’s characteristics. The results are presented in Table 3.8, whereby model (1), (2), (3), (4) employs </w:t>
      </w:r>
      <w:r w:rsidRPr="00943DFA">
        <w:rPr>
          <w:i/>
          <w:color w:val="0D0D0D" w:themeColor="text1" w:themeTint="F2"/>
          <w:lang w:eastAsia="en-US"/>
        </w:rPr>
        <w:t xml:space="preserve">Duration, #Letters, #Comments, #Themes </w:t>
      </w:r>
      <w:r w:rsidRPr="00943DFA">
        <w:rPr>
          <w:color w:val="0D0D0D" w:themeColor="text1" w:themeTint="F2"/>
          <w:lang w:eastAsia="en-US"/>
        </w:rPr>
        <w:t xml:space="preserve">as dependent variable, respectively. </w:t>
      </w:r>
    </w:p>
    <w:p w14:paraId="4E02A309"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The results show positive effects of </w:t>
      </w:r>
      <w:r w:rsidRPr="00943DFA">
        <w:rPr>
          <w:i/>
          <w:color w:val="0D0D0D" w:themeColor="text1" w:themeTint="F2"/>
          <w:lang w:eastAsia="en-US"/>
        </w:rPr>
        <w:t xml:space="preserve">Size </w:t>
      </w:r>
      <w:r w:rsidRPr="00943DFA">
        <w:rPr>
          <w:color w:val="0D0D0D" w:themeColor="text1" w:themeTint="F2"/>
          <w:lang w:eastAsia="en-US"/>
        </w:rPr>
        <w:t xml:space="preserve">on all four SEC review attributes, indicating that the SEC spend more time reviewing S-1 filings prepared by bigger IPO firms and also provide more letters, more comments and comment on a wider range of themes. The findings are in line with arguments that bigger firms attract more SEC scrutiny (Cassell et al., 2013; </w:t>
      </w:r>
      <w:r w:rsidRPr="00943DFA">
        <w:rPr>
          <w:rFonts w:eastAsia="Times New Roman"/>
          <w:color w:val="0D0D0D" w:themeColor="text1" w:themeTint="F2"/>
        </w:rPr>
        <w:fldChar w:fldCharType="begin" w:fldLock="1"/>
      </w:r>
      <w:r w:rsidRPr="00943DFA">
        <w:rPr>
          <w:rFonts w:eastAsia="Times New Roman"/>
          <w:color w:val="0D0D0D" w:themeColor="text1" w:themeTint="F2"/>
        </w:rPr>
        <w:instrText>ADDIN CSL_CITATION {"citationItems":[{"id":"ITEM-1","itemData":{"author":[{"dropping-particle":"","family":"Cassell","given":"Cory A","non-dropping-particle":"","parse-names":false,"suffix":""},{"dropping-particle":"","family":"Cunningham","given":"Lauren M","non-dropping-particle":"","parse-names":false,"suffix":""},{"dropping-particle":"","family":"Lisic","given":"L. L.","non-dropping-particle":"","parse-names":false,"suffix":""}],"container-title":"Review of Accounting Studies","id":"ITEM-1","issue":"1252-1276","issued":{"date-parts":[["2019"]]},"title":"The Consequences of Writing Not So Readable Responses to SEC Comment Letters","type":"article-journal","volume":"24"},"uris":["http://www.mendeley.com/documents/?uuid=38f86cdd-b6d2-4684-a4f2-c823de87a16e"]}],"mendeley":{"formattedCitation":"(Cory A Cassell et al., 2019)","manualFormatting":"Cassell et al., 2019; Cunningham &amp; Leidner, 2019; Eiler &amp; Kutcher, 2016; Ertimur &amp; Nondorf, 2006; Heese et al., 2017; Johnston &amp; Petacchi, 2017; Li &amp; Liu, 2017; Wang, 2016)","plainTextFormattedCitation":"(Cory A Cassell et al., 2019)","previouslyFormattedCitation":"(Cory A Cassell et al., 2019)"},"properties":{"noteIndex":0},"schema":"https://github.com/citation-style-language/schema/raw/master/csl-citation.json"}</w:instrText>
      </w:r>
      <w:r w:rsidRPr="00943DFA">
        <w:rPr>
          <w:rFonts w:eastAsia="Times New Roman"/>
          <w:color w:val="0D0D0D" w:themeColor="text1" w:themeTint="F2"/>
        </w:rPr>
        <w:fldChar w:fldCharType="separate"/>
      </w:r>
      <w:r w:rsidRPr="00943DFA">
        <w:rPr>
          <w:rFonts w:eastAsia="Times New Roman"/>
          <w:noProof/>
          <w:color w:val="0D0D0D" w:themeColor="text1" w:themeTint="F2"/>
        </w:rPr>
        <w:t>Cassell et al., 2019;</w:t>
      </w:r>
      <w:r w:rsidRPr="00943DFA">
        <w:rPr>
          <w:noProof/>
          <w:color w:val="0D0D0D" w:themeColor="text1" w:themeTint="F2"/>
        </w:rPr>
        <w:t xml:space="preserve"> </w:t>
      </w:r>
      <w:r w:rsidRPr="00943DFA">
        <w:rPr>
          <w:rFonts w:eastAsia="Times New Roman"/>
          <w:noProof/>
          <w:color w:val="0D0D0D" w:themeColor="text1" w:themeTint="F2"/>
        </w:rPr>
        <w:t xml:space="preserve">Cunningham &amp; Leidner, 2019; </w:t>
      </w:r>
      <w:r w:rsidRPr="00943DFA">
        <w:rPr>
          <w:noProof/>
          <w:color w:val="0D0D0D" w:themeColor="text1" w:themeTint="F2"/>
        </w:rPr>
        <w:t>Eiler &amp; Kutcher, 2016</w:t>
      </w:r>
      <w:r w:rsidRPr="00943DFA">
        <w:rPr>
          <w:rFonts w:eastAsia="Times New Roman"/>
          <w:noProof/>
          <w:color w:val="0D0D0D" w:themeColor="text1" w:themeTint="F2"/>
        </w:rPr>
        <w:t xml:space="preserve">; </w:t>
      </w:r>
      <w:r w:rsidRPr="00943DFA">
        <w:rPr>
          <w:rFonts w:eastAsia="Times New Roman"/>
          <w:noProof/>
          <w:color w:val="0D0D0D" w:themeColor="text1" w:themeTint="F2"/>
        </w:rPr>
        <w:fldChar w:fldCharType="begin" w:fldLock="1"/>
      </w:r>
      <w:r w:rsidRPr="00943DFA">
        <w:rPr>
          <w:rFonts w:eastAsia="Times New Roman"/>
          <w:noProof/>
          <w:color w:val="0D0D0D" w:themeColor="text1" w:themeTint="F2"/>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 Duke University","id":"ITEM-1","issued":{"date-parts":[["2006"]]},"note":"3","title":"IPO Firms and the SEC Comment Letter Process","type":"report"},"uris":["http://www.mendeley.com/documents/?uuid=01b61a32-44a8-4cff-b503-d4d5cb89a0fb"]}],"mendeley":{"formattedCitation":"(Ertimur &amp; Nondorf, 2006a)","manualFormatting":"Ertimur &amp; Nondorf, 2006","plainTextFormattedCitation":"(Ertimur &amp; Nondorf, 2006a)","previouslyFormattedCitation":"(Ertimur &amp; Nondorf, 2006a)"},"properties":{"noteIndex":0},"schema":"https://github.com/citation-style-language/schema/raw/master/csl-citation.json"}</w:instrText>
      </w:r>
      <w:r w:rsidRPr="00943DFA">
        <w:rPr>
          <w:rFonts w:eastAsia="Times New Roman"/>
          <w:noProof/>
          <w:color w:val="0D0D0D" w:themeColor="text1" w:themeTint="F2"/>
        </w:rPr>
        <w:fldChar w:fldCharType="separate"/>
      </w:r>
      <w:r w:rsidRPr="00943DFA">
        <w:rPr>
          <w:rFonts w:eastAsia="Times New Roman"/>
          <w:noProof/>
          <w:color w:val="0D0D0D" w:themeColor="text1" w:themeTint="F2"/>
        </w:rPr>
        <w:t>Ertimur &amp; Nondorf, 2006</w:t>
      </w:r>
      <w:r w:rsidRPr="00943DFA">
        <w:rPr>
          <w:rFonts w:eastAsia="Times New Roman"/>
          <w:noProof/>
          <w:color w:val="0D0D0D" w:themeColor="text1" w:themeTint="F2"/>
        </w:rPr>
        <w:fldChar w:fldCharType="end"/>
      </w:r>
      <w:r w:rsidRPr="00943DFA">
        <w:rPr>
          <w:rFonts w:eastAsia="Times New Roman"/>
          <w:noProof/>
          <w:color w:val="0D0D0D" w:themeColor="text1" w:themeTint="F2"/>
        </w:rPr>
        <w:t>; Heese et al., 2017; Johnston &amp; Petacchi, 2017; Li &amp; Liu, 2017; Wang, 2016)</w:t>
      </w:r>
      <w:r w:rsidRPr="00943DFA">
        <w:rPr>
          <w:rFonts w:eastAsia="Times New Roman"/>
          <w:color w:val="0D0D0D" w:themeColor="text1" w:themeTint="F2"/>
        </w:rPr>
        <w:fldChar w:fldCharType="end"/>
      </w:r>
      <w:r w:rsidRPr="00943DFA">
        <w:rPr>
          <w:rFonts w:eastAsia="Times New Roman"/>
          <w:color w:val="0D0D0D" w:themeColor="text1" w:themeTint="F2"/>
        </w:rPr>
        <w:t xml:space="preserve"> as they </w:t>
      </w:r>
      <w:r w:rsidRPr="00943DFA">
        <w:rPr>
          <w:color w:val="0D0D0D" w:themeColor="text1" w:themeTint="F2"/>
          <w:lang w:eastAsia="en-US"/>
        </w:rPr>
        <w:t>are likely to be more complicated</w:t>
      </w:r>
      <w:r w:rsidRPr="00943DFA">
        <w:rPr>
          <w:rFonts w:eastAsia="Times New Roman"/>
          <w:color w:val="0D0D0D" w:themeColor="text1" w:themeTint="F2"/>
        </w:rPr>
        <w:t xml:space="preserve"> (Boone et al., 2013; Chaplinsky et al., 2017) and have informational breaches (Correia, 2014)</w:t>
      </w:r>
      <w:r w:rsidRPr="00943DFA">
        <w:rPr>
          <w:color w:val="0D0D0D" w:themeColor="text1" w:themeTint="F2"/>
          <w:lang w:eastAsia="en-US"/>
        </w:rPr>
        <w:t xml:space="preserve">. </w:t>
      </w:r>
    </w:p>
    <w:p w14:paraId="5635725A" w14:textId="77777777" w:rsidR="00195130" w:rsidRPr="00943DFA" w:rsidRDefault="00195130" w:rsidP="00195130">
      <w:pPr>
        <w:spacing w:before="240" w:after="240" w:line="360" w:lineRule="auto"/>
        <w:jc w:val="both"/>
        <w:rPr>
          <w:color w:val="0D0D0D" w:themeColor="text1" w:themeTint="F2"/>
          <w:lang w:eastAsia="en-US"/>
        </w:rPr>
      </w:pPr>
      <w:r w:rsidRPr="00943DFA">
        <w:rPr>
          <w:rFonts w:eastAsiaTheme="minorEastAsia"/>
          <w:color w:val="0D0D0D" w:themeColor="text1" w:themeTint="F2"/>
        </w:rPr>
        <w:t xml:space="preserve">The results also reveal positive effects of </w:t>
      </w:r>
      <w:r w:rsidRPr="00943DFA">
        <w:rPr>
          <w:rFonts w:eastAsiaTheme="minorEastAsia"/>
          <w:i/>
          <w:color w:val="0D0D0D" w:themeColor="text1" w:themeTint="F2"/>
        </w:rPr>
        <w:t xml:space="preserve">Age </w:t>
      </w:r>
      <w:r w:rsidRPr="00943DFA">
        <w:rPr>
          <w:rFonts w:eastAsiaTheme="minorEastAsia"/>
          <w:color w:val="0D0D0D" w:themeColor="text1" w:themeTint="F2"/>
        </w:rPr>
        <w:t xml:space="preserve">on </w:t>
      </w:r>
      <w:r w:rsidRPr="00943DFA">
        <w:rPr>
          <w:rFonts w:eastAsiaTheme="minorEastAsia"/>
          <w:i/>
          <w:color w:val="0D0D0D" w:themeColor="text1" w:themeTint="F2"/>
        </w:rPr>
        <w:t xml:space="preserve">Duration </w:t>
      </w:r>
      <w:r w:rsidRPr="00943DFA">
        <w:rPr>
          <w:rFonts w:eastAsiaTheme="minorEastAsia"/>
          <w:color w:val="0D0D0D" w:themeColor="text1" w:themeTint="F2"/>
        </w:rPr>
        <w:t xml:space="preserve">and </w:t>
      </w:r>
      <w:r w:rsidRPr="00943DFA">
        <w:rPr>
          <w:rFonts w:eastAsiaTheme="minorEastAsia"/>
          <w:i/>
          <w:color w:val="0D0D0D" w:themeColor="text1" w:themeTint="F2"/>
        </w:rPr>
        <w:t xml:space="preserve">#Letters, </w:t>
      </w:r>
      <w:r w:rsidRPr="00943DFA">
        <w:rPr>
          <w:rFonts w:eastAsiaTheme="minorEastAsia"/>
          <w:color w:val="0D0D0D" w:themeColor="text1" w:themeTint="F2"/>
        </w:rPr>
        <w:t xml:space="preserve">indicating that the </w:t>
      </w:r>
      <w:r w:rsidRPr="00943DFA">
        <w:rPr>
          <w:color w:val="0D0D0D" w:themeColor="text1" w:themeTint="F2"/>
          <w:lang w:eastAsia="en-US"/>
        </w:rPr>
        <w:t xml:space="preserve">SEC spend more time and provide more comment letters when reviewing older firms. The findings are in agreement with the conjecture that older firms, who might be more complicated and diversified </w:t>
      </w:r>
      <w:r w:rsidRPr="00943DFA">
        <w:rPr>
          <w:rFonts w:eastAsia="Times New Roman"/>
          <w:color w:val="0D0D0D" w:themeColor="text1" w:themeTint="F2"/>
        </w:rPr>
        <w:t>(Chaplinsky et al., 2017; Doyle et al., 2007)</w:t>
      </w:r>
      <w:r w:rsidRPr="00943DFA">
        <w:rPr>
          <w:color w:val="0D0D0D" w:themeColor="text1" w:themeTint="F2"/>
          <w:lang w:eastAsia="en-US"/>
        </w:rPr>
        <w:t xml:space="preserve">, experience more extensive SEC reviews </w:t>
      </w:r>
      <w:r w:rsidRPr="00943DFA">
        <w:rPr>
          <w:rFonts w:eastAsia="Times New Roman"/>
          <w:color w:val="0D0D0D" w:themeColor="text1" w:themeTint="F2"/>
        </w:rPr>
        <w:t xml:space="preserve">(Baugh et al., 2017; Cassell et al., 2013; Chen &amp; Johnston, 2010; </w:t>
      </w:r>
      <w:proofErr w:type="spellStart"/>
      <w:r w:rsidRPr="00943DFA">
        <w:rPr>
          <w:rFonts w:eastAsia="Times New Roman"/>
          <w:color w:val="0D0D0D" w:themeColor="text1" w:themeTint="F2"/>
        </w:rPr>
        <w:t>Colaco</w:t>
      </w:r>
      <w:proofErr w:type="spellEnd"/>
      <w:r w:rsidRPr="00943DFA">
        <w:rPr>
          <w:rFonts w:eastAsia="Times New Roman"/>
          <w:color w:val="0D0D0D" w:themeColor="text1" w:themeTint="F2"/>
        </w:rPr>
        <w:t xml:space="preserve"> et al., 2018; </w:t>
      </w:r>
      <w:proofErr w:type="spellStart"/>
      <w:r w:rsidRPr="00943DFA">
        <w:rPr>
          <w:rFonts w:eastAsia="Times New Roman"/>
          <w:color w:val="0D0D0D" w:themeColor="text1" w:themeTint="F2"/>
        </w:rPr>
        <w:t>Heese</w:t>
      </w:r>
      <w:proofErr w:type="spellEnd"/>
      <w:r w:rsidRPr="00943DFA">
        <w:rPr>
          <w:rFonts w:eastAsia="Times New Roman"/>
          <w:color w:val="0D0D0D" w:themeColor="text1" w:themeTint="F2"/>
        </w:rPr>
        <w:t xml:space="preserve"> et al., 2017; Johnston &amp; </w:t>
      </w:r>
      <w:proofErr w:type="spellStart"/>
      <w:r w:rsidRPr="00943DFA">
        <w:rPr>
          <w:rFonts w:eastAsia="Times New Roman"/>
          <w:color w:val="0D0D0D" w:themeColor="text1" w:themeTint="F2"/>
        </w:rPr>
        <w:t>Petacchi</w:t>
      </w:r>
      <w:proofErr w:type="spellEnd"/>
      <w:r w:rsidRPr="00943DFA">
        <w:rPr>
          <w:rFonts w:eastAsia="Times New Roman"/>
          <w:color w:val="0D0D0D" w:themeColor="text1" w:themeTint="F2"/>
        </w:rPr>
        <w:t>, 2017)</w:t>
      </w:r>
      <w:r w:rsidRPr="00943DFA">
        <w:rPr>
          <w:color w:val="0D0D0D" w:themeColor="text1" w:themeTint="F2"/>
          <w:lang w:eastAsia="en-US"/>
        </w:rPr>
        <w:t xml:space="preserve">. </w:t>
      </w:r>
    </w:p>
    <w:p w14:paraId="5B70B79E"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Regarding business complexity, this study identifies a negative relationship between </w:t>
      </w:r>
      <w:r w:rsidRPr="00943DFA">
        <w:rPr>
          <w:i/>
          <w:color w:val="0D0D0D" w:themeColor="text1" w:themeTint="F2"/>
          <w:lang w:eastAsia="en-US"/>
        </w:rPr>
        <w:t xml:space="preserve">Duration </w:t>
      </w:r>
      <w:r w:rsidRPr="00943DFA">
        <w:rPr>
          <w:color w:val="0D0D0D" w:themeColor="text1" w:themeTint="F2"/>
          <w:lang w:eastAsia="en-US"/>
        </w:rPr>
        <w:t xml:space="preserve">and </w:t>
      </w:r>
      <w:r w:rsidRPr="00943DFA">
        <w:rPr>
          <w:i/>
          <w:color w:val="0D0D0D" w:themeColor="text1" w:themeTint="F2"/>
          <w:lang w:eastAsia="en-US"/>
        </w:rPr>
        <w:t xml:space="preserve">Sales growth, </w:t>
      </w:r>
      <w:r w:rsidRPr="00943DFA">
        <w:rPr>
          <w:color w:val="0D0D0D" w:themeColor="text1" w:themeTint="F2"/>
          <w:lang w:eastAsia="en-US"/>
        </w:rPr>
        <w:t xml:space="preserve">indicating that the SEC spend more time reviewing S-1 filings prepared by firms with lower sales growth. Although inconsistent with prior expectations, these findings are not surprising given that, under the JOBS Act, </w:t>
      </w:r>
      <w:r w:rsidRPr="00943DFA">
        <w:rPr>
          <w:color w:val="0D0D0D" w:themeColor="text1" w:themeTint="F2"/>
        </w:rPr>
        <w:t>the SEC may raise more concerns about IPO firms’ incentives to manage sales downwards in order to be eligible for EGC status under the Act.</w:t>
      </w:r>
      <w:r w:rsidRPr="00943DFA">
        <w:rPr>
          <w:rStyle w:val="FootnoteReference"/>
          <w:color w:val="0D0D0D" w:themeColor="text1" w:themeTint="F2"/>
        </w:rPr>
        <w:footnoteReference w:id="20"/>
      </w:r>
      <w:r w:rsidRPr="00943DFA">
        <w:rPr>
          <w:color w:val="0D0D0D" w:themeColor="text1" w:themeTint="F2"/>
          <w:lang w:eastAsia="en-US"/>
        </w:rPr>
        <w:t xml:space="preserve"> Cassell et al. (2013) also identify that as compared with firms not receiving any comment letter, firms receiving comment letters have lower sales growth. </w:t>
      </w:r>
    </w:p>
    <w:p w14:paraId="0E4108D6" w14:textId="77777777" w:rsidR="00195130" w:rsidRPr="00943DFA" w:rsidRDefault="00195130" w:rsidP="00195130">
      <w:pPr>
        <w:spacing w:before="240" w:after="240" w:line="360" w:lineRule="auto"/>
        <w:jc w:val="both"/>
        <w:rPr>
          <w:color w:val="0D0D0D" w:themeColor="text1" w:themeTint="F2"/>
          <w:szCs w:val="22"/>
        </w:rPr>
      </w:pPr>
      <w:r w:rsidRPr="00943DFA">
        <w:rPr>
          <w:color w:val="0D0D0D" w:themeColor="text1" w:themeTint="F2"/>
          <w:lang w:eastAsia="en-US"/>
        </w:rPr>
        <w:lastRenderedPageBreak/>
        <w:t xml:space="preserve">A positive relationship between </w:t>
      </w:r>
      <w:r w:rsidRPr="00943DFA">
        <w:rPr>
          <w:i/>
          <w:color w:val="0D0D0D" w:themeColor="text1" w:themeTint="F2"/>
          <w:lang w:eastAsia="en-US"/>
        </w:rPr>
        <w:t xml:space="preserve">Segments </w:t>
      </w:r>
      <w:r w:rsidRPr="00943DFA">
        <w:rPr>
          <w:color w:val="0D0D0D" w:themeColor="text1" w:themeTint="F2"/>
          <w:lang w:eastAsia="en-US"/>
        </w:rPr>
        <w:t xml:space="preserve">and </w:t>
      </w:r>
      <w:r w:rsidRPr="00943DFA">
        <w:rPr>
          <w:i/>
          <w:color w:val="0D0D0D" w:themeColor="text1" w:themeTint="F2"/>
          <w:lang w:eastAsia="en-US"/>
        </w:rPr>
        <w:t>#Themes</w:t>
      </w:r>
      <w:r w:rsidRPr="00943DFA">
        <w:rPr>
          <w:iCs/>
          <w:color w:val="0D0D0D" w:themeColor="text1" w:themeTint="F2"/>
          <w:lang w:eastAsia="en-US"/>
        </w:rPr>
        <w:t xml:space="preserve"> is also observed</w:t>
      </w:r>
      <w:r w:rsidRPr="00943DFA">
        <w:rPr>
          <w:i/>
          <w:color w:val="0D0D0D" w:themeColor="text1" w:themeTint="F2"/>
          <w:lang w:eastAsia="en-US"/>
        </w:rPr>
        <w:t xml:space="preserve">, </w:t>
      </w:r>
      <w:r w:rsidRPr="00943DFA">
        <w:rPr>
          <w:color w:val="0D0D0D" w:themeColor="text1" w:themeTint="F2"/>
          <w:lang w:eastAsia="en-US"/>
        </w:rPr>
        <w:t xml:space="preserve">suggesting that the SEC tend to comment on a wider range of themes when reviewing IPO firms with more business segments. The finding is consistent with the argument that </w:t>
      </w:r>
      <w:r w:rsidRPr="00943DFA">
        <w:rPr>
          <w:color w:val="0D0D0D" w:themeColor="text1" w:themeTint="F2"/>
        </w:rPr>
        <w:t xml:space="preserve">firms with more segments have more complexity in their business, and thus attract more SEC scrutiny (Cassell et al., 2013). Additionally, it is identified that </w:t>
      </w:r>
      <w:r w:rsidRPr="00943DFA">
        <w:rPr>
          <w:i/>
          <w:color w:val="0D0D0D" w:themeColor="text1" w:themeTint="F2"/>
        </w:rPr>
        <w:t xml:space="preserve">M&amp;A </w:t>
      </w:r>
      <w:r w:rsidRPr="00943DFA">
        <w:rPr>
          <w:color w:val="0D0D0D" w:themeColor="text1" w:themeTint="F2"/>
        </w:rPr>
        <w:t xml:space="preserve">is positively associated with </w:t>
      </w:r>
      <w:r w:rsidRPr="00943DFA">
        <w:rPr>
          <w:i/>
          <w:color w:val="0D0D0D" w:themeColor="text1" w:themeTint="F2"/>
        </w:rPr>
        <w:t xml:space="preserve">#Comments </w:t>
      </w:r>
      <w:r w:rsidRPr="00943DFA">
        <w:rPr>
          <w:color w:val="0D0D0D" w:themeColor="text1" w:themeTint="F2"/>
        </w:rPr>
        <w:t xml:space="preserve">and </w:t>
      </w:r>
      <w:r w:rsidRPr="00943DFA">
        <w:rPr>
          <w:i/>
          <w:color w:val="0D0D0D" w:themeColor="text1" w:themeTint="F2"/>
        </w:rPr>
        <w:t xml:space="preserve">#Themes, </w:t>
      </w:r>
      <w:r w:rsidRPr="00943DFA">
        <w:rPr>
          <w:color w:val="0D0D0D" w:themeColor="text1" w:themeTint="F2"/>
        </w:rPr>
        <w:t xml:space="preserve">indicating that the SEC tend to issue more comments and comment on a wider of themes for IPO firms conducting merger and acquisitions activity. The findings are in line with the conjecture that company complexity is higher for firms conducting M&amp;A activities who therefore </w:t>
      </w:r>
      <w:r w:rsidRPr="00943DFA">
        <w:rPr>
          <w:color w:val="0D0D0D" w:themeColor="text1" w:themeTint="F2"/>
          <w:szCs w:val="22"/>
        </w:rPr>
        <w:t xml:space="preserve">attract more SEC scrutiny </w:t>
      </w:r>
      <w:r w:rsidRPr="00943DFA">
        <w:rPr>
          <w:color w:val="0D0D0D" w:themeColor="text1" w:themeTint="F2"/>
          <w:szCs w:val="22"/>
        </w:rPr>
        <w:fldChar w:fldCharType="begin" w:fldLock="1"/>
      </w:r>
      <w:r w:rsidRPr="00943DFA">
        <w:rPr>
          <w:color w:val="0D0D0D" w:themeColor="text1" w:themeTint="F2"/>
          <w:szCs w:val="22"/>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 A. Cassell et al., 2013; Heese et al., 2017)","manualFormatting":"(Baugh et al., 2017; Cassell et al., 2013; Duro et al., 2017; Heese et al., 2017)","plainTextFormattedCitation":"(C. A. Cassell et al., 2013; Heese et al., 2017)","previouslyFormattedCitation":"(C. A. Cassell et al., 2013; Heese et al., 2017)"},"properties":{"noteIndex":0},"schema":"https://github.com/citation-style-language/schema/raw/master/csl-citation.json"}</w:instrText>
      </w:r>
      <w:r w:rsidRPr="00943DFA">
        <w:rPr>
          <w:color w:val="0D0D0D" w:themeColor="text1" w:themeTint="F2"/>
          <w:szCs w:val="22"/>
        </w:rPr>
        <w:fldChar w:fldCharType="separate"/>
      </w:r>
      <w:r w:rsidRPr="00943DFA">
        <w:rPr>
          <w:noProof/>
          <w:color w:val="0D0D0D" w:themeColor="text1" w:themeTint="F2"/>
          <w:szCs w:val="22"/>
        </w:rPr>
        <w:t xml:space="preserve">(Baugh et al., 2017; Cassell et al., 2013; </w:t>
      </w:r>
      <w:r w:rsidRPr="00943DFA">
        <w:rPr>
          <w:noProof/>
          <w:color w:val="0D0D0D" w:themeColor="text1" w:themeTint="F2"/>
          <w:lang w:eastAsia="en-US"/>
        </w:rPr>
        <w:t xml:space="preserve">Duro et al., 2017; </w:t>
      </w:r>
      <w:r w:rsidRPr="00943DFA">
        <w:rPr>
          <w:noProof/>
          <w:color w:val="0D0D0D" w:themeColor="text1" w:themeTint="F2"/>
          <w:szCs w:val="22"/>
        </w:rPr>
        <w:t>Heese et al., 2017)</w:t>
      </w:r>
      <w:r w:rsidRPr="00943DFA">
        <w:rPr>
          <w:color w:val="0D0D0D" w:themeColor="text1" w:themeTint="F2"/>
          <w:szCs w:val="22"/>
        </w:rPr>
        <w:fldChar w:fldCharType="end"/>
      </w:r>
      <w:r w:rsidRPr="00943DFA">
        <w:rPr>
          <w:color w:val="0D0D0D" w:themeColor="text1" w:themeTint="F2"/>
          <w:szCs w:val="22"/>
        </w:rPr>
        <w:t xml:space="preserve">. </w:t>
      </w:r>
    </w:p>
    <w:p w14:paraId="6FFCA473"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szCs w:val="22"/>
        </w:rPr>
        <w:t>In terms of financial health, n</w:t>
      </w:r>
      <w:r w:rsidRPr="00943DFA">
        <w:rPr>
          <w:color w:val="0D0D0D" w:themeColor="text1" w:themeTint="F2"/>
        </w:rPr>
        <w:t xml:space="preserve">egative relationships between </w:t>
      </w:r>
      <w:r w:rsidRPr="00943DFA">
        <w:rPr>
          <w:i/>
          <w:color w:val="0D0D0D" w:themeColor="text1" w:themeTint="F2"/>
        </w:rPr>
        <w:t xml:space="preserve">Z-score </w:t>
      </w:r>
      <w:r w:rsidRPr="00943DFA">
        <w:rPr>
          <w:color w:val="0D0D0D" w:themeColor="text1" w:themeTint="F2"/>
        </w:rPr>
        <w:t xml:space="preserve">and all four SEC review attributes are also identified, indicating that the SEC are likely to spend more time, provide more comment letters, more comments and comment on a wider range of themes when reviewing S-1 filings prepared by IPO firms having a higher probability of bankruptcy. The findings are in agreement with the expectation that </w:t>
      </w:r>
      <w:r w:rsidRPr="00943DFA">
        <w:rPr>
          <w:color w:val="0D0D0D" w:themeColor="text1" w:themeTint="F2"/>
          <w:lang w:eastAsia="en-US"/>
        </w:rPr>
        <w:t xml:space="preserve">financially-distressed firms, who are more likely to be noncompliant with reporting regulation (Begley et al., 1996; </w:t>
      </w:r>
      <w:proofErr w:type="spellStart"/>
      <w:r w:rsidRPr="00943DFA">
        <w:rPr>
          <w:color w:val="0D0D0D" w:themeColor="text1" w:themeTint="F2"/>
          <w:lang w:eastAsia="en-US"/>
        </w:rPr>
        <w:t>Brazel</w:t>
      </w:r>
      <w:proofErr w:type="spellEnd"/>
      <w:r w:rsidRPr="00943DFA">
        <w:rPr>
          <w:color w:val="0D0D0D" w:themeColor="text1" w:themeTint="F2"/>
          <w:lang w:eastAsia="en-US"/>
        </w:rPr>
        <w:t xml:space="preserve"> et al., 2009; </w:t>
      </w:r>
      <w:proofErr w:type="spellStart"/>
      <w:r w:rsidRPr="00943DFA">
        <w:rPr>
          <w:color w:val="0D0D0D" w:themeColor="text1" w:themeTint="F2"/>
          <w:lang w:eastAsia="en-US"/>
        </w:rPr>
        <w:t>Dechow</w:t>
      </w:r>
      <w:proofErr w:type="spellEnd"/>
      <w:r w:rsidRPr="00943DFA">
        <w:rPr>
          <w:color w:val="0D0D0D" w:themeColor="text1" w:themeTint="F2"/>
          <w:lang w:eastAsia="en-US"/>
        </w:rPr>
        <w:t xml:space="preserve"> et al. 1996; </w:t>
      </w:r>
      <w:proofErr w:type="spellStart"/>
      <w:r w:rsidRPr="00943DFA">
        <w:rPr>
          <w:color w:val="0D0D0D" w:themeColor="text1" w:themeTint="F2"/>
          <w:lang w:eastAsia="en-US"/>
        </w:rPr>
        <w:t>Ettredge</w:t>
      </w:r>
      <w:proofErr w:type="spellEnd"/>
      <w:r w:rsidRPr="00943DFA">
        <w:rPr>
          <w:color w:val="0D0D0D" w:themeColor="text1" w:themeTint="F2"/>
          <w:lang w:eastAsia="en-US"/>
        </w:rPr>
        <w:t xml:space="preserve"> et al., 2011; Schwartz &amp; Soo, 1995), experience more extensive SEC reviews (Cassell et al., 2013</w:t>
      </w:r>
      <w:r w:rsidRPr="00943DFA">
        <w:rPr>
          <w:color w:val="0D0D0D" w:themeColor="text1" w:themeTint="F2"/>
        </w:rPr>
        <w:t xml:space="preserve">). </w:t>
      </w:r>
    </w:p>
    <w:p w14:paraId="4A3DBE25"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szCs w:val="22"/>
        </w:rPr>
        <w:t xml:space="preserve">A positive coefficient on  </w:t>
      </w:r>
      <w:r w:rsidRPr="00943DFA">
        <w:rPr>
          <w:i/>
          <w:color w:val="0D0D0D" w:themeColor="text1" w:themeTint="F2"/>
          <w:szCs w:val="22"/>
        </w:rPr>
        <w:t>Positive earnings</w:t>
      </w:r>
      <w:r w:rsidRPr="00943DFA">
        <w:rPr>
          <w:color w:val="0D0D0D" w:themeColor="text1" w:themeTint="F2"/>
          <w:szCs w:val="22"/>
        </w:rPr>
        <w:t xml:space="preserve"> is observed in the </w:t>
      </w:r>
      <w:r w:rsidRPr="00943DFA">
        <w:rPr>
          <w:i/>
          <w:color w:val="0D0D0D" w:themeColor="text1" w:themeTint="F2"/>
          <w:szCs w:val="22"/>
        </w:rPr>
        <w:t xml:space="preserve">Duration </w:t>
      </w:r>
      <w:r w:rsidRPr="00943DFA">
        <w:rPr>
          <w:color w:val="0D0D0D" w:themeColor="text1" w:themeTint="F2"/>
          <w:szCs w:val="22"/>
        </w:rPr>
        <w:t>regression</w:t>
      </w:r>
      <w:r w:rsidRPr="00943DFA">
        <w:rPr>
          <w:i/>
          <w:color w:val="0D0D0D" w:themeColor="text1" w:themeTint="F2"/>
          <w:szCs w:val="22"/>
        </w:rPr>
        <w:t xml:space="preserve">, </w:t>
      </w:r>
      <w:r w:rsidRPr="00943DFA">
        <w:rPr>
          <w:color w:val="0D0D0D" w:themeColor="text1" w:themeTint="F2"/>
          <w:szCs w:val="22"/>
        </w:rPr>
        <w:t xml:space="preserve">suggesting that the </w:t>
      </w:r>
      <w:r w:rsidRPr="00943DFA">
        <w:rPr>
          <w:color w:val="0D0D0D" w:themeColor="text1" w:themeTint="F2"/>
          <w:lang w:eastAsia="en-US"/>
        </w:rPr>
        <w:t xml:space="preserve">SEC spend more time reviewing profitable firms, in line with the argument that </w:t>
      </w:r>
      <w:r w:rsidRPr="00943DFA">
        <w:rPr>
          <w:color w:val="0D0D0D" w:themeColor="text1" w:themeTint="F2"/>
        </w:rPr>
        <w:t xml:space="preserve">SEC reviews are more extensive for firms reporting profits (Baugh et al., 2017; Wang, 2016) as they might be indicative of misleading accounting information, since there are strong incentives for IPO firms to report positive earnings to attract investors </w:t>
      </w:r>
      <w:r w:rsidRPr="00943DFA">
        <w:rPr>
          <w:color w:val="0D0D0D" w:themeColor="text1" w:themeTint="F2"/>
        </w:rPr>
        <w:fldChar w:fldCharType="begin" w:fldLock="1"/>
      </w:r>
      <w:r w:rsidRPr="00943DFA">
        <w:rPr>
          <w:color w:val="0D0D0D" w:themeColor="text1" w:themeTint="F2"/>
        </w:rPr>
        <w:instrText>ADDIN CSL_CITATION {"citationItems":[{"id":"ITEM-1","itemData":{"ISBN":"1540-6261","ISSN":"00221082","PMID":"1311802","abstract":"Issuers of initial public offerings (IPOs) can report earnings in excess of cash flows by taking positive accruals. This paper provides evidence that issuers with unusu- ally high accruals in the IPO year experience poor stock return performance in the three years thereafter. IPO issuers in the most “aggressive” quartile of earnings managers have a three-year aftermarket stock return of approximately 20 percent less than IPO issuers in the most “conservative” quartile. They also issue about 20 percent fewer seasoned equity offerings. These differences are statistically and economically significant in a variety of specifications.","author":[{"dropping-particle":"","family":"Teoh","given":"Siew Hong","non-dropping-particle":"","parse-names":false,"suffix":""},{"dropping-particle":"","family":"Welch","given":"Ivo","non-dropping-particle":"","parse-names":false,"suffix":""},{"dropping-particle":"","family":"Wong","given":"T.J.","non-dropping-particle":"","parse-names":false,"suffix":""}],"container-title":"The Journal of Finance","id":"ITEM-1","issue":"6","issued":{"date-parts":[["1998"]]},"note":"4*","page":"1935-1974","title":"Earnings management and the long-run market performance of Initial Public Offerings","type":"article-journal","volume":"53"},"uris":["http://www.mendeley.com/documents/?uuid=df119c60-80fa-4e3c-9236-cb84a3060fd4"]}],"mendeley":{"formattedCitation":"(Siew Hong Teoh et al., 1998b)","manualFormatting":"(Teoh et al., 1998a)","plainTextFormattedCitation":"(Siew Hong Teoh et al., 1998b)","previouslyFormattedCitation":"(Siew Hong Teoh et al., 1998b)"},"properties":{"noteIndex":0},"schema":"https://github.com/citation-style-language/schema/raw/master/csl-citation.json"}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(Teoh et al., 1998a)</w:t>
      </w:r>
      <w:r w:rsidRPr="00943DFA">
        <w:rPr>
          <w:color w:val="0D0D0D" w:themeColor="text1" w:themeTint="F2"/>
        </w:rPr>
        <w:fldChar w:fldCharType="end"/>
      </w:r>
      <w:r w:rsidRPr="00943DFA">
        <w:rPr>
          <w:color w:val="0D0D0D" w:themeColor="text1" w:themeTint="F2"/>
        </w:rPr>
        <w:t xml:space="preserve">. </w:t>
      </w:r>
    </w:p>
    <w:p w14:paraId="3DB480B6" w14:textId="77777777" w:rsidR="00195130" w:rsidRPr="00943DFA" w:rsidRDefault="00195130" w:rsidP="00195130">
      <w:pPr>
        <w:spacing w:before="240" w:after="240" w:line="360" w:lineRule="auto"/>
        <w:jc w:val="both"/>
        <w:rPr>
          <w:rFonts w:eastAsiaTheme="minorEastAsia"/>
          <w:color w:val="0D0D0D" w:themeColor="text1" w:themeTint="F2"/>
        </w:rPr>
      </w:pPr>
      <w:r w:rsidRPr="00943DFA">
        <w:rPr>
          <w:color w:val="0D0D0D" w:themeColor="text1" w:themeTint="F2"/>
        </w:rPr>
        <w:t xml:space="preserve">A </w:t>
      </w:r>
      <w:r w:rsidRPr="00943DFA">
        <w:rPr>
          <w:color w:val="0D0D0D" w:themeColor="text1" w:themeTint="F2"/>
          <w:lang w:eastAsia="en-US"/>
        </w:rPr>
        <w:t xml:space="preserve">negative relationship between </w:t>
      </w:r>
      <w:r w:rsidRPr="00943DFA">
        <w:rPr>
          <w:i/>
          <w:color w:val="0D0D0D" w:themeColor="text1" w:themeTint="F2"/>
          <w:lang w:eastAsia="en-US"/>
        </w:rPr>
        <w:t xml:space="preserve">Duration </w:t>
      </w:r>
      <w:r w:rsidRPr="00943DFA">
        <w:rPr>
          <w:color w:val="0D0D0D" w:themeColor="text1" w:themeTint="F2"/>
          <w:lang w:eastAsia="en-US"/>
        </w:rPr>
        <w:t xml:space="preserve">and </w:t>
      </w:r>
      <w:r w:rsidRPr="00943DFA">
        <w:rPr>
          <w:i/>
          <w:color w:val="0D0D0D" w:themeColor="text1" w:themeTint="F2"/>
          <w:lang w:eastAsia="en-US"/>
        </w:rPr>
        <w:t xml:space="preserve">External financing </w:t>
      </w:r>
      <w:r w:rsidRPr="00943DFA">
        <w:rPr>
          <w:iCs/>
          <w:color w:val="0D0D0D" w:themeColor="text1" w:themeTint="F2"/>
          <w:lang w:eastAsia="en-US"/>
        </w:rPr>
        <w:t xml:space="preserve">is also identified, </w:t>
      </w:r>
      <w:r w:rsidRPr="00943DFA">
        <w:rPr>
          <w:color w:val="0D0D0D" w:themeColor="text1" w:themeTint="F2"/>
          <w:lang w:eastAsia="en-US"/>
        </w:rPr>
        <w:t xml:space="preserve">suggesting that the SEC spends less time reviewing S-1 filings prepared by firms </w:t>
      </w:r>
      <w:r w:rsidRPr="00943DFA">
        <w:rPr>
          <w:color w:val="0D0D0D" w:themeColor="text1" w:themeTint="F2"/>
        </w:rPr>
        <w:t>with higher external funding via new borrowings and stock issues</w:t>
      </w:r>
      <w:r w:rsidRPr="00943DFA">
        <w:rPr>
          <w:color w:val="0D0D0D" w:themeColor="text1" w:themeTint="F2"/>
          <w:lang w:eastAsia="en-US"/>
        </w:rPr>
        <w:t xml:space="preserve">. The finding supports the argument that </w:t>
      </w:r>
      <w:r w:rsidRPr="00943DFA">
        <w:rPr>
          <w:rFonts w:eastAsiaTheme="minorEastAsia"/>
          <w:color w:val="0D0D0D" w:themeColor="text1" w:themeTint="F2"/>
        </w:rPr>
        <w:t xml:space="preserve">IPO firms that previously issued debt or equity experience less extensive SEC reviews </w:t>
      </w:r>
      <w:r w:rsidRPr="00943DFA">
        <w:rPr>
          <w:rFonts w:eastAsiaTheme="minorEastAsia"/>
          <w:color w:val="0D0D0D" w:themeColor="text1" w:themeTint="F2"/>
        </w:rPr>
        <w:fldChar w:fldCharType="begin" w:fldLock="1"/>
      </w:r>
      <w:r w:rsidRPr="00943DFA">
        <w:rPr>
          <w:rFonts w:eastAsiaTheme="minorEastAsia"/>
          <w:color w:val="0D0D0D" w:themeColor="text1" w:themeTint="F2"/>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2017)","manualFormatting":"(Baugh et al., 2017; Cassel et al., 2013; Heese et al., 2017; Wang, 2016)","plainTextFormattedCitation":"(Heese et al., 2017)","previouslyFormattedCitation":"(Heese et al., 2017)"},"properties":{"noteIndex":0},"schema":"https://github.com/citation-style-language/schema/raw/master/csl-citation.json"}</w:instrText>
      </w:r>
      <w:r w:rsidRPr="00943DFA">
        <w:rPr>
          <w:rFonts w:eastAsiaTheme="minorEastAsia"/>
          <w:color w:val="0D0D0D" w:themeColor="text1" w:themeTint="F2"/>
        </w:rPr>
        <w:fldChar w:fldCharType="separate"/>
      </w:r>
      <w:r w:rsidRPr="00943DFA">
        <w:rPr>
          <w:rFonts w:eastAsiaTheme="minorEastAsia"/>
          <w:noProof/>
          <w:color w:val="0D0D0D" w:themeColor="text1" w:themeTint="F2"/>
        </w:rPr>
        <w:t>(Baugh et al., 2017; Cassel et al., 2013; Heese et al., 2017; Wang, 2016)</w:t>
      </w:r>
      <w:r w:rsidRPr="00943DFA">
        <w:rPr>
          <w:rFonts w:eastAsiaTheme="minorEastAsia"/>
          <w:color w:val="0D0D0D" w:themeColor="text1" w:themeTint="F2"/>
        </w:rPr>
        <w:fldChar w:fldCharType="end"/>
      </w:r>
      <w:r w:rsidRPr="00943DFA">
        <w:rPr>
          <w:rFonts w:eastAsiaTheme="minorEastAsia"/>
          <w:color w:val="0D0D0D" w:themeColor="text1" w:themeTint="F2"/>
        </w:rPr>
        <w:t xml:space="preserve"> as their disclosure quality and reporting compliance might be higher </w:t>
      </w:r>
      <w:r w:rsidRPr="00943DFA">
        <w:rPr>
          <w:rFonts w:eastAsiaTheme="minorEastAsia"/>
          <w:color w:val="0D0D0D" w:themeColor="text1" w:themeTint="F2"/>
        </w:rPr>
        <w:fldChar w:fldCharType="begin" w:fldLock="1"/>
      </w:r>
      <w:r w:rsidRPr="00943DFA">
        <w:rPr>
          <w:rFonts w:eastAsiaTheme="minorEastAsia"/>
          <w:color w:val="0D0D0D" w:themeColor="text1" w:themeTint="F2"/>
        </w:rPr>
        <w:instrText>ADDIN CSL_CITATION {"citationItems":[{"id":"ITEM-1","itemData":{"ISSN":"13806653","abstract":"Motivated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2011)","manualFormatting":"(Ettredge et al., 2011; Lang &amp; Lundholm, 1993)","plainTextFormattedCitation":"(Ettredge et al., 2011)","previouslyFormattedCitation":"(Ettredge et al., 2011)"},"properties":{"noteIndex":0},"schema":"https://github.com/citation-style-language/schema/raw/master/csl-citation.json"}</w:instrText>
      </w:r>
      <w:r w:rsidRPr="00943DFA">
        <w:rPr>
          <w:rFonts w:eastAsiaTheme="minorEastAsia"/>
          <w:color w:val="0D0D0D" w:themeColor="text1" w:themeTint="F2"/>
        </w:rPr>
        <w:fldChar w:fldCharType="separate"/>
      </w:r>
      <w:r w:rsidRPr="00943DFA">
        <w:rPr>
          <w:rFonts w:eastAsiaTheme="minorEastAsia"/>
          <w:noProof/>
          <w:color w:val="0D0D0D" w:themeColor="text1" w:themeTint="F2"/>
        </w:rPr>
        <w:t>(Ettredge et al., 2011;</w:t>
      </w:r>
      <w:r w:rsidRPr="00943DFA">
        <w:rPr>
          <w:noProof/>
          <w:color w:val="0D0D0D" w:themeColor="text1" w:themeTint="F2"/>
        </w:rPr>
        <w:t xml:space="preserve"> </w:t>
      </w:r>
      <w:r w:rsidRPr="00943DFA">
        <w:rPr>
          <w:rFonts w:eastAsiaTheme="minorEastAsia"/>
          <w:noProof/>
          <w:color w:val="0D0D0D" w:themeColor="text1" w:themeTint="F2"/>
        </w:rPr>
        <w:t>Lang &amp; Lundholm, 1993)</w:t>
      </w:r>
      <w:r w:rsidRPr="00943DFA">
        <w:rPr>
          <w:rFonts w:eastAsiaTheme="minorEastAsia"/>
          <w:color w:val="0D0D0D" w:themeColor="text1" w:themeTint="F2"/>
        </w:rPr>
        <w:fldChar w:fldCharType="end"/>
      </w:r>
      <w:r w:rsidRPr="00943DFA">
        <w:rPr>
          <w:rFonts w:eastAsiaTheme="minorEastAsia"/>
          <w:color w:val="0D0D0D" w:themeColor="text1" w:themeTint="F2"/>
        </w:rPr>
        <w:t xml:space="preserve">. </w:t>
      </w:r>
    </w:p>
    <w:p w14:paraId="50BA95D7"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 xml:space="preserve">Furthermore, the results reveal that </w:t>
      </w:r>
      <w:r w:rsidRPr="00943DFA">
        <w:rPr>
          <w:i/>
          <w:color w:val="0D0D0D" w:themeColor="text1" w:themeTint="F2"/>
        </w:rPr>
        <w:t xml:space="preserve">Big4 </w:t>
      </w:r>
      <w:r w:rsidRPr="00943DFA">
        <w:rPr>
          <w:color w:val="0D0D0D" w:themeColor="text1" w:themeTint="F2"/>
        </w:rPr>
        <w:t xml:space="preserve">has a negative impact on </w:t>
      </w:r>
      <w:r w:rsidRPr="00943DFA">
        <w:rPr>
          <w:i/>
          <w:color w:val="0D0D0D" w:themeColor="text1" w:themeTint="F2"/>
        </w:rPr>
        <w:t xml:space="preserve">Duration </w:t>
      </w:r>
      <w:r w:rsidRPr="00943DFA">
        <w:rPr>
          <w:color w:val="0D0D0D" w:themeColor="text1" w:themeTint="F2"/>
        </w:rPr>
        <w:t xml:space="preserve">and </w:t>
      </w:r>
      <w:r w:rsidRPr="00943DFA">
        <w:rPr>
          <w:i/>
          <w:color w:val="0D0D0D" w:themeColor="text1" w:themeTint="F2"/>
        </w:rPr>
        <w:t xml:space="preserve">#Comments, </w:t>
      </w:r>
      <w:r w:rsidRPr="00943DFA">
        <w:rPr>
          <w:color w:val="0D0D0D" w:themeColor="text1" w:themeTint="F2"/>
        </w:rPr>
        <w:t xml:space="preserve">indicating that the SEC are likely to spend less time and provide fewer comments when </w:t>
      </w:r>
      <w:r w:rsidRPr="00943DFA">
        <w:rPr>
          <w:color w:val="0D0D0D" w:themeColor="text1" w:themeTint="F2"/>
        </w:rPr>
        <w:lastRenderedPageBreak/>
        <w:t xml:space="preserve">reviewing IPO firms audited by Big 4 auditors. The findings support the argument that firms audited by Big 4 auditors attract less SEC scrutiny </w:t>
      </w:r>
      <w:r w:rsidRPr="00943DFA">
        <w:rPr>
          <w:color w:val="0D0D0D" w:themeColor="text1" w:themeTint="F2"/>
          <w:lang w:eastAsia="en-US"/>
        </w:rPr>
        <w:t xml:space="preserve">(Cassell et al., 2013; Cassell et al., 2019; </w:t>
      </w:r>
      <w:proofErr w:type="spellStart"/>
      <w:r w:rsidRPr="00943DFA">
        <w:rPr>
          <w:color w:val="0D0D0D" w:themeColor="text1" w:themeTint="F2"/>
          <w:lang w:eastAsia="en-US"/>
        </w:rPr>
        <w:t>Colaco</w:t>
      </w:r>
      <w:proofErr w:type="spellEnd"/>
      <w:r w:rsidRPr="00943DFA">
        <w:rPr>
          <w:color w:val="0D0D0D" w:themeColor="text1" w:themeTint="F2"/>
          <w:lang w:eastAsia="en-US"/>
        </w:rPr>
        <w:t xml:space="preserve"> et al., 2018) as they </w:t>
      </w:r>
      <w:r w:rsidRPr="00943DFA">
        <w:rPr>
          <w:color w:val="0D0D0D" w:themeColor="text1" w:themeTint="F2"/>
        </w:rPr>
        <w:t xml:space="preserve">are less likely to have reporting deficiencies </w:t>
      </w:r>
      <w:r w:rsidRPr="00943DFA">
        <w:rPr>
          <w:color w:val="0D0D0D" w:themeColor="text1" w:themeTint="F2"/>
          <w:lang w:eastAsia="en-US"/>
        </w:rPr>
        <w:t>(</w:t>
      </w:r>
      <w:r w:rsidRPr="00943DFA">
        <w:rPr>
          <w:color w:val="0D0D0D" w:themeColor="text1" w:themeTint="F2"/>
          <w:lang w:eastAsia="en-US"/>
        </w:rPr>
        <w:fldChar w:fldCharType="begin" w:fldLock="1"/>
      </w:r>
      <w:r w:rsidRPr="00943DFA">
        <w:rPr>
          <w:color w:val="0D0D0D" w:themeColor="text1" w:themeTint="F2"/>
          <w:lang w:eastAsia="en-US"/>
        </w:rPr>
        <w:instrText>ADDIN CSL_CITATION {"citationItems":[{"id":"ITEM-1","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Research","id":"ITEM-1","issue":"1","issued":{"date-parts":[["1996"]]},"page":"1-36","title":"Causes and consequences of earnings manipulation: An analysis of firms subject to enforcement actions by the SEC","type":"article-journal","volume":"13"},"uris":["http://www.mendeley.com/documents/?uuid=b0b870c6-2960-4888-a546-9bdb2ec59a54"]}],"mendeley":{"formattedCitation":"(P.M. Dechow et al., 1996)","manualFormatting":"Dechow et al., 1996; ","plainTextFormattedCitation":"(P.M. Dechow et al., 1996)","previouslyFormattedCitation":"(P.M. Dechow et al., 1996)"},"properties":{"noteIndex":0},"schema":"https://github.com/citation-style-language/schema/raw/master/csl-citation.json"}</w:instrText>
      </w:r>
      <w:r w:rsidRPr="00943DFA">
        <w:rPr>
          <w:color w:val="0D0D0D" w:themeColor="text1" w:themeTint="F2"/>
          <w:lang w:eastAsia="en-US"/>
        </w:rPr>
        <w:fldChar w:fldCharType="separate"/>
      </w:r>
      <w:r w:rsidRPr="00943DFA">
        <w:rPr>
          <w:noProof/>
          <w:color w:val="0D0D0D" w:themeColor="text1" w:themeTint="F2"/>
          <w:lang w:eastAsia="en-US"/>
        </w:rPr>
        <w:t xml:space="preserve">Dechow et al., 1996; </w:t>
      </w:r>
      <w:r w:rsidRPr="00943DFA">
        <w:rPr>
          <w:color w:val="0D0D0D" w:themeColor="text1" w:themeTint="F2"/>
          <w:lang w:eastAsia="en-US"/>
        </w:rPr>
        <w:fldChar w:fldCharType="end"/>
      </w:r>
      <w:proofErr w:type="spellStart"/>
      <w:r w:rsidRPr="00943DFA">
        <w:rPr>
          <w:color w:val="0D0D0D" w:themeColor="text1" w:themeTint="F2"/>
          <w:lang w:eastAsia="en-US"/>
        </w:rPr>
        <w:t>Ettredge</w:t>
      </w:r>
      <w:proofErr w:type="spellEnd"/>
      <w:r w:rsidRPr="00943DFA">
        <w:rPr>
          <w:color w:val="0D0D0D" w:themeColor="text1" w:themeTint="F2"/>
          <w:lang w:eastAsia="en-US"/>
        </w:rPr>
        <w:t xml:space="preserve"> et al., 2011;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and </w:t>
      </w:r>
      <w:proofErr w:type="spellStart"/>
      <w:r w:rsidRPr="00943DFA">
        <w:rPr>
          <w:color w:val="0D0D0D" w:themeColor="text1" w:themeTint="F2"/>
          <w:lang w:eastAsia="en-US"/>
        </w:rPr>
        <w:t>Nondorf</w:t>
      </w:r>
      <w:proofErr w:type="spellEnd"/>
      <w:r w:rsidRPr="00943DFA">
        <w:rPr>
          <w:color w:val="0D0D0D" w:themeColor="text1" w:themeTint="F2"/>
          <w:lang w:eastAsia="en-US"/>
        </w:rPr>
        <w:t>, 2006; Robinson et al., 2011)</w:t>
      </w:r>
      <w:r w:rsidRPr="00943DFA">
        <w:rPr>
          <w:color w:val="0D0D0D" w:themeColor="text1" w:themeTint="F2"/>
        </w:rPr>
        <w:t xml:space="preserve">. </w:t>
      </w:r>
    </w:p>
    <w:p w14:paraId="21133D23"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Overall, novel results are obtained relating to the sensitivities of SEC reviews of S-1 filings to a range of IPO firm characteristics including; company size, firm age, business complexity as indicated by sales growth, the number of segments, M&amp;A activities, financial health as indicated by the probabilities of bankruptcy, earnings number, external financing activities, and auditor quality</w:t>
      </w:r>
      <w:bookmarkStart w:id="85" w:name="_Ref50695444"/>
      <w:bookmarkStart w:id="86" w:name="_Toc48203650"/>
      <w:bookmarkStart w:id="87" w:name="_Toc50708214"/>
      <w:r w:rsidRPr="00943DFA">
        <w:rPr>
          <w:color w:val="0D0D0D" w:themeColor="text1" w:themeTint="F2"/>
        </w:rPr>
        <w:t>.</w:t>
      </w:r>
    </w:p>
    <w:p w14:paraId="7A1D2DFF" w14:textId="77777777" w:rsidR="00195130" w:rsidRPr="00943DFA" w:rsidRDefault="00195130" w:rsidP="00195130">
      <w:pPr>
        <w:spacing w:before="240" w:after="240" w:line="360" w:lineRule="auto"/>
        <w:jc w:val="both"/>
        <w:rPr>
          <w:b/>
          <w:i/>
          <w:color w:val="0D0D0D" w:themeColor="text1" w:themeTint="F2"/>
          <w:sz w:val="22"/>
        </w:rPr>
        <w:sectPr w:rsidR="00195130" w:rsidRPr="00943DFA" w:rsidSect="00373B60">
          <w:pgSz w:w="11906" w:h="16838"/>
          <w:pgMar w:top="1440" w:right="1440" w:bottom="1440" w:left="1276" w:header="708" w:footer="708" w:gutter="0"/>
          <w:cols w:space="708"/>
          <w:docGrid w:linePitch="360"/>
        </w:sectPr>
      </w:pPr>
    </w:p>
    <w:p w14:paraId="4C7A7803" w14:textId="77777777" w:rsidR="00195130" w:rsidRPr="00943DFA" w:rsidRDefault="00195130" w:rsidP="00195130">
      <w:pPr>
        <w:spacing w:before="240" w:after="240" w:line="360" w:lineRule="auto"/>
        <w:jc w:val="both"/>
        <w:rPr>
          <w:b/>
          <w:iCs/>
          <w:color w:val="0D0D0D" w:themeColor="text1" w:themeTint="F2"/>
          <w:sz w:val="22"/>
        </w:rPr>
      </w:pPr>
      <w:bookmarkStart w:id="88" w:name="_Toc85100155"/>
      <w:r w:rsidRPr="00943DFA">
        <w:rPr>
          <w:b/>
          <w:iCs/>
          <w:color w:val="0D0D0D" w:themeColor="text1" w:themeTint="F2"/>
          <w:sz w:val="22"/>
        </w:rPr>
        <w:lastRenderedPageBreak/>
        <w:t xml:space="preserve">Table </w:t>
      </w:r>
      <w:r w:rsidRPr="00943DFA">
        <w:rPr>
          <w:b/>
          <w:iCs/>
          <w:color w:val="0D0D0D" w:themeColor="text1" w:themeTint="F2"/>
          <w:sz w:val="22"/>
        </w:rPr>
        <w:fldChar w:fldCharType="begin"/>
      </w:r>
      <w:r w:rsidRPr="00943DFA">
        <w:rPr>
          <w:b/>
          <w:iCs/>
          <w:color w:val="0D0D0D" w:themeColor="text1" w:themeTint="F2"/>
          <w:sz w:val="22"/>
        </w:rPr>
        <w:instrText xml:space="preserve"> STYLEREF 1 \s </w:instrText>
      </w:r>
      <w:r w:rsidRPr="00943DFA">
        <w:rPr>
          <w:b/>
          <w:iCs/>
          <w:color w:val="0D0D0D" w:themeColor="text1" w:themeTint="F2"/>
          <w:sz w:val="22"/>
        </w:rPr>
        <w:fldChar w:fldCharType="separate"/>
      </w:r>
      <w:r w:rsidRPr="00943DFA">
        <w:rPr>
          <w:b/>
          <w:iCs/>
          <w:noProof/>
          <w:color w:val="0D0D0D" w:themeColor="text1" w:themeTint="F2"/>
          <w:sz w:val="22"/>
        </w:rPr>
        <w:t>3</w:t>
      </w:r>
      <w:r w:rsidRPr="00943DFA">
        <w:rPr>
          <w:b/>
          <w:iCs/>
          <w:color w:val="0D0D0D" w:themeColor="text1" w:themeTint="F2"/>
          <w:sz w:val="22"/>
        </w:rPr>
        <w:fldChar w:fldCharType="end"/>
      </w:r>
      <w:r w:rsidRPr="00943DFA">
        <w:rPr>
          <w:b/>
          <w:iCs/>
          <w:color w:val="0D0D0D" w:themeColor="text1" w:themeTint="F2"/>
          <w:sz w:val="22"/>
        </w:rPr>
        <w:t>.</w:t>
      </w:r>
      <w:r w:rsidRPr="00943DFA">
        <w:rPr>
          <w:b/>
          <w:iCs/>
          <w:color w:val="0D0D0D" w:themeColor="text1" w:themeTint="F2"/>
          <w:sz w:val="22"/>
        </w:rPr>
        <w:fldChar w:fldCharType="begin"/>
      </w:r>
      <w:r w:rsidRPr="00943DFA">
        <w:rPr>
          <w:b/>
          <w:iCs/>
          <w:color w:val="0D0D0D" w:themeColor="text1" w:themeTint="F2"/>
          <w:sz w:val="22"/>
        </w:rPr>
        <w:instrText xml:space="preserve"> SEQ Table \* ARABIC \s 1 </w:instrText>
      </w:r>
      <w:r w:rsidRPr="00943DFA">
        <w:rPr>
          <w:b/>
          <w:iCs/>
          <w:color w:val="0D0D0D" w:themeColor="text1" w:themeTint="F2"/>
          <w:sz w:val="22"/>
        </w:rPr>
        <w:fldChar w:fldCharType="separate"/>
      </w:r>
      <w:r w:rsidRPr="00943DFA">
        <w:rPr>
          <w:b/>
          <w:iCs/>
          <w:noProof/>
          <w:color w:val="0D0D0D" w:themeColor="text1" w:themeTint="F2"/>
          <w:sz w:val="22"/>
        </w:rPr>
        <w:t>8</w:t>
      </w:r>
      <w:r w:rsidRPr="00943DFA">
        <w:rPr>
          <w:b/>
          <w:iCs/>
          <w:color w:val="0D0D0D" w:themeColor="text1" w:themeTint="F2"/>
          <w:sz w:val="22"/>
        </w:rPr>
        <w:fldChar w:fldCharType="end"/>
      </w:r>
      <w:bookmarkEnd w:id="85"/>
      <w:r w:rsidRPr="00943DFA">
        <w:rPr>
          <w:b/>
          <w:iCs/>
          <w:color w:val="0D0D0D" w:themeColor="text1" w:themeTint="F2"/>
          <w:sz w:val="22"/>
        </w:rPr>
        <w:t>. Multivariate analysis -Negative binomial regression</w:t>
      </w:r>
      <w:bookmarkEnd w:id="86"/>
      <w:bookmarkEnd w:id="87"/>
      <w:bookmarkEnd w:id="88"/>
    </w:p>
    <w:tbl>
      <w:tblPr>
        <w:tblW w:w="9122" w:type="dxa"/>
        <w:tblLook w:val="04A0" w:firstRow="1" w:lastRow="0" w:firstColumn="1" w:lastColumn="0" w:noHBand="0" w:noVBand="1"/>
      </w:tblPr>
      <w:tblGrid>
        <w:gridCol w:w="262"/>
        <w:gridCol w:w="1757"/>
        <w:gridCol w:w="1184"/>
        <w:gridCol w:w="724"/>
        <w:gridCol w:w="1166"/>
        <w:gridCol w:w="688"/>
        <w:gridCol w:w="1538"/>
        <w:gridCol w:w="626"/>
        <w:gridCol w:w="1177"/>
      </w:tblGrid>
      <w:tr w:rsidR="00943DFA" w:rsidRPr="00943DFA" w14:paraId="1C2C9B8C" w14:textId="77777777" w:rsidTr="00373B60">
        <w:trPr>
          <w:trHeight w:val="480"/>
        </w:trPr>
        <w:tc>
          <w:tcPr>
            <w:tcW w:w="257" w:type="dxa"/>
            <w:tcBorders>
              <w:top w:val="single" w:sz="4" w:space="0" w:color="auto"/>
              <w:left w:val="nil"/>
              <w:bottom w:val="nil"/>
              <w:right w:val="nil"/>
            </w:tcBorders>
            <w:shd w:val="clear" w:color="auto" w:fill="auto"/>
            <w:noWrap/>
            <w:vAlign w:val="bottom"/>
            <w:hideMark/>
          </w:tcPr>
          <w:p w14:paraId="115AE5FB" w14:textId="77777777" w:rsidR="00195130" w:rsidRPr="00943DFA" w:rsidRDefault="00195130" w:rsidP="00373B60">
            <w:pPr>
              <w:contextualSpacing/>
              <w:rPr>
                <w:rFonts w:ascii="Calibri" w:eastAsia="Times New Roman" w:hAnsi="Calibri" w:cs="Calibri"/>
                <w:color w:val="0D0D0D" w:themeColor="text1" w:themeTint="F2"/>
                <w:sz w:val="20"/>
                <w:szCs w:val="18"/>
              </w:rPr>
            </w:pPr>
            <w:r w:rsidRPr="00943DFA">
              <w:rPr>
                <w:rFonts w:ascii="Calibri" w:eastAsia="Times New Roman" w:hAnsi="Calibri" w:cs="Calibri"/>
                <w:color w:val="0D0D0D" w:themeColor="text1" w:themeTint="F2"/>
                <w:sz w:val="20"/>
                <w:szCs w:val="18"/>
              </w:rPr>
              <w:t> </w:t>
            </w:r>
          </w:p>
        </w:tc>
        <w:tc>
          <w:tcPr>
            <w:tcW w:w="1758" w:type="dxa"/>
            <w:tcBorders>
              <w:top w:val="single" w:sz="4" w:space="0" w:color="auto"/>
              <w:left w:val="nil"/>
              <w:bottom w:val="nil"/>
              <w:right w:val="nil"/>
            </w:tcBorders>
            <w:shd w:val="clear" w:color="auto" w:fill="auto"/>
            <w:vAlign w:val="center"/>
            <w:hideMark/>
          </w:tcPr>
          <w:p w14:paraId="67358E52"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 </w:t>
            </w:r>
          </w:p>
        </w:tc>
        <w:tc>
          <w:tcPr>
            <w:tcW w:w="1184" w:type="dxa"/>
            <w:tcBorders>
              <w:top w:val="single" w:sz="4" w:space="0" w:color="auto"/>
              <w:left w:val="nil"/>
              <w:bottom w:val="single" w:sz="4" w:space="0" w:color="auto"/>
              <w:right w:val="nil"/>
            </w:tcBorders>
            <w:shd w:val="clear" w:color="auto" w:fill="auto"/>
            <w:vAlign w:val="center"/>
            <w:hideMark/>
          </w:tcPr>
          <w:p w14:paraId="0CA1CC37"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Duration</w:t>
            </w:r>
            <w:r w:rsidRPr="00943DFA">
              <w:rPr>
                <w:rFonts w:eastAsia="Times New Roman"/>
                <w:b/>
                <w:bCs/>
                <w:color w:val="0D0D0D" w:themeColor="text1" w:themeTint="F2"/>
                <w:sz w:val="20"/>
                <w:szCs w:val="18"/>
              </w:rPr>
              <w:br/>
              <w:t>(1)</w:t>
            </w:r>
          </w:p>
        </w:tc>
        <w:tc>
          <w:tcPr>
            <w:tcW w:w="725" w:type="dxa"/>
            <w:tcBorders>
              <w:top w:val="single" w:sz="4" w:space="0" w:color="auto"/>
              <w:left w:val="nil"/>
              <w:bottom w:val="nil"/>
              <w:right w:val="nil"/>
            </w:tcBorders>
            <w:shd w:val="clear" w:color="auto" w:fill="auto"/>
            <w:vAlign w:val="center"/>
            <w:hideMark/>
          </w:tcPr>
          <w:p w14:paraId="36240717"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 </w:t>
            </w:r>
          </w:p>
        </w:tc>
        <w:tc>
          <w:tcPr>
            <w:tcW w:w="1166" w:type="dxa"/>
            <w:tcBorders>
              <w:top w:val="single" w:sz="4" w:space="0" w:color="auto"/>
              <w:left w:val="nil"/>
              <w:bottom w:val="single" w:sz="4" w:space="0" w:color="auto"/>
              <w:right w:val="nil"/>
            </w:tcBorders>
            <w:shd w:val="clear" w:color="auto" w:fill="auto"/>
            <w:vAlign w:val="center"/>
            <w:hideMark/>
          </w:tcPr>
          <w:p w14:paraId="1F30BE2C"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#Letters</w:t>
            </w:r>
            <w:r w:rsidRPr="00943DFA">
              <w:rPr>
                <w:rFonts w:eastAsia="Times New Roman"/>
                <w:b/>
                <w:bCs/>
                <w:color w:val="0D0D0D" w:themeColor="text1" w:themeTint="F2"/>
                <w:sz w:val="20"/>
                <w:szCs w:val="18"/>
              </w:rPr>
              <w:br/>
              <w:t>(2)</w:t>
            </w:r>
          </w:p>
        </w:tc>
        <w:tc>
          <w:tcPr>
            <w:tcW w:w="689" w:type="dxa"/>
            <w:tcBorders>
              <w:top w:val="single" w:sz="4" w:space="0" w:color="auto"/>
              <w:left w:val="nil"/>
              <w:bottom w:val="nil"/>
              <w:right w:val="nil"/>
            </w:tcBorders>
            <w:shd w:val="clear" w:color="auto" w:fill="auto"/>
            <w:vAlign w:val="center"/>
            <w:hideMark/>
          </w:tcPr>
          <w:p w14:paraId="2BFC5608"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 </w:t>
            </w:r>
          </w:p>
        </w:tc>
        <w:tc>
          <w:tcPr>
            <w:tcW w:w="1539" w:type="dxa"/>
            <w:tcBorders>
              <w:top w:val="single" w:sz="4" w:space="0" w:color="auto"/>
              <w:left w:val="nil"/>
              <w:bottom w:val="single" w:sz="4" w:space="0" w:color="auto"/>
              <w:right w:val="nil"/>
            </w:tcBorders>
            <w:shd w:val="clear" w:color="auto" w:fill="auto"/>
            <w:vAlign w:val="center"/>
            <w:hideMark/>
          </w:tcPr>
          <w:p w14:paraId="0A7D45A7"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#Comments</w:t>
            </w:r>
            <w:r w:rsidRPr="00943DFA">
              <w:rPr>
                <w:rFonts w:eastAsia="Times New Roman"/>
                <w:b/>
                <w:bCs/>
                <w:color w:val="0D0D0D" w:themeColor="text1" w:themeTint="F2"/>
                <w:sz w:val="20"/>
                <w:szCs w:val="18"/>
              </w:rPr>
              <w:br/>
              <w:t>(3)</w:t>
            </w:r>
          </w:p>
        </w:tc>
        <w:tc>
          <w:tcPr>
            <w:tcW w:w="627" w:type="dxa"/>
            <w:tcBorders>
              <w:top w:val="single" w:sz="4" w:space="0" w:color="auto"/>
              <w:left w:val="nil"/>
              <w:bottom w:val="nil"/>
              <w:right w:val="nil"/>
            </w:tcBorders>
            <w:shd w:val="clear" w:color="auto" w:fill="auto"/>
            <w:vAlign w:val="center"/>
            <w:hideMark/>
          </w:tcPr>
          <w:p w14:paraId="02E5DBDB"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 </w:t>
            </w:r>
          </w:p>
        </w:tc>
        <w:tc>
          <w:tcPr>
            <w:tcW w:w="1177" w:type="dxa"/>
            <w:tcBorders>
              <w:top w:val="single" w:sz="4" w:space="0" w:color="auto"/>
              <w:left w:val="nil"/>
              <w:bottom w:val="single" w:sz="4" w:space="0" w:color="auto"/>
              <w:right w:val="nil"/>
            </w:tcBorders>
            <w:shd w:val="clear" w:color="auto" w:fill="auto"/>
            <w:vAlign w:val="center"/>
            <w:hideMark/>
          </w:tcPr>
          <w:p w14:paraId="47301F46" w14:textId="77777777" w:rsidR="00195130" w:rsidRPr="00943DFA" w:rsidRDefault="00195130" w:rsidP="00373B60">
            <w:pPr>
              <w:contextualSpacing/>
              <w:jc w:val="center"/>
              <w:rPr>
                <w:rFonts w:eastAsia="Times New Roman"/>
                <w:b/>
                <w:bCs/>
                <w:color w:val="0D0D0D" w:themeColor="text1" w:themeTint="F2"/>
                <w:sz w:val="20"/>
                <w:szCs w:val="18"/>
              </w:rPr>
            </w:pPr>
            <w:r w:rsidRPr="00943DFA">
              <w:rPr>
                <w:rFonts w:eastAsia="Times New Roman"/>
                <w:b/>
                <w:bCs/>
                <w:color w:val="0D0D0D" w:themeColor="text1" w:themeTint="F2"/>
                <w:sz w:val="20"/>
                <w:szCs w:val="18"/>
              </w:rPr>
              <w:t>#Themes</w:t>
            </w:r>
            <w:r w:rsidRPr="00943DFA">
              <w:rPr>
                <w:rFonts w:eastAsia="Times New Roman"/>
                <w:b/>
                <w:bCs/>
                <w:color w:val="0D0D0D" w:themeColor="text1" w:themeTint="F2"/>
                <w:sz w:val="20"/>
                <w:szCs w:val="18"/>
              </w:rPr>
              <w:br/>
              <w:t>(4)</w:t>
            </w:r>
          </w:p>
        </w:tc>
      </w:tr>
      <w:tr w:rsidR="00943DFA" w:rsidRPr="00943DFA" w14:paraId="2B591E7D" w14:textId="77777777" w:rsidTr="00373B60">
        <w:trPr>
          <w:trHeight w:val="300"/>
        </w:trPr>
        <w:tc>
          <w:tcPr>
            <w:tcW w:w="9122" w:type="dxa"/>
            <w:gridSpan w:val="9"/>
            <w:tcBorders>
              <w:top w:val="nil"/>
              <w:left w:val="nil"/>
              <w:bottom w:val="nil"/>
              <w:right w:val="nil"/>
            </w:tcBorders>
            <w:shd w:val="clear" w:color="auto" w:fill="auto"/>
            <w:vAlign w:val="center"/>
            <w:hideMark/>
          </w:tcPr>
          <w:p w14:paraId="76580F8A" w14:textId="77777777" w:rsidR="00195130" w:rsidRPr="00943DFA" w:rsidRDefault="00195130" w:rsidP="00373B60">
            <w:pPr>
              <w:contextualSpacing/>
              <w:rPr>
                <w:rFonts w:eastAsia="Times New Roman"/>
                <w:b/>
                <w:bCs/>
                <w:color w:val="0D0D0D" w:themeColor="text1" w:themeTint="F2"/>
                <w:sz w:val="20"/>
                <w:szCs w:val="18"/>
              </w:rPr>
            </w:pPr>
            <w:r w:rsidRPr="00943DFA">
              <w:rPr>
                <w:rFonts w:eastAsia="Times New Roman"/>
                <w:b/>
                <w:bCs/>
                <w:color w:val="0D0D0D" w:themeColor="text1" w:themeTint="F2"/>
                <w:sz w:val="20"/>
                <w:szCs w:val="18"/>
              </w:rPr>
              <w:t>Company size</w:t>
            </w:r>
          </w:p>
        </w:tc>
      </w:tr>
      <w:tr w:rsidR="00943DFA" w:rsidRPr="00943DFA" w14:paraId="56232F5A" w14:textId="77777777" w:rsidTr="00373B60">
        <w:trPr>
          <w:trHeight w:val="263"/>
        </w:trPr>
        <w:tc>
          <w:tcPr>
            <w:tcW w:w="257" w:type="dxa"/>
            <w:tcBorders>
              <w:top w:val="nil"/>
              <w:left w:val="nil"/>
              <w:bottom w:val="nil"/>
              <w:right w:val="nil"/>
            </w:tcBorders>
            <w:shd w:val="clear" w:color="auto" w:fill="auto"/>
            <w:noWrap/>
            <w:vAlign w:val="bottom"/>
            <w:hideMark/>
          </w:tcPr>
          <w:p w14:paraId="14F376E8" w14:textId="77777777" w:rsidR="00195130" w:rsidRPr="00943DFA" w:rsidRDefault="00195130" w:rsidP="00373B60">
            <w:pPr>
              <w:contextualSpacing/>
              <w:rPr>
                <w:rFonts w:eastAsia="Times New Roman"/>
                <w:b/>
                <w:bCs/>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5B255F6C"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Size</w:t>
            </w:r>
          </w:p>
        </w:tc>
        <w:tc>
          <w:tcPr>
            <w:tcW w:w="1184" w:type="dxa"/>
            <w:tcBorders>
              <w:top w:val="nil"/>
              <w:left w:val="nil"/>
              <w:bottom w:val="nil"/>
              <w:right w:val="nil"/>
            </w:tcBorders>
            <w:shd w:val="clear" w:color="auto" w:fill="auto"/>
            <w:vAlign w:val="center"/>
            <w:hideMark/>
          </w:tcPr>
          <w:p w14:paraId="43CA947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(4.01)</w:t>
            </w:r>
          </w:p>
        </w:tc>
        <w:tc>
          <w:tcPr>
            <w:tcW w:w="725" w:type="dxa"/>
            <w:tcBorders>
              <w:top w:val="nil"/>
              <w:left w:val="nil"/>
              <w:bottom w:val="nil"/>
              <w:right w:val="nil"/>
            </w:tcBorders>
            <w:shd w:val="clear" w:color="auto" w:fill="auto"/>
            <w:vAlign w:val="center"/>
            <w:hideMark/>
          </w:tcPr>
          <w:p w14:paraId="4DAE7817"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3941E28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(2.25)</w:t>
            </w:r>
          </w:p>
        </w:tc>
        <w:tc>
          <w:tcPr>
            <w:tcW w:w="689" w:type="dxa"/>
            <w:tcBorders>
              <w:top w:val="nil"/>
              <w:left w:val="nil"/>
              <w:bottom w:val="nil"/>
              <w:right w:val="nil"/>
            </w:tcBorders>
            <w:shd w:val="clear" w:color="auto" w:fill="auto"/>
            <w:vAlign w:val="center"/>
            <w:hideMark/>
          </w:tcPr>
          <w:p w14:paraId="2F9CE6AF"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314A888A"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(3.94)</w:t>
            </w:r>
          </w:p>
        </w:tc>
        <w:tc>
          <w:tcPr>
            <w:tcW w:w="627" w:type="dxa"/>
            <w:tcBorders>
              <w:top w:val="nil"/>
              <w:left w:val="nil"/>
              <w:bottom w:val="nil"/>
              <w:right w:val="nil"/>
            </w:tcBorders>
            <w:shd w:val="clear" w:color="auto" w:fill="auto"/>
            <w:vAlign w:val="center"/>
            <w:hideMark/>
          </w:tcPr>
          <w:p w14:paraId="1364DC1E"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1F5D376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(3.39)</w:t>
            </w:r>
          </w:p>
        </w:tc>
      </w:tr>
      <w:tr w:rsidR="00943DFA" w:rsidRPr="00943DFA" w14:paraId="096A7734" w14:textId="77777777" w:rsidTr="00373B60">
        <w:trPr>
          <w:trHeight w:val="300"/>
        </w:trPr>
        <w:tc>
          <w:tcPr>
            <w:tcW w:w="9122" w:type="dxa"/>
            <w:gridSpan w:val="9"/>
            <w:tcBorders>
              <w:top w:val="nil"/>
              <w:left w:val="nil"/>
              <w:bottom w:val="nil"/>
              <w:right w:val="nil"/>
            </w:tcBorders>
            <w:shd w:val="clear" w:color="auto" w:fill="auto"/>
            <w:vAlign w:val="center"/>
            <w:hideMark/>
          </w:tcPr>
          <w:p w14:paraId="1EDC6DBC" w14:textId="77777777" w:rsidR="00195130" w:rsidRPr="00943DFA" w:rsidRDefault="00195130" w:rsidP="00373B60">
            <w:pPr>
              <w:contextualSpacing/>
              <w:rPr>
                <w:rFonts w:eastAsia="Times New Roman"/>
                <w:b/>
                <w:bCs/>
                <w:color w:val="0D0D0D" w:themeColor="text1" w:themeTint="F2"/>
                <w:sz w:val="20"/>
                <w:szCs w:val="18"/>
              </w:rPr>
            </w:pPr>
            <w:r w:rsidRPr="00943DFA">
              <w:rPr>
                <w:rFonts w:eastAsia="Times New Roman"/>
                <w:b/>
                <w:bCs/>
                <w:color w:val="0D0D0D" w:themeColor="text1" w:themeTint="F2"/>
                <w:sz w:val="20"/>
                <w:szCs w:val="18"/>
              </w:rPr>
              <w:t>Company age</w:t>
            </w:r>
          </w:p>
        </w:tc>
      </w:tr>
      <w:tr w:rsidR="00943DFA" w:rsidRPr="00943DFA" w14:paraId="525238A9" w14:textId="77777777" w:rsidTr="00373B60">
        <w:trPr>
          <w:trHeight w:val="480"/>
        </w:trPr>
        <w:tc>
          <w:tcPr>
            <w:tcW w:w="257" w:type="dxa"/>
            <w:tcBorders>
              <w:top w:val="nil"/>
              <w:left w:val="nil"/>
              <w:bottom w:val="nil"/>
              <w:right w:val="nil"/>
            </w:tcBorders>
            <w:shd w:val="clear" w:color="auto" w:fill="auto"/>
            <w:noWrap/>
            <w:vAlign w:val="bottom"/>
            <w:hideMark/>
          </w:tcPr>
          <w:p w14:paraId="546BB851" w14:textId="77777777" w:rsidR="00195130" w:rsidRPr="00943DFA" w:rsidRDefault="00195130" w:rsidP="00373B60">
            <w:pPr>
              <w:contextualSpacing/>
              <w:rPr>
                <w:rFonts w:eastAsia="Times New Roman"/>
                <w:b/>
                <w:bCs/>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438ADEA2"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Age</w:t>
            </w:r>
          </w:p>
        </w:tc>
        <w:tc>
          <w:tcPr>
            <w:tcW w:w="1184" w:type="dxa"/>
            <w:tcBorders>
              <w:top w:val="nil"/>
              <w:left w:val="nil"/>
              <w:bottom w:val="nil"/>
              <w:right w:val="nil"/>
            </w:tcBorders>
            <w:shd w:val="clear" w:color="auto" w:fill="auto"/>
            <w:vAlign w:val="center"/>
            <w:hideMark/>
          </w:tcPr>
          <w:p w14:paraId="418BB33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0.037***</w:t>
            </w:r>
            <w:r w:rsidRPr="00943DFA">
              <w:rPr>
                <w:rFonts w:eastAsia="Times New Roman"/>
                <w:color w:val="0D0D0D" w:themeColor="text1" w:themeTint="F2"/>
                <w:sz w:val="20"/>
                <w:szCs w:val="18"/>
              </w:rPr>
              <w:br/>
              <w:t>(7.60)</w:t>
            </w:r>
          </w:p>
        </w:tc>
        <w:tc>
          <w:tcPr>
            <w:tcW w:w="725" w:type="dxa"/>
            <w:tcBorders>
              <w:top w:val="nil"/>
              <w:left w:val="nil"/>
              <w:bottom w:val="nil"/>
              <w:right w:val="nil"/>
            </w:tcBorders>
            <w:shd w:val="clear" w:color="auto" w:fill="auto"/>
            <w:vAlign w:val="center"/>
            <w:hideMark/>
          </w:tcPr>
          <w:p w14:paraId="2766E799"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31CFAF4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0.027***</w:t>
            </w:r>
            <w:r w:rsidRPr="00943DFA">
              <w:rPr>
                <w:rFonts w:eastAsia="Times New Roman"/>
                <w:color w:val="0D0D0D" w:themeColor="text1" w:themeTint="F2"/>
                <w:sz w:val="20"/>
                <w:szCs w:val="18"/>
              </w:rPr>
              <w:br/>
              <w:t>(5.49)</w:t>
            </w:r>
          </w:p>
        </w:tc>
        <w:tc>
          <w:tcPr>
            <w:tcW w:w="689" w:type="dxa"/>
            <w:tcBorders>
              <w:top w:val="nil"/>
              <w:left w:val="nil"/>
              <w:bottom w:val="nil"/>
              <w:right w:val="nil"/>
            </w:tcBorders>
            <w:shd w:val="clear" w:color="auto" w:fill="auto"/>
            <w:vAlign w:val="center"/>
            <w:hideMark/>
          </w:tcPr>
          <w:p w14:paraId="0783F057"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6BA80043"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0.008</w:t>
            </w:r>
            <w:r w:rsidRPr="00943DFA">
              <w:rPr>
                <w:rFonts w:eastAsia="Times New Roman"/>
                <w:color w:val="0D0D0D" w:themeColor="text1" w:themeTint="F2"/>
                <w:sz w:val="20"/>
                <w:szCs w:val="18"/>
              </w:rPr>
              <w:br/>
              <w:t>(0.80)</w:t>
            </w:r>
          </w:p>
        </w:tc>
        <w:tc>
          <w:tcPr>
            <w:tcW w:w="627" w:type="dxa"/>
            <w:tcBorders>
              <w:top w:val="nil"/>
              <w:left w:val="nil"/>
              <w:bottom w:val="nil"/>
              <w:right w:val="nil"/>
            </w:tcBorders>
            <w:shd w:val="clear" w:color="auto" w:fill="auto"/>
            <w:vAlign w:val="center"/>
            <w:hideMark/>
          </w:tcPr>
          <w:p w14:paraId="271EEF32"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68CB1785"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0.008</w:t>
            </w:r>
            <w:r w:rsidRPr="00943DFA">
              <w:rPr>
                <w:rFonts w:eastAsia="Times New Roman"/>
                <w:color w:val="0D0D0D" w:themeColor="text1" w:themeTint="F2"/>
                <w:sz w:val="20"/>
                <w:szCs w:val="18"/>
              </w:rPr>
              <w:br/>
              <w:t>(1.35)</w:t>
            </w:r>
          </w:p>
        </w:tc>
      </w:tr>
      <w:tr w:rsidR="00943DFA" w:rsidRPr="00943DFA" w14:paraId="400F65E7" w14:textId="77777777" w:rsidTr="00373B60">
        <w:trPr>
          <w:trHeight w:val="300"/>
        </w:trPr>
        <w:tc>
          <w:tcPr>
            <w:tcW w:w="9122" w:type="dxa"/>
            <w:gridSpan w:val="9"/>
            <w:tcBorders>
              <w:top w:val="nil"/>
              <w:left w:val="nil"/>
              <w:bottom w:val="nil"/>
              <w:right w:val="nil"/>
            </w:tcBorders>
            <w:shd w:val="clear" w:color="auto" w:fill="auto"/>
            <w:vAlign w:val="center"/>
            <w:hideMark/>
          </w:tcPr>
          <w:p w14:paraId="37548216" w14:textId="77777777" w:rsidR="00195130" w:rsidRPr="00943DFA" w:rsidRDefault="00195130" w:rsidP="00373B60">
            <w:pPr>
              <w:contextualSpacing/>
              <w:rPr>
                <w:rFonts w:eastAsia="Times New Roman"/>
                <w:b/>
                <w:bCs/>
                <w:color w:val="0D0D0D" w:themeColor="text1" w:themeTint="F2"/>
                <w:sz w:val="20"/>
                <w:szCs w:val="18"/>
              </w:rPr>
            </w:pPr>
            <w:r w:rsidRPr="00943DFA">
              <w:rPr>
                <w:rFonts w:eastAsia="Times New Roman"/>
                <w:b/>
                <w:bCs/>
                <w:color w:val="0D0D0D" w:themeColor="text1" w:themeTint="F2"/>
                <w:sz w:val="20"/>
                <w:szCs w:val="18"/>
              </w:rPr>
              <w:t>Business complexity</w:t>
            </w:r>
          </w:p>
        </w:tc>
      </w:tr>
      <w:tr w:rsidR="00943DFA" w:rsidRPr="00943DFA" w14:paraId="4B9FF1B3" w14:textId="77777777" w:rsidTr="00373B60">
        <w:trPr>
          <w:trHeight w:val="480"/>
        </w:trPr>
        <w:tc>
          <w:tcPr>
            <w:tcW w:w="257" w:type="dxa"/>
            <w:tcBorders>
              <w:top w:val="nil"/>
              <w:left w:val="nil"/>
              <w:bottom w:val="nil"/>
              <w:right w:val="nil"/>
            </w:tcBorders>
            <w:shd w:val="clear" w:color="auto" w:fill="auto"/>
            <w:noWrap/>
            <w:vAlign w:val="bottom"/>
            <w:hideMark/>
          </w:tcPr>
          <w:p w14:paraId="29C51594" w14:textId="77777777" w:rsidR="00195130" w:rsidRPr="00943DFA" w:rsidRDefault="00195130" w:rsidP="00373B60">
            <w:pPr>
              <w:contextualSpacing/>
              <w:rPr>
                <w:rFonts w:eastAsia="Times New Roman"/>
                <w:b/>
                <w:bCs/>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08D98D42"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Sale growth</w:t>
            </w:r>
          </w:p>
        </w:tc>
        <w:tc>
          <w:tcPr>
            <w:tcW w:w="1184" w:type="dxa"/>
            <w:tcBorders>
              <w:top w:val="nil"/>
              <w:left w:val="nil"/>
              <w:bottom w:val="nil"/>
              <w:right w:val="nil"/>
            </w:tcBorders>
            <w:shd w:val="clear" w:color="auto" w:fill="auto"/>
            <w:vAlign w:val="center"/>
            <w:hideMark/>
          </w:tcPr>
          <w:p w14:paraId="1D0CE330"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(-6.01)</w:t>
            </w:r>
          </w:p>
        </w:tc>
        <w:tc>
          <w:tcPr>
            <w:tcW w:w="725" w:type="dxa"/>
            <w:tcBorders>
              <w:top w:val="nil"/>
              <w:left w:val="nil"/>
              <w:bottom w:val="nil"/>
              <w:right w:val="nil"/>
            </w:tcBorders>
            <w:shd w:val="clear" w:color="auto" w:fill="auto"/>
            <w:vAlign w:val="center"/>
            <w:hideMark/>
          </w:tcPr>
          <w:p w14:paraId="1274637C"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1619449F"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(0.10)</w:t>
            </w:r>
          </w:p>
        </w:tc>
        <w:tc>
          <w:tcPr>
            <w:tcW w:w="689" w:type="dxa"/>
            <w:tcBorders>
              <w:top w:val="nil"/>
              <w:left w:val="nil"/>
              <w:bottom w:val="nil"/>
              <w:right w:val="nil"/>
            </w:tcBorders>
            <w:shd w:val="clear" w:color="auto" w:fill="auto"/>
            <w:vAlign w:val="center"/>
            <w:hideMark/>
          </w:tcPr>
          <w:p w14:paraId="626A408E"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213B7BA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(0.92)</w:t>
            </w:r>
          </w:p>
        </w:tc>
        <w:tc>
          <w:tcPr>
            <w:tcW w:w="627" w:type="dxa"/>
            <w:tcBorders>
              <w:top w:val="nil"/>
              <w:left w:val="nil"/>
              <w:bottom w:val="nil"/>
              <w:right w:val="nil"/>
            </w:tcBorders>
            <w:shd w:val="clear" w:color="auto" w:fill="auto"/>
            <w:vAlign w:val="center"/>
            <w:hideMark/>
          </w:tcPr>
          <w:p w14:paraId="02037702"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59F94A30"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(0.27)</w:t>
            </w:r>
          </w:p>
        </w:tc>
      </w:tr>
      <w:tr w:rsidR="00943DFA" w:rsidRPr="00943DFA" w14:paraId="5C09BB45" w14:textId="77777777" w:rsidTr="00373B60">
        <w:trPr>
          <w:trHeight w:val="480"/>
        </w:trPr>
        <w:tc>
          <w:tcPr>
            <w:tcW w:w="257" w:type="dxa"/>
            <w:tcBorders>
              <w:top w:val="nil"/>
              <w:left w:val="nil"/>
              <w:bottom w:val="nil"/>
              <w:right w:val="nil"/>
            </w:tcBorders>
            <w:shd w:val="clear" w:color="auto" w:fill="auto"/>
            <w:noWrap/>
            <w:vAlign w:val="bottom"/>
            <w:hideMark/>
          </w:tcPr>
          <w:p w14:paraId="52083DD6"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21392478"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Segments</w:t>
            </w:r>
          </w:p>
        </w:tc>
        <w:tc>
          <w:tcPr>
            <w:tcW w:w="1184" w:type="dxa"/>
            <w:tcBorders>
              <w:top w:val="nil"/>
              <w:left w:val="nil"/>
              <w:bottom w:val="nil"/>
              <w:right w:val="nil"/>
            </w:tcBorders>
            <w:shd w:val="clear" w:color="auto" w:fill="auto"/>
            <w:vAlign w:val="center"/>
            <w:hideMark/>
          </w:tcPr>
          <w:p w14:paraId="2838CE63"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0.01</w:t>
            </w:r>
            <w:r w:rsidRPr="00943DFA">
              <w:rPr>
                <w:rFonts w:eastAsia="Times New Roman"/>
                <w:color w:val="0D0D0D" w:themeColor="text1" w:themeTint="F2"/>
                <w:sz w:val="20"/>
                <w:szCs w:val="18"/>
              </w:rPr>
              <w:br/>
              <w:t>(0.41)</w:t>
            </w:r>
          </w:p>
        </w:tc>
        <w:tc>
          <w:tcPr>
            <w:tcW w:w="725" w:type="dxa"/>
            <w:tcBorders>
              <w:top w:val="nil"/>
              <w:left w:val="nil"/>
              <w:bottom w:val="nil"/>
              <w:right w:val="nil"/>
            </w:tcBorders>
            <w:shd w:val="clear" w:color="auto" w:fill="auto"/>
            <w:vAlign w:val="center"/>
            <w:hideMark/>
          </w:tcPr>
          <w:p w14:paraId="265267AF"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4260757F"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0.016</w:t>
            </w:r>
            <w:r w:rsidRPr="00943DFA">
              <w:rPr>
                <w:rFonts w:eastAsia="Times New Roman"/>
                <w:color w:val="0D0D0D" w:themeColor="text1" w:themeTint="F2"/>
                <w:sz w:val="20"/>
                <w:szCs w:val="18"/>
              </w:rPr>
              <w:br/>
              <w:t>(0.67)</w:t>
            </w:r>
          </w:p>
        </w:tc>
        <w:tc>
          <w:tcPr>
            <w:tcW w:w="689" w:type="dxa"/>
            <w:tcBorders>
              <w:top w:val="nil"/>
              <w:left w:val="nil"/>
              <w:bottom w:val="nil"/>
              <w:right w:val="nil"/>
            </w:tcBorders>
            <w:shd w:val="clear" w:color="auto" w:fill="auto"/>
            <w:vAlign w:val="center"/>
            <w:hideMark/>
          </w:tcPr>
          <w:p w14:paraId="09886993"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5146D71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0.056</w:t>
            </w:r>
            <w:r w:rsidRPr="00943DFA">
              <w:rPr>
                <w:rFonts w:eastAsia="Times New Roman"/>
                <w:color w:val="0D0D0D" w:themeColor="text1" w:themeTint="F2"/>
                <w:sz w:val="20"/>
                <w:szCs w:val="18"/>
              </w:rPr>
              <w:br/>
              <w:t>(1.44)</w:t>
            </w:r>
          </w:p>
        </w:tc>
        <w:tc>
          <w:tcPr>
            <w:tcW w:w="627" w:type="dxa"/>
            <w:tcBorders>
              <w:top w:val="nil"/>
              <w:left w:val="nil"/>
              <w:bottom w:val="nil"/>
              <w:right w:val="nil"/>
            </w:tcBorders>
            <w:shd w:val="clear" w:color="auto" w:fill="auto"/>
            <w:vAlign w:val="center"/>
            <w:hideMark/>
          </w:tcPr>
          <w:p w14:paraId="25B73B8B"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01740C55"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0.034**</w:t>
            </w:r>
            <w:r w:rsidRPr="00943DFA">
              <w:rPr>
                <w:rFonts w:eastAsia="Times New Roman"/>
                <w:color w:val="0D0D0D" w:themeColor="text1" w:themeTint="F2"/>
                <w:sz w:val="20"/>
                <w:szCs w:val="18"/>
              </w:rPr>
              <w:br/>
              <w:t>(2.00)</w:t>
            </w:r>
          </w:p>
        </w:tc>
      </w:tr>
      <w:tr w:rsidR="00943DFA" w:rsidRPr="00943DFA" w14:paraId="0F34C00C" w14:textId="77777777" w:rsidTr="00373B60">
        <w:trPr>
          <w:trHeight w:val="480"/>
        </w:trPr>
        <w:tc>
          <w:tcPr>
            <w:tcW w:w="257" w:type="dxa"/>
            <w:tcBorders>
              <w:top w:val="nil"/>
              <w:left w:val="nil"/>
              <w:bottom w:val="nil"/>
              <w:right w:val="nil"/>
            </w:tcBorders>
            <w:shd w:val="clear" w:color="auto" w:fill="auto"/>
            <w:noWrap/>
            <w:vAlign w:val="bottom"/>
            <w:hideMark/>
          </w:tcPr>
          <w:p w14:paraId="7C622E37"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5D93EBB7"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Restructuring</w:t>
            </w:r>
          </w:p>
        </w:tc>
        <w:tc>
          <w:tcPr>
            <w:tcW w:w="1184" w:type="dxa"/>
            <w:tcBorders>
              <w:top w:val="nil"/>
              <w:left w:val="nil"/>
              <w:bottom w:val="nil"/>
              <w:right w:val="nil"/>
            </w:tcBorders>
            <w:shd w:val="clear" w:color="auto" w:fill="auto"/>
            <w:vAlign w:val="center"/>
            <w:hideMark/>
          </w:tcPr>
          <w:p w14:paraId="0EC6AF83"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-0.014</w:t>
            </w:r>
            <w:r w:rsidRPr="00943DFA">
              <w:rPr>
                <w:rFonts w:eastAsia="Times New Roman"/>
                <w:color w:val="0D0D0D" w:themeColor="text1" w:themeTint="F2"/>
                <w:sz w:val="20"/>
                <w:szCs w:val="18"/>
              </w:rPr>
              <w:br/>
              <w:t>(-0.10)</w:t>
            </w:r>
          </w:p>
        </w:tc>
        <w:tc>
          <w:tcPr>
            <w:tcW w:w="725" w:type="dxa"/>
            <w:tcBorders>
              <w:top w:val="nil"/>
              <w:left w:val="nil"/>
              <w:bottom w:val="nil"/>
              <w:right w:val="nil"/>
            </w:tcBorders>
            <w:shd w:val="clear" w:color="auto" w:fill="auto"/>
            <w:vAlign w:val="center"/>
            <w:hideMark/>
          </w:tcPr>
          <w:p w14:paraId="7747FADF"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1F70256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0.180</w:t>
            </w:r>
            <w:r w:rsidRPr="00943DFA">
              <w:rPr>
                <w:rFonts w:eastAsia="Times New Roman"/>
                <w:color w:val="0D0D0D" w:themeColor="text1" w:themeTint="F2"/>
                <w:sz w:val="20"/>
                <w:szCs w:val="18"/>
              </w:rPr>
              <w:br/>
              <w:t>(1.50)</w:t>
            </w:r>
          </w:p>
        </w:tc>
        <w:tc>
          <w:tcPr>
            <w:tcW w:w="689" w:type="dxa"/>
            <w:tcBorders>
              <w:top w:val="nil"/>
              <w:left w:val="nil"/>
              <w:bottom w:val="nil"/>
              <w:right w:val="nil"/>
            </w:tcBorders>
            <w:shd w:val="clear" w:color="auto" w:fill="auto"/>
            <w:vAlign w:val="center"/>
            <w:hideMark/>
          </w:tcPr>
          <w:p w14:paraId="2C5721DB"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25BA8EB3"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0.400</w:t>
            </w:r>
            <w:r w:rsidRPr="00943DFA">
              <w:rPr>
                <w:rFonts w:eastAsia="Times New Roman"/>
                <w:color w:val="0D0D0D" w:themeColor="text1" w:themeTint="F2"/>
                <w:sz w:val="20"/>
                <w:szCs w:val="18"/>
              </w:rPr>
              <w:br/>
              <w:t>(1.56)</w:t>
            </w:r>
          </w:p>
        </w:tc>
        <w:tc>
          <w:tcPr>
            <w:tcW w:w="627" w:type="dxa"/>
            <w:tcBorders>
              <w:top w:val="nil"/>
              <w:left w:val="nil"/>
              <w:bottom w:val="nil"/>
              <w:right w:val="nil"/>
            </w:tcBorders>
            <w:shd w:val="clear" w:color="auto" w:fill="auto"/>
            <w:vAlign w:val="center"/>
            <w:hideMark/>
          </w:tcPr>
          <w:p w14:paraId="01012F17"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2578327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0.181</w:t>
            </w:r>
            <w:r w:rsidRPr="00943DFA">
              <w:rPr>
                <w:rFonts w:eastAsia="Times New Roman"/>
                <w:color w:val="0D0D0D" w:themeColor="text1" w:themeTint="F2"/>
                <w:sz w:val="20"/>
                <w:szCs w:val="18"/>
              </w:rPr>
              <w:br/>
              <w:t>(1.44)</w:t>
            </w:r>
          </w:p>
        </w:tc>
      </w:tr>
      <w:tr w:rsidR="00943DFA" w:rsidRPr="00943DFA" w14:paraId="4FF0E787" w14:textId="77777777" w:rsidTr="00373B60">
        <w:trPr>
          <w:trHeight w:val="480"/>
        </w:trPr>
        <w:tc>
          <w:tcPr>
            <w:tcW w:w="257" w:type="dxa"/>
            <w:tcBorders>
              <w:top w:val="nil"/>
              <w:left w:val="nil"/>
              <w:bottom w:val="nil"/>
              <w:right w:val="nil"/>
            </w:tcBorders>
            <w:shd w:val="clear" w:color="auto" w:fill="auto"/>
            <w:noWrap/>
            <w:vAlign w:val="bottom"/>
            <w:hideMark/>
          </w:tcPr>
          <w:p w14:paraId="75B84FE7"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3ADE5AAD"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M&amp;A</w:t>
            </w:r>
          </w:p>
        </w:tc>
        <w:tc>
          <w:tcPr>
            <w:tcW w:w="1184" w:type="dxa"/>
            <w:tcBorders>
              <w:top w:val="nil"/>
              <w:left w:val="nil"/>
              <w:bottom w:val="nil"/>
              <w:right w:val="nil"/>
            </w:tcBorders>
            <w:shd w:val="clear" w:color="auto" w:fill="auto"/>
            <w:vAlign w:val="center"/>
            <w:hideMark/>
          </w:tcPr>
          <w:p w14:paraId="7F49638E"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-0.016</w:t>
            </w:r>
            <w:r w:rsidRPr="00943DFA">
              <w:rPr>
                <w:rFonts w:eastAsia="Times New Roman"/>
                <w:color w:val="0D0D0D" w:themeColor="text1" w:themeTint="F2"/>
                <w:sz w:val="20"/>
                <w:szCs w:val="18"/>
              </w:rPr>
              <w:br/>
              <w:t>(-0.21)</w:t>
            </w:r>
          </w:p>
        </w:tc>
        <w:tc>
          <w:tcPr>
            <w:tcW w:w="725" w:type="dxa"/>
            <w:tcBorders>
              <w:top w:val="nil"/>
              <w:left w:val="nil"/>
              <w:bottom w:val="nil"/>
              <w:right w:val="nil"/>
            </w:tcBorders>
            <w:shd w:val="clear" w:color="auto" w:fill="auto"/>
            <w:vAlign w:val="center"/>
            <w:hideMark/>
          </w:tcPr>
          <w:p w14:paraId="3D7D2E14"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065D99E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0.040</w:t>
            </w:r>
            <w:r w:rsidRPr="00943DFA">
              <w:rPr>
                <w:rFonts w:eastAsia="Times New Roman"/>
                <w:color w:val="0D0D0D" w:themeColor="text1" w:themeTint="F2"/>
                <w:sz w:val="20"/>
                <w:szCs w:val="18"/>
              </w:rPr>
              <w:br/>
              <w:t>(0.38)</w:t>
            </w:r>
          </w:p>
        </w:tc>
        <w:tc>
          <w:tcPr>
            <w:tcW w:w="689" w:type="dxa"/>
            <w:tcBorders>
              <w:top w:val="nil"/>
              <w:left w:val="nil"/>
              <w:bottom w:val="nil"/>
              <w:right w:val="nil"/>
            </w:tcBorders>
            <w:shd w:val="clear" w:color="auto" w:fill="auto"/>
            <w:vAlign w:val="center"/>
            <w:hideMark/>
          </w:tcPr>
          <w:p w14:paraId="4FE5BDDB"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3BB1685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0.399**</w:t>
            </w:r>
            <w:r w:rsidRPr="00943DFA">
              <w:rPr>
                <w:rFonts w:eastAsia="Times New Roman"/>
                <w:color w:val="0D0D0D" w:themeColor="text1" w:themeTint="F2"/>
                <w:sz w:val="20"/>
                <w:szCs w:val="18"/>
              </w:rPr>
              <w:br/>
              <w:t>(2.24)</w:t>
            </w:r>
          </w:p>
        </w:tc>
        <w:tc>
          <w:tcPr>
            <w:tcW w:w="627" w:type="dxa"/>
            <w:tcBorders>
              <w:top w:val="nil"/>
              <w:left w:val="nil"/>
              <w:bottom w:val="nil"/>
              <w:right w:val="nil"/>
            </w:tcBorders>
            <w:shd w:val="clear" w:color="auto" w:fill="auto"/>
            <w:vAlign w:val="center"/>
            <w:hideMark/>
          </w:tcPr>
          <w:p w14:paraId="1FFC3C54"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2AA325E1"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0.152*</w:t>
            </w:r>
            <w:r w:rsidRPr="00943DFA">
              <w:rPr>
                <w:rFonts w:eastAsia="Times New Roman"/>
                <w:color w:val="0D0D0D" w:themeColor="text1" w:themeTint="F2"/>
                <w:sz w:val="20"/>
                <w:szCs w:val="18"/>
              </w:rPr>
              <w:br/>
              <w:t>(1.75)</w:t>
            </w:r>
          </w:p>
        </w:tc>
      </w:tr>
      <w:tr w:rsidR="00943DFA" w:rsidRPr="00943DFA" w14:paraId="5817848C" w14:textId="77777777" w:rsidTr="00373B60">
        <w:trPr>
          <w:trHeight w:val="300"/>
        </w:trPr>
        <w:tc>
          <w:tcPr>
            <w:tcW w:w="9122" w:type="dxa"/>
            <w:gridSpan w:val="9"/>
            <w:tcBorders>
              <w:top w:val="nil"/>
              <w:left w:val="nil"/>
              <w:bottom w:val="nil"/>
              <w:right w:val="nil"/>
            </w:tcBorders>
            <w:shd w:val="clear" w:color="auto" w:fill="auto"/>
            <w:vAlign w:val="center"/>
            <w:hideMark/>
          </w:tcPr>
          <w:p w14:paraId="67EF081F" w14:textId="77777777" w:rsidR="00195130" w:rsidRPr="00943DFA" w:rsidRDefault="00195130" w:rsidP="00373B60">
            <w:pPr>
              <w:contextualSpacing/>
              <w:rPr>
                <w:rFonts w:eastAsia="Times New Roman"/>
                <w:b/>
                <w:bCs/>
                <w:color w:val="0D0D0D" w:themeColor="text1" w:themeTint="F2"/>
                <w:sz w:val="20"/>
                <w:szCs w:val="18"/>
              </w:rPr>
            </w:pPr>
            <w:r w:rsidRPr="00943DFA">
              <w:rPr>
                <w:rFonts w:eastAsia="Times New Roman"/>
                <w:b/>
                <w:bCs/>
                <w:color w:val="0D0D0D" w:themeColor="text1" w:themeTint="F2"/>
                <w:sz w:val="20"/>
                <w:szCs w:val="18"/>
              </w:rPr>
              <w:t>Financial health</w:t>
            </w:r>
          </w:p>
        </w:tc>
      </w:tr>
      <w:tr w:rsidR="00943DFA" w:rsidRPr="00943DFA" w14:paraId="0E3D3E37" w14:textId="77777777" w:rsidTr="00373B60">
        <w:trPr>
          <w:trHeight w:val="480"/>
        </w:trPr>
        <w:tc>
          <w:tcPr>
            <w:tcW w:w="257" w:type="dxa"/>
            <w:tcBorders>
              <w:top w:val="nil"/>
              <w:left w:val="nil"/>
              <w:bottom w:val="nil"/>
              <w:right w:val="nil"/>
            </w:tcBorders>
            <w:shd w:val="clear" w:color="auto" w:fill="auto"/>
            <w:noWrap/>
            <w:vAlign w:val="bottom"/>
            <w:hideMark/>
          </w:tcPr>
          <w:p w14:paraId="1944CF4B" w14:textId="77777777" w:rsidR="00195130" w:rsidRPr="00943DFA" w:rsidRDefault="00195130" w:rsidP="00373B60">
            <w:pPr>
              <w:contextualSpacing/>
              <w:rPr>
                <w:rFonts w:eastAsia="Times New Roman"/>
                <w:b/>
                <w:bCs/>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7FD14151"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Leverage</w:t>
            </w:r>
          </w:p>
        </w:tc>
        <w:tc>
          <w:tcPr>
            <w:tcW w:w="1184" w:type="dxa"/>
            <w:tcBorders>
              <w:top w:val="nil"/>
              <w:left w:val="nil"/>
              <w:bottom w:val="nil"/>
              <w:right w:val="nil"/>
            </w:tcBorders>
            <w:shd w:val="clear" w:color="auto" w:fill="auto"/>
            <w:vAlign w:val="center"/>
            <w:hideMark/>
          </w:tcPr>
          <w:p w14:paraId="19C3AEC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-0.002</w:t>
            </w:r>
            <w:r w:rsidRPr="00943DFA">
              <w:rPr>
                <w:rFonts w:eastAsia="Times New Roman"/>
                <w:color w:val="0D0D0D" w:themeColor="text1" w:themeTint="F2"/>
                <w:sz w:val="20"/>
                <w:szCs w:val="18"/>
              </w:rPr>
              <w:br/>
              <w:t>(-0.51)</w:t>
            </w:r>
          </w:p>
        </w:tc>
        <w:tc>
          <w:tcPr>
            <w:tcW w:w="725" w:type="dxa"/>
            <w:tcBorders>
              <w:top w:val="nil"/>
              <w:left w:val="nil"/>
              <w:bottom w:val="nil"/>
              <w:right w:val="nil"/>
            </w:tcBorders>
            <w:shd w:val="clear" w:color="auto" w:fill="auto"/>
            <w:vAlign w:val="center"/>
            <w:hideMark/>
          </w:tcPr>
          <w:p w14:paraId="03159105"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6D69162D"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(-0.21)</w:t>
            </w:r>
          </w:p>
        </w:tc>
        <w:tc>
          <w:tcPr>
            <w:tcW w:w="689" w:type="dxa"/>
            <w:tcBorders>
              <w:top w:val="nil"/>
              <w:left w:val="nil"/>
              <w:bottom w:val="nil"/>
              <w:right w:val="nil"/>
            </w:tcBorders>
            <w:shd w:val="clear" w:color="auto" w:fill="auto"/>
            <w:vAlign w:val="center"/>
            <w:hideMark/>
          </w:tcPr>
          <w:p w14:paraId="7384A060"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4209868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-0.004</w:t>
            </w:r>
            <w:r w:rsidRPr="00943DFA">
              <w:rPr>
                <w:rFonts w:eastAsia="Times New Roman"/>
                <w:color w:val="0D0D0D" w:themeColor="text1" w:themeTint="F2"/>
                <w:sz w:val="20"/>
                <w:szCs w:val="18"/>
              </w:rPr>
              <w:br/>
              <w:t>(-1.04)</w:t>
            </w:r>
          </w:p>
        </w:tc>
        <w:tc>
          <w:tcPr>
            <w:tcW w:w="627" w:type="dxa"/>
            <w:tcBorders>
              <w:top w:val="nil"/>
              <w:left w:val="nil"/>
              <w:bottom w:val="nil"/>
              <w:right w:val="nil"/>
            </w:tcBorders>
            <w:shd w:val="clear" w:color="auto" w:fill="auto"/>
            <w:vAlign w:val="center"/>
            <w:hideMark/>
          </w:tcPr>
          <w:p w14:paraId="027AA211"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35A8226B"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(-0.31)</w:t>
            </w:r>
          </w:p>
        </w:tc>
      </w:tr>
      <w:tr w:rsidR="00943DFA" w:rsidRPr="00943DFA" w14:paraId="0B0B1D90" w14:textId="77777777" w:rsidTr="00373B60">
        <w:trPr>
          <w:trHeight w:val="480"/>
        </w:trPr>
        <w:tc>
          <w:tcPr>
            <w:tcW w:w="257" w:type="dxa"/>
            <w:tcBorders>
              <w:top w:val="nil"/>
              <w:left w:val="nil"/>
              <w:bottom w:val="nil"/>
              <w:right w:val="nil"/>
            </w:tcBorders>
            <w:shd w:val="clear" w:color="auto" w:fill="auto"/>
            <w:noWrap/>
            <w:vAlign w:val="bottom"/>
            <w:hideMark/>
          </w:tcPr>
          <w:p w14:paraId="5E887834"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347853E2"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Z-score</w:t>
            </w:r>
          </w:p>
        </w:tc>
        <w:tc>
          <w:tcPr>
            <w:tcW w:w="1184" w:type="dxa"/>
            <w:tcBorders>
              <w:top w:val="nil"/>
              <w:left w:val="nil"/>
              <w:bottom w:val="nil"/>
              <w:right w:val="nil"/>
            </w:tcBorders>
            <w:shd w:val="clear" w:color="auto" w:fill="auto"/>
            <w:vAlign w:val="center"/>
            <w:hideMark/>
          </w:tcPr>
          <w:p w14:paraId="0736DBA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-0.003***</w:t>
            </w:r>
            <w:r w:rsidRPr="00943DFA">
              <w:rPr>
                <w:rFonts w:eastAsia="Times New Roman"/>
                <w:color w:val="0D0D0D" w:themeColor="text1" w:themeTint="F2"/>
                <w:sz w:val="20"/>
                <w:szCs w:val="18"/>
              </w:rPr>
              <w:br/>
              <w:t>(-7.50)</w:t>
            </w:r>
          </w:p>
        </w:tc>
        <w:tc>
          <w:tcPr>
            <w:tcW w:w="725" w:type="dxa"/>
            <w:tcBorders>
              <w:top w:val="nil"/>
              <w:left w:val="nil"/>
              <w:bottom w:val="nil"/>
              <w:right w:val="nil"/>
            </w:tcBorders>
            <w:shd w:val="clear" w:color="auto" w:fill="auto"/>
            <w:vAlign w:val="center"/>
            <w:hideMark/>
          </w:tcPr>
          <w:p w14:paraId="5E951AE9"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193651E9"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-0.002***</w:t>
            </w:r>
            <w:r w:rsidRPr="00943DFA">
              <w:rPr>
                <w:rFonts w:eastAsia="Times New Roman"/>
                <w:color w:val="0D0D0D" w:themeColor="text1" w:themeTint="F2"/>
                <w:sz w:val="20"/>
                <w:szCs w:val="18"/>
              </w:rPr>
              <w:br/>
              <w:t>(-6.01)</w:t>
            </w:r>
          </w:p>
        </w:tc>
        <w:tc>
          <w:tcPr>
            <w:tcW w:w="689" w:type="dxa"/>
            <w:tcBorders>
              <w:top w:val="nil"/>
              <w:left w:val="nil"/>
              <w:bottom w:val="nil"/>
              <w:right w:val="nil"/>
            </w:tcBorders>
            <w:shd w:val="clear" w:color="auto" w:fill="auto"/>
            <w:vAlign w:val="center"/>
            <w:hideMark/>
          </w:tcPr>
          <w:p w14:paraId="53F11562"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62CE443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-0.003*</w:t>
            </w:r>
            <w:r w:rsidRPr="00943DFA">
              <w:rPr>
                <w:rFonts w:eastAsia="Times New Roman"/>
                <w:color w:val="0D0D0D" w:themeColor="text1" w:themeTint="F2"/>
                <w:sz w:val="20"/>
                <w:szCs w:val="18"/>
              </w:rPr>
              <w:br/>
              <w:t>(-1.80)</w:t>
            </w:r>
          </w:p>
        </w:tc>
        <w:tc>
          <w:tcPr>
            <w:tcW w:w="627" w:type="dxa"/>
            <w:tcBorders>
              <w:top w:val="nil"/>
              <w:left w:val="nil"/>
              <w:bottom w:val="nil"/>
              <w:right w:val="nil"/>
            </w:tcBorders>
            <w:shd w:val="clear" w:color="auto" w:fill="auto"/>
            <w:vAlign w:val="center"/>
            <w:hideMark/>
          </w:tcPr>
          <w:p w14:paraId="1E1BD63D"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2CF696F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-0.003***</w:t>
            </w:r>
            <w:r w:rsidRPr="00943DFA">
              <w:rPr>
                <w:rFonts w:eastAsia="Times New Roman"/>
                <w:color w:val="0D0D0D" w:themeColor="text1" w:themeTint="F2"/>
                <w:sz w:val="20"/>
                <w:szCs w:val="18"/>
              </w:rPr>
              <w:br/>
              <w:t>(-3.99)</w:t>
            </w:r>
          </w:p>
        </w:tc>
      </w:tr>
      <w:tr w:rsidR="00943DFA" w:rsidRPr="00943DFA" w14:paraId="67C9949E" w14:textId="77777777" w:rsidTr="00373B60">
        <w:trPr>
          <w:trHeight w:val="480"/>
        </w:trPr>
        <w:tc>
          <w:tcPr>
            <w:tcW w:w="257" w:type="dxa"/>
            <w:tcBorders>
              <w:top w:val="nil"/>
              <w:left w:val="nil"/>
              <w:bottom w:val="nil"/>
              <w:right w:val="nil"/>
            </w:tcBorders>
            <w:shd w:val="clear" w:color="auto" w:fill="auto"/>
            <w:noWrap/>
            <w:vAlign w:val="bottom"/>
            <w:hideMark/>
          </w:tcPr>
          <w:p w14:paraId="4479D2E3"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109C2370"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Positive earnings</w:t>
            </w:r>
          </w:p>
        </w:tc>
        <w:tc>
          <w:tcPr>
            <w:tcW w:w="1184" w:type="dxa"/>
            <w:tcBorders>
              <w:top w:val="nil"/>
              <w:left w:val="nil"/>
              <w:bottom w:val="nil"/>
              <w:right w:val="nil"/>
            </w:tcBorders>
            <w:shd w:val="clear" w:color="auto" w:fill="auto"/>
            <w:vAlign w:val="center"/>
            <w:hideMark/>
          </w:tcPr>
          <w:p w14:paraId="5108326A"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0.123***</w:t>
            </w:r>
            <w:r w:rsidRPr="00943DFA">
              <w:rPr>
                <w:rFonts w:eastAsia="Times New Roman"/>
                <w:color w:val="0D0D0D" w:themeColor="text1" w:themeTint="F2"/>
                <w:sz w:val="20"/>
                <w:szCs w:val="18"/>
              </w:rPr>
              <w:br/>
              <w:t>(2.66)</w:t>
            </w:r>
          </w:p>
        </w:tc>
        <w:tc>
          <w:tcPr>
            <w:tcW w:w="725" w:type="dxa"/>
            <w:tcBorders>
              <w:top w:val="nil"/>
              <w:left w:val="nil"/>
              <w:bottom w:val="nil"/>
              <w:right w:val="nil"/>
            </w:tcBorders>
            <w:shd w:val="clear" w:color="auto" w:fill="auto"/>
            <w:vAlign w:val="center"/>
            <w:hideMark/>
          </w:tcPr>
          <w:p w14:paraId="4282E539"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32A097F2"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0.029</w:t>
            </w:r>
            <w:r w:rsidRPr="00943DFA">
              <w:rPr>
                <w:rFonts w:eastAsia="Times New Roman"/>
                <w:color w:val="0D0D0D" w:themeColor="text1" w:themeTint="F2"/>
                <w:sz w:val="20"/>
                <w:szCs w:val="18"/>
              </w:rPr>
              <w:br/>
              <w:t>(0.58)</w:t>
            </w:r>
          </w:p>
        </w:tc>
        <w:tc>
          <w:tcPr>
            <w:tcW w:w="689" w:type="dxa"/>
            <w:tcBorders>
              <w:top w:val="nil"/>
              <w:left w:val="nil"/>
              <w:bottom w:val="nil"/>
              <w:right w:val="nil"/>
            </w:tcBorders>
            <w:shd w:val="clear" w:color="auto" w:fill="auto"/>
            <w:vAlign w:val="center"/>
            <w:hideMark/>
          </w:tcPr>
          <w:p w14:paraId="55F1E964"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3C93904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0.128</w:t>
            </w:r>
            <w:r w:rsidRPr="00943DFA">
              <w:rPr>
                <w:rFonts w:eastAsia="Times New Roman"/>
                <w:color w:val="0D0D0D" w:themeColor="text1" w:themeTint="F2"/>
                <w:sz w:val="20"/>
                <w:szCs w:val="18"/>
              </w:rPr>
              <w:br/>
              <w:t>(1.15)</w:t>
            </w:r>
          </w:p>
        </w:tc>
        <w:tc>
          <w:tcPr>
            <w:tcW w:w="627" w:type="dxa"/>
            <w:tcBorders>
              <w:top w:val="nil"/>
              <w:left w:val="nil"/>
              <w:bottom w:val="nil"/>
              <w:right w:val="nil"/>
            </w:tcBorders>
            <w:shd w:val="clear" w:color="auto" w:fill="auto"/>
            <w:vAlign w:val="center"/>
            <w:hideMark/>
          </w:tcPr>
          <w:p w14:paraId="04138DD4"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7D34A5CD"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-0.01</w:t>
            </w:r>
            <w:r w:rsidRPr="00943DFA">
              <w:rPr>
                <w:rFonts w:eastAsia="Times New Roman"/>
                <w:color w:val="0D0D0D" w:themeColor="text1" w:themeTint="F2"/>
                <w:sz w:val="20"/>
                <w:szCs w:val="18"/>
              </w:rPr>
              <w:br/>
              <w:t>(-0.19)</w:t>
            </w:r>
          </w:p>
        </w:tc>
      </w:tr>
      <w:tr w:rsidR="00943DFA" w:rsidRPr="00943DFA" w14:paraId="047C0006" w14:textId="77777777" w:rsidTr="00373B60">
        <w:trPr>
          <w:trHeight w:val="480"/>
        </w:trPr>
        <w:tc>
          <w:tcPr>
            <w:tcW w:w="257" w:type="dxa"/>
            <w:tcBorders>
              <w:top w:val="nil"/>
              <w:left w:val="nil"/>
              <w:bottom w:val="nil"/>
              <w:right w:val="nil"/>
            </w:tcBorders>
            <w:shd w:val="clear" w:color="auto" w:fill="auto"/>
            <w:noWrap/>
            <w:vAlign w:val="bottom"/>
            <w:hideMark/>
          </w:tcPr>
          <w:p w14:paraId="3B576803"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233E032C"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External financing</w:t>
            </w:r>
          </w:p>
        </w:tc>
        <w:tc>
          <w:tcPr>
            <w:tcW w:w="1184" w:type="dxa"/>
            <w:tcBorders>
              <w:top w:val="nil"/>
              <w:left w:val="nil"/>
              <w:bottom w:val="nil"/>
              <w:right w:val="nil"/>
            </w:tcBorders>
            <w:shd w:val="clear" w:color="auto" w:fill="auto"/>
            <w:vAlign w:val="center"/>
            <w:hideMark/>
          </w:tcPr>
          <w:p w14:paraId="1D0C7EC9"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-0.079***</w:t>
            </w:r>
            <w:r w:rsidRPr="00943DFA">
              <w:rPr>
                <w:rFonts w:eastAsia="Times New Roman"/>
                <w:color w:val="0D0D0D" w:themeColor="text1" w:themeTint="F2"/>
                <w:sz w:val="20"/>
                <w:szCs w:val="18"/>
              </w:rPr>
              <w:br/>
              <w:t>(-4.23)</w:t>
            </w:r>
          </w:p>
        </w:tc>
        <w:tc>
          <w:tcPr>
            <w:tcW w:w="725" w:type="dxa"/>
            <w:tcBorders>
              <w:top w:val="nil"/>
              <w:left w:val="nil"/>
              <w:bottom w:val="nil"/>
              <w:right w:val="nil"/>
            </w:tcBorders>
            <w:shd w:val="clear" w:color="auto" w:fill="auto"/>
            <w:vAlign w:val="center"/>
            <w:hideMark/>
          </w:tcPr>
          <w:p w14:paraId="0368A9A8"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61415431"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-0.005</w:t>
            </w:r>
            <w:r w:rsidRPr="00943DFA">
              <w:rPr>
                <w:rFonts w:eastAsia="Times New Roman"/>
                <w:color w:val="0D0D0D" w:themeColor="text1" w:themeTint="F2"/>
                <w:sz w:val="20"/>
                <w:szCs w:val="18"/>
              </w:rPr>
              <w:br/>
              <w:t>(-0.18)</w:t>
            </w:r>
          </w:p>
        </w:tc>
        <w:tc>
          <w:tcPr>
            <w:tcW w:w="689" w:type="dxa"/>
            <w:tcBorders>
              <w:top w:val="nil"/>
              <w:left w:val="nil"/>
              <w:bottom w:val="nil"/>
              <w:right w:val="nil"/>
            </w:tcBorders>
            <w:shd w:val="clear" w:color="auto" w:fill="auto"/>
            <w:vAlign w:val="center"/>
            <w:hideMark/>
          </w:tcPr>
          <w:p w14:paraId="2247C48D"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364C2C8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0.001</w:t>
            </w:r>
            <w:r w:rsidRPr="00943DFA">
              <w:rPr>
                <w:rFonts w:eastAsia="Times New Roman"/>
                <w:color w:val="0D0D0D" w:themeColor="text1" w:themeTint="F2"/>
                <w:sz w:val="20"/>
                <w:szCs w:val="18"/>
              </w:rPr>
              <w:br/>
              <w:t>(0.00)</w:t>
            </w:r>
          </w:p>
        </w:tc>
        <w:tc>
          <w:tcPr>
            <w:tcW w:w="627" w:type="dxa"/>
            <w:tcBorders>
              <w:top w:val="nil"/>
              <w:left w:val="nil"/>
              <w:bottom w:val="nil"/>
              <w:right w:val="nil"/>
            </w:tcBorders>
            <w:shd w:val="clear" w:color="auto" w:fill="auto"/>
            <w:vAlign w:val="center"/>
            <w:hideMark/>
          </w:tcPr>
          <w:p w14:paraId="23548EE2"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7DFA402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-0.035</w:t>
            </w:r>
            <w:r w:rsidRPr="00943DFA">
              <w:rPr>
                <w:rFonts w:eastAsia="Times New Roman"/>
                <w:color w:val="0D0D0D" w:themeColor="text1" w:themeTint="F2"/>
                <w:sz w:val="20"/>
                <w:szCs w:val="18"/>
              </w:rPr>
              <w:br/>
              <w:t>(-0.69)</w:t>
            </w:r>
          </w:p>
        </w:tc>
      </w:tr>
      <w:tr w:rsidR="00943DFA" w:rsidRPr="00943DFA" w14:paraId="03C423BE" w14:textId="77777777" w:rsidTr="00373B60">
        <w:trPr>
          <w:trHeight w:val="300"/>
        </w:trPr>
        <w:tc>
          <w:tcPr>
            <w:tcW w:w="9122" w:type="dxa"/>
            <w:gridSpan w:val="9"/>
            <w:tcBorders>
              <w:top w:val="nil"/>
              <w:left w:val="nil"/>
              <w:bottom w:val="nil"/>
              <w:right w:val="nil"/>
            </w:tcBorders>
            <w:shd w:val="clear" w:color="auto" w:fill="auto"/>
            <w:vAlign w:val="center"/>
            <w:hideMark/>
          </w:tcPr>
          <w:p w14:paraId="2419905E" w14:textId="77777777" w:rsidR="00195130" w:rsidRPr="00943DFA" w:rsidRDefault="00195130" w:rsidP="00373B60">
            <w:pPr>
              <w:contextualSpacing/>
              <w:rPr>
                <w:rFonts w:eastAsia="Times New Roman"/>
                <w:b/>
                <w:bCs/>
                <w:color w:val="0D0D0D" w:themeColor="text1" w:themeTint="F2"/>
                <w:sz w:val="20"/>
                <w:szCs w:val="18"/>
              </w:rPr>
            </w:pPr>
            <w:r w:rsidRPr="00943DFA">
              <w:rPr>
                <w:rFonts w:eastAsia="Times New Roman"/>
                <w:b/>
                <w:bCs/>
                <w:color w:val="0D0D0D" w:themeColor="text1" w:themeTint="F2"/>
                <w:sz w:val="20"/>
                <w:szCs w:val="18"/>
              </w:rPr>
              <w:t>Auditor quality</w:t>
            </w:r>
          </w:p>
        </w:tc>
      </w:tr>
      <w:tr w:rsidR="00943DFA" w:rsidRPr="00943DFA" w14:paraId="12F3A06E" w14:textId="77777777" w:rsidTr="00373B60">
        <w:trPr>
          <w:trHeight w:val="480"/>
        </w:trPr>
        <w:tc>
          <w:tcPr>
            <w:tcW w:w="257" w:type="dxa"/>
            <w:tcBorders>
              <w:top w:val="nil"/>
              <w:left w:val="nil"/>
              <w:bottom w:val="nil"/>
              <w:right w:val="nil"/>
            </w:tcBorders>
            <w:shd w:val="clear" w:color="auto" w:fill="auto"/>
            <w:noWrap/>
            <w:vAlign w:val="bottom"/>
            <w:hideMark/>
          </w:tcPr>
          <w:p w14:paraId="169BEF57" w14:textId="77777777" w:rsidR="00195130" w:rsidRPr="00943DFA" w:rsidRDefault="00195130" w:rsidP="00373B60">
            <w:pPr>
              <w:contextualSpacing/>
              <w:rPr>
                <w:rFonts w:eastAsia="Times New Roman"/>
                <w:b/>
                <w:bCs/>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7739A2BC"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Big 4</w:t>
            </w:r>
          </w:p>
        </w:tc>
        <w:tc>
          <w:tcPr>
            <w:tcW w:w="1184" w:type="dxa"/>
            <w:tcBorders>
              <w:top w:val="nil"/>
              <w:left w:val="nil"/>
              <w:bottom w:val="nil"/>
              <w:right w:val="nil"/>
            </w:tcBorders>
            <w:shd w:val="clear" w:color="auto" w:fill="auto"/>
            <w:vAlign w:val="center"/>
            <w:hideMark/>
          </w:tcPr>
          <w:p w14:paraId="79250718"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-0.218***</w:t>
            </w:r>
            <w:r w:rsidRPr="00943DFA">
              <w:rPr>
                <w:rFonts w:eastAsia="Times New Roman"/>
                <w:color w:val="0D0D0D" w:themeColor="text1" w:themeTint="F2"/>
                <w:sz w:val="20"/>
                <w:szCs w:val="18"/>
              </w:rPr>
              <w:br/>
              <w:t>(-2.56)</w:t>
            </w:r>
          </w:p>
        </w:tc>
        <w:tc>
          <w:tcPr>
            <w:tcW w:w="725" w:type="dxa"/>
            <w:tcBorders>
              <w:top w:val="nil"/>
              <w:left w:val="nil"/>
              <w:bottom w:val="nil"/>
              <w:right w:val="nil"/>
            </w:tcBorders>
            <w:shd w:val="clear" w:color="auto" w:fill="auto"/>
            <w:vAlign w:val="center"/>
            <w:hideMark/>
          </w:tcPr>
          <w:p w14:paraId="1C8E2D37"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15695673"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-0.006</w:t>
            </w:r>
            <w:r w:rsidRPr="00943DFA">
              <w:rPr>
                <w:rFonts w:eastAsia="Times New Roman"/>
                <w:color w:val="0D0D0D" w:themeColor="text1" w:themeTint="F2"/>
                <w:sz w:val="20"/>
                <w:szCs w:val="18"/>
              </w:rPr>
              <w:br/>
              <w:t>(-0.08)</w:t>
            </w:r>
          </w:p>
        </w:tc>
        <w:tc>
          <w:tcPr>
            <w:tcW w:w="689" w:type="dxa"/>
            <w:tcBorders>
              <w:top w:val="nil"/>
              <w:left w:val="nil"/>
              <w:bottom w:val="nil"/>
              <w:right w:val="nil"/>
            </w:tcBorders>
            <w:shd w:val="clear" w:color="auto" w:fill="auto"/>
            <w:vAlign w:val="center"/>
            <w:hideMark/>
          </w:tcPr>
          <w:p w14:paraId="0526277D"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23C5923F"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-0.328**</w:t>
            </w:r>
            <w:r w:rsidRPr="00943DFA">
              <w:rPr>
                <w:rFonts w:eastAsia="Times New Roman"/>
                <w:color w:val="0D0D0D" w:themeColor="text1" w:themeTint="F2"/>
                <w:sz w:val="20"/>
                <w:szCs w:val="18"/>
              </w:rPr>
              <w:br/>
              <w:t>(-2.05)</w:t>
            </w:r>
          </w:p>
        </w:tc>
        <w:tc>
          <w:tcPr>
            <w:tcW w:w="627" w:type="dxa"/>
            <w:tcBorders>
              <w:top w:val="nil"/>
              <w:left w:val="nil"/>
              <w:bottom w:val="nil"/>
              <w:right w:val="nil"/>
            </w:tcBorders>
            <w:shd w:val="clear" w:color="auto" w:fill="auto"/>
            <w:vAlign w:val="center"/>
            <w:hideMark/>
          </w:tcPr>
          <w:p w14:paraId="6D883853"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1DE5C642"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0.016</w:t>
            </w:r>
            <w:r w:rsidRPr="00943DFA">
              <w:rPr>
                <w:rFonts w:eastAsia="Times New Roman"/>
                <w:color w:val="0D0D0D" w:themeColor="text1" w:themeTint="F2"/>
                <w:sz w:val="20"/>
                <w:szCs w:val="18"/>
              </w:rPr>
              <w:br/>
              <w:t>(0.25)</w:t>
            </w:r>
          </w:p>
        </w:tc>
      </w:tr>
      <w:tr w:rsidR="00943DFA" w:rsidRPr="00943DFA" w14:paraId="691FE197" w14:textId="77777777" w:rsidTr="00373B60">
        <w:trPr>
          <w:trHeight w:val="300"/>
        </w:trPr>
        <w:tc>
          <w:tcPr>
            <w:tcW w:w="9122" w:type="dxa"/>
            <w:gridSpan w:val="9"/>
            <w:tcBorders>
              <w:top w:val="nil"/>
              <w:left w:val="nil"/>
              <w:bottom w:val="nil"/>
              <w:right w:val="nil"/>
            </w:tcBorders>
            <w:shd w:val="clear" w:color="auto" w:fill="auto"/>
            <w:vAlign w:val="center"/>
            <w:hideMark/>
          </w:tcPr>
          <w:p w14:paraId="275E5642" w14:textId="77777777" w:rsidR="00195130" w:rsidRPr="00943DFA" w:rsidRDefault="00195130" w:rsidP="00373B60">
            <w:pPr>
              <w:contextualSpacing/>
              <w:rPr>
                <w:rFonts w:eastAsia="Times New Roman"/>
                <w:b/>
                <w:bCs/>
                <w:color w:val="0D0D0D" w:themeColor="text1" w:themeTint="F2"/>
                <w:sz w:val="20"/>
                <w:szCs w:val="18"/>
              </w:rPr>
            </w:pPr>
            <w:r w:rsidRPr="00943DFA">
              <w:rPr>
                <w:rFonts w:eastAsia="Times New Roman"/>
                <w:b/>
                <w:bCs/>
                <w:color w:val="0D0D0D" w:themeColor="text1" w:themeTint="F2"/>
                <w:sz w:val="20"/>
                <w:szCs w:val="18"/>
              </w:rPr>
              <w:t>Corporate governance quality</w:t>
            </w:r>
          </w:p>
        </w:tc>
      </w:tr>
      <w:tr w:rsidR="00943DFA" w:rsidRPr="00943DFA" w14:paraId="29AD4669" w14:textId="77777777" w:rsidTr="00373B60">
        <w:trPr>
          <w:trHeight w:val="480"/>
        </w:trPr>
        <w:tc>
          <w:tcPr>
            <w:tcW w:w="257" w:type="dxa"/>
            <w:tcBorders>
              <w:top w:val="nil"/>
              <w:left w:val="nil"/>
              <w:bottom w:val="nil"/>
              <w:right w:val="nil"/>
            </w:tcBorders>
            <w:shd w:val="clear" w:color="auto" w:fill="auto"/>
            <w:noWrap/>
            <w:vAlign w:val="bottom"/>
            <w:hideMark/>
          </w:tcPr>
          <w:p w14:paraId="071E3FDE" w14:textId="77777777" w:rsidR="00195130" w:rsidRPr="00943DFA" w:rsidRDefault="00195130" w:rsidP="00373B60">
            <w:pPr>
              <w:contextualSpacing/>
              <w:rPr>
                <w:rFonts w:eastAsia="Times New Roman"/>
                <w:b/>
                <w:bCs/>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2E84CB3E" w14:textId="77777777" w:rsidR="00195130" w:rsidRPr="00943DFA" w:rsidRDefault="00195130" w:rsidP="00373B60">
            <w:pPr>
              <w:contextualSpacing/>
              <w:rPr>
                <w:rFonts w:eastAsia="Times New Roman"/>
                <w:color w:val="0D0D0D" w:themeColor="text1" w:themeTint="F2"/>
                <w:sz w:val="20"/>
                <w:szCs w:val="18"/>
              </w:rPr>
            </w:pPr>
            <w:proofErr w:type="spellStart"/>
            <w:r w:rsidRPr="00943DFA">
              <w:rPr>
                <w:rFonts w:eastAsia="Times New Roman"/>
                <w:color w:val="0D0D0D" w:themeColor="text1" w:themeTint="F2"/>
                <w:sz w:val="20"/>
                <w:szCs w:val="18"/>
              </w:rPr>
              <w:t>CEOchairperson</w:t>
            </w:r>
            <w:proofErr w:type="spellEnd"/>
          </w:p>
        </w:tc>
        <w:tc>
          <w:tcPr>
            <w:tcW w:w="1184" w:type="dxa"/>
            <w:tcBorders>
              <w:top w:val="nil"/>
              <w:left w:val="nil"/>
              <w:bottom w:val="nil"/>
              <w:right w:val="nil"/>
            </w:tcBorders>
            <w:shd w:val="clear" w:color="auto" w:fill="auto"/>
            <w:vAlign w:val="center"/>
            <w:hideMark/>
          </w:tcPr>
          <w:p w14:paraId="3775C7B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0.044</w:t>
            </w:r>
            <w:r w:rsidRPr="00943DFA">
              <w:rPr>
                <w:rFonts w:eastAsia="Times New Roman"/>
                <w:color w:val="0D0D0D" w:themeColor="text1" w:themeTint="F2"/>
                <w:sz w:val="20"/>
                <w:szCs w:val="18"/>
              </w:rPr>
              <w:br/>
              <w:t>(0.71)</w:t>
            </w:r>
          </w:p>
        </w:tc>
        <w:tc>
          <w:tcPr>
            <w:tcW w:w="725" w:type="dxa"/>
            <w:tcBorders>
              <w:top w:val="nil"/>
              <w:left w:val="nil"/>
              <w:bottom w:val="nil"/>
              <w:right w:val="nil"/>
            </w:tcBorders>
            <w:shd w:val="clear" w:color="auto" w:fill="auto"/>
            <w:vAlign w:val="center"/>
            <w:hideMark/>
          </w:tcPr>
          <w:p w14:paraId="3C7B882E"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6A24183D"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0.044</w:t>
            </w:r>
            <w:r w:rsidRPr="00943DFA">
              <w:rPr>
                <w:rFonts w:eastAsia="Times New Roman"/>
                <w:color w:val="0D0D0D" w:themeColor="text1" w:themeTint="F2"/>
                <w:sz w:val="20"/>
                <w:szCs w:val="18"/>
              </w:rPr>
              <w:br/>
              <w:t>(0.58)</w:t>
            </w:r>
          </w:p>
        </w:tc>
        <w:tc>
          <w:tcPr>
            <w:tcW w:w="689" w:type="dxa"/>
            <w:tcBorders>
              <w:top w:val="nil"/>
              <w:left w:val="nil"/>
              <w:bottom w:val="nil"/>
              <w:right w:val="nil"/>
            </w:tcBorders>
            <w:shd w:val="clear" w:color="auto" w:fill="auto"/>
            <w:vAlign w:val="center"/>
            <w:hideMark/>
          </w:tcPr>
          <w:p w14:paraId="05C2B99A"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1A56E978"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-0.044</w:t>
            </w:r>
            <w:r w:rsidRPr="00943DFA">
              <w:rPr>
                <w:rFonts w:eastAsia="Times New Roman"/>
                <w:color w:val="0D0D0D" w:themeColor="text1" w:themeTint="F2"/>
                <w:sz w:val="20"/>
                <w:szCs w:val="18"/>
              </w:rPr>
              <w:br/>
              <w:t>(-0.59)</w:t>
            </w:r>
          </w:p>
        </w:tc>
        <w:tc>
          <w:tcPr>
            <w:tcW w:w="627" w:type="dxa"/>
            <w:tcBorders>
              <w:top w:val="nil"/>
              <w:left w:val="nil"/>
              <w:bottom w:val="nil"/>
              <w:right w:val="nil"/>
            </w:tcBorders>
            <w:shd w:val="clear" w:color="auto" w:fill="auto"/>
            <w:vAlign w:val="center"/>
            <w:hideMark/>
          </w:tcPr>
          <w:p w14:paraId="13474DA1"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3179D35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-0.025</w:t>
            </w:r>
            <w:r w:rsidRPr="00943DFA">
              <w:rPr>
                <w:rFonts w:eastAsia="Times New Roman"/>
                <w:color w:val="0D0D0D" w:themeColor="text1" w:themeTint="F2"/>
                <w:sz w:val="20"/>
                <w:szCs w:val="18"/>
              </w:rPr>
              <w:br/>
              <w:t>(-0.54)</w:t>
            </w:r>
          </w:p>
        </w:tc>
      </w:tr>
      <w:tr w:rsidR="00943DFA" w:rsidRPr="00943DFA" w14:paraId="1021AED6" w14:textId="77777777" w:rsidTr="00373B60">
        <w:trPr>
          <w:trHeight w:val="240"/>
        </w:trPr>
        <w:tc>
          <w:tcPr>
            <w:tcW w:w="257" w:type="dxa"/>
            <w:tcBorders>
              <w:top w:val="nil"/>
              <w:left w:val="nil"/>
              <w:bottom w:val="nil"/>
              <w:right w:val="nil"/>
            </w:tcBorders>
            <w:shd w:val="clear" w:color="auto" w:fill="auto"/>
            <w:noWrap/>
            <w:vAlign w:val="bottom"/>
            <w:hideMark/>
          </w:tcPr>
          <w:p w14:paraId="7772FE83"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119AD5AA" w14:textId="77777777" w:rsidR="00195130" w:rsidRPr="00943DFA" w:rsidRDefault="00195130" w:rsidP="00373B60">
            <w:pPr>
              <w:contextualSpacing/>
              <w:rPr>
                <w:rFonts w:eastAsia="Times New Roman"/>
                <w:color w:val="0D0D0D" w:themeColor="text1" w:themeTint="F2"/>
                <w:sz w:val="20"/>
                <w:szCs w:val="20"/>
              </w:rPr>
            </w:pPr>
          </w:p>
        </w:tc>
        <w:tc>
          <w:tcPr>
            <w:tcW w:w="1184" w:type="dxa"/>
            <w:tcBorders>
              <w:top w:val="nil"/>
              <w:left w:val="nil"/>
              <w:bottom w:val="nil"/>
              <w:right w:val="nil"/>
            </w:tcBorders>
            <w:shd w:val="clear" w:color="auto" w:fill="auto"/>
            <w:vAlign w:val="center"/>
            <w:hideMark/>
          </w:tcPr>
          <w:p w14:paraId="7C0387C9" w14:textId="77777777" w:rsidR="00195130" w:rsidRPr="00943DFA" w:rsidRDefault="00195130" w:rsidP="00373B60">
            <w:pPr>
              <w:contextualSpacing/>
              <w:rPr>
                <w:rFonts w:eastAsia="Times New Roman"/>
                <w:color w:val="0D0D0D" w:themeColor="text1" w:themeTint="F2"/>
                <w:sz w:val="20"/>
                <w:szCs w:val="20"/>
              </w:rPr>
            </w:pPr>
          </w:p>
        </w:tc>
        <w:tc>
          <w:tcPr>
            <w:tcW w:w="725" w:type="dxa"/>
            <w:tcBorders>
              <w:top w:val="nil"/>
              <w:left w:val="nil"/>
              <w:bottom w:val="nil"/>
              <w:right w:val="nil"/>
            </w:tcBorders>
            <w:shd w:val="clear" w:color="auto" w:fill="auto"/>
            <w:vAlign w:val="center"/>
            <w:hideMark/>
          </w:tcPr>
          <w:p w14:paraId="2E7D3098" w14:textId="77777777" w:rsidR="00195130" w:rsidRPr="00943DFA" w:rsidRDefault="00195130" w:rsidP="00373B60">
            <w:pPr>
              <w:contextualSpacing/>
              <w:jc w:val="center"/>
              <w:rPr>
                <w:rFonts w:eastAsia="Times New Roman"/>
                <w:color w:val="0D0D0D" w:themeColor="text1" w:themeTint="F2"/>
                <w:sz w:val="20"/>
                <w:szCs w:val="20"/>
              </w:rPr>
            </w:pPr>
          </w:p>
        </w:tc>
        <w:tc>
          <w:tcPr>
            <w:tcW w:w="1166" w:type="dxa"/>
            <w:tcBorders>
              <w:top w:val="nil"/>
              <w:left w:val="nil"/>
              <w:bottom w:val="nil"/>
              <w:right w:val="nil"/>
            </w:tcBorders>
            <w:shd w:val="clear" w:color="auto" w:fill="auto"/>
            <w:vAlign w:val="center"/>
            <w:hideMark/>
          </w:tcPr>
          <w:p w14:paraId="13BDF364" w14:textId="77777777" w:rsidR="00195130" w:rsidRPr="00943DFA" w:rsidRDefault="00195130" w:rsidP="00373B60">
            <w:pPr>
              <w:contextualSpacing/>
              <w:jc w:val="center"/>
              <w:rPr>
                <w:rFonts w:eastAsia="Times New Roman"/>
                <w:color w:val="0D0D0D" w:themeColor="text1" w:themeTint="F2"/>
                <w:sz w:val="20"/>
                <w:szCs w:val="20"/>
              </w:rPr>
            </w:pPr>
          </w:p>
        </w:tc>
        <w:tc>
          <w:tcPr>
            <w:tcW w:w="689" w:type="dxa"/>
            <w:tcBorders>
              <w:top w:val="nil"/>
              <w:left w:val="nil"/>
              <w:bottom w:val="nil"/>
              <w:right w:val="nil"/>
            </w:tcBorders>
            <w:shd w:val="clear" w:color="auto" w:fill="auto"/>
            <w:vAlign w:val="center"/>
            <w:hideMark/>
          </w:tcPr>
          <w:p w14:paraId="792EF155" w14:textId="77777777" w:rsidR="00195130" w:rsidRPr="00943DFA" w:rsidRDefault="00195130" w:rsidP="00373B60">
            <w:pPr>
              <w:contextualSpacing/>
              <w:jc w:val="center"/>
              <w:rPr>
                <w:rFonts w:eastAsia="Times New Roman"/>
                <w:color w:val="0D0D0D" w:themeColor="text1" w:themeTint="F2"/>
                <w:sz w:val="20"/>
                <w:szCs w:val="20"/>
              </w:rPr>
            </w:pPr>
          </w:p>
        </w:tc>
        <w:tc>
          <w:tcPr>
            <w:tcW w:w="1539" w:type="dxa"/>
            <w:tcBorders>
              <w:top w:val="nil"/>
              <w:left w:val="nil"/>
              <w:bottom w:val="nil"/>
              <w:right w:val="nil"/>
            </w:tcBorders>
            <w:shd w:val="clear" w:color="auto" w:fill="auto"/>
            <w:vAlign w:val="center"/>
            <w:hideMark/>
          </w:tcPr>
          <w:p w14:paraId="18ED37F4" w14:textId="77777777" w:rsidR="00195130" w:rsidRPr="00943DFA" w:rsidRDefault="00195130" w:rsidP="00373B60">
            <w:pPr>
              <w:contextualSpacing/>
              <w:jc w:val="center"/>
              <w:rPr>
                <w:rFonts w:eastAsia="Times New Roman"/>
                <w:color w:val="0D0D0D" w:themeColor="text1" w:themeTint="F2"/>
                <w:sz w:val="20"/>
                <w:szCs w:val="20"/>
              </w:rPr>
            </w:pPr>
          </w:p>
        </w:tc>
        <w:tc>
          <w:tcPr>
            <w:tcW w:w="627" w:type="dxa"/>
            <w:tcBorders>
              <w:top w:val="nil"/>
              <w:left w:val="nil"/>
              <w:bottom w:val="nil"/>
              <w:right w:val="nil"/>
            </w:tcBorders>
            <w:shd w:val="clear" w:color="auto" w:fill="auto"/>
            <w:vAlign w:val="center"/>
            <w:hideMark/>
          </w:tcPr>
          <w:p w14:paraId="5F8838AC" w14:textId="77777777" w:rsidR="00195130" w:rsidRPr="00943DFA" w:rsidRDefault="00195130" w:rsidP="00373B60">
            <w:pPr>
              <w:contextualSpacing/>
              <w:jc w:val="center"/>
              <w:rPr>
                <w:rFonts w:eastAsia="Times New Roman"/>
                <w:color w:val="0D0D0D" w:themeColor="text1" w:themeTint="F2"/>
                <w:sz w:val="20"/>
                <w:szCs w:val="20"/>
              </w:rPr>
            </w:pPr>
          </w:p>
        </w:tc>
        <w:tc>
          <w:tcPr>
            <w:tcW w:w="1177" w:type="dxa"/>
            <w:tcBorders>
              <w:top w:val="nil"/>
              <w:left w:val="nil"/>
              <w:bottom w:val="nil"/>
              <w:right w:val="nil"/>
            </w:tcBorders>
            <w:shd w:val="clear" w:color="auto" w:fill="auto"/>
            <w:vAlign w:val="center"/>
            <w:hideMark/>
          </w:tcPr>
          <w:p w14:paraId="07F2FEB2" w14:textId="77777777" w:rsidR="00195130" w:rsidRPr="00943DFA" w:rsidRDefault="00195130" w:rsidP="00373B60">
            <w:pPr>
              <w:contextualSpacing/>
              <w:jc w:val="center"/>
              <w:rPr>
                <w:rFonts w:eastAsia="Times New Roman"/>
                <w:color w:val="0D0D0D" w:themeColor="text1" w:themeTint="F2"/>
                <w:sz w:val="20"/>
                <w:szCs w:val="20"/>
              </w:rPr>
            </w:pPr>
          </w:p>
        </w:tc>
      </w:tr>
      <w:tr w:rsidR="00943DFA" w:rsidRPr="00943DFA" w14:paraId="55F03D56" w14:textId="77777777" w:rsidTr="00373B60">
        <w:trPr>
          <w:trHeight w:val="300"/>
        </w:trPr>
        <w:tc>
          <w:tcPr>
            <w:tcW w:w="257" w:type="dxa"/>
            <w:tcBorders>
              <w:top w:val="nil"/>
              <w:left w:val="nil"/>
              <w:bottom w:val="nil"/>
              <w:right w:val="nil"/>
            </w:tcBorders>
            <w:shd w:val="clear" w:color="auto" w:fill="auto"/>
            <w:noWrap/>
            <w:vAlign w:val="bottom"/>
            <w:hideMark/>
          </w:tcPr>
          <w:p w14:paraId="773CF5BF" w14:textId="77777777" w:rsidR="00195130" w:rsidRPr="00943DFA" w:rsidRDefault="00195130" w:rsidP="00373B60">
            <w:pPr>
              <w:contextualSpacing/>
              <w:jc w:val="center"/>
              <w:rPr>
                <w:rFonts w:eastAsia="Times New Roman"/>
                <w:color w:val="0D0D0D" w:themeColor="text1" w:themeTint="F2"/>
                <w:sz w:val="20"/>
                <w:szCs w:val="20"/>
              </w:rPr>
            </w:pPr>
          </w:p>
        </w:tc>
        <w:tc>
          <w:tcPr>
            <w:tcW w:w="1758" w:type="dxa"/>
            <w:tcBorders>
              <w:top w:val="nil"/>
              <w:left w:val="nil"/>
              <w:bottom w:val="nil"/>
              <w:right w:val="nil"/>
            </w:tcBorders>
            <w:shd w:val="clear" w:color="auto" w:fill="auto"/>
            <w:vAlign w:val="center"/>
            <w:hideMark/>
          </w:tcPr>
          <w:p w14:paraId="78AC8E74"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FE year</w:t>
            </w:r>
          </w:p>
        </w:tc>
        <w:tc>
          <w:tcPr>
            <w:tcW w:w="1184" w:type="dxa"/>
            <w:tcBorders>
              <w:top w:val="nil"/>
              <w:left w:val="nil"/>
              <w:bottom w:val="nil"/>
              <w:right w:val="nil"/>
            </w:tcBorders>
            <w:shd w:val="clear" w:color="auto" w:fill="auto"/>
            <w:vAlign w:val="center"/>
            <w:hideMark/>
          </w:tcPr>
          <w:p w14:paraId="0EE1F1E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c>
          <w:tcPr>
            <w:tcW w:w="725" w:type="dxa"/>
            <w:tcBorders>
              <w:top w:val="nil"/>
              <w:left w:val="nil"/>
              <w:bottom w:val="nil"/>
              <w:right w:val="nil"/>
            </w:tcBorders>
            <w:shd w:val="clear" w:color="auto" w:fill="auto"/>
            <w:vAlign w:val="center"/>
            <w:hideMark/>
          </w:tcPr>
          <w:p w14:paraId="0D09E4D7"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4F9CCF3E"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c>
          <w:tcPr>
            <w:tcW w:w="689" w:type="dxa"/>
            <w:tcBorders>
              <w:top w:val="nil"/>
              <w:left w:val="nil"/>
              <w:bottom w:val="nil"/>
              <w:right w:val="nil"/>
            </w:tcBorders>
            <w:shd w:val="clear" w:color="auto" w:fill="auto"/>
            <w:vAlign w:val="center"/>
            <w:hideMark/>
          </w:tcPr>
          <w:p w14:paraId="4DC74DC5"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71FF6D02"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c>
          <w:tcPr>
            <w:tcW w:w="627" w:type="dxa"/>
            <w:tcBorders>
              <w:top w:val="nil"/>
              <w:left w:val="nil"/>
              <w:bottom w:val="nil"/>
              <w:right w:val="nil"/>
            </w:tcBorders>
            <w:shd w:val="clear" w:color="auto" w:fill="auto"/>
            <w:vAlign w:val="center"/>
            <w:hideMark/>
          </w:tcPr>
          <w:p w14:paraId="6F05DBE3"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4ED17E89"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r>
      <w:tr w:rsidR="00943DFA" w:rsidRPr="00943DFA" w14:paraId="4D971E86" w14:textId="77777777" w:rsidTr="00373B60">
        <w:trPr>
          <w:trHeight w:val="300"/>
        </w:trPr>
        <w:tc>
          <w:tcPr>
            <w:tcW w:w="257" w:type="dxa"/>
            <w:tcBorders>
              <w:top w:val="nil"/>
              <w:left w:val="nil"/>
              <w:bottom w:val="nil"/>
              <w:right w:val="nil"/>
            </w:tcBorders>
            <w:shd w:val="clear" w:color="auto" w:fill="auto"/>
            <w:noWrap/>
            <w:vAlign w:val="bottom"/>
            <w:hideMark/>
          </w:tcPr>
          <w:p w14:paraId="7C6DF7D6"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21C9C6A7"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FE industry</w:t>
            </w:r>
          </w:p>
        </w:tc>
        <w:tc>
          <w:tcPr>
            <w:tcW w:w="1184" w:type="dxa"/>
            <w:tcBorders>
              <w:top w:val="nil"/>
              <w:left w:val="nil"/>
              <w:bottom w:val="nil"/>
              <w:right w:val="nil"/>
            </w:tcBorders>
            <w:shd w:val="clear" w:color="auto" w:fill="auto"/>
            <w:vAlign w:val="center"/>
            <w:hideMark/>
          </w:tcPr>
          <w:p w14:paraId="54D6BC86"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c>
          <w:tcPr>
            <w:tcW w:w="725" w:type="dxa"/>
            <w:tcBorders>
              <w:top w:val="nil"/>
              <w:left w:val="nil"/>
              <w:bottom w:val="nil"/>
              <w:right w:val="nil"/>
            </w:tcBorders>
            <w:shd w:val="clear" w:color="auto" w:fill="auto"/>
            <w:vAlign w:val="center"/>
            <w:hideMark/>
          </w:tcPr>
          <w:p w14:paraId="4D0B41F0"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43ED652F"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c>
          <w:tcPr>
            <w:tcW w:w="689" w:type="dxa"/>
            <w:tcBorders>
              <w:top w:val="nil"/>
              <w:left w:val="nil"/>
              <w:bottom w:val="nil"/>
              <w:right w:val="nil"/>
            </w:tcBorders>
            <w:shd w:val="clear" w:color="auto" w:fill="auto"/>
            <w:vAlign w:val="center"/>
            <w:hideMark/>
          </w:tcPr>
          <w:p w14:paraId="054FA37B"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5B3F4C45"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c>
          <w:tcPr>
            <w:tcW w:w="627" w:type="dxa"/>
            <w:tcBorders>
              <w:top w:val="nil"/>
              <w:left w:val="nil"/>
              <w:bottom w:val="nil"/>
              <w:right w:val="nil"/>
            </w:tcBorders>
            <w:shd w:val="clear" w:color="auto" w:fill="auto"/>
            <w:vAlign w:val="center"/>
            <w:hideMark/>
          </w:tcPr>
          <w:p w14:paraId="265DE1D0"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7AACADDE"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Included</w:t>
            </w:r>
          </w:p>
        </w:tc>
      </w:tr>
      <w:tr w:rsidR="00943DFA" w:rsidRPr="00943DFA" w14:paraId="1132984F" w14:textId="77777777" w:rsidTr="00373B60">
        <w:trPr>
          <w:trHeight w:val="300"/>
        </w:trPr>
        <w:tc>
          <w:tcPr>
            <w:tcW w:w="257" w:type="dxa"/>
            <w:tcBorders>
              <w:top w:val="nil"/>
              <w:left w:val="nil"/>
              <w:bottom w:val="nil"/>
              <w:right w:val="nil"/>
            </w:tcBorders>
            <w:shd w:val="clear" w:color="auto" w:fill="auto"/>
            <w:noWrap/>
            <w:vAlign w:val="bottom"/>
            <w:hideMark/>
          </w:tcPr>
          <w:p w14:paraId="397AE4B4" w14:textId="77777777" w:rsidR="00195130" w:rsidRPr="00943DFA" w:rsidRDefault="00195130" w:rsidP="00373B60">
            <w:pPr>
              <w:contextualSpacing/>
              <w:jc w:val="center"/>
              <w:rPr>
                <w:rFonts w:eastAsia="Times New Roman"/>
                <w:color w:val="0D0D0D" w:themeColor="text1" w:themeTint="F2"/>
                <w:sz w:val="20"/>
                <w:szCs w:val="18"/>
              </w:rPr>
            </w:pPr>
          </w:p>
        </w:tc>
        <w:tc>
          <w:tcPr>
            <w:tcW w:w="1758" w:type="dxa"/>
            <w:tcBorders>
              <w:top w:val="nil"/>
              <w:left w:val="nil"/>
              <w:bottom w:val="nil"/>
              <w:right w:val="nil"/>
            </w:tcBorders>
            <w:shd w:val="clear" w:color="auto" w:fill="auto"/>
            <w:vAlign w:val="center"/>
            <w:hideMark/>
          </w:tcPr>
          <w:p w14:paraId="3AA4A80E" w14:textId="77777777" w:rsidR="00195130" w:rsidRPr="00943DFA" w:rsidRDefault="00195130" w:rsidP="00373B60">
            <w:pPr>
              <w:contextualSpacing/>
              <w:rPr>
                <w:rFonts w:eastAsia="Times New Roman"/>
                <w:color w:val="0D0D0D" w:themeColor="text1" w:themeTint="F2"/>
                <w:sz w:val="20"/>
                <w:szCs w:val="20"/>
              </w:rPr>
            </w:pPr>
          </w:p>
        </w:tc>
        <w:tc>
          <w:tcPr>
            <w:tcW w:w="1184" w:type="dxa"/>
            <w:tcBorders>
              <w:top w:val="nil"/>
              <w:left w:val="nil"/>
              <w:bottom w:val="nil"/>
              <w:right w:val="nil"/>
            </w:tcBorders>
            <w:shd w:val="clear" w:color="auto" w:fill="auto"/>
            <w:vAlign w:val="center"/>
            <w:hideMark/>
          </w:tcPr>
          <w:p w14:paraId="59CFF2AE" w14:textId="77777777" w:rsidR="00195130" w:rsidRPr="00943DFA" w:rsidRDefault="00195130" w:rsidP="00373B60">
            <w:pPr>
              <w:contextualSpacing/>
              <w:rPr>
                <w:rFonts w:eastAsia="Times New Roman"/>
                <w:color w:val="0D0D0D" w:themeColor="text1" w:themeTint="F2"/>
                <w:sz w:val="20"/>
                <w:szCs w:val="20"/>
              </w:rPr>
            </w:pPr>
          </w:p>
        </w:tc>
        <w:tc>
          <w:tcPr>
            <w:tcW w:w="725" w:type="dxa"/>
            <w:tcBorders>
              <w:top w:val="nil"/>
              <w:left w:val="nil"/>
              <w:bottom w:val="nil"/>
              <w:right w:val="nil"/>
            </w:tcBorders>
            <w:shd w:val="clear" w:color="auto" w:fill="auto"/>
            <w:vAlign w:val="center"/>
            <w:hideMark/>
          </w:tcPr>
          <w:p w14:paraId="199DF5FF" w14:textId="77777777" w:rsidR="00195130" w:rsidRPr="00943DFA" w:rsidRDefault="00195130" w:rsidP="00373B60">
            <w:pPr>
              <w:contextualSpacing/>
              <w:jc w:val="center"/>
              <w:rPr>
                <w:rFonts w:eastAsia="Times New Roman"/>
                <w:color w:val="0D0D0D" w:themeColor="text1" w:themeTint="F2"/>
                <w:sz w:val="20"/>
                <w:szCs w:val="20"/>
              </w:rPr>
            </w:pPr>
          </w:p>
        </w:tc>
        <w:tc>
          <w:tcPr>
            <w:tcW w:w="1166" w:type="dxa"/>
            <w:tcBorders>
              <w:top w:val="nil"/>
              <w:left w:val="nil"/>
              <w:bottom w:val="nil"/>
              <w:right w:val="nil"/>
            </w:tcBorders>
            <w:shd w:val="clear" w:color="auto" w:fill="auto"/>
            <w:vAlign w:val="center"/>
            <w:hideMark/>
          </w:tcPr>
          <w:p w14:paraId="5BF309FB" w14:textId="77777777" w:rsidR="00195130" w:rsidRPr="00943DFA" w:rsidRDefault="00195130" w:rsidP="00373B60">
            <w:pPr>
              <w:contextualSpacing/>
              <w:jc w:val="center"/>
              <w:rPr>
                <w:rFonts w:eastAsia="Times New Roman"/>
                <w:color w:val="0D0D0D" w:themeColor="text1" w:themeTint="F2"/>
                <w:sz w:val="20"/>
                <w:szCs w:val="20"/>
              </w:rPr>
            </w:pPr>
          </w:p>
        </w:tc>
        <w:tc>
          <w:tcPr>
            <w:tcW w:w="689" w:type="dxa"/>
            <w:tcBorders>
              <w:top w:val="nil"/>
              <w:left w:val="nil"/>
              <w:bottom w:val="nil"/>
              <w:right w:val="nil"/>
            </w:tcBorders>
            <w:shd w:val="clear" w:color="auto" w:fill="auto"/>
            <w:vAlign w:val="center"/>
            <w:hideMark/>
          </w:tcPr>
          <w:p w14:paraId="15D2D3ED" w14:textId="77777777" w:rsidR="00195130" w:rsidRPr="00943DFA" w:rsidRDefault="00195130" w:rsidP="00373B60">
            <w:pPr>
              <w:contextualSpacing/>
              <w:jc w:val="center"/>
              <w:rPr>
                <w:rFonts w:eastAsia="Times New Roman"/>
                <w:color w:val="0D0D0D" w:themeColor="text1" w:themeTint="F2"/>
                <w:sz w:val="20"/>
                <w:szCs w:val="20"/>
              </w:rPr>
            </w:pPr>
          </w:p>
        </w:tc>
        <w:tc>
          <w:tcPr>
            <w:tcW w:w="1539" w:type="dxa"/>
            <w:tcBorders>
              <w:top w:val="nil"/>
              <w:left w:val="nil"/>
              <w:bottom w:val="nil"/>
              <w:right w:val="nil"/>
            </w:tcBorders>
            <w:shd w:val="clear" w:color="auto" w:fill="auto"/>
            <w:vAlign w:val="center"/>
            <w:hideMark/>
          </w:tcPr>
          <w:p w14:paraId="5418FA98" w14:textId="77777777" w:rsidR="00195130" w:rsidRPr="00943DFA" w:rsidRDefault="00195130" w:rsidP="00373B60">
            <w:pPr>
              <w:contextualSpacing/>
              <w:jc w:val="center"/>
              <w:rPr>
                <w:rFonts w:eastAsia="Times New Roman"/>
                <w:color w:val="0D0D0D" w:themeColor="text1" w:themeTint="F2"/>
                <w:sz w:val="20"/>
                <w:szCs w:val="20"/>
              </w:rPr>
            </w:pPr>
          </w:p>
        </w:tc>
        <w:tc>
          <w:tcPr>
            <w:tcW w:w="627" w:type="dxa"/>
            <w:tcBorders>
              <w:top w:val="nil"/>
              <w:left w:val="nil"/>
              <w:bottom w:val="nil"/>
              <w:right w:val="nil"/>
            </w:tcBorders>
            <w:shd w:val="clear" w:color="auto" w:fill="auto"/>
            <w:vAlign w:val="center"/>
            <w:hideMark/>
          </w:tcPr>
          <w:p w14:paraId="5D528EB4" w14:textId="77777777" w:rsidR="00195130" w:rsidRPr="00943DFA" w:rsidRDefault="00195130" w:rsidP="00373B60">
            <w:pPr>
              <w:contextualSpacing/>
              <w:jc w:val="center"/>
              <w:rPr>
                <w:rFonts w:eastAsia="Times New Roman"/>
                <w:color w:val="0D0D0D" w:themeColor="text1" w:themeTint="F2"/>
                <w:sz w:val="20"/>
                <w:szCs w:val="20"/>
              </w:rPr>
            </w:pPr>
          </w:p>
        </w:tc>
        <w:tc>
          <w:tcPr>
            <w:tcW w:w="1177" w:type="dxa"/>
            <w:tcBorders>
              <w:top w:val="nil"/>
              <w:left w:val="nil"/>
              <w:bottom w:val="nil"/>
              <w:right w:val="nil"/>
            </w:tcBorders>
            <w:shd w:val="clear" w:color="auto" w:fill="auto"/>
            <w:vAlign w:val="center"/>
            <w:hideMark/>
          </w:tcPr>
          <w:p w14:paraId="43398866" w14:textId="77777777" w:rsidR="00195130" w:rsidRPr="00943DFA" w:rsidRDefault="00195130" w:rsidP="00373B60">
            <w:pPr>
              <w:contextualSpacing/>
              <w:jc w:val="center"/>
              <w:rPr>
                <w:rFonts w:eastAsia="Times New Roman"/>
                <w:color w:val="0D0D0D" w:themeColor="text1" w:themeTint="F2"/>
                <w:sz w:val="20"/>
                <w:szCs w:val="20"/>
              </w:rPr>
            </w:pPr>
          </w:p>
        </w:tc>
      </w:tr>
      <w:tr w:rsidR="00943DFA" w:rsidRPr="00943DFA" w14:paraId="781A9DAD" w14:textId="77777777" w:rsidTr="00373B60">
        <w:trPr>
          <w:trHeight w:val="240"/>
        </w:trPr>
        <w:tc>
          <w:tcPr>
            <w:tcW w:w="257" w:type="dxa"/>
            <w:tcBorders>
              <w:top w:val="nil"/>
              <w:left w:val="nil"/>
              <w:bottom w:val="nil"/>
              <w:right w:val="nil"/>
            </w:tcBorders>
            <w:shd w:val="clear" w:color="auto" w:fill="auto"/>
            <w:noWrap/>
            <w:vAlign w:val="bottom"/>
            <w:hideMark/>
          </w:tcPr>
          <w:p w14:paraId="5D09CDB6" w14:textId="77777777" w:rsidR="00195130" w:rsidRPr="00943DFA" w:rsidRDefault="00195130" w:rsidP="00373B60">
            <w:pPr>
              <w:contextualSpacing/>
              <w:jc w:val="center"/>
              <w:rPr>
                <w:rFonts w:eastAsia="Times New Roman"/>
                <w:color w:val="0D0D0D" w:themeColor="text1" w:themeTint="F2"/>
                <w:sz w:val="20"/>
                <w:szCs w:val="20"/>
              </w:rPr>
            </w:pPr>
          </w:p>
        </w:tc>
        <w:tc>
          <w:tcPr>
            <w:tcW w:w="1758" w:type="dxa"/>
            <w:tcBorders>
              <w:top w:val="nil"/>
              <w:left w:val="nil"/>
              <w:bottom w:val="nil"/>
              <w:right w:val="nil"/>
            </w:tcBorders>
            <w:shd w:val="clear" w:color="auto" w:fill="auto"/>
            <w:vAlign w:val="center"/>
            <w:hideMark/>
          </w:tcPr>
          <w:p w14:paraId="5C25B61A"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N</w:t>
            </w:r>
          </w:p>
        </w:tc>
        <w:tc>
          <w:tcPr>
            <w:tcW w:w="1184" w:type="dxa"/>
            <w:tcBorders>
              <w:top w:val="nil"/>
              <w:left w:val="nil"/>
              <w:bottom w:val="nil"/>
              <w:right w:val="nil"/>
            </w:tcBorders>
            <w:shd w:val="clear" w:color="auto" w:fill="auto"/>
            <w:vAlign w:val="center"/>
            <w:hideMark/>
          </w:tcPr>
          <w:p w14:paraId="2DC7EE5F"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455</w:t>
            </w:r>
          </w:p>
        </w:tc>
        <w:tc>
          <w:tcPr>
            <w:tcW w:w="725" w:type="dxa"/>
            <w:tcBorders>
              <w:top w:val="nil"/>
              <w:left w:val="nil"/>
              <w:bottom w:val="nil"/>
              <w:right w:val="nil"/>
            </w:tcBorders>
            <w:shd w:val="clear" w:color="auto" w:fill="auto"/>
            <w:vAlign w:val="center"/>
            <w:hideMark/>
          </w:tcPr>
          <w:p w14:paraId="6A106DB4" w14:textId="77777777" w:rsidR="00195130" w:rsidRPr="00943DFA" w:rsidRDefault="00195130" w:rsidP="00373B60">
            <w:pPr>
              <w:contextualSpacing/>
              <w:jc w:val="center"/>
              <w:rPr>
                <w:rFonts w:eastAsia="Times New Roman"/>
                <w:color w:val="0D0D0D" w:themeColor="text1" w:themeTint="F2"/>
                <w:sz w:val="20"/>
                <w:szCs w:val="18"/>
              </w:rPr>
            </w:pPr>
          </w:p>
        </w:tc>
        <w:tc>
          <w:tcPr>
            <w:tcW w:w="1166" w:type="dxa"/>
            <w:tcBorders>
              <w:top w:val="nil"/>
              <w:left w:val="nil"/>
              <w:bottom w:val="nil"/>
              <w:right w:val="nil"/>
            </w:tcBorders>
            <w:shd w:val="clear" w:color="auto" w:fill="auto"/>
            <w:vAlign w:val="center"/>
            <w:hideMark/>
          </w:tcPr>
          <w:p w14:paraId="134D7F4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455</w:t>
            </w:r>
          </w:p>
        </w:tc>
        <w:tc>
          <w:tcPr>
            <w:tcW w:w="689" w:type="dxa"/>
            <w:tcBorders>
              <w:top w:val="nil"/>
              <w:left w:val="nil"/>
              <w:bottom w:val="nil"/>
              <w:right w:val="nil"/>
            </w:tcBorders>
            <w:shd w:val="clear" w:color="auto" w:fill="auto"/>
            <w:vAlign w:val="center"/>
            <w:hideMark/>
          </w:tcPr>
          <w:p w14:paraId="1F180442" w14:textId="77777777" w:rsidR="00195130" w:rsidRPr="00943DFA" w:rsidRDefault="00195130" w:rsidP="00373B60">
            <w:pPr>
              <w:contextualSpacing/>
              <w:jc w:val="center"/>
              <w:rPr>
                <w:rFonts w:eastAsia="Times New Roman"/>
                <w:color w:val="0D0D0D" w:themeColor="text1" w:themeTint="F2"/>
                <w:sz w:val="20"/>
                <w:szCs w:val="18"/>
              </w:rPr>
            </w:pPr>
          </w:p>
        </w:tc>
        <w:tc>
          <w:tcPr>
            <w:tcW w:w="1539" w:type="dxa"/>
            <w:tcBorders>
              <w:top w:val="nil"/>
              <w:left w:val="nil"/>
              <w:bottom w:val="nil"/>
              <w:right w:val="nil"/>
            </w:tcBorders>
            <w:shd w:val="clear" w:color="auto" w:fill="auto"/>
            <w:vAlign w:val="center"/>
            <w:hideMark/>
          </w:tcPr>
          <w:p w14:paraId="7768266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455</w:t>
            </w:r>
          </w:p>
        </w:tc>
        <w:tc>
          <w:tcPr>
            <w:tcW w:w="627" w:type="dxa"/>
            <w:tcBorders>
              <w:top w:val="nil"/>
              <w:left w:val="nil"/>
              <w:bottom w:val="nil"/>
              <w:right w:val="nil"/>
            </w:tcBorders>
            <w:shd w:val="clear" w:color="auto" w:fill="auto"/>
            <w:vAlign w:val="center"/>
            <w:hideMark/>
          </w:tcPr>
          <w:p w14:paraId="71970441" w14:textId="77777777" w:rsidR="00195130" w:rsidRPr="00943DFA" w:rsidRDefault="00195130" w:rsidP="00373B60">
            <w:pPr>
              <w:contextualSpacing/>
              <w:jc w:val="center"/>
              <w:rPr>
                <w:rFonts w:eastAsia="Times New Roman"/>
                <w:color w:val="0D0D0D" w:themeColor="text1" w:themeTint="F2"/>
                <w:sz w:val="20"/>
                <w:szCs w:val="18"/>
              </w:rPr>
            </w:pPr>
          </w:p>
        </w:tc>
        <w:tc>
          <w:tcPr>
            <w:tcW w:w="1177" w:type="dxa"/>
            <w:tcBorders>
              <w:top w:val="nil"/>
              <w:left w:val="nil"/>
              <w:bottom w:val="nil"/>
              <w:right w:val="nil"/>
            </w:tcBorders>
            <w:shd w:val="clear" w:color="auto" w:fill="auto"/>
            <w:vAlign w:val="center"/>
            <w:hideMark/>
          </w:tcPr>
          <w:p w14:paraId="498B17BE"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455</w:t>
            </w:r>
          </w:p>
        </w:tc>
      </w:tr>
      <w:tr w:rsidR="00943DFA" w:rsidRPr="00943DFA" w14:paraId="463EF39F" w14:textId="77777777" w:rsidTr="00373B60">
        <w:trPr>
          <w:trHeight w:val="345"/>
        </w:trPr>
        <w:tc>
          <w:tcPr>
            <w:tcW w:w="257" w:type="dxa"/>
            <w:tcBorders>
              <w:top w:val="nil"/>
              <w:left w:val="nil"/>
              <w:bottom w:val="single" w:sz="4" w:space="0" w:color="auto"/>
              <w:right w:val="nil"/>
            </w:tcBorders>
            <w:shd w:val="clear" w:color="auto" w:fill="auto"/>
            <w:noWrap/>
            <w:vAlign w:val="bottom"/>
            <w:hideMark/>
          </w:tcPr>
          <w:p w14:paraId="301FE4E5" w14:textId="77777777" w:rsidR="00195130" w:rsidRPr="00943DFA" w:rsidRDefault="00195130" w:rsidP="00373B60">
            <w:pPr>
              <w:contextualSpacing/>
              <w:rPr>
                <w:rFonts w:ascii="Calibri" w:eastAsia="Times New Roman" w:hAnsi="Calibri" w:cs="Calibri"/>
                <w:color w:val="0D0D0D" w:themeColor="text1" w:themeTint="F2"/>
                <w:sz w:val="20"/>
                <w:szCs w:val="18"/>
              </w:rPr>
            </w:pPr>
            <w:r w:rsidRPr="00943DFA">
              <w:rPr>
                <w:rFonts w:ascii="Calibri" w:eastAsia="Times New Roman" w:hAnsi="Calibri" w:cs="Calibri"/>
                <w:color w:val="0D0D0D" w:themeColor="text1" w:themeTint="F2"/>
                <w:sz w:val="20"/>
                <w:szCs w:val="18"/>
              </w:rPr>
              <w:t> </w:t>
            </w:r>
          </w:p>
        </w:tc>
        <w:tc>
          <w:tcPr>
            <w:tcW w:w="1758" w:type="dxa"/>
            <w:tcBorders>
              <w:top w:val="nil"/>
              <w:left w:val="nil"/>
              <w:bottom w:val="single" w:sz="4" w:space="0" w:color="auto"/>
              <w:right w:val="nil"/>
            </w:tcBorders>
            <w:shd w:val="clear" w:color="auto" w:fill="auto"/>
            <w:vAlign w:val="center"/>
            <w:hideMark/>
          </w:tcPr>
          <w:p w14:paraId="529CE029" w14:textId="77777777" w:rsidR="00195130" w:rsidRPr="00943DFA" w:rsidRDefault="00195130" w:rsidP="00373B60">
            <w:pPr>
              <w:contextualSpacing/>
              <w:rPr>
                <w:rFonts w:eastAsia="Times New Roman"/>
                <w:color w:val="0D0D0D" w:themeColor="text1" w:themeTint="F2"/>
                <w:sz w:val="20"/>
                <w:szCs w:val="18"/>
              </w:rPr>
            </w:pPr>
            <w:r w:rsidRPr="00943DFA">
              <w:rPr>
                <w:rFonts w:eastAsia="Times New Roman"/>
                <w:color w:val="0D0D0D" w:themeColor="text1" w:themeTint="F2"/>
                <w:sz w:val="20"/>
                <w:szCs w:val="18"/>
              </w:rPr>
              <w:t>Pseudo R2</w:t>
            </w:r>
          </w:p>
        </w:tc>
        <w:tc>
          <w:tcPr>
            <w:tcW w:w="1184" w:type="dxa"/>
            <w:tcBorders>
              <w:top w:val="nil"/>
              <w:left w:val="nil"/>
              <w:bottom w:val="single" w:sz="4" w:space="0" w:color="auto"/>
              <w:right w:val="nil"/>
            </w:tcBorders>
            <w:shd w:val="clear" w:color="auto" w:fill="auto"/>
            <w:vAlign w:val="center"/>
            <w:hideMark/>
          </w:tcPr>
          <w:p w14:paraId="67505CDC"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0.0990</w:t>
            </w:r>
          </w:p>
        </w:tc>
        <w:tc>
          <w:tcPr>
            <w:tcW w:w="725" w:type="dxa"/>
            <w:tcBorders>
              <w:top w:val="nil"/>
              <w:left w:val="nil"/>
              <w:bottom w:val="single" w:sz="4" w:space="0" w:color="auto"/>
              <w:right w:val="nil"/>
            </w:tcBorders>
            <w:shd w:val="clear" w:color="auto" w:fill="auto"/>
            <w:vAlign w:val="center"/>
            <w:hideMark/>
          </w:tcPr>
          <w:p w14:paraId="1107473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 </w:t>
            </w:r>
          </w:p>
        </w:tc>
        <w:tc>
          <w:tcPr>
            <w:tcW w:w="1166" w:type="dxa"/>
            <w:tcBorders>
              <w:top w:val="nil"/>
              <w:left w:val="nil"/>
              <w:bottom w:val="single" w:sz="4" w:space="0" w:color="auto"/>
              <w:right w:val="nil"/>
            </w:tcBorders>
            <w:shd w:val="clear" w:color="auto" w:fill="auto"/>
            <w:vAlign w:val="center"/>
            <w:hideMark/>
          </w:tcPr>
          <w:p w14:paraId="5F436337"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0.1543</w:t>
            </w:r>
          </w:p>
        </w:tc>
        <w:tc>
          <w:tcPr>
            <w:tcW w:w="689" w:type="dxa"/>
            <w:tcBorders>
              <w:top w:val="nil"/>
              <w:left w:val="nil"/>
              <w:bottom w:val="single" w:sz="4" w:space="0" w:color="auto"/>
              <w:right w:val="nil"/>
            </w:tcBorders>
            <w:shd w:val="clear" w:color="auto" w:fill="auto"/>
            <w:vAlign w:val="center"/>
            <w:hideMark/>
          </w:tcPr>
          <w:p w14:paraId="3742203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 </w:t>
            </w:r>
          </w:p>
        </w:tc>
        <w:tc>
          <w:tcPr>
            <w:tcW w:w="1539" w:type="dxa"/>
            <w:tcBorders>
              <w:top w:val="nil"/>
              <w:left w:val="nil"/>
              <w:bottom w:val="single" w:sz="4" w:space="0" w:color="auto"/>
              <w:right w:val="nil"/>
            </w:tcBorders>
            <w:shd w:val="clear" w:color="auto" w:fill="auto"/>
            <w:vAlign w:val="center"/>
            <w:hideMark/>
          </w:tcPr>
          <w:p w14:paraId="7EDA41F4"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0.0752</w:t>
            </w:r>
          </w:p>
        </w:tc>
        <w:tc>
          <w:tcPr>
            <w:tcW w:w="627" w:type="dxa"/>
            <w:tcBorders>
              <w:top w:val="nil"/>
              <w:left w:val="nil"/>
              <w:bottom w:val="single" w:sz="4" w:space="0" w:color="auto"/>
              <w:right w:val="nil"/>
            </w:tcBorders>
            <w:shd w:val="clear" w:color="auto" w:fill="auto"/>
            <w:vAlign w:val="center"/>
            <w:hideMark/>
          </w:tcPr>
          <w:p w14:paraId="16213065"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 </w:t>
            </w:r>
          </w:p>
        </w:tc>
        <w:tc>
          <w:tcPr>
            <w:tcW w:w="1177" w:type="dxa"/>
            <w:tcBorders>
              <w:top w:val="nil"/>
              <w:left w:val="nil"/>
              <w:bottom w:val="single" w:sz="4" w:space="0" w:color="auto"/>
              <w:right w:val="nil"/>
            </w:tcBorders>
            <w:shd w:val="clear" w:color="auto" w:fill="auto"/>
            <w:vAlign w:val="center"/>
            <w:hideMark/>
          </w:tcPr>
          <w:p w14:paraId="124A44D2" w14:textId="77777777" w:rsidR="00195130" w:rsidRPr="00943DFA" w:rsidRDefault="00195130" w:rsidP="00373B60">
            <w:pPr>
              <w:contextualSpacing/>
              <w:jc w:val="center"/>
              <w:rPr>
                <w:rFonts w:eastAsia="Times New Roman"/>
                <w:color w:val="0D0D0D" w:themeColor="text1" w:themeTint="F2"/>
                <w:sz w:val="20"/>
                <w:szCs w:val="18"/>
              </w:rPr>
            </w:pPr>
            <w:r w:rsidRPr="00943DFA">
              <w:rPr>
                <w:rFonts w:eastAsia="Times New Roman"/>
                <w:color w:val="0D0D0D" w:themeColor="text1" w:themeTint="F2"/>
                <w:sz w:val="20"/>
                <w:szCs w:val="18"/>
              </w:rPr>
              <w:t>0.1278</w:t>
            </w:r>
          </w:p>
        </w:tc>
      </w:tr>
      <w:tr w:rsidR="00195130" w:rsidRPr="00943DFA" w14:paraId="56858ECA" w14:textId="77777777" w:rsidTr="00373B60">
        <w:trPr>
          <w:trHeight w:val="416"/>
        </w:trPr>
        <w:tc>
          <w:tcPr>
            <w:tcW w:w="9122" w:type="dxa"/>
            <w:gridSpan w:val="9"/>
            <w:tcBorders>
              <w:top w:val="single" w:sz="4" w:space="0" w:color="auto"/>
              <w:left w:val="nil"/>
              <w:bottom w:val="single" w:sz="4" w:space="0" w:color="auto"/>
              <w:right w:val="nil"/>
            </w:tcBorders>
            <w:shd w:val="clear" w:color="auto" w:fill="auto"/>
            <w:vAlign w:val="bottom"/>
            <w:hideMark/>
          </w:tcPr>
          <w:p w14:paraId="7814F19A" w14:textId="77777777" w:rsidR="00195130" w:rsidRPr="00943DFA" w:rsidRDefault="00195130" w:rsidP="00373B60">
            <w:pPr>
              <w:contextualSpacing/>
              <w:jc w:val="both"/>
              <w:rPr>
                <w:rFonts w:eastAsia="Times New Roman"/>
                <w:color w:val="0D0D0D" w:themeColor="text1" w:themeTint="F2"/>
                <w:sz w:val="20"/>
                <w:szCs w:val="18"/>
              </w:rPr>
            </w:pPr>
            <w:r w:rsidRPr="00943DFA">
              <w:rPr>
                <w:rFonts w:eastAsia="Times New Roman"/>
                <w:color w:val="0D0D0D" w:themeColor="text1" w:themeTint="F2"/>
                <w:sz w:val="20"/>
                <w:szCs w:val="18"/>
              </w:rPr>
              <w:t xml:space="preserve">This table presents the results of the multivariate analysis on the determinants of SEC review attributes for the sample of IPOs filing S-1 between 2005 and 2017. Negative binomial regression is employed in this analysis. Dependent variables are SEC review attributes including </w:t>
            </w:r>
            <w:r w:rsidRPr="00943DFA">
              <w:rPr>
                <w:rFonts w:eastAsia="Times New Roman"/>
                <w:i/>
                <w:iCs/>
                <w:color w:val="0D0D0D" w:themeColor="text1" w:themeTint="F2"/>
                <w:sz w:val="20"/>
                <w:szCs w:val="18"/>
              </w:rPr>
              <w:t>Duration, #Letters, #Comments, #Themes</w:t>
            </w:r>
            <w:r w:rsidRPr="00943DFA">
              <w:rPr>
                <w:rFonts w:eastAsia="Times New Roman"/>
                <w:color w:val="0D0D0D" w:themeColor="text1" w:themeTint="F2"/>
                <w:sz w:val="20"/>
                <w:szCs w:val="18"/>
              </w:rPr>
              <w:t>. Independent variables are IPO firm characteristics (</w:t>
            </w:r>
            <w:r w:rsidRPr="00943DFA">
              <w:rPr>
                <w:rFonts w:eastAsia="Times New Roman"/>
                <w:i/>
                <w:color w:val="0D0D0D" w:themeColor="text1" w:themeTint="F2"/>
                <w:sz w:val="20"/>
                <w:szCs w:val="18"/>
              </w:rPr>
              <w:t xml:space="preserve">Size, Age, Sales growth, Segments, Restructuring, M&amp;A, Leverage, Z-score, Positive earnings, External financing, Big4, </w:t>
            </w:r>
            <w:proofErr w:type="spellStart"/>
            <w:r w:rsidRPr="00943DFA">
              <w:rPr>
                <w:rFonts w:eastAsia="Times New Roman"/>
                <w:i/>
                <w:color w:val="0D0D0D" w:themeColor="text1" w:themeTint="F2"/>
                <w:sz w:val="20"/>
                <w:szCs w:val="18"/>
              </w:rPr>
              <w:t>CEOchairperson</w:t>
            </w:r>
            <w:proofErr w:type="spellEnd"/>
            <w:r w:rsidRPr="00943DFA">
              <w:rPr>
                <w:rFonts w:eastAsia="Times New Roman"/>
                <w:color w:val="0D0D0D" w:themeColor="text1" w:themeTint="F2"/>
                <w:sz w:val="20"/>
                <w:szCs w:val="18"/>
              </w:rPr>
              <w:t>). All variables are defined in Appendix 1. Results from Z-statistics are presented in parentheses below coefficient estimates, and are based on robust standard errors clustered at the industry level. *, **, and *** denote significance at the 10%, 5%, and 1% levels, respectively, based on a two-tailed test.</w:t>
            </w:r>
          </w:p>
        </w:tc>
      </w:tr>
    </w:tbl>
    <w:p w14:paraId="5CC3C04F" w14:textId="77777777" w:rsidR="00195130" w:rsidRPr="00943DFA" w:rsidRDefault="00195130" w:rsidP="00195130">
      <w:pPr>
        <w:spacing w:before="240" w:after="240" w:line="360" w:lineRule="auto"/>
        <w:jc w:val="both"/>
        <w:rPr>
          <w:color w:val="0D0D0D" w:themeColor="text1" w:themeTint="F2"/>
        </w:rPr>
        <w:sectPr w:rsidR="00195130" w:rsidRPr="00943DFA" w:rsidSect="00373B60">
          <w:pgSz w:w="11906" w:h="16838"/>
          <w:pgMar w:top="1440" w:right="1440" w:bottom="1440" w:left="1276" w:header="708" w:footer="708" w:gutter="0"/>
          <w:cols w:space="708"/>
          <w:docGrid w:linePitch="360"/>
        </w:sectPr>
      </w:pPr>
    </w:p>
    <w:p w14:paraId="5CB58A3D" w14:textId="77777777" w:rsidR="00195130" w:rsidRPr="00943DFA" w:rsidRDefault="00195130" w:rsidP="00195130">
      <w:pPr>
        <w:pStyle w:val="ListParagraph"/>
        <w:numPr>
          <w:ilvl w:val="1"/>
          <w:numId w:val="38"/>
        </w:numPr>
        <w:spacing w:before="240" w:after="240" w:line="360" w:lineRule="auto"/>
        <w:ind w:left="720"/>
        <w:contextualSpacing w:val="0"/>
        <w:jc w:val="both"/>
        <w:outlineLvl w:val="1"/>
        <w:rPr>
          <w:b/>
          <w:color w:val="0D0D0D" w:themeColor="text1" w:themeTint="F2"/>
          <w:lang w:eastAsia="en-US"/>
        </w:rPr>
      </w:pPr>
      <w:bookmarkStart w:id="89" w:name="_Toc48203619"/>
      <w:bookmarkStart w:id="90" w:name="_Toc50713980"/>
      <w:bookmarkStart w:id="91" w:name="_Toc69749270"/>
      <w:r w:rsidRPr="00943DFA">
        <w:rPr>
          <w:b/>
          <w:color w:val="0D0D0D" w:themeColor="text1" w:themeTint="F2"/>
          <w:lang w:eastAsia="en-US"/>
        </w:rPr>
        <w:lastRenderedPageBreak/>
        <w:t>Additional tests</w:t>
      </w:r>
      <w:bookmarkEnd w:id="89"/>
      <w:bookmarkEnd w:id="90"/>
      <w:bookmarkEnd w:id="91"/>
    </w:p>
    <w:p w14:paraId="3B852372" w14:textId="77777777" w:rsidR="00195130" w:rsidRPr="00943DFA" w:rsidRDefault="00195130" w:rsidP="00195130">
      <w:pPr>
        <w:pStyle w:val="ListParagraph"/>
        <w:numPr>
          <w:ilvl w:val="2"/>
          <w:numId w:val="38"/>
        </w:numPr>
        <w:spacing w:before="240" w:after="240" w:line="360" w:lineRule="auto"/>
        <w:contextualSpacing w:val="0"/>
        <w:jc w:val="both"/>
        <w:outlineLvl w:val="2"/>
        <w:rPr>
          <w:b/>
          <w:color w:val="0D0D0D" w:themeColor="text1" w:themeTint="F2"/>
          <w:lang w:eastAsia="en-US"/>
        </w:rPr>
      </w:pPr>
      <w:bookmarkStart w:id="92" w:name="_Toc69749271"/>
      <w:r w:rsidRPr="00943DFA">
        <w:rPr>
          <w:b/>
          <w:color w:val="0D0D0D" w:themeColor="text1" w:themeTint="F2"/>
          <w:lang w:eastAsia="en-US"/>
        </w:rPr>
        <w:t>Issue types and the costs of remediation</w:t>
      </w:r>
      <w:bookmarkEnd w:id="92"/>
    </w:p>
    <w:p w14:paraId="7DADABB8" w14:textId="77777777" w:rsidR="00195130" w:rsidRPr="00943DFA" w:rsidRDefault="00195130" w:rsidP="00195130">
      <w:pPr>
        <w:spacing w:before="240" w:after="240" w:line="360" w:lineRule="auto"/>
        <w:jc w:val="both"/>
        <w:rPr>
          <w:color w:val="0D0D0D" w:themeColor="text1" w:themeTint="F2"/>
          <w:lang w:eastAsia="en-US"/>
        </w:rPr>
      </w:pPr>
      <w:bookmarkStart w:id="93" w:name="here"/>
      <w:r w:rsidRPr="00943DFA">
        <w:rPr>
          <w:color w:val="0D0D0D" w:themeColor="text1" w:themeTint="F2"/>
          <w:lang w:eastAsia="en-US"/>
        </w:rPr>
        <w:t>The length of time between the date when IPO firms make the initial S-1 filing to the date when the IPO is declared effective (</w:t>
      </w:r>
      <w:r w:rsidRPr="00943DFA">
        <w:rPr>
          <w:i/>
          <w:color w:val="0D0D0D" w:themeColor="text1" w:themeTint="F2"/>
          <w:lang w:eastAsia="en-US"/>
        </w:rPr>
        <w:t xml:space="preserve">Duration) </w:t>
      </w:r>
      <w:r w:rsidRPr="00943DFA">
        <w:rPr>
          <w:color w:val="0D0D0D" w:themeColor="text1" w:themeTint="F2"/>
          <w:lang w:eastAsia="en-US"/>
        </w:rPr>
        <w:t>as well as the number of revisions, as measured by the number of comment letters during the IPO process (</w:t>
      </w:r>
      <w:r w:rsidRPr="00943DFA">
        <w:rPr>
          <w:i/>
          <w:color w:val="0D0D0D" w:themeColor="text1" w:themeTint="F2"/>
          <w:lang w:eastAsia="en-US"/>
        </w:rPr>
        <w:t xml:space="preserve">#Letters) </w:t>
      </w:r>
      <w:r w:rsidRPr="00943DFA">
        <w:rPr>
          <w:color w:val="0D0D0D" w:themeColor="text1" w:themeTint="F2"/>
          <w:lang w:eastAsia="en-US"/>
        </w:rPr>
        <w:t xml:space="preserve">may reflect not only the extensiveness of SEC reviews but also the cost of comment letter remediation (Cassell et al., 2013). </w:t>
      </w:r>
      <w:bookmarkEnd w:id="93"/>
      <w:r w:rsidRPr="00943DFA">
        <w:rPr>
          <w:color w:val="0D0D0D" w:themeColor="text1" w:themeTint="F2"/>
          <w:lang w:eastAsia="en-US"/>
        </w:rPr>
        <w:t>The intuition is that longer response durations and more revision rounds suggest higher remediation costs with regard to IPO firms’ internal and external resources (e.g. IPO firm staffs’ working time, audit fees, lawyer fees).</w:t>
      </w:r>
      <w:r w:rsidRPr="00943DFA">
        <w:rPr>
          <w:i/>
          <w:color w:val="0D0D0D" w:themeColor="text1" w:themeTint="F2"/>
          <w:lang w:eastAsia="en-US"/>
        </w:rPr>
        <w:t xml:space="preserve"> </w:t>
      </w:r>
      <w:r w:rsidRPr="00943DFA">
        <w:rPr>
          <w:color w:val="0D0D0D" w:themeColor="text1" w:themeTint="F2"/>
          <w:lang w:eastAsia="en-US"/>
        </w:rPr>
        <w:t>In this section, this study conducts the first additional examination to investigate how the severity of issue types affects the remediation cost. Specifically, this study examines 6 issue types including (1) core accounting (</w:t>
      </w:r>
      <w:r w:rsidRPr="00943DFA">
        <w:rPr>
          <w:i/>
          <w:color w:val="0D0D0D" w:themeColor="text1" w:themeTint="F2"/>
          <w:lang w:eastAsia="en-US"/>
        </w:rPr>
        <w:t>#Core accounting issues)</w:t>
      </w:r>
      <w:r w:rsidRPr="00943DFA">
        <w:rPr>
          <w:color w:val="0D0D0D" w:themeColor="text1" w:themeTint="F2"/>
          <w:lang w:eastAsia="en-US"/>
        </w:rPr>
        <w:t>; (2) non-core accounting (</w:t>
      </w:r>
      <w:r w:rsidRPr="00943DFA">
        <w:rPr>
          <w:i/>
          <w:color w:val="0D0D0D" w:themeColor="text1" w:themeTint="F2"/>
          <w:lang w:eastAsia="en-US"/>
        </w:rPr>
        <w:t>#Non-core accounting issues)</w:t>
      </w:r>
      <w:r w:rsidRPr="00943DFA">
        <w:rPr>
          <w:color w:val="0D0D0D" w:themeColor="text1" w:themeTint="F2"/>
          <w:lang w:eastAsia="en-US"/>
        </w:rPr>
        <w:t>; (3) offering-related (</w:t>
      </w:r>
      <w:r w:rsidRPr="00943DFA">
        <w:rPr>
          <w:i/>
          <w:color w:val="0D0D0D" w:themeColor="text1" w:themeTint="F2"/>
          <w:lang w:eastAsia="en-US"/>
        </w:rPr>
        <w:t>#Offering issues)</w:t>
      </w:r>
      <w:r w:rsidRPr="00943DFA">
        <w:rPr>
          <w:color w:val="0D0D0D" w:themeColor="text1" w:themeTint="F2"/>
          <w:lang w:eastAsia="en-US"/>
        </w:rPr>
        <w:t>; (4) business-related (</w:t>
      </w:r>
      <w:r w:rsidRPr="00943DFA">
        <w:rPr>
          <w:i/>
          <w:color w:val="0D0D0D" w:themeColor="text1" w:themeTint="F2"/>
          <w:lang w:eastAsia="en-US"/>
        </w:rPr>
        <w:t>#Business issues)</w:t>
      </w:r>
      <w:r w:rsidRPr="00943DFA">
        <w:rPr>
          <w:color w:val="0D0D0D" w:themeColor="text1" w:themeTint="F2"/>
          <w:lang w:eastAsia="en-US"/>
        </w:rPr>
        <w:t>; (5) corporate governance-related (</w:t>
      </w:r>
      <w:r w:rsidRPr="00943DFA">
        <w:rPr>
          <w:i/>
          <w:color w:val="0D0D0D" w:themeColor="text1" w:themeTint="F2"/>
          <w:lang w:eastAsia="en-US"/>
        </w:rPr>
        <w:t>#Corporate governance issues)</w:t>
      </w:r>
      <w:r w:rsidRPr="00943DFA">
        <w:rPr>
          <w:color w:val="0D0D0D" w:themeColor="text1" w:themeTint="F2"/>
          <w:lang w:eastAsia="en-US"/>
        </w:rPr>
        <w:t xml:space="preserve"> and (6) disclosure-related issues (</w:t>
      </w:r>
      <w:r w:rsidRPr="00943DFA">
        <w:rPr>
          <w:i/>
          <w:color w:val="0D0D0D" w:themeColor="text1" w:themeTint="F2"/>
          <w:lang w:eastAsia="en-US"/>
        </w:rPr>
        <w:t>#Disclosure issues)</w:t>
      </w:r>
      <w:r w:rsidRPr="00943DFA">
        <w:rPr>
          <w:color w:val="0D0D0D" w:themeColor="text1" w:themeTint="F2"/>
          <w:lang w:eastAsia="en-US"/>
        </w:rPr>
        <w:t xml:space="preserve">. This thesis calculates these variables by counting the number of comments highlighted in the initial SEC comment letters about core-accounting, non-core accounting, offering, business, and corporate governance disclosure issues in the initial S-1 filing of each IPO firms, respectively. If the SEC do not issue comment letters for initial S-1 filings, or they do not issue any comment letters during their review process, or they do not provide detailed comments in their letters due to matters relating to compliance with the SEC regulations, </w:t>
      </w:r>
      <w:r w:rsidRPr="00943DFA">
        <w:rPr>
          <w:i/>
          <w:color w:val="0D0D0D" w:themeColor="text1" w:themeTint="F2"/>
          <w:lang w:eastAsia="en-US"/>
        </w:rPr>
        <w:t xml:space="preserve">#Core-accounting issues, #Non-core accounting issues, #Offering issues, </w:t>
      </w:r>
      <w:r w:rsidRPr="00943DFA">
        <w:rPr>
          <w:color w:val="0D0D0D" w:themeColor="text1" w:themeTint="F2"/>
          <w:lang w:eastAsia="en-US"/>
        </w:rPr>
        <w:t>#</w:t>
      </w:r>
      <w:r w:rsidRPr="00943DFA">
        <w:rPr>
          <w:i/>
          <w:color w:val="0D0D0D" w:themeColor="text1" w:themeTint="F2"/>
          <w:lang w:eastAsia="en-US"/>
        </w:rPr>
        <w:t xml:space="preserve">Business issues, #Governance issues, #Disclosure issues, </w:t>
      </w:r>
      <w:r w:rsidRPr="00943DFA">
        <w:rPr>
          <w:color w:val="0D0D0D" w:themeColor="text1" w:themeTint="F2"/>
          <w:lang w:eastAsia="en-US"/>
        </w:rPr>
        <w:t>are set equal to zero. Again, these variables are calculated by using the data obtained from the coding of comment letters which is based on the Naïve Bayes algorithm to identify specific issues highlighted in the SEC’s comment letters (Section 3.3.2).</w:t>
      </w:r>
    </w:p>
    <w:p w14:paraId="0AA1B3D9" w14:textId="77777777" w:rsidR="00195130" w:rsidRPr="00943DFA" w:rsidRDefault="00195130" w:rsidP="00195130">
      <w:pPr>
        <w:spacing w:before="240" w:after="240" w:line="360" w:lineRule="auto"/>
        <w:jc w:val="both"/>
        <w:rPr>
          <w:color w:val="0D0D0D" w:themeColor="text1" w:themeTint="F2"/>
          <w:lang w:eastAsia="en-US"/>
        </w:rPr>
        <w:sectPr w:rsidR="00195130" w:rsidRPr="00943DFA" w:rsidSect="00373B60">
          <w:pgSz w:w="11906" w:h="16838"/>
          <w:pgMar w:top="1440" w:right="1440" w:bottom="1440" w:left="1276" w:header="708" w:footer="708" w:gutter="0"/>
          <w:cols w:space="708"/>
          <w:docGrid w:linePitch="360"/>
        </w:sectPr>
      </w:pPr>
      <w:r w:rsidRPr="00943DFA">
        <w:rPr>
          <w:color w:val="0D0D0D" w:themeColor="text1" w:themeTint="F2"/>
          <w:lang w:eastAsia="en-US"/>
        </w:rPr>
        <w:t xml:space="preserve">Using negative binomial regressions, this study employs the proxies of remediation (i.e. </w:t>
      </w:r>
      <w:r w:rsidRPr="00943DFA">
        <w:rPr>
          <w:i/>
          <w:color w:val="0D0D0D" w:themeColor="text1" w:themeTint="F2"/>
          <w:lang w:eastAsia="en-US"/>
        </w:rPr>
        <w:t xml:space="preserve">Duration </w:t>
      </w:r>
      <w:r w:rsidRPr="00943DFA">
        <w:rPr>
          <w:color w:val="0D0D0D" w:themeColor="text1" w:themeTint="F2"/>
          <w:lang w:eastAsia="en-US"/>
        </w:rPr>
        <w:t xml:space="preserve">and </w:t>
      </w:r>
      <w:r w:rsidRPr="00943DFA">
        <w:rPr>
          <w:i/>
          <w:color w:val="0D0D0D" w:themeColor="text1" w:themeTint="F2"/>
          <w:lang w:eastAsia="en-US"/>
        </w:rPr>
        <w:t xml:space="preserve">#Letters) </w:t>
      </w:r>
      <w:r w:rsidRPr="00943DFA">
        <w:rPr>
          <w:color w:val="0D0D0D" w:themeColor="text1" w:themeTint="F2"/>
          <w:lang w:eastAsia="en-US"/>
        </w:rPr>
        <w:t>as dependent variables, the proxies of SEC comment themes as independent variables and IPO firms characteristics as control variables.</w:t>
      </w:r>
      <w:r w:rsidRPr="00943DFA">
        <w:rPr>
          <w:color w:val="0D0D0D" w:themeColor="text1" w:themeTint="F2"/>
          <w:sz w:val="28"/>
          <w:lang w:eastAsia="en-US"/>
        </w:rPr>
        <w:t xml:space="preserve"> </w:t>
      </w:r>
      <w:r w:rsidRPr="00943DFA">
        <w:rPr>
          <w:color w:val="0D0D0D" w:themeColor="text1" w:themeTint="F2"/>
          <w:lang w:eastAsia="en-US"/>
        </w:rPr>
        <w:t xml:space="preserve">Table 3.9 reports the results of the examination in which </w:t>
      </w:r>
      <w:r w:rsidRPr="00943DFA">
        <w:rPr>
          <w:i/>
          <w:color w:val="0D0D0D" w:themeColor="text1" w:themeTint="F2"/>
          <w:lang w:eastAsia="en-US"/>
        </w:rPr>
        <w:t xml:space="preserve">Duration </w:t>
      </w:r>
      <w:r w:rsidRPr="00943DFA">
        <w:rPr>
          <w:color w:val="0D0D0D" w:themeColor="text1" w:themeTint="F2"/>
          <w:lang w:eastAsia="en-US"/>
        </w:rPr>
        <w:t xml:space="preserve">is dependent variable in Model (1) and </w:t>
      </w:r>
      <w:r w:rsidRPr="00943DFA">
        <w:rPr>
          <w:i/>
          <w:color w:val="0D0D0D" w:themeColor="text1" w:themeTint="F2"/>
          <w:lang w:eastAsia="en-US"/>
        </w:rPr>
        <w:t xml:space="preserve">#Letters </w:t>
      </w:r>
      <w:r w:rsidRPr="00943DFA">
        <w:rPr>
          <w:color w:val="0D0D0D" w:themeColor="text1" w:themeTint="F2"/>
          <w:lang w:eastAsia="en-US"/>
        </w:rPr>
        <w:t xml:space="preserve">is dependent variable in Model (2). The results reveal positive coefficients of </w:t>
      </w:r>
      <w:r w:rsidRPr="00943DFA">
        <w:rPr>
          <w:i/>
          <w:color w:val="0D0D0D" w:themeColor="text1" w:themeTint="F2"/>
          <w:lang w:eastAsia="en-US"/>
        </w:rPr>
        <w:t xml:space="preserve">#Core accounting issues </w:t>
      </w:r>
      <w:r w:rsidRPr="00943DFA">
        <w:rPr>
          <w:color w:val="0D0D0D" w:themeColor="text1" w:themeTint="F2"/>
          <w:lang w:eastAsia="en-US"/>
        </w:rPr>
        <w:t xml:space="preserve">and </w:t>
      </w:r>
      <w:r w:rsidRPr="00943DFA">
        <w:rPr>
          <w:i/>
          <w:color w:val="0D0D0D" w:themeColor="text1" w:themeTint="F2"/>
          <w:lang w:eastAsia="en-US"/>
        </w:rPr>
        <w:t xml:space="preserve">#Business issues </w:t>
      </w:r>
      <w:r w:rsidRPr="00943DFA">
        <w:rPr>
          <w:color w:val="0D0D0D" w:themeColor="text1" w:themeTint="F2"/>
          <w:lang w:eastAsia="en-US"/>
        </w:rPr>
        <w:t xml:space="preserve">on </w:t>
      </w:r>
      <w:r w:rsidRPr="00943DFA">
        <w:rPr>
          <w:i/>
          <w:color w:val="0D0D0D" w:themeColor="text1" w:themeTint="F2"/>
          <w:lang w:eastAsia="en-US"/>
        </w:rPr>
        <w:t xml:space="preserve">Duration </w:t>
      </w:r>
      <w:r w:rsidRPr="00943DFA">
        <w:rPr>
          <w:color w:val="0D0D0D" w:themeColor="text1" w:themeTint="F2"/>
          <w:lang w:eastAsia="en-US"/>
        </w:rPr>
        <w:t xml:space="preserve">and positive coefficients of </w:t>
      </w:r>
      <w:r w:rsidRPr="00943DFA">
        <w:rPr>
          <w:i/>
          <w:color w:val="0D0D0D" w:themeColor="text1" w:themeTint="F2"/>
          <w:lang w:eastAsia="en-US"/>
        </w:rPr>
        <w:t xml:space="preserve">#Core accounting issues, #Non-core accounting issues, #Business issues </w:t>
      </w:r>
      <w:r w:rsidRPr="00943DFA">
        <w:rPr>
          <w:color w:val="0D0D0D" w:themeColor="text1" w:themeTint="F2"/>
          <w:lang w:eastAsia="en-US"/>
        </w:rPr>
        <w:t xml:space="preserve">and </w:t>
      </w:r>
      <w:r w:rsidRPr="00943DFA">
        <w:rPr>
          <w:i/>
          <w:color w:val="0D0D0D" w:themeColor="text1" w:themeTint="F2"/>
          <w:lang w:eastAsia="en-US"/>
        </w:rPr>
        <w:t>#Disclosure issues</w:t>
      </w:r>
      <w:r w:rsidRPr="00943DFA">
        <w:rPr>
          <w:color w:val="0D0D0D" w:themeColor="text1" w:themeTint="F2"/>
          <w:lang w:eastAsia="en-US"/>
        </w:rPr>
        <w:t xml:space="preserve"> on </w:t>
      </w:r>
      <w:r w:rsidRPr="00943DFA">
        <w:rPr>
          <w:i/>
          <w:color w:val="0D0D0D" w:themeColor="text1" w:themeTint="F2"/>
          <w:lang w:eastAsia="en-US"/>
        </w:rPr>
        <w:t xml:space="preserve">#Letters, </w:t>
      </w:r>
      <w:r w:rsidRPr="00943DFA">
        <w:rPr>
          <w:color w:val="0D0D0D" w:themeColor="text1" w:themeTint="F2"/>
          <w:lang w:eastAsia="en-US"/>
        </w:rPr>
        <w:t xml:space="preserve">indicating that more comments on core accounting issues and business issues increase the cost of </w:t>
      </w:r>
      <w:r w:rsidRPr="00943DFA">
        <w:rPr>
          <w:color w:val="0D0D0D" w:themeColor="text1" w:themeTint="F2"/>
          <w:lang w:eastAsia="en-US"/>
        </w:rPr>
        <w:lastRenderedPageBreak/>
        <w:t xml:space="preserve">remediation in terms of the length of times and the number of rounds to close the review conversation. More comments on non-core accounting issues and disclosure issues also increase the remediation costs in terms of the number of rounds. Furthermore, in both Model (1) and (2), the magnitude of coefficients on </w:t>
      </w:r>
      <w:r w:rsidRPr="00943DFA">
        <w:rPr>
          <w:i/>
          <w:color w:val="0D0D0D" w:themeColor="text1" w:themeTint="F2"/>
          <w:lang w:eastAsia="en-US"/>
        </w:rPr>
        <w:t xml:space="preserve">#Core Accounting Issues </w:t>
      </w:r>
      <w:r w:rsidRPr="00943DFA">
        <w:rPr>
          <w:color w:val="0D0D0D" w:themeColor="text1" w:themeTint="F2"/>
          <w:lang w:eastAsia="en-US"/>
        </w:rPr>
        <w:t>are higher than that of coefficients on other independent variables, suggesting that comments on core accounting issues have the highest cost of remediation.</w:t>
      </w:r>
    </w:p>
    <w:p w14:paraId="787D4500" w14:textId="77777777" w:rsidR="00195130" w:rsidRPr="00943DFA" w:rsidRDefault="00195130" w:rsidP="00195130">
      <w:pPr>
        <w:pStyle w:val="Caption"/>
        <w:keepNext/>
        <w:spacing w:after="0" w:line="360" w:lineRule="auto"/>
        <w:rPr>
          <w:b/>
          <w:i w:val="0"/>
          <w:color w:val="0D0D0D" w:themeColor="text1" w:themeTint="F2"/>
          <w:sz w:val="22"/>
        </w:rPr>
      </w:pPr>
      <w:bookmarkStart w:id="94" w:name="_Ref50695687"/>
      <w:bookmarkStart w:id="95" w:name="_Toc48203651"/>
      <w:bookmarkStart w:id="96" w:name="_Toc50708215"/>
      <w:bookmarkStart w:id="97" w:name="_Toc85100156"/>
      <w:r w:rsidRPr="00943DFA">
        <w:rPr>
          <w:b/>
          <w:i w:val="0"/>
          <w:color w:val="0D0D0D" w:themeColor="text1" w:themeTint="F2"/>
          <w:sz w:val="22"/>
        </w:rPr>
        <w:lastRenderedPageBreak/>
        <w:t xml:space="preserve">Table </w:t>
      </w:r>
      <w:r w:rsidRPr="00943DFA">
        <w:rPr>
          <w:b/>
          <w:i w:val="0"/>
          <w:color w:val="0D0D0D" w:themeColor="text1" w:themeTint="F2"/>
          <w:sz w:val="22"/>
        </w:rPr>
        <w:fldChar w:fldCharType="begin"/>
      </w:r>
      <w:r w:rsidRPr="00943DFA">
        <w:rPr>
          <w:b/>
          <w:i w:val="0"/>
          <w:color w:val="0D0D0D" w:themeColor="text1" w:themeTint="F2"/>
          <w:sz w:val="22"/>
        </w:rPr>
        <w:instrText xml:space="preserve"> STYLEREF 1 \s </w:instrText>
      </w:r>
      <w:r w:rsidRPr="00943DFA">
        <w:rPr>
          <w:b/>
          <w:i w:val="0"/>
          <w:color w:val="0D0D0D" w:themeColor="text1" w:themeTint="F2"/>
          <w:sz w:val="22"/>
        </w:rPr>
        <w:fldChar w:fldCharType="separate"/>
      </w:r>
      <w:r w:rsidRPr="00943DFA">
        <w:rPr>
          <w:b/>
          <w:i w:val="0"/>
          <w:noProof/>
          <w:color w:val="0D0D0D" w:themeColor="text1" w:themeTint="F2"/>
          <w:sz w:val="22"/>
        </w:rPr>
        <w:t>3</w:t>
      </w:r>
      <w:r w:rsidRPr="00943DFA">
        <w:rPr>
          <w:b/>
          <w:i w:val="0"/>
          <w:color w:val="0D0D0D" w:themeColor="text1" w:themeTint="F2"/>
          <w:sz w:val="22"/>
        </w:rPr>
        <w:fldChar w:fldCharType="end"/>
      </w:r>
      <w:r w:rsidRPr="00943DFA">
        <w:rPr>
          <w:b/>
          <w:i w:val="0"/>
          <w:color w:val="0D0D0D" w:themeColor="text1" w:themeTint="F2"/>
          <w:sz w:val="22"/>
        </w:rPr>
        <w:t>.</w:t>
      </w:r>
      <w:r w:rsidRPr="00943DFA">
        <w:rPr>
          <w:b/>
          <w:i w:val="0"/>
          <w:color w:val="0D0D0D" w:themeColor="text1" w:themeTint="F2"/>
          <w:sz w:val="22"/>
        </w:rPr>
        <w:fldChar w:fldCharType="begin"/>
      </w:r>
      <w:r w:rsidRPr="00943DFA">
        <w:rPr>
          <w:b/>
          <w:i w:val="0"/>
          <w:color w:val="0D0D0D" w:themeColor="text1" w:themeTint="F2"/>
          <w:sz w:val="22"/>
        </w:rPr>
        <w:instrText xml:space="preserve"> SEQ Table \* ARABIC \s 1 </w:instrText>
      </w:r>
      <w:r w:rsidRPr="00943DFA">
        <w:rPr>
          <w:b/>
          <w:i w:val="0"/>
          <w:color w:val="0D0D0D" w:themeColor="text1" w:themeTint="F2"/>
          <w:sz w:val="22"/>
        </w:rPr>
        <w:fldChar w:fldCharType="separate"/>
      </w:r>
      <w:r w:rsidRPr="00943DFA">
        <w:rPr>
          <w:b/>
          <w:i w:val="0"/>
          <w:noProof/>
          <w:color w:val="0D0D0D" w:themeColor="text1" w:themeTint="F2"/>
          <w:sz w:val="22"/>
        </w:rPr>
        <w:t>9</w:t>
      </w:r>
      <w:r w:rsidRPr="00943DFA">
        <w:rPr>
          <w:b/>
          <w:i w:val="0"/>
          <w:color w:val="0D0D0D" w:themeColor="text1" w:themeTint="F2"/>
          <w:sz w:val="22"/>
        </w:rPr>
        <w:fldChar w:fldCharType="end"/>
      </w:r>
      <w:bookmarkEnd w:id="94"/>
      <w:r w:rsidRPr="00943DFA">
        <w:rPr>
          <w:b/>
          <w:i w:val="0"/>
          <w:color w:val="0D0D0D" w:themeColor="text1" w:themeTint="F2"/>
          <w:sz w:val="22"/>
        </w:rPr>
        <w:t>. Sensitivity of the cost of remediation to comment types</w:t>
      </w:r>
      <w:bookmarkEnd w:id="95"/>
      <w:bookmarkEnd w:id="96"/>
      <w:bookmarkEnd w:id="97"/>
    </w:p>
    <w:tbl>
      <w:tblPr>
        <w:tblW w:w="8953" w:type="dxa"/>
        <w:tblLook w:val="04A0" w:firstRow="1" w:lastRow="0" w:firstColumn="1" w:lastColumn="0" w:noHBand="0" w:noVBand="1"/>
      </w:tblPr>
      <w:tblGrid>
        <w:gridCol w:w="4253"/>
        <w:gridCol w:w="1660"/>
        <w:gridCol w:w="960"/>
        <w:gridCol w:w="2080"/>
      </w:tblGrid>
      <w:tr w:rsidR="00943DFA" w:rsidRPr="00943DFA" w14:paraId="6DBD5C32" w14:textId="77777777" w:rsidTr="00373B60">
        <w:trPr>
          <w:trHeight w:val="480"/>
        </w:trPr>
        <w:tc>
          <w:tcPr>
            <w:tcW w:w="4253" w:type="dxa"/>
            <w:tcBorders>
              <w:top w:val="single" w:sz="4" w:space="0" w:color="auto"/>
              <w:left w:val="nil"/>
              <w:bottom w:val="nil"/>
              <w:right w:val="nil"/>
            </w:tcBorders>
            <w:shd w:val="clear" w:color="000000" w:fill="FFFFFF"/>
            <w:vAlign w:val="center"/>
            <w:hideMark/>
          </w:tcPr>
          <w:p w14:paraId="78CD018A"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1660" w:type="dxa"/>
            <w:tcBorders>
              <w:top w:val="single" w:sz="4" w:space="0" w:color="auto"/>
              <w:left w:val="nil"/>
              <w:bottom w:val="single" w:sz="4" w:space="0" w:color="auto"/>
              <w:right w:val="nil"/>
            </w:tcBorders>
            <w:shd w:val="clear" w:color="000000" w:fill="FFFFFF"/>
            <w:vAlign w:val="center"/>
            <w:hideMark/>
          </w:tcPr>
          <w:p w14:paraId="6BC104BD"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Duration</w:t>
            </w:r>
            <w:r w:rsidRPr="00943DFA">
              <w:rPr>
                <w:rFonts w:eastAsia="Times New Roman"/>
                <w:b/>
                <w:bCs/>
                <w:color w:val="0D0D0D" w:themeColor="text1" w:themeTint="F2"/>
                <w:sz w:val="18"/>
                <w:szCs w:val="18"/>
              </w:rPr>
              <w:br/>
              <w:t>(1)</w:t>
            </w:r>
          </w:p>
        </w:tc>
        <w:tc>
          <w:tcPr>
            <w:tcW w:w="960" w:type="dxa"/>
            <w:tcBorders>
              <w:top w:val="single" w:sz="4" w:space="0" w:color="auto"/>
              <w:left w:val="nil"/>
              <w:bottom w:val="nil"/>
              <w:right w:val="nil"/>
            </w:tcBorders>
            <w:shd w:val="clear" w:color="000000" w:fill="FFFFFF"/>
            <w:vAlign w:val="center"/>
            <w:hideMark/>
          </w:tcPr>
          <w:p w14:paraId="66DFBF5E"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single" w:sz="4" w:space="0" w:color="auto"/>
              <w:left w:val="nil"/>
              <w:bottom w:val="single" w:sz="4" w:space="0" w:color="auto"/>
              <w:right w:val="nil"/>
            </w:tcBorders>
            <w:shd w:val="clear" w:color="000000" w:fill="FFFFFF"/>
            <w:vAlign w:val="center"/>
            <w:hideMark/>
          </w:tcPr>
          <w:p w14:paraId="30BD6AF7"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#Letters</w:t>
            </w:r>
            <w:r w:rsidRPr="00943DFA">
              <w:rPr>
                <w:rFonts w:eastAsia="Times New Roman"/>
                <w:b/>
                <w:bCs/>
                <w:color w:val="0D0D0D" w:themeColor="text1" w:themeTint="F2"/>
                <w:sz w:val="18"/>
                <w:szCs w:val="18"/>
              </w:rPr>
              <w:br/>
              <w:t>(2)</w:t>
            </w:r>
          </w:p>
        </w:tc>
      </w:tr>
      <w:tr w:rsidR="00943DFA" w:rsidRPr="00943DFA" w14:paraId="586B34A8" w14:textId="77777777" w:rsidTr="00373B60">
        <w:trPr>
          <w:trHeight w:val="600"/>
        </w:trPr>
        <w:tc>
          <w:tcPr>
            <w:tcW w:w="4253" w:type="dxa"/>
            <w:tcBorders>
              <w:top w:val="nil"/>
              <w:left w:val="nil"/>
              <w:bottom w:val="nil"/>
              <w:right w:val="nil"/>
            </w:tcBorders>
            <w:shd w:val="clear" w:color="000000" w:fill="FFFFFF"/>
            <w:vAlign w:val="center"/>
            <w:hideMark/>
          </w:tcPr>
          <w:p w14:paraId="1486DB89"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#Core-accounting issues</w:t>
            </w:r>
          </w:p>
        </w:tc>
        <w:tc>
          <w:tcPr>
            <w:tcW w:w="1660" w:type="dxa"/>
            <w:tcBorders>
              <w:top w:val="nil"/>
              <w:left w:val="nil"/>
              <w:bottom w:val="nil"/>
              <w:right w:val="nil"/>
            </w:tcBorders>
            <w:shd w:val="clear" w:color="000000" w:fill="FFFFFF"/>
            <w:vAlign w:val="center"/>
            <w:hideMark/>
          </w:tcPr>
          <w:p w14:paraId="14A0C381"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0.012***</w:t>
            </w:r>
            <w:r w:rsidRPr="00943DFA">
              <w:rPr>
                <w:rFonts w:eastAsia="Times New Roman"/>
                <w:color w:val="0D0D0D" w:themeColor="text1" w:themeTint="F2"/>
                <w:sz w:val="18"/>
                <w:szCs w:val="18"/>
              </w:rPr>
              <w:br/>
              <w:t>(3.07)</w:t>
            </w:r>
          </w:p>
        </w:tc>
        <w:tc>
          <w:tcPr>
            <w:tcW w:w="960" w:type="dxa"/>
            <w:tcBorders>
              <w:top w:val="nil"/>
              <w:left w:val="nil"/>
              <w:bottom w:val="nil"/>
              <w:right w:val="nil"/>
            </w:tcBorders>
            <w:shd w:val="clear" w:color="000000" w:fill="FFFFFF"/>
            <w:vAlign w:val="center"/>
            <w:hideMark/>
          </w:tcPr>
          <w:p w14:paraId="7678F032"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18A3A12F"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0.016***</w:t>
            </w:r>
            <w:r w:rsidRPr="00943DFA">
              <w:rPr>
                <w:rFonts w:eastAsia="Times New Roman"/>
                <w:color w:val="0D0D0D" w:themeColor="text1" w:themeTint="F2"/>
                <w:sz w:val="18"/>
                <w:szCs w:val="18"/>
              </w:rPr>
              <w:br/>
              <w:t>(2.99)</w:t>
            </w:r>
          </w:p>
        </w:tc>
      </w:tr>
      <w:tr w:rsidR="00943DFA" w:rsidRPr="00943DFA" w14:paraId="3A739726" w14:textId="77777777" w:rsidTr="00373B60">
        <w:trPr>
          <w:trHeight w:val="480"/>
        </w:trPr>
        <w:tc>
          <w:tcPr>
            <w:tcW w:w="4253" w:type="dxa"/>
            <w:tcBorders>
              <w:top w:val="nil"/>
              <w:left w:val="nil"/>
              <w:bottom w:val="nil"/>
              <w:right w:val="nil"/>
            </w:tcBorders>
            <w:shd w:val="clear" w:color="000000" w:fill="FFFFFF"/>
            <w:vAlign w:val="center"/>
            <w:hideMark/>
          </w:tcPr>
          <w:p w14:paraId="23CFEDCB"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#Non-core-accounting issues</w:t>
            </w:r>
          </w:p>
        </w:tc>
        <w:tc>
          <w:tcPr>
            <w:tcW w:w="1660" w:type="dxa"/>
            <w:tcBorders>
              <w:top w:val="nil"/>
              <w:left w:val="nil"/>
              <w:bottom w:val="nil"/>
              <w:right w:val="nil"/>
            </w:tcBorders>
            <w:shd w:val="clear" w:color="000000" w:fill="FFFFFF"/>
            <w:vAlign w:val="center"/>
            <w:hideMark/>
          </w:tcPr>
          <w:p w14:paraId="7AE259A3"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0.012</w:t>
            </w:r>
            <w:r w:rsidRPr="00943DFA">
              <w:rPr>
                <w:rFonts w:eastAsia="Times New Roman"/>
                <w:color w:val="0D0D0D" w:themeColor="text1" w:themeTint="F2"/>
                <w:sz w:val="18"/>
                <w:szCs w:val="18"/>
              </w:rPr>
              <w:br/>
              <w:t>(0.46)</w:t>
            </w:r>
          </w:p>
        </w:tc>
        <w:tc>
          <w:tcPr>
            <w:tcW w:w="960" w:type="dxa"/>
            <w:tcBorders>
              <w:top w:val="nil"/>
              <w:left w:val="nil"/>
              <w:bottom w:val="nil"/>
              <w:right w:val="nil"/>
            </w:tcBorders>
            <w:shd w:val="clear" w:color="000000" w:fill="FFFFFF"/>
            <w:vAlign w:val="center"/>
            <w:hideMark/>
          </w:tcPr>
          <w:p w14:paraId="5895BAB3"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032841DE"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0.031**</w:t>
            </w:r>
            <w:r w:rsidRPr="00943DFA">
              <w:rPr>
                <w:rFonts w:eastAsia="Times New Roman"/>
                <w:color w:val="0D0D0D" w:themeColor="text1" w:themeTint="F2"/>
                <w:sz w:val="18"/>
                <w:szCs w:val="18"/>
              </w:rPr>
              <w:br/>
              <w:t>(2.2)</w:t>
            </w:r>
          </w:p>
        </w:tc>
      </w:tr>
      <w:tr w:rsidR="00943DFA" w:rsidRPr="00943DFA" w14:paraId="5D342A3E" w14:textId="77777777" w:rsidTr="00373B60">
        <w:trPr>
          <w:trHeight w:val="480"/>
        </w:trPr>
        <w:tc>
          <w:tcPr>
            <w:tcW w:w="4253" w:type="dxa"/>
            <w:tcBorders>
              <w:top w:val="nil"/>
              <w:left w:val="nil"/>
              <w:bottom w:val="nil"/>
              <w:right w:val="nil"/>
            </w:tcBorders>
            <w:shd w:val="clear" w:color="000000" w:fill="FFFFFF"/>
            <w:vAlign w:val="center"/>
            <w:hideMark/>
          </w:tcPr>
          <w:p w14:paraId="7F7A5ACE"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#Offering issues</w:t>
            </w:r>
          </w:p>
        </w:tc>
        <w:tc>
          <w:tcPr>
            <w:tcW w:w="1660" w:type="dxa"/>
            <w:tcBorders>
              <w:top w:val="nil"/>
              <w:left w:val="nil"/>
              <w:bottom w:val="nil"/>
              <w:right w:val="nil"/>
            </w:tcBorders>
            <w:shd w:val="clear" w:color="000000" w:fill="FFFFFF"/>
            <w:vAlign w:val="center"/>
            <w:hideMark/>
          </w:tcPr>
          <w:p w14:paraId="13FA850E"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0.011</w:t>
            </w:r>
            <w:r w:rsidRPr="00943DFA">
              <w:rPr>
                <w:rFonts w:eastAsia="Times New Roman"/>
                <w:color w:val="0D0D0D" w:themeColor="text1" w:themeTint="F2"/>
                <w:sz w:val="18"/>
                <w:szCs w:val="18"/>
              </w:rPr>
              <w:br/>
              <w:t>(0.62)</w:t>
            </w:r>
          </w:p>
        </w:tc>
        <w:tc>
          <w:tcPr>
            <w:tcW w:w="960" w:type="dxa"/>
            <w:tcBorders>
              <w:top w:val="nil"/>
              <w:left w:val="nil"/>
              <w:bottom w:val="nil"/>
              <w:right w:val="nil"/>
            </w:tcBorders>
            <w:shd w:val="clear" w:color="000000" w:fill="FFFFFF"/>
            <w:vAlign w:val="center"/>
            <w:hideMark/>
          </w:tcPr>
          <w:p w14:paraId="0CCF1313"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7F1B8116"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w:t>
            </w:r>
            <w:r w:rsidRPr="00943DFA">
              <w:rPr>
                <w:rFonts w:eastAsia="Times New Roman"/>
                <w:color w:val="0D0D0D" w:themeColor="text1" w:themeTint="F2"/>
                <w:sz w:val="18"/>
                <w:szCs w:val="18"/>
              </w:rPr>
              <w:br/>
              <w:t>(0.6)</w:t>
            </w:r>
          </w:p>
        </w:tc>
      </w:tr>
      <w:tr w:rsidR="00943DFA" w:rsidRPr="00943DFA" w14:paraId="231B505B" w14:textId="77777777" w:rsidTr="00373B60">
        <w:trPr>
          <w:trHeight w:val="480"/>
        </w:trPr>
        <w:tc>
          <w:tcPr>
            <w:tcW w:w="4253" w:type="dxa"/>
            <w:tcBorders>
              <w:top w:val="nil"/>
              <w:left w:val="nil"/>
              <w:bottom w:val="nil"/>
              <w:right w:val="nil"/>
            </w:tcBorders>
            <w:shd w:val="clear" w:color="000000" w:fill="FFFFFF"/>
            <w:vAlign w:val="center"/>
            <w:hideMark/>
          </w:tcPr>
          <w:p w14:paraId="3545731A"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#Business issues</w:t>
            </w:r>
          </w:p>
        </w:tc>
        <w:tc>
          <w:tcPr>
            <w:tcW w:w="1660" w:type="dxa"/>
            <w:tcBorders>
              <w:top w:val="nil"/>
              <w:left w:val="nil"/>
              <w:bottom w:val="nil"/>
              <w:right w:val="nil"/>
            </w:tcBorders>
            <w:shd w:val="clear" w:color="000000" w:fill="FFFFFF"/>
            <w:vAlign w:val="center"/>
            <w:hideMark/>
          </w:tcPr>
          <w:p w14:paraId="445D7979"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0.011**</w:t>
            </w:r>
            <w:r w:rsidRPr="00943DFA">
              <w:rPr>
                <w:rFonts w:eastAsia="Times New Roman"/>
                <w:color w:val="0D0D0D" w:themeColor="text1" w:themeTint="F2"/>
                <w:sz w:val="18"/>
                <w:szCs w:val="18"/>
              </w:rPr>
              <w:br/>
              <w:t>(2.5)</w:t>
            </w:r>
          </w:p>
        </w:tc>
        <w:tc>
          <w:tcPr>
            <w:tcW w:w="960" w:type="dxa"/>
            <w:tcBorders>
              <w:top w:val="nil"/>
              <w:left w:val="nil"/>
              <w:bottom w:val="nil"/>
              <w:right w:val="nil"/>
            </w:tcBorders>
            <w:shd w:val="clear" w:color="000000" w:fill="FFFFFF"/>
            <w:vAlign w:val="center"/>
            <w:hideMark/>
          </w:tcPr>
          <w:p w14:paraId="5109E64E"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03D525E4"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0.014***</w:t>
            </w:r>
            <w:r w:rsidRPr="00943DFA">
              <w:rPr>
                <w:rFonts w:eastAsia="Times New Roman"/>
                <w:color w:val="0D0D0D" w:themeColor="text1" w:themeTint="F2"/>
                <w:sz w:val="18"/>
                <w:szCs w:val="18"/>
              </w:rPr>
              <w:br/>
              <w:t>(5.91)</w:t>
            </w:r>
          </w:p>
        </w:tc>
      </w:tr>
      <w:tr w:rsidR="00943DFA" w:rsidRPr="00943DFA" w14:paraId="167D50E9" w14:textId="77777777" w:rsidTr="00373B60">
        <w:trPr>
          <w:trHeight w:val="480"/>
        </w:trPr>
        <w:tc>
          <w:tcPr>
            <w:tcW w:w="4253" w:type="dxa"/>
            <w:tcBorders>
              <w:top w:val="nil"/>
              <w:left w:val="nil"/>
              <w:bottom w:val="nil"/>
              <w:right w:val="nil"/>
            </w:tcBorders>
            <w:shd w:val="clear" w:color="000000" w:fill="FFFFFF"/>
            <w:vAlign w:val="center"/>
            <w:hideMark/>
          </w:tcPr>
          <w:p w14:paraId="69E67332"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#Governance issues</w:t>
            </w:r>
          </w:p>
        </w:tc>
        <w:tc>
          <w:tcPr>
            <w:tcW w:w="1660" w:type="dxa"/>
            <w:tcBorders>
              <w:top w:val="nil"/>
              <w:left w:val="nil"/>
              <w:bottom w:val="nil"/>
              <w:right w:val="nil"/>
            </w:tcBorders>
            <w:shd w:val="clear" w:color="000000" w:fill="FFFFFF"/>
            <w:vAlign w:val="center"/>
            <w:hideMark/>
          </w:tcPr>
          <w:p w14:paraId="48DE3196"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-0.015</w:t>
            </w:r>
            <w:r w:rsidRPr="00943DFA">
              <w:rPr>
                <w:rFonts w:eastAsia="Times New Roman"/>
                <w:color w:val="0D0D0D" w:themeColor="text1" w:themeTint="F2"/>
                <w:sz w:val="18"/>
                <w:szCs w:val="18"/>
              </w:rPr>
              <w:br/>
              <w:t>(-0.57)</w:t>
            </w:r>
          </w:p>
        </w:tc>
        <w:tc>
          <w:tcPr>
            <w:tcW w:w="960" w:type="dxa"/>
            <w:tcBorders>
              <w:top w:val="nil"/>
              <w:left w:val="nil"/>
              <w:bottom w:val="nil"/>
              <w:right w:val="nil"/>
            </w:tcBorders>
            <w:shd w:val="clear" w:color="000000" w:fill="FFFFFF"/>
            <w:vAlign w:val="center"/>
            <w:hideMark/>
          </w:tcPr>
          <w:p w14:paraId="0F211AF7"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0414368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0.019</w:t>
            </w:r>
            <w:r w:rsidRPr="00943DFA">
              <w:rPr>
                <w:rFonts w:eastAsia="Times New Roman"/>
                <w:color w:val="0D0D0D" w:themeColor="text1" w:themeTint="F2"/>
                <w:sz w:val="18"/>
                <w:szCs w:val="18"/>
              </w:rPr>
              <w:br/>
              <w:t>(1.53)</w:t>
            </w:r>
          </w:p>
        </w:tc>
      </w:tr>
      <w:tr w:rsidR="00943DFA" w:rsidRPr="00943DFA" w14:paraId="2C3CB9EB" w14:textId="77777777" w:rsidTr="00373B60">
        <w:trPr>
          <w:trHeight w:val="480"/>
        </w:trPr>
        <w:tc>
          <w:tcPr>
            <w:tcW w:w="4253" w:type="dxa"/>
            <w:tcBorders>
              <w:top w:val="nil"/>
              <w:left w:val="nil"/>
              <w:bottom w:val="nil"/>
              <w:right w:val="nil"/>
            </w:tcBorders>
            <w:shd w:val="clear" w:color="000000" w:fill="FFFFFF"/>
            <w:vAlign w:val="center"/>
            <w:hideMark/>
          </w:tcPr>
          <w:p w14:paraId="6095A906"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#Disclosure issues</w:t>
            </w:r>
          </w:p>
        </w:tc>
        <w:tc>
          <w:tcPr>
            <w:tcW w:w="1660" w:type="dxa"/>
            <w:tcBorders>
              <w:top w:val="nil"/>
              <w:left w:val="nil"/>
              <w:bottom w:val="nil"/>
              <w:right w:val="nil"/>
            </w:tcBorders>
            <w:shd w:val="clear" w:color="000000" w:fill="FFFFFF"/>
            <w:vAlign w:val="center"/>
            <w:hideMark/>
          </w:tcPr>
          <w:p w14:paraId="688235BA"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(-0.13)</w:t>
            </w:r>
          </w:p>
        </w:tc>
        <w:tc>
          <w:tcPr>
            <w:tcW w:w="960" w:type="dxa"/>
            <w:tcBorders>
              <w:top w:val="nil"/>
              <w:left w:val="nil"/>
              <w:bottom w:val="nil"/>
              <w:right w:val="nil"/>
            </w:tcBorders>
            <w:shd w:val="clear" w:color="000000" w:fill="FFFFFF"/>
            <w:vAlign w:val="center"/>
            <w:hideMark/>
          </w:tcPr>
          <w:p w14:paraId="665405A6" w14:textId="77777777" w:rsidR="00195130" w:rsidRPr="00943DFA" w:rsidRDefault="00195130" w:rsidP="00373B60">
            <w:pPr>
              <w:contextualSpacing/>
              <w:jc w:val="center"/>
              <w:rPr>
                <w:rFonts w:eastAsia="Times New Roman"/>
                <w:b/>
                <w:bCs/>
                <w:color w:val="0D0D0D" w:themeColor="text1" w:themeTint="F2"/>
                <w:sz w:val="18"/>
                <w:szCs w:val="18"/>
              </w:rPr>
            </w:pPr>
            <w:r w:rsidRPr="00943DFA">
              <w:rPr>
                <w:rFonts w:eastAsia="Times New Roman"/>
                <w:b/>
                <w:bCs/>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40698C6B"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0.011***</w:t>
            </w:r>
            <w:r w:rsidRPr="00943DFA">
              <w:rPr>
                <w:rFonts w:eastAsia="Times New Roman"/>
                <w:color w:val="0D0D0D" w:themeColor="text1" w:themeTint="F2"/>
                <w:sz w:val="18"/>
                <w:szCs w:val="18"/>
              </w:rPr>
              <w:br/>
              <w:t>(6.28)</w:t>
            </w:r>
          </w:p>
        </w:tc>
      </w:tr>
      <w:tr w:rsidR="00943DFA" w:rsidRPr="00943DFA" w14:paraId="29C9717C" w14:textId="77777777" w:rsidTr="00373B60">
        <w:trPr>
          <w:trHeight w:val="480"/>
        </w:trPr>
        <w:tc>
          <w:tcPr>
            <w:tcW w:w="4253" w:type="dxa"/>
            <w:tcBorders>
              <w:top w:val="nil"/>
              <w:left w:val="nil"/>
              <w:bottom w:val="nil"/>
              <w:right w:val="nil"/>
            </w:tcBorders>
            <w:shd w:val="clear" w:color="000000" w:fill="FFFFFF"/>
            <w:vAlign w:val="center"/>
            <w:hideMark/>
          </w:tcPr>
          <w:p w14:paraId="30B52611"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Size</w:t>
            </w:r>
          </w:p>
        </w:tc>
        <w:tc>
          <w:tcPr>
            <w:tcW w:w="1660" w:type="dxa"/>
            <w:tcBorders>
              <w:top w:val="nil"/>
              <w:left w:val="nil"/>
              <w:bottom w:val="nil"/>
              <w:right w:val="nil"/>
            </w:tcBorders>
            <w:shd w:val="clear" w:color="000000" w:fill="FFFFFF"/>
            <w:vAlign w:val="center"/>
            <w:hideMark/>
          </w:tcPr>
          <w:p w14:paraId="30822EC5"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(2.8)</w:t>
            </w:r>
          </w:p>
        </w:tc>
        <w:tc>
          <w:tcPr>
            <w:tcW w:w="960" w:type="dxa"/>
            <w:tcBorders>
              <w:top w:val="nil"/>
              <w:left w:val="nil"/>
              <w:bottom w:val="nil"/>
              <w:right w:val="nil"/>
            </w:tcBorders>
            <w:shd w:val="clear" w:color="000000" w:fill="FFFFFF"/>
            <w:vAlign w:val="center"/>
            <w:hideMark/>
          </w:tcPr>
          <w:p w14:paraId="0D49182E"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483163AB"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(0.44)</w:t>
            </w:r>
          </w:p>
        </w:tc>
      </w:tr>
      <w:tr w:rsidR="00943DFA" w:rsidRPr="00943DFA" w14:paraId="33D0E4F7" w14:textId="77777777" w:rsidTr="00373B60">
        <w:trPr>
          <w:trHeight w:val="480"/>
        </w:trPr>
        <w:tc>
          <w:tcPr>
            <w:tcW w:w="4253" w:type="dxa"/>
            <w:tcBorders>
              <w:top w:val="nil"/>
              <w:left w:val="nil"/>
              <w:bottom w:val="nil"/>
              <w:right w:val="nil"/>
            </w:tcBorders>
            <w:shd w:val="clear" w:color="000000" w:fill="FFFFFF"/>
            <w:vAlign w:val="center"/>
            <w:hideMark/>
          </w:tcPr>
          <w:p w14:paraId="30137E23"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Age</w:t>
            </w:r>
          </w:p>
        </w:tc>
        <w:tc>
          <w:tcPr>
            <w:tcW w:w="1660" w:type="dxa"/>
            <w:tcBorders>
              <w:top w:val="nil"/>
              <w:left w:val="nil"/>
              <w:bottom w:val="nil"/>
              <w:right w:val="nil"/>
            </w:tcBorders>
            <w:shd w:val="clear" w:color="000000" w:fill="FFFFFF"/>
            <w:vAlign w:val="center"/>
            <w:hideMark/>
          </w:tcPr>
          <w:p w14:paraId="76DAC141"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0.036***</w:t>
            </w:r>
            <w:r w:rsidRPr="00943DFA">
              <w:rPr>
                <w:rFonts w:eastAsia="Times New Roman"/>
                <w:color w:val="0D0D0D" w:themeColor="text1" w:themeTint="F2"/>
                <w:sz w:val="18"/>
                <w:szCs w:val="18"/>
              </w:rPr>
              <w:br/>
              <w:t>(6.84)</w:t>
            </w:r>
          </w:p>
        </w:tc>
        <w:tc>
          <w:tcPr>
            <w:tcW w:w="960" w:type="dxa"/>
            <w:tcBorders>
              <w:top w:val="nil"/>
              <w:left w:val="nil"/>
              <w:bottom w:val="nil"/>
              <w:right w:val="nil"/>
            </w:tcBorders>
            <w:shd w:val="clear" w:color="000000" w:fill="FFFFFF"/>
            <w:vAlign w:val="center"/>
            <w:hideMark/>
          </w:tcPr>
          <w:p w14:paraId="4134D1D3"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22626532"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0.024***</w:t>
            </w:r>
            <w:r w:rsidRPr="00943DFA">
              <w:rPr>
                <w:rFonts w:eastAsia="Times New Roman"/>
                <w:color w:val="0D0D0D" w:themeColor="text1" w:themeTint="F2"/>
                <w:sz w:val="18"/>
                <w:szCs w:val="18"/>
              </w:rPr>
              <w:br/>
              <w:t>(6.31)</w:t>
            </w:r>
          </w:p>
        </w:tc>
      </w:tr>
      <w:tr w:rsidR="00943DFA" w:rsidRPr="00943DFA" w14:paraId="30085115" w14:textId="77777777" w:rsidTr="00373B60">
        <w:trPr>
          <w:trHeight w:val="480"/>
        </w:trPr>
        <w:tc>
          <w:tcPr>
            <w:tcW w:w="4253" w:type="dxa"/>
            <w:tcBorders>
              <w:top w:val="nil"/>
              <w:left w:val="nil"/>
              <w:bottom w:val="nil"/>
              <w:right w:val="nil"/>
            </w:tcBorders>
            <w:shd w:val="clear" w:color="000000" w:fill="FFFFFF"/>
            <w:vAlign w:val="center"/>
            <w:hideMark/>
          </w:tcPr>
          <w:p w14:paraId="6FEC9B3D"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Sale growth</w:t>
            </w:r>
          </w:p>
        </w:tc>
        <w:tc>
          <w:tcPr>
            <w:tcW w:w="1660" w:type="dxa"/>
            <w:tcBorders>
              <w:top w:val="nil"/>
              <w:left w:val="nil"/>
              <w:bottom w:val="nil"/>
              <w:right w:val="nil"/>
            </w:tcBorders>
            <w:shd w:val="clear" w:color="000000" w:fill="FFFFFF"/>
            <w:vAlign w:val="center"/>
            <w:hideMark/>
          </w:tcPr>
          <w:p w14:paraId="630C6640"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(-5.79)</w:t>
            </w:r>
          </w:p>
        </w:tc>
        <w:tc>
          <w:tcPr>
            <w:tcW w:w="960" w:type="dxa"/>
            <w:tcBorders>
              <w:top w:val="nil"/>
              <w:left w:val="nil"/>
              <w:bottom w:val="nil"/>
              <w:right w:val="nil"/>
            </w:tcBorders>
            <w:shd w:val="clear" w:color="000000" w:fill="FFFFFF"/>
            <w:vAlign w:val="center"/>
            <w:hideMark/>
          </w:tcPr>
          <w:p w14:paraId="6DBB7F16"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4D076707"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(-0.34)</w:t>
            </w:r>
          </w:p>
        </w:tc>
      </w:tr>
      <w:tr w:rsidR="00943DFA" w:rsidRPr="00943DFA" w14:paraId="01D6391C" w14:textId="77777777" w:rsidTr="00373B60">
        <w:trPr>
          <w:trHeight w:val="480"/>
        </w:trPr>
        <w:tc>
          <w:tcPr>
            <w:tcW w:w="4253" w:type="dxa"/>
            <w:tcBorders>
              <w:top w:val="nil"/>
              <w:left w:val="nil"/>
              <w:bottom w:val="nil"/>
              <w:right w:val="nil"/>
            </w:tcBorders>
            <w:shd w:val="clear" w:color="000000" w:fill="FFFFFF"/>
            <w:vAlign w:val="center"/>
            <w:hideMark/>
          </w:tcPr>
          <w:p w14:paraId="4A1B6ECA"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Segments</w:t>
            </w:r>
          </w:p>
        </w:tc>
        <w:tc>
          <w:tcPr>
            <w:tcW w:w="1660" w:type="dxa"/>
            <w:tcBorders>
              <w:top w:val="nil"/>
              <w:left w:val="nil"/>
              <w:bottom w:val="nil"/>
              <w:right w:val="nil"/>
            </w:tcBorders>
            <w:shd w:val="clear" w:color="000000" w:fill="FFFFFF"/>
            <w:vAlign w:val="center"/>
            <w:hideMark/>
          </w:tcPr>
          <w:p w14:paraId="19762542"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0.007</w:t>
            </w:r>
            <w:r w:rsidRPr="00943DFA">
              <w:rPr>
                <w:rFonts w:eastAsia="Times New Roman"/>
                <w:color w:val="0D0D0D" w:themeColor="text1" w:themeTint="F2"/>
                <w:sz w:val="18"/>
                <w:szCs w:val="18"/>
              </w:rPr>
              <w:br/>
              <w:t>(0.25)</w:t>
            </w:r>
          </w:p>
        </w:tc>
        <w:tc>
          <w:tcPr>
            <w:tcW w:w="960" w:type="dxa"/>
            <w:tcBorders>
              <w:top w:val="nil"/>
              <w:left w:val="nil"/>
              <w:bottom w:val="nil"/>
              <w:right w:val="nil"/>
            </w:tcBorders>
            <w:shd w:val="clear" w:color="000000" w:fill="FFFFFF"/>
            <w:vAlign w:val="center"/>
            <w:hideMark/>
          </w:tcPr>
          <w:p w14:paraId="648021B4"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2299D03B"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(-0.05)</w:t>
            </w:r>
          </w:p>
        </w:tc>
      </w:tr>
      <w:tr w:rsidR="00943DFA" w:rsidRPr="00943DFA" w14:paraId="77204A83" w14:textId="77777777" w:rsidTr="00373B60">
        <w:trPr>
          <w:trHeight w:val="480"/>
        </w:trPr>
        <w:tc>
          <w:tcPr>
            <w:tcW w:w="4253" w:type="dxa"/>
            <w:tcBorders>
              <w:top w:val="nil"/>
              <w:left w:val="nil"/>
              <w:bottom w:val="nil"/>
              <w:right w:val="nil"/>
            </w:tcBorders>
            <w:shd w:val="clear" w:color="000000" w:fill="FFFFFF"/>
            <w:vAlign w:val="center"/>
            <w:hideMark/>
          </w:tcPr>
          <w:p w14:paraId="12599A33"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Restructuring</w:t>
            </w:r>
          </w:p>
        </w:tc>
        <w:tc>
          <w:tcPr>
            <w:tcW w:w="1660" w:type="dxa"/>
            <w:tcBorders>
              <w:top w:val="nil"/>
              <w:left w:val="nil"/>
              <w:bottom w:val="nil"/>
              <w:right w:val="nil"/>
            </w:tcBorders>
            <w:shd w:val="clear" w:color="000000" w:fill="FFFFFF"/>
            <w:vAlign w:val="center"/>
            <w:hideMark/>
          </w:tcPr>
          <w:p w14:paraId="127D64C2"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-0.007</w:t>
            </w:r>
            <w:r w:rsidRPr="00943DFA">
              <w:rPr>
                <w:rFonts w:eastAsia="Times New Roman"/>
                <w:color w:val="0D0D0D" w:themeColor="text1" w:themeTint="F2"/>
                <w:sz w:val="18"/>
                <w:szCs w:val="18"/>
              </w:rPr>
              <w:br/>
              <w:t>(-0.05)</w:t>
            </w:r>
          </w:p>
        </w:tc>
        <w:tc>
          <w:tcPr>
            <w:tcW w:w="960" w:type="dxa"/>
            <w:tcBorders>
              <w:top w:val="nil"/>
              <w:left w:val="nil"/>
              <w:bottom w:val="nil"/>
              <w:right w:val="nil"/>
            </w:tcBorders>
            <w:shd w:val="clear" w:color="000000" w:fill="FFFFFF"/>
            <w:vAlign w:val="center"/>
            <w:hideMark/>
          </w:tcPr>
          <w:p w14:paraId="6F8F22DE"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613987E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0.106</w:t>
            </w:r>
            <w:r w:rsidRPr="00943DFA">
              <w:rPr>
                <w:rFonts w:eastAsia="Times New Roman"/>
                <w:color w:val="0D0D0D" w:themeColor="text1" w:themeTint="F2"/>
                <w:sz w:val="18"/>
                <w:szCs w:val="18"/>
              </w:rPr>
              <w:br/>
              <w:t>(1.32)</w:t>
            </w:r>
          </w:p>
        </w:tc>
      </w:tr>
      <w:tr w:rsidR="00943DFA" w:rsidRPr="00943DFA" w14:paraId="645F3F40" w14:textId="77777777" w:rsidTr="00373B60">
        <w:trPr>
          <w:trHeight w:val="480"/>
        </w:trPr>
        <w:tc>
          <w:tcPr>
            <w:tcW w:w="4253" w:type="dxa"/>
            <w:tcBorders>
              <w:top w:val="nil"/>
              <w:left w:val="nil"/>
              <w:bottom w:val="nil"/>
              <w:right w:val="nil"/>
            </w:tcBorders>
            <w:shd w:val="clear" w:color="000000" w:fill="FFFFFF"/>
            <w:vAlign w:val="center"/>
            <w:hideMark/>
          </w:tcPr>
          <w:p w14:paraId="2CD7855E"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M&amp;A</w:t>
            </w:r>
          </w:p>
        </w:tc>
        <w:tc>
          <w:tcPr>
            <w:tcW w:w="1660" w:type="dxa"/>
            <w:tcBorders>
              <w:top w:val="nil"/>
              <w:left w:val="nil"/>
              <w:bottom w:val="nil"/>
              <w:right w:val="nil"/>
            </w:tcBorders>
            <w:shd w:val="clear" w:color="000000" w:fill="FFFFFF"/>
            <w:vAlign w:val="center"/>
            <w:hideMark/>
          </w:tcPr>
          <w:p w14:paraId="632431B3"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-0.047</w:t>
            </w:r>
            <w:r w:rsidRPr="00943DFA">
              <w:rPr>
                <w:rFonts w:eastAsia="Times New Roman"/>
                <w:color w:val="0D0D0D" w:themeColor="text1" w:themeTint="F2"/>
                <w:sz w:val="18"/>
                <w:szCs w:val="18"/>
              </w:rPr>
              <w:br/>
              <w:t>(-0.78)</w:t>
            </w:r>
          </w:p>
        </w:tc>
        <w:tc>
          <w:tcPr>
            <w:tcW w:w="960" w:type="dxa"/>
            <w:tcBorders>
              <w:top w:val="nil"/>
              <w:left w:val="nil"/>
              <w:bottom w:val="nil"/>
              <w:right w:val="nil"/>
            </w:tcBorders>
            <w:shd w:val="clear" w:color="000000" w:fill="FFFFFF"/>
            <w:vAlign w:val="center"/>
            <w:hideMark/>
          </w:tcPr>
          <w:p w14:paraId="7E9395F6"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7EECFAD2"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0.046</w:t>
            </w:r>
            <w:r w:rsidRPr="00943DFA">
              <w:rPr>
                <w:rFonts w:eastAsia="Times New Roman"/>
                <w:color w:val="0D0D0D" w:themeColor="text1" w:themeTint="F2"/>
                <w:sz w:val="18"/>
                <w:szCs w:val="18"/>
              </w:rPr>
              <w:br/>
              <w:t>(0.51)</w:t>
            </w:r>
          </w:p>
        </w:tc>
      </w:tr>
      <w:tr w:rsidR="00943DFA" w:rsidRPr="00943DFA" w14:paraId="7EA4F6EC" w14:textId="77777777" w:rsidTr="00373B60">
        <w:trPr>
          <w:trHeight w:val="480"/>
        </w:trPr>
        <w:tc>
          <w:tcPr>
            <w:tcW w:w="4253" w:type="dxa"/>
            <w:tcBorders>
              <w:top w:val="nil"/>
              <w:left w:val="nil"/>
              <w:bottom w:val="nil"/>
              <w:right w:val="nil"/>
            </w:tcBorders>
            <w:shd w:val="clear" w:color="000000" w:fill="FFFFFF"/>
            <w:vAlign w:val="center"/>
            <w:hideMark/>
          </w:tcPr>
          <w:p w14:paraId="350A68EC"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Leverage</w:t>
            </w:r>
          </w:p>
        </w:tc>
        <w:tc>
          <w:tcPr>
            <w:tcW w:w="1660" w:type="dxa"/>
            <w:tcBorders>
              <w:top w:val="nil"/>
              <w:left w:val="nil"/>
              <w:bottom w:val="nil"/>
              <w:right w:val="nil"/>
            </w:tcBorders>
            <w:shd w:val="clear" w:color="000000" w:fill="FFFFFF"/>
            <w:vAlign w:val="center"/>
            <w:hideMark/>
          </w:tcPr>
          <w:p w14:paraId="6B67E413"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-0.002</w:t>
            </w:r>
            <w:r w:rsidRPr="00943DFA">
              <w:rPr>
                <w:rFonts w:eastAsia="Times New Roman"/>
                <w:color w:val="0D0D0D" w:themeColor="text1" w:themeTint="F2"/>
                <w:sz w:val="18"/>
                <w:szCs w:val="18"/>
              </w:rPr>
              <w:br/>
              <w:t>(-0.49)</w:t>
            </w:r>
          </w:p>
        </w:tc>
        <w:tc>
          <w:tcPr>
            <w:tcW w:w="960" w:type="dxa"/>
            <w:tcBorders>
              <w:top w:val="nil"/>
              <w:left w:val="nil"/>
              <w:bottom w:val="nil"/>
              <w:right w:val="nil"/>
            </w:tcBorders>
            <w:shd w:val="clear" w:color="000000" w:fill="FFFFFF"/>
            <w:vAlign w:val="center"/>
            <w:hideMark/>
          </w:tcPr>
          <w:p w14:paraId="0BA58B8A"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68E6F07E"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-0.001</w:t>
            </w:r>
            <w:r w:rsidRPr="00943DFA">
              <w:rPr>
                <w:rFonts w:eastAsia="Times New Roman"/>
                <w:color w:val="0D0D0D" w:themeColor="text1" w:themeTint="F2"/>
                <w:sz w:val="18"/>
                <w:szCs w:val="18"/>
              </w:rPr>
              <w:br/>
              <w:t>(-0.62)</w:t>
            </w:r>
          </w:p>
        </w:tc>
      </w:tr>
      <w:tr w:rsidR="00943DFA" w:rsidRPr="00943DFA" w14:paraId="7265286D" w14:textId="77777777" w:rsidTr="00373B60">
        <w:trPr>
          <w:trHeight w:val="480"/>
        </w:trPr>
        <w:tc>
          <w:tcPr>
            <w:tcW w:w="4253" w:type="dxa"/>
            <w:tcBorders>
              <w:top w:val="nil"/>
              <w:left w:val="nil"/>
              <w:bottom w:val="nil"/>
              <w:right w:val="nil"/>
            </w:tcBorders>
            <w:shd w:val="clear" w:color="000000" w:fill="FFFFFF"/>
            <w:vAlign w:val="center"/>
            <w:hideMark/>
          </w:tcPr>
          <w:p w14:paraId="19A1C42E"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Z-score</w:t>
            </w:r>
          </w:p>
        </w:tc>
        <w:tc>
          <w:tcPr>
            <w:tcW w:w="1660" w:type="dxa"/>
            <w:tcBorders>
              <w:top w:val="nil"/>
              <w:left w:val="nil"/>
              <w:bottom w:val="nil"/>
              <w:right w:val="nil"/>
            </w:tcBorders>
            <w:shd w:val="clear" w:color="000000" w:fill="FFFFFF"/>
            <w:vAlign w:val="center"/>
            <w:hideMark/>
          </w:tcPr>
          <w:p w14:paraId="6DEFE9B5"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-0.002***</w:t>
            </w:r>
            <w:r w:rsidRPr="00943DFA">
              <w:rPr>
                <w:rFonts w:eastAsia="Times New Roman"/>
                <w:color w:val="0D0D0D" w:themeColor="text1" w:themeTint="F2"/>
                <w:sz w:val="18"/>
                <w:szCs w:val="18"/>
              </w:rPr>
              <w:br/>
              <w:t>(-7.99)</w:t>
            </w:r>
          </w:p>
        </w:tc>
        <w:tc>
          <w:tcPr>
            <w:tcW w:w="960" w:type="dxa"/>
            <w:tcBorders>
              <w:top w:val="nil"/>
              <w:left w:val="nil"/>
              <w:bottom w:val="nil"/>
              <w:right w:val="nil"/>
            </w:tcBorders>
            <w:shd w:val="clear" w:color="000000" w:fill="FFFFFF"/>
            <w:vAlign w:val="center"/>
            <w:hideMark/>
          </w:tcPr>
          <w:p w14:paraId="27E5AC28"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310A477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-0.002***</w:t>
            </w:r>
            <w:r w:rsidRPr="00943DFA">
              <w:rPr>
                <w:rFonts w:eastAsia="Times New Roman"/>
                <w:color w:val="0D0D0D" w:themeColor="text1" w:themeTint="F2"/>
                <w:sz w:val="18"/>
                <w:szCs w:val="18"/>
              </w:rPr>
              <w:br/>
              <w:t>(-5.44)</w:t>
            </w:r>
          </w:p>
        </w:tc>
      </w:tr>
      <w:tr w:rsidR="00943DFA" w:rsidRPr="00943DFA" w14:paraId="3518AB29" w14:textId="77777777" w:rsidTr="00373B60">
        <w:trPr>
          <w:trHeight w:val="480"/>
        </w:trPr>
        <w:tc>
          <w:tcPr>
            <w:tcW w:w="4253" w:type="dxa"/>
            <w:tcBorders>
              <w:top w:val="nil"/>
              <w:left w:val="nil"/>
              <w:bottom w:val="nil"/>
              <w:right w:val="nil"/>
            </w:tcBorders>
            <w:shd w:val="clear" w:color="000000" w:fill="FFFFFF"/>
            <w:vAlign w:val="center"/>
            <w:hideMark/>
          </w:tcPr>
          <w:p w14:paraId="2DCCC945"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Positive earnings</w:t>
            </w:r>
          </w:p>
        </w:tc>
        <w:tc>
          <w:tcPr>
            <w:tcW w:w="1660" w:type="dxa"/>
            <w:tcBorders>
              <w:top w:val="nil"/>
              <w:left w:val="nil"/>
              <w:bottom w:val="nil"/>
              <w:right w:val="nil"/>
            </w:tcBorders>
            <w:shd w:val="clear" w:color="000000" w:fill="FFFFFF"/>
            <w:vAlign w:val="center"/>
            <w:hideMark/>
          </w:tcPr>
          <w:p w14:paraId="245236A8"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0.099**</w:t>
            </w:r>
            <w:r w:rsidRPr="00943DFA">
              <w:rPr>
                <w:rFonts w:eastAsia="Times New Roman"/>
                <w:color w:val="0D0D0D" w:themeColor="text1" w:themeTint="F2"/>
                <w:sz w:val="18"/>
                <w:szCs w:val="18"/>
              </w:rPr>
              <w:br/>
              <w:t>(2.43)</w:t>
            </w:r>
          </w:p>
        </w:tc>
        <w:tc>
          <w:tcPr>
            <w:tcW w:w="960" w:type="dxa"/>
            <w:tcBorders>
              <w:top w:val="nil"/>
              <w:left w:val="nil"/>
              <w:bottom w:val="nil"/>
              <w:right w:val="nil"/>
            </w:tcBorders>
            <w:shd w:val="clear" w:color="000000" w:fill="FFFFFF"/>
            <w:vAlign w:val="center"/>
            <w:hideMark/>
          </w:tcPr>
          <w:p w14:paraId="010795AA"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1B054AF0"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-0.027</w:t>
            </w:r>
            <w:r w:rsidRPr="00943DFA">
              <w:rPr>
                <w:rFonts w:eastAsia="Times New Roman"/>
                <w:color w:val="0D0D0D" w:themeColor="text1" w:themeTint="F2"/>
                <w:sz w:val="18"/>
                <w:szCs w:val="18"/>
              </w:rPr>
              <w:br/>
              <w:t>(-0.57)</w:t>
            </w:r>
          </w:p>
        </w:tc>
      </w:tr>
      <w:tr w:rsidR="00943DFA" w:rsidRPr="00943DFA" w14:paraId="65F5F862" w14:textId="77777777" w:rsidTr="00373B60">
        <w:trPr>
          <w:trHeight w:val="480"/>
        </w:trPr>
        <w:tc>
          <w:tcPr>
            <w:tcW w:w="4253" w:type="dxa"/>
            <w:tcBorders>
              <w:top w:val="nil"/>
              <w:left w:val="nil"/>
              <w:bottom w:val="nil"/>
              <w:right w:val="nil"/>
            </w:tcBorders>
            <w:shd w:val="clear" w:color="000000" w:fill="FFFFFF"/>
            <w:vAlign w:val="center"/>
            <w:hideMark/>
          </w:tcPr>
          <w:p w14:paraId="0E6B1E4D"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External financing</w:t>
            </w:r>
          </w:p>
        </w:tc>
        <w:tc>
          <w:tcPr>
            <w:tcW w:w="1660" w:type="dxa"/>
            <w:tcBorders>
              <w:top w:val="nil"/>
              <w:left w:val="nil"/>
              <w:bottom w:val="nil"/>
              <w:right w:val="nil"/>
            </w:tcBorders>
            <w:shd w:val="clear" w:color="000000" w:fill="FFFFFF"/>
            <w:vAlign w:val="center"/>
            <w:hideMark/>
          </w:tcPr>
          <w:p w14:paraId="3E761600"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-0.078***</w:t>
            </w:r>
            <w:r w:rsidRPr="00943DFA">
              <w:rPr>
                <w:rFonts w:eastAsia="Times New Roman"/>
                <w:color w:val="0D0D0D" w:themeColor="text1" w:themeTint="F2"/>
                <w:sz w:val="18"/>
                <w:szCs w:val="18"/>
              </w:rPr>
              <w:br/>
              <w:t>(-3.91)</w:t>
            </w:r>
          </w:p>
        </w:tc>
        <w:tc>
          <w:tcPr>
            <w:tcW w:w="960" w:type="dxa"/>
            <w:tcBorders>
              <w:top w:val="nil"/>
              <w:left w:val="nil"/>
              <w:bottom w:val="nil"/>
              <w:right w:val="nil"/>
            </w:tcBorders>
            <w:shd w:val="clear" w:color="000000" w:fill="FFFFFF"/>
            <w:vAlign w:val="center"/>
            <w:hideMark/>
          </w:tcPr>
          <w:p w14:paraId="5336CBAA"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783009D4"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-0.006</w:t>
            </w:r>
            <w:r w:rsidRPr="00943DFA">
              <w:rPr>
                <w:rFonts w:eastAsia="Times New Roman"/>
                <w:color w:val="0D0D0D" w:themeColor="text1" w:themeTint="F2"/>
                <w:sz w:val="18"/>
                <w:szCs w:val="18"/>
              </w:rPr>
              <w:br/>
              <w:t>(-0.27)</w:t>
            </w:r>
          </w:p>
        </w:tc>
      </w:tr>
      <w:tr w:rsidR="00943DFA" w:rsidRPr="00943DFA" w14:paraId="53432EA2" w14:textId="77777777" w:rsidTr="00373B60">
        <w:trPr>
          <w:trHeight w:val="510"/>
        </w:trPr>
        <w:tc>
          <w:tcPr>
            <w:tcW w:w="4253" w:type="dxa"/>
            <w:tcBorders>
              <w:top w:val="nil"/>
              <w:left w:val="nil"/>
              <w:bottom w:val="nil"/>
              <w:right w:val="nil"/>
            </w:tcBorders>
            <w:shd w:val="clear" w:color="000000" w:fill="FFFFFF"/>
            <w:vAlign w:val="center"/>
            <w:hideMark/>
          </w:tcPr>
          <w:p w14:paraId="2846B6DF"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Big 4</w:t>
            </w:r>
          </w:p>
        </w:tc>
        <w:tc>
          <w:tcPr>
            <w:tcW w:w="1660" w:type="dxa"/>
            <w:tcBorders>
              <w:top w:val="nil"/>
              <w:left w:val="nil"/>
              <w:bottom w:val="nil"/>
              <w:right w:val="nil"/>
            </w:tcBorders>
            <w:shd w:val="clear" w:color="000000" w:fill="FFFFFF"/>
            <w:vAlign w:val="center"/>
            <w:hideMark/>
          </w:tcPr>
          <w:p w14:paraId="3BE258B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-0.189**</w:t>
            </w:r>
            <w:r w:rsidRPr="00943DFA">
              <w:rPr>
                <w:rFonts w:eastAsia="Times New Roman"/>
                <w:color w:val="0D0D0D" w:themeColor="text1" w:themeTint="F2"/>
                <w:sz w:val="18"/>
                <w:szCs w:val="18"/>
              </w:rPr>
              <w:br/>
              <w:t>(-2.11)</w:t>
            </w:r>
          </w:p>
        </w:tc>
        <w:tc>
          <w:tcPr>
            <w:tcW w:w="960" w:type="dxa"/>
            <w:tcBorders>
              <w:top w:val="nil"/>
              <w:left w:val="nil"/>
              <w:bottom w:val="nil"/>
              <w:right w:val="nil"/>
            </w:tcBorders>
            <w:shd w:val="clear" w:color="000000" w:fill="FFFFFF"/>
            <w:vAlign w:val="center"/>
            <w:hideMark/>
          </w:tcPr>
          <w:p w14:paraId="75730853"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591344C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0.07</w:t>
            </w:r>
            <w:r w:rsidRPr="00943DFA">
              <w:rPr>
                <w:rFonts w:eastAsia="Times New Roman"/>
                <w:color w:val="0D0D0D" w:themeColor="text1" w:themeTint="F2"/>
                <w:sz w:val="18"/>
                <w:szCs w:val="18"/>
              </w:rPr>
              <w:br/>
              <w:t>(0.95)</w:t>
            </w:r>
          </w:p>
        </w:tc>
      </w:tr>
      <w:tr w:rsidR="00943DFA" w:rsidRPr="00943DFA" w14:paraId="166C36A2" w14:textId="77777777" w:rsidTr="00373B60">
        <w:trPr>
          <w:trHeight w:val="480"/>
        </w:trPr>
        <w:tc>
          <w:tcPr>
            <w:tcW w:w="4253" w:type="dxa"/>
            <w:tcBorders>
              <w:top w:val="nil"/>
              <w:left w:val="nil"/>
              <w:bottom w:val="nil"/>
              <w:right w:val="nil"/>
            </w:tcBorders>
            <w:shd w:val="clear" w:color="000000" w:fill="FFFFFF"/>
            <w:vAlign w:val="center"/>
            <w:hideMark/>
          </w:tcPr>
          <w:p w14:paraId="5360E59A" w14:textId="77777777" w:rsidR="00195130" w:rsidRPr="00943DFA" w:rsidRDefault="00195130" w:rsidP="00373B60">
            <w:pPr>
              <w:contextualSpacing/>
              <w:rPr>
                <w:rFonts w:eastAsia="Times New Roman"/>
                <w:color w:val="0D0D0D" w:themeColor="text1" w:themeTint="F2"/>
                <w:sz w:val="18"/>
                <w:szCs w:val="18"/>
              </w:rPr>
            </w:pPr>
            <w:proofErr w:type="spellStart"/>
            <w:r w:rsidRPr="00943DFA">
              <w:rPr>
                <w:rFonts w:eastAsia="Times New Roman"/>
                <w:color w:val="0D0D0D" w:themeColor="text1" w:themeTint="F2"/>
                <w:sz w:val="18"/>
                <w:szCs w:val="18"/>
              </w:rPr>
              <w:t>CEOchairperson</w:t>
            </w:r>
            <w:proofErr w:type="spellEnd"/>
          </w:p>
        </w:tc>
        <w:tc>
          <w:tcPr>
            <w:tcW w:w="1660" w:type="dxa"/>
            <w:tcBorders>
              <w:top w:val="nil"/>
              <w:left w:val="nil"/>
              <w:bottom w:val="nil"/>
              <w:right w:val="nil"/>
            </w:tcBorders>
            <w:shd w:val="clear" w:color="000000" w:fill="FFFFFF"/>
            <w:vAlign w:val="center"/>
            <w:hideMark/>
          </w:tcPr>
          <w:p w14:paraId="47551C3D"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0.043</w:t>
            </w:r>
            <w:r w:rsidRPr="00943DFA">
              <w:rPr>
                <w:rFonts w:eastAsia="Times New Roman"/>
                <w:color w:val="0D0D0D" w:themeColor="text1" w:themeTint="F2"/>
                <w:sz w:val="18"/>
                <w:szCs w:val="18"/>
              </w:rPr>
              <w:br/>
              <w:t>(0.83)</w:t>
            </w:r>
          </w:p>
        </w:tc>
        <w:tc>
          <w:tcPr>
            <w:tcW w:w="960" w:type="dxa"/>
            <w:tcBorders>
              <w:top w:val="nil"/>
              <w:left w:val="nil"/>
              <w:bottom w:val="nil"/>
              <w:right w:val="nil"/>
            </w:tcBorders>
            <w:shd w:val="clear" w:color="000000" w:fill="FFFFFF"/>
            <w:vAlign w:val="center"/>
            <w:hideMark/>
          </w:tcPr>
          <w:p w14:paraId="27291B17"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6F010D68"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0.008</w:t>
            </w:r>
            <w:r w:rsidRPr="00943DFA">
              <w:rPr>
                <w:rFonts w:eastAsia="Times New Roman"/>
                <w:color w:val="0D0D0D" w:themeColor="text1" w:themeTint="F2"/>
                <w:sz w:val="18"/>
                <w:szCs w:val="18"/>
              </w:rPr>
              <w:br/>
              <w:t>(0.12)</w:t>
            </w:r>
          </w:p>
        </w:tc>
      </w:tr>
      <w:tr w:rsidR="00943DFA" w:rsidRPr="00943DFA" w14:paraId="7858E271" w14:textId="77777777" w:rsidTr="00373B60">
        <w:trPr>
          <w:trHeight w:val="177"/>
        </w:trPr>
        <w:tc>
          <w:tcPr>
            <w:tcW w:w="4253" w:type="dxa"/>
            <w:tcBorders>
              <w:top w:val="nil"/>
              <w:left w:val="nil"/>
              <w:bottom w:val="nil"/>
              <w:right w:val="nil"/>
            </w:tcBorders>
            <w:shd w:val="clear" w:color="000000" w:fill="FFFFFF"/>
            <w:vAlign w:val="center"/>
            <w:hideMark/>
          </w:tcPr>
          <w:p w14:paraId="5078B566"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1660" w:type="dxa"/>
            <w:tcBorders>
              <w:top w:val="nil"/>
              <w:left w:val="nil"/>
              <w:bottom w:val="nil"/>
              <w:right w:val="nil"/>
            </w:tcBorders>
            <w:shd w:val="clear" w:color="000000" w:fill="FFFFFF"/>
            <w:vAlign w:val="center"/>
            <w:hideMark/>
          </w:tcPr>
          <w:p w14:paraId="41D3EE02"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960" w:type="dxa"/>
            <w:tcBorders>
              <w:top w:val="nil"/>
              <w:left w:val="nil"/>
              <w:bottom w:val="nil"/>
              <w:right w:val="nil"/>
            </w:tcBorders>
            <w:shd w:val="clear" w:color="000000" w:fill="FFFFFF"/>
            <w:vAlign w:val="center"/>
            <w:hideMark/>
          </w:tcPr>
          <w:p w14:paraId="7A5EA867"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1C6F63EB"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r>
      <w:tr w:rsidR="00943DFA" w:rsidRPr="00943DFA" w14:paraId="71C91E8E" w14:textId="77777777" w:rsidTr="00373B60">
        <w:trPr>
          <w:trHeight w:val="300"/>
        </w:trPr>
        <w:tc>
          <w:tcPr>
            <w:tcW w:w="4253" w:type="dxa"/>
            <w:tcBorders>
              <w:top w:val="nil"/>
              <w:left w:val="nil"/>
              <w:bottom w:val="nil"/>
              <w:right w:val="nil"/>
            </w:tcBorders>
            <w:shd w:val="clear" w:color="000000" w:fill="FFFFFF"/>
            <w:vAlign w:val="center"/>
            <w:hideMark/>
          </w:tcPr>
          <w:p w14:paraId="04F41279"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FE year</w:t>
            </w:r>
          </w:p>
        </w:tc>
        <w:tc>
          <w:tcPr>
            <w:tcW w:w="1660" w:type="dxa"/>
            <w:tcBorders>
              <w:top w:val="nil"/>
              <w:left w:val="nil"/>
              <w:bottom w:val="nil"/>
              <w:right w:val="nil"/>
            </w:tcBorders>
            <w:shd w:val="clear" w:color="000000" w:fill="FFFFFF"/>
            <w:vAlign w:val="center"/>
            <w:hideMark/>
          </w:tcPr>
          <w:p w14:paraId="22756488"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Included</w:t>
            </w:r>
          </w:p>
        </w:tc>
        <w:tc>
          <w:tcPr>
            <w:tcW w:w="960" w:type="dxa"/>
            <w:tcBorders>
              <w:top w:val="nil"/>
              <w:left w:val="nil"/>
              <w:bottom w:val="nil"/>
              <w:right w:val="nil"/>
            </w:tcBorders>
            <w:shd w:val="clear" w:color="000000" w:fill="FFFFFF"/>
            <w:vAlign w:val="center"/>
            <w:hideMark/>
          </w:tcPr>
          <w:p w14:paraId="0C9E6E35"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34F68E98"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Included</w:t>
            </w:r>
          </w:p>
        </w:tc>
      </w:tr>
      <w:tr w:rsidR="00943DFA" w:rsidRPr="00943DFA" w14:paraId="3CF1CBB0" w14:textId="77777777" w:rsidTr="00373B60">
        <w:trPr>
          <w:trHeight w:val="300"/>
        </w:trPr>
        <w:tc>
          <w:tcPr>
            <w:tcW w:w="4253" w:type="dxa"/>
            <w:tcBorders>
              <w:top w:val="nil"/>
              <w:left w:val="nil"/>
              <w:bottom w:val="nil"/>
              <w:right w:val="nil"/>
            </w:tcBorders>
            <w:shd w:val="clear" w:color="000000" w:fill="FFFFFF"/>
            <w:vAlign w:val="center"/>
            <w:hideMark/>
          </w:tcPr>
          <w:p w14:paraId="4BA61669"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FE industry</w:t>
            </w:r>
          </w:p>
        </w:tc>
        <w:tc>
          <w:tcPr>
            <w:tcW w:w="1660" w:type="dxa"/>
            <w:tcBorders>
              <w:top w:val="nil"/>
              <w:left w:val="nil"/>
              <w:bottom w:val="nil"/>
              <w:right w:val="nil"/>
            </w:tcBorders>
            <w:shd w:val="clear" w:color="000000" w:fill="FFFFFF"/>
            <w:vAlign w:val="center"/>
            <w:hideMark/>
          </w:tcPr>
          <w:p w14:paraId="3DB6987B"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Included</w:t>
            </w:r>
          </w:p>
        </w:tc>
        <w:tc>
          <w:tcPr>
            <w:tcW w:w="960" w:type="dxa"/>
            <w:tcBorders>
              <w:top w:val="nil"/>
              <w:left w:val="nil"/>
              <w:bottom w:val="nil"/>
              <w:right w:val="nil"/>
            </w:tcBorders>
            <w:shd w:val="clear" w:color="000000" w:fill="FFFFFF"/>
            <w:vAlign w:val="center"/>
            <w:hideMark/>
          </w:tcPr>
          <w:p w14:paraId="21047476"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42F49B2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Included</w:t>
            </w:r>
          </w:p>
        </w:tc>
      </w:tr>
      <w:tr w:rsidR="00943DFA" w:rsidRPr="00943DFA" w14:paraId="771C51C6" w14:textId="77777777" w:rsidTr="00373B60">
        <w:trPr>
          <w:trHeight w:val="300"/>
        </w:trPr>
        <w:tc>
          <w:tcPr>
            <w:tcW w:w="4253" w:type="dxa"/>
            <w:tcBorders>
              <w:top w:val="nil"/>
              <w:left w:val="nil"/>
              <w:bottom w:val="nil"/>
              <w:right w:val="nil"/>
            </w:tcBorders>
            <w:shd w:val="clear" w:color="000000" w:fill="FFFFFF"/>
            <w:vAlign w:val="center"/>
            <w:hideMark/>
          </w:tcPr>
          <w:p w14:paraId="231FFD93"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1660" w:type="dxa"/>
            <w:tcBorders>
              <w:top w:val="nil"/>
              <w:left w:val="nil"/>
              <w:bottom w:val="nil"/>
              <w:right w:val="nil"/>
            </w:tcBorders>
            <w:shd w:val="clear" w:color="000000" w:fill="FFFFFF"/>
            <w:vAlign w:val="center"/>
            <w:hideMark/>
          </w:tcPr>
          <w:p w14:paraId="1D4FB3B1"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960" w:type="dxa"/>
            <w:tcBorders>
              <w:top w:val="nil"/>
              <w:left w:val="nil"/>
              <w:bottom w:val="nil"/>
              <w:right w:val="nil"/>
            </w:tcBorders>
            <w:shd w:val="clear" w:color="000000" w:fill="FFFFFF"/>
            <w:vAlign w:val="center"/>
            <w:hideMark/>
          </w:tcPr>
          <w:p w14:paraId="15AD4520"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nil"/>
              <w:right w:val="nil"/>
            </w:tcBorders>
            <w:shd w:val="clear" w:color="000000" w:fill="FFFFFF"/>
            <w:vAlign w:val="center"/>
            <w:hideMark/>
          </w:tcPr>
          <w:p w14:paraId="33419C77"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r>
      <w:tr w:rsidR="00943DFA" w:rsidRPr="00943DFA" w14:paraId="62C9B4AC" w14:textId="77777777" w:rsidTr="00373B60">
        <w:trPr>
          <w:trHeight w:val="300"/>
        </w:trPr>
        <w:tc>
          <w:tcPr>
            <w:tcW w:w="4253" w:type="dxa"/>
            <w:tcBorders>
              <w:top w:val="nil"/>
              <w:left w:val="nil"/>
              <w:right w:val="nil"/>
            </w:tcBorders>
            <w:shd w:val="clear" w:color="000000" w:fill="FFFFFF"/>
            <w:vAlign w:val="center"/>
            <w:hideMark/>
          </w:tcPr>
          <w:p w14:paraId="147A2340"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N</w:t>
            </w:r>
          </w:p>
        </w:tc>
        <w:tc>
          <w:tcPr>
            <w:tcW w:w="1660" w:type="dxa"/>
            <w:tcBorders>
              <w:top w:val="nil"/>
              <w:left w:val="nil"/>
              <w:right w:val="nil"/>
            </w:tcBorders>
            <w:shd w:val="clear" w:color="000000" w:fill="FFFFFF"/>
            <w:vAlign w:val="center"/>
            <w:hideMark/>
          </w:tcPr>
          <w:p w14:paraId="2CA70DB7"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455</w:t>
            </w:r>
          </w:p>
        </w:tc>
        <w:tc>
          <w:tcPr>
            <w:tcW w:w="960" w:type="dxa"/>
            <w:tcBorders>
              <w:top w:val="nil"/>
              <w:left w:val="nil"/>
              <w:right w:val="nil"/>
            </w:tcBorders>
            <w:shd w:val="clear" w:color="000000" w:fill="FFFFFF"/>
            <w:vAlign w:val="center"/>
            <w:hideMark/>
          </w:tcPr>
          <w:p w14:paraId="1FC5F98D"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right w:val="nil"/>
            </w:tcBorders>
            <w:shd w:val="clear" w:color="000000" w:fill="FFFFFF"/>
            <w:vAlign w:val="center"/>
            <w:hideMark/>
          </w:tcPr>
          <w:p w14:paraId="0903686C"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455</w:t>
            </w:r>
          </w:p>
        </w:tc>
      </w:tr>
      <w:tr w:rsidR="00943DFA" w:rsidRPr="00943DFA" w14:paraId="22D11DB5" w14:textId="77777777" w:rsidTr="00373B60">
        <w:trPr>
          <w:trHeight w:val="300"/>
        </w:trPr>
        <w:tc>
          <w:tcPr>
            <w:tcW w:w="4253" w:type="dxa"/>
            <w:tcBorders>
              <w:top w:val="nil"/>
              <w:left w:val="nil"/>
              <w:bottom w:val="single" w:sz="4" w:space="0" w:color="auto"/>
              <w:right w:val="nil"/>
            </w:tcBorders>
            <w:shd w:val="clear" w:color="000000" w:fill="FFFFFF"/>
            <w:vAlign w:val="center"/>
            <w:hideMark/>
          </w:tcPr>
          <w:p w14:paraId="6F252896" w14:textId="77777777" w:rsidR="00195130" w:rsidRPr="00943DFA" w:rsidRDefault="00195130" w:rsidP="00373B60">
            <w:pPr>
              <w:contextualSpacing/>
              <w:rPr>
                <w:rFonts w:eastAsia="Times New Roman"/>
                <w:color w:val="0D0D0D" w:themeColor="text1" w:themeTint="F2"/>
                <w:sz w:val="18"/>
                <w:szCs w:val="18"/>
              </w:rPr>
            </w:pPr>
            <w:r w:rsidRPr="00943DFA">
              <w:rPr>
                <w:rFonts w:eastAsia="Times New Roman"/>
                <w:color w:val="0D0D0D" w:themeColor="text1" w:themeTint="F2"/>
                <w:sz w:val="18"/>
                <w:szCs w:val="18"/>
              </w:rPr>
              <w:t>Pseudo R2</w:t>
            </w:r>
          </w:p>
        </w:tc>
        <w:tc>
          <w:tcPr>
            <w:tcW w:w="1660" w:type="dxa"/>
            <w:tcBorders>
              <w:top w:val="nil"/>
              <w:left w:val="nil"/>
              <w:bottom w:val="single" w:sz="4" w:space="0" w:color="auto"/>
              <w:right w:val="nil"/>
            </w:tcBorders>
            <w:shd w:val="clear" w:color="000000" w:fill="FFFFFF"/>
            <w:vAlign w:val="center"/>
            <w:hideMark/>
          </w:tcPr>
          <w:p w14:paraId="7F92F73A"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0.1037</w:t>
            </w:r>
          </w:p>
        </w:tc>
        <w:tc>
          <w:tcPr>
            <w:tcW w:w="960" w:type="dxa"/>
            <w:tcBorders>
              <w:top w:val="nil"/>
              <w:left w:val="nil"/>
              <w:bottom w:val="single" w:sz="4" w:space="0" w:color="auto"/>
              <w:right w:val="nil"/>
            </w:tcBorders>
            <w:shd w:val="clear" w:color="000000" w:fill="FFFFFF"/>
            <w:vAlign w:val="center"/>
            <w:hideMark/>
          </w:tcPr>
          <w:p w14:paraId="44236C46"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 </w:t>
            </w:r>
          </w:p>
        </w:tc>
        <w:tc>
          <w:tcPr>
            <w:tcW w:w="2080" w:type="dxa"/>
            <w:tcBorders>
              <w:top w:val="nil"/>
              <w:left w:val="nil"/>
              <w:bottom w:val="single" w:sz="4" w:space="0" w:color="auto"/>
              <w:right w:val="nil"/>
            </w:tcBorders>
            <w:shd w:val="clear" w:color="000000" w:fill="FFFFFF"/>
            <w:vAlign w:val="center"/>
            <w:hideMark/>
          </w:tcPr>
          <w:p w14:paraId="1DFD8B2E" w14:textId="77777777" w:rsidR="00195130" w:rsidRPr="00943DFA" w:rsidRDefault="00195130" w:rsidP="00373B60">
            <w:pPr>
              <w:contextualSpacing/>
              <w:jc w:val="center"/>
              <w:rPr>
                <w:rFonts w:eastAsia="Times New Roman"/>
                <w:color w:val="0D0D0D" w:themeColor="text1" w:themeTint="F2"/>
                <w:sz w:val="18"/>
                <w:szCs w:val="18"/>
              </w:rPr>
            </w:pPr>
            <w:r w:rsidRPr="00943DFA">
              <w:rPr>
                <w:rFonts w:eastAsia="Times New Roman"/>
                <w:color w:val="0D0D0D" w:themeColor="text1" w:themeTint="F2"/>
                <w:sz w:val="18"/>
                <w:szCs w:val="18"/>
              </w:rPr>
              <w:t>0.1934</w:t>
            </w:r>
          </w:p>
        </w:tc>
      </w:tr>
      <w:tr w:rsidR="00195130" w:rsidRPr="00943DFA" w14:paraId="40DC2E0D" w14:textId="77777777" w:rsidTr="00373B60">
        <w:trPr>
          <w:trHeight w:val="1782"/>
        </w:trPr>
        <w:tc>
          <w:tcPr>
            <w:tcW w:w="8953" w:type="dxa"/>
            <w:gridSpan w:val="4"/>
            <w:tcBorders>
              <w:top w:val="single" w:sz="4" w:space="0" w:color="auto"/>
              <w:left w:val="nil"/>
              <w:bottom w:val="single" w:sz="4" w:space="0" w:color="auto"/>
              <w:right w:val="nil"/>
            </w:tcBorders>
            <w:shd w:val="clear" w:color="auto" w:fill="auto"/>
            <w:vAlign w:val="bottom"/>
            <w:hideMark/>
          </w:tcPr>
          <w:p w14:paraId="4B6D72DC" w14:textId="77777777" w:rsidR="00195130" w:rsidRPr="00943DFA" w:rsidRDefault="00195130" w:rsidP="00373B60">
            <w:pPr>
              <w:contextualSpacing/>
              <w:jc w:val="both"/>
              <w:rPr>
                <w:rFonts w:eastAsia="Times New Roman"/>
                <w:color w:val="0D0D0D" w:themeColor="text1" w:themeTint="F2"/>
                <w:sz w:val="18"/>
                <w:szCs w:val="16"/>
              </w:rPr>
            </w:pPr>
            <w:r w:rsidRPr="00943DFA">
              <w:rPr>
                <w:rFonts w:eastAsia="Times New Roman"/>
                <w:color w:val="0D0D0D" w:themeColor="text1" w:themeTint="F2"/>
                <w:sz w:val="18"/>
                <w:szCs w:val="16"/>
              </w:rPr>
              <w:t xml:space="preserve">This table presents the results of the analysis of association between the number of comment topics and remediation costs for the sample of IPOs filing S-1 between 2005 and 2017. Negative binomial regression is employed in this analysis. Dependent variables are the remediation costs including </w:t>
            </w:r>
            <w:r w:rsidRPr="00943DFA">
              <w:rPr>
                <w:rFonts w:eastAsia="Times New Roman"/>
                <w:i/>
                <w:iCs/>
                <w:color w:val="0D0D0D" w:themeColor="text1" w:themeTint="F2"/>
                <w:sz w:val="18"/>
                <w:szCs w:val="16"/>
              </w:rPr>
              <w:t>Duration</w:t>
            </w:r>
            <w:r w:rsidRPr="00943DFA">
              <w:rPr>
                <w:rFonts w:eastAsia="Times New Roman"/>
                <w:color w:val="0D0D0D" w:themeColor="text1" w:themeTint="F2"/>
                <w:sz w:val="18"/>
                <w:szCs w:val="16"/>
              </w:rPr>
              <w:t xml:space="preserve"> and </w:t>
            </w:r>
            <w:r w:rsidRPr="00943DFA">
              <w:rPr>
                <w:rFonts w:eastAsia="Times New Roman"/>
                <w:i/>
                <w:iCs/>
                <w:color w:val="0D0D0D" w:themeColor="text1" w:themeTint="F2"/>
                <w:sz w:val="18"/>
                <w:szCs w:val="16"/>
              </w:rPr>
              <w:t>#Letters</w:t>
            </w:r>
            <w:r w:rsidRPr="00943DFA">
              <w:rPr>
                <w:rFonts w:eastAsia="Times New Roman"/>
                <w:color w:val="0D0D0D" w:themeColor="text1" w:themeTint="F2"/>
                <w:sz w:val="18"/>
                <w:szCs w:val="16"/>
              </w:rPr>
              <w:t xml:space="preserve">. Independent variables are the number of comment topics including </w:t>
            </w:r>
            <w:r w:rsidRPr="00943DFA">
              <w:rPr>
                <w:rFonts w:eastAsia="Times New Roman"/>
                <w:i/>
                <w:iCs/>
                <w:color w:val="0D0D0D" w:themeColor="text1" w:themeTint="F2"/>
                <w:sz w:val="18"/>
                <w:szCs w:val="16"/>
              </w:rPr>
              <w:t xml:space="preserve">#Core-accounting issues, #Non-core-accounting issues, #Offering issues, #Business issues, #Governance issues, #Disclosure issues). </w:t>
            </w:r>
            <w:r w:rsidRPr="00943DFA">
              <w:rPr>
                <w:rFonts w:eastAsia="Times New Roman"/>
                <w:color w:val="0D0D0D" w:themeColor="text1" w:themeTint="F2"/>
                <w:sz w:val="18"/>
                <w:szCs w:val="16"/>
              </w:rPr>
              <w:t xml:space="preserve">Control variables are IPO firm characteristics including </w:t>
            </w:r>
            <w:r w:rsidRPr="00943DFA">
              <w:rPr>
                <w:rFonts w:eastAsia="Times New Roman"/>
                <w:i/>
                <w:iCs/>
                <w:color w:val="0D0D0D" w:themeColor="text1" w:themeTint="F2"/>
                <w:sz w:val="18"/>
                <w:szCs w:val="16"/>
              </w:rPr>
              <w:t xml:space="preserve">Size, Age, Sale growth, Segments, Restructuring, M&amp;A, Leverage, Z-score, Positive earnings, External financing, Big4, </w:t>
            </w:r>
            <w:proofErr w:type="spellStart"/>
            <w:r w:rsidRPr="00943DFA">
              <w:rPr>
                <w:rFonts w:eastAsia="Times New Roman"/>
                <w:i/>
                <w:iCs/>
                <w:color w:val="0D0D0D" w:themeColor="text1" w:themeTint="F2"/>
                <w:sz w:val="18"/>
                <w:szCs w:val="16"/>
              </w:rPr>
              <w:t>CEOchairperson</w:t>
            </w:r>
            <w:proofErr w:type="spellEnd"/>
            <w:r w:rsidRPr="00943DFA">
              <w:rPr>
                <w:rFonts w:eastAsia="Times New Roman"/>
                <w:color w:val="0D0D0D" w:themeColor="text1" w:themeTint="F2"/>
                <w:sz w:val="18"/>
                <w:szCs w:val="16"/>
              </w:rPr>
              <w:t>. All variables are defined in Appendix 1. Results from Z-statistics are presented in parentheses coefficient estimates, and are based on robust standard errors clustered at the industry level. *, **, and *** denote significance at the 10%, 5%, and 1% levels, respectively, based on a two-tailed test.</w:t>
            </w:r>
          </w:p>
        </w:tc>
      </w:tr>
    </w:tbl>
    <w:p w14:paraId="59DF712D" w14:textId="77777777" w:rsidR="00195130" w:rsidRPr="00943DFA" w:rsidRDefault="00195130" w:rsidP="00195130">
      <w:pPr>
        <w:spacing w:before="240" w:after="240" w:line="360" w:lineRule="auto"/>
        <w:jc w:val="both"/>
        <w:rPr>
          <w:color w:val="0D0D0D" w:themeColor="text1" w:themeTint="F2"/>
          <w:lang w:eastAsia="en-US"/>
        </w:rPr>
      </w:pPr>
    </w:p>
    <w:p w14:paraId="47CBC693" w14:textId="77777777" w:rsidR="00195130" w:rsidRPr="00943DFA" w:rsidRDefault="00195130" w:rsidP="00195130">
      <w:pPr>
        <w:pStyle w:val="ListParagraph"/>
        <w:numPr>
          <w:ilvl w:val="1"/>
          <w:numId w:val="38"/>
        </w:numPr>
        <w:spacing w:before="240" w:after="240" w:line="360" w:lineRule="auto"/>
        <w:ind w:left="720"/>
        <w:jc w:val="both"/>
        <w:outlineLvl w:val="1"/>
        <w:rPr>
          <w:b/>
          <w:color w:val="0D0D0D" w:themeColor="text1" w:themeTint="F2"/>
          <w:lang w:eastAsia="en-US"/>
        </w:rPr>
      </w:pPr>
      <w:bookmarkStart w:id="98" w:name="_Toc48203620"/>
      <w:bookmarkStart w:id="99" w:name="_Toc50713981"/>
      <w:bookmarkStart w:id="100" w:name="_Toc69749273"/>
      <w:r w:rsidRPr="00943DFA">
        <w:rPr>
          <w:b/>
          <w:color w:val="0D0D0D" w:themeColor="text1" w:themeTint="F2"/>
          <w:lang w:eastAsia="en-US"/>
        </w:rPr>
        <w:lastRenderedPageBreak/>
        <w:t>Conclusion</w:t>
      </w:r>
      <w:bookmarkEnd w:id="98"/>
      <w:bookmarkEnd w:id="99"/>
      <w:bookmarkEnd w:id="100"/>
    </w:p>
    <w:p w14:paraId="6F8DE112"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This study investigates how a host of IPO firm characteristics affect the extensiveness of SEC reviews of S-1 filings, as indicated by the duration of the IPO process, the number of comment letters issued by the SEC on each S-1 filing, the number of comments within comment letters. and the number of themes commented upon the initial S-1 filings issued by the SEC. </w:t>
      </w:r>
    </w:p>
    <w:p w14:paraId="3100706B"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Contributing to previous literature, this study provides new and broad evidence about the sensitivity of SEC S-1 reviews to IPO firm characteristics. Specifically, for a sample of 909 IPO firms over the period 12</w:t>
      </w:r>
      <w:r w:rsidRPr="00943DFA">
        <w:rPr>
          <w:color w:val="0D0D0D" w:themeColor="text1" w:themeTint="F2"/>
          <w:vertAlign w:val="superscript"/>
          <w:lang w:eastAsia="en-US"/>
        </w:rPr>
        <w:t>th</w:t>
      </w:r>
      <w:r w:rsidRPr="00943DFA">
        <w:rPr>
          <w:color w:val="0D0D0D" w:themeColor="text1" w:themeTint="F2"/>
          <w:lang w:eastAsia="en-US"/>
        </w:rPr>
        <w:t xml:space="preserve"> May 2005 to 31</w:t>
      </w:r>
      <w:r w:rsidRPr="00943DFA">
        <w:rPr>
          <w:color w:val="0D0D0D" w:themeColor="text1" w:themeTint="F2"/>
          <w:vertAlign w:val="superscript"/>
          <w:lang w:eastAsia="en-US"/>
        </w:rPr>
        <w:t>st</w:t>
      </w:r>
      <w:r w:rsidRPr="00943DFA">
        <w:rPr>
          <w:color w:val="0D0D0D" w:themeColor="text1" w:themeTint="F2"/>
          <w:lang w:eastAsia="en-US"/>
        </w:rPr>
        <w:t xml:space="preserve"> December 2017, this study identifies that the SEC spend more time reviewing S-1 filings, issue more comment letters, more comments and wider range of themes for initial S-1 filings prepared by bigger IPO firms. Older IPO firms experience longer SEC review duration and receive more comment letters. Regarding the impact of IPO firms’ business complexity, the results reveal that SEC reviews are likely to be more extensive when reviewing IPO firms who have greater complexity in their business, which may be related to lower reporting quality. Specifically, IPO firms having more business segments are identified to receive wider range of themes in SEC comment letters. More comments and wider range of themes in SEC comment letters are also received by IPO firms conducting M&amp;A activities. However, IPO firms with lower sales growth, who might have less business complexity, are observed to experience longer SEC review duration, probably due the SEC’s concerns that these firms might manage sales downward in order to be eligible for EGC status under the JOBS Act. </w:t>
      </w:r>
    </w:p>
    <w:p w14:paraId="78E57C87"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In terms of financial health, IPO firms having a higher probability of bankruptcy are identified to have longer SEC reviews, receive more comment letters, more comments and more themes in the comment letters. More profitable IPO firms, who may be more likely to have disclosed misleading accounting information, are also observed to experience longer SEC reviews. The results also reveal that shorter review times are experienced by IPO firms using more external financing who are believed to have higher disclosure quality. With regard to auditor quality, this study observes shorter reviewing time and fewer comments are experienced by IPO firms audited by Big4 auditors. Overall, the findings suggest that SEC reviews are likely to be more extensive when IPO firms display characteristics that indicate potential deficiencies in informational quality of their IPO registration statements.</w:t>
      </w:r>
    </w:p>
    <w:p w14:paraId="16E74813"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lastRenderedPageBreak/>
        <w:t xml:space="preserve">In addition, the results suggest that IPO firms incur higher cost of remediation when receiving comments on core accounting issues, non-core accounting issues, business issues, and disclosure issues, as compared with other issues. Furthermore, comments on core accounting issues are observed to have the highest cost of remediation. Furthermore, the results also suggest that, during the period of the global financial crisis, SEC reviews became disproportionately more extensive for bigger IPO firms, IPO firms having higher external financing, and IPO firms with a higher probability of bankruptcy. </w:t>
      </w:r>
    </w:p>
    <w:p w14:paraId="41C4AC49" w14:textId="77777777" w:rsidR="00195130" w:rsidRPr="00943DFA" w:rsidRDefault="00195130" w:rsidP="00195130">
      <w:pPr>
        <w:spacing w:before="240" w:after="240" w:line="360" w:lineRule="auto"/>
        <w:jc w:val="both"/>
        <w:rPr>
          <w:color w:val="0D0D0D" w:themeColor="text1" w:themeTint="F2"/>
          <w:lang w:eastAsia="en-US"/>
        </w:rPr>
      </w:pPr>
      <w:r w:rsidRPr="00943DFA">
        <w:rPr>
          <w:color w:val="0D0D0D" w:themeColor="text1" w:themeTint="F2"/>
          <w:lang w:eastAsia="en-US"/>
        </w:rPr>
        <w:t xml:space="preserve">The findings should be of interest to practitioners in terms of providing a better understanding of the SEC’s S-1 review process, specifically, which factors might attract SEC attention.  In addition, the findings are insightful to investors, auditors, regulators and other stakeholders, who employ SEC S-1 comment letters to evaluate the quality of S-1 filings as well as IPO firms’ reporting compliance. The sensitivity of SEC review extensiveness to firm characteristics indicating potential informational deficiencies (e.g. high complexity, poor financial health, low auditor quality), to some extent implies that SEC comment letters can be considered as valuable and reliable source of information about going-public firms. Specifically, the findings imply that SEC comment letters can be used to identify undisclosed firm performance as well as obtain information about the quality of S-1 disclosures. </w:t>
      </w:r>
    </w:p>
    <w:p w14:paraId="31124CE1" w14:textId="77777777" w:rsidR="00195130" w:rsidRPr="00943DFA" w:rsidRDefault="00195130" w:rsidP="00195130">
      <w:pPr>
        <w:spacing w:before="240" w:after="240" w:line="360" w:lineRule="auto"/>
        <w:jc w:val="both"/>
        <w:rPr>
          <w:color w:val="0D0D0D" w:themeColor="text1" w:themeTint="F2"/>
        </w:rPr>
      </w:pPr>
      <w:r w:rsidRPr="00943DFA">
        <w:rPr>
          <w:color w:val="0D0D0D" w:themeColor="text1" w:themeTint="F2"/>
        </w:rPr>
        <w:t>As for IPO issuers, the findings imply that choosing high-quality auditors (e.g. Big 4) to perform audit procedures could shorten IPO approval process. Because high-quality auditors can increase confidence in the IPO firm’s disclosures, which may reduce regulatory scrutiny (</w:t>
      </w:r>
      <w:r w:rsidRPr="00943DFA">
        <w:rPr>
          <w:color w:val="0D0D0D" w:themeColor="text1" w:themeTint="F2"/>
        </w:rPr>
        <w:fldChar w:fldCharType="begin" w:fldLock="1"/>
      </w:r>
      <w:r w:rsidRPr="00943DFA">
        <w:rPr>
          <w:color w:val="0D0D0D" w:themeColor="text1" w:themeTint="F2"/>
        </w:rPr>
        <w:instrText>ADDIN CSL_CITATION {"citationItems":[{"id":"ITEM-1","itemData":{"abstract":"We examine the relation between audit quality and the earnings management activities of IPO firms. The impact of high quality auditors on real earnings management has been researched in a number of settings e.g. SEOs. However, to date, there has been no work on the effect of high quality auditors on real activities-based manipulation around IPOs. We examine UK IPOs between 1998 and 2008 and find evidence that high quality auditors constrain the use of real activities manipulation that occurs via the management of discretionary expenses. We also find evidence, consistent with prior research, that high quality auditors constrain the manipulation of discretionary accruals. Crucially, we find IPO firms audited by high quality auditors undertake sales-based manipulation in order to manage earnings upward at the end of the IPO year. The presence of high quality auditors is not, therefore, sufficient to constrain all forms of earnings management.","author":[{"dropping-particle":"","family":"Alhadab","given":"M.","non-dropping-particle":"","parse-names":false,"suffix":""},{"dropping-particle":"","family":"Clacher","given":"I.","non-dropping-particle":"","parse-names":false,"suffix":""}],"container-title":"British Accounting Review","id":"ITEM-1","issue":"4","issued":{"date-parts":[["2018"]]},"note":"3","page":"442-461","publisher":"Elsevier","title":"The impact of audit quality on real and accrual earnings management around IPOs","type":"article-journal","volume":"50"},"uris":["http://www.mendeley.com/documents/?uuid=0828aec0-76a8-4a5d-833a-65cf5ae333e5"]}],"mendeley":{"formattedCitation":"(Alhadab &amp; Clacher, 2018)","manualFormatting":"Alhadab &amp; Clacher, 2018)","plainTextFormattedCitation":"(Alhadab &amp; Clacher, 2018)","previouslyFormattedCitation":"(Alhadab &amp; Clacher, 2018)"},"properties":{"noteIndex":0},"schema":"https://github.com/citation-style-language/schema/raw/master/csl-citation.json"}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Alhadab &amp; Clacher, 2018)</w:t>
      </w:r>
      <w:r w:rsidRPr="00943DFA">
        <w:rPr>
          <w:color w:val="0D0D0D" w:themeColor="text1" w:themeTint="F2"/>
        </w:rPr>
        <w:fldChar w:fldCharType="end"/>
      </w:r>
      <w:r w:rsidRPr="00943DFA">
        <w:rPr>
          <w:color w:val="0D0D0D" w:themeColor="text1" w:themeTint="F2"/>
        </w:rPr>
        <w:t>. However, it is unclear whether this reduced scrutiny is associated with sufficient regulatory cost reductions to justify the audit fee premium associated with appointing a Big 4 auditor. In addition, findings relating to the relationship between remediation costs and S1 filings’ issue types should be useful to issuers as remediation costs might affect IPO firms' capability to enter capital markets</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{"citationItems":[{"id":"ITEM-1","itemData":{"author":[{"dropping-particle":"","family":"Deloitte","given":"","non-dropping-particle":"","parse-names":false,"suffix":""}],"id":"ITEM-1","issued":{"date-parts":[["2013"]]},"title":"SEC Comment Letters - Including Industry Insights: Constructing Clear Disclosures","type":"report"},"uris":["http://www.mendeley.com/documents/?uuid=470a0134-451f-447d-acfa-59dd8cc026f0"]},{"id":"ITEM-2","itemData":{"URL":"https://www.cfo.com/risk-compliance/2010/05/the-sec-has-a-few-questions-for-you/","author":[{"dropping-particle":"","family":"Johnson","given":"S.","non-dropping-particle":"","parse-names":false,"suffix":""}],"id":"ITEM-2","issued":{"date-parts":[["2010"]]},"title":"The SEC Has a Few Questions for You","type":"webpage"},"uris":["http://www.mendeley.com/documents/?uuid=9b6fb5d1-68ed-4a95-a9a5-8d8481c4472e"]}],"mendeley":{"formattedCitation":"(Deloitte, 2013; S. Johnson, 2010)","manualFormatting":" (Deloitte, 2013; Johnson, 2010)","plainTextFormattedCitation":"(Deloitte, 2013; S. Johnson, 2010)","previouslyFormattedCitation":"(Deloitte, 2013; S. Johnson, 2010)"},"properties":{"noteIndex":0},"schema":"https://github.com/citation-style-language/schema/raw/master/csl-citation.json"}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 xml:space="preserve"> (Deloitte, 2013; Johnson, 2010)</w:t>
      </w:r>
      <w:r w:rsidRPr="00943DFA">
        <w:rPr>
          <w:color w:val="0D0D0D" w:themeColor="text1" w:themeTint="F2"/>
        </w:rPr>
        <w:fldChar w:fldCharType="end"/>
      </w:r>
      <w:r w:rsidRPr="00943DFA">
        <w:rPr>
          <w:color w:val="0D0D0D" w:themeColor="text1" w:themeTint="F2"/>
        </w:rPr>
        <w:t>. Specifically, core accounting issues are observed to result in the highest cost of remediation, implying that IPO firms should pay more attention to potential issues in their financial statements to reduce remediation costs and speed up the IPO process.</w:t>
      </w:r>
    </w:p>
    <w:p w14:paraId="261C1DD8" w14:textId="77777777" w:rsidR="00195130" w:rsidRPr="00943DFA" w:rsidRDefault="00195130" w:rsidP="00195130">
      <w:pPr>
        <w:spacing w:after="240" w:line="360" w:lineRule="auto"/>
        <w:jc w:val="both"/>
        <w:rPr>
          <w:color w:val="0D0D0D" w:themeColor="text1" w:themeTint="F2"/>
        </w:rPr>
      </w:pPr>
      <w:bookmarkStart w:id="101" w:name="_Hlk84075330"/>
      <w:bookmarkStart w:id="102" w:name="_Hlk85098815"/>
      <w:r w:rsidRPr="00943DFA">
        <w:rPr>
          <w:color w:val="0D0D0D" w:themeColor="text1" w:themeTint="F2"/>
        </w:rPr>
        <w:t xml:space="preserve">Furthermore, foreign issuers tend to face stricter reporting requirements when listing in the U.S. (e.g., those enforced by the SEC), as well as relatively strong investor protections </w:t>
      </w:r>
      <w:r w:rsidRPr="00943DFA">
        <w:rPr>
          <w:color w:val="0D0D0D" w:themeColor="text1" w:themeTint="F2"/>
        </w:rPr>
        <w:fldChar w:fldCharType="begin" w:fldLock="1"/>
      </w:r>
      <w:r w:rsidRPr="00943DFA">
        <w:rPr>
          <w:color w:val="0D0D0D" w:themeColor="text1" w:themeTint="F2"/>
        </w:rPr>
        <w:instrText>ADDIN CSL_CITATION {"citationItems":[{"id":"ITEM-1","itemData":{"URL":"https://clsbluesky.law.columbia.edu/2016/05/16/is-cross-listing-on-u-s-markets-still-beneficial-to-foreign-firms/","accessed":{"date-parts":[["2020","9","3"]]},"author":[{"dropping-particle":"","family":"Ghosh","given":"C.","non-dropping-particle":"","parse-names":false,"suffix":""},{"dropping-particle":"","family":"He","given":"F.","non-dropping-particle":"","parse-names":false,"suffix":""}],"container-title":"Columbia Law School 's Blog on Corporations and The Capital Market","id":"ITEM-1","issued":{"date-parts":[["2016"]]},"title":"Is Cross-listing on U.S. Markets still Beneficial to Foreign Firms?","type":"webpage"},"uris":["http://www.mendeley.com/documents/?uuid=a1b578ba-edcd-4ebe-b6ed-12d63b841e8d"]}],"mendeley":{"formattedCitation":"(Ghosh &amp; He, 2016)","plainTextFormattedCitation":"(Ghosh &amp; He, 2016)","previouslyFormattedCitation":"(Ghosh &amp; He, 2016)"},"properties":{"noteIndex":0},"schema":"https://github.com/citation-style-language/schema/raw/master/csl-citation.json"}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(Ghosh &amp; He, 2016)</w:t>
      </w:r>
      <w:r w:rsidRPr="00943DFA">
        <w:rPr>
          <w:color w:val="0D0D0D" w:themeColor="text1" w:themeTint="F2"/>
        </w:rPr>
        <w:fldChar w:fldCharType="end"/>
      </w:r>
      <w:r w:rsidRPr="00943DFA">
        <w:rPr>
          <w:color w:val="0D0D0D" w:themeColor="text1" w:themeTint="F2"/>
        </w:rPr>
        <w:t xml:space="preserve">. If the foreign issuer successfully completes an IPO in the U.S., it would be a good signal about their credibility, hence attracting investors </w:t>
      </w:r>
      <w:r w:rsidRPr="00943DFA">
        <w:rPr>
          <w:color w:val="0D0D0D" w:themeColor="text1" w:themeTint="F2"/>
        </w:rPr>
        <w:fldChar w:fldCharType="begin" w:fldLock="1"/>
      </w:r>
      <w:r w:rsidRPr="00943DFA">
        <w:rPr>
          <w:color w:val="0D0D0D" w:themeColor="text1" w:themeTint="F2"/>
        </w:rPr>
        <w:instrText>ADDIN CSL_CITATION {"citationItems":[{"id":"ITEM-1","itemData":{"URL":"https://clsbluesky.law.columbia.edu/2016/05/16/is-cross-listing-on-u-s-markets-still-beneficial-to-foreign-firms/","accessed":{"date-parts":[["2020","9","3"]]},"author":[{"dropping-particle":"","family":"Ghosh","given":"C.","non-dropping-particle":"","parse-names":false,"suffix":""},{"dropping-particle":"","family":"He","given":"F.","non-dropping-particle":"","parse-names":false,"suffix":""}],"container-title":"Columbia Law School 's Blog on Corporations and The Capital Market","id":"ITEM-1","issued":{"date-parts":[["2016"]]},"title":"Is Cross-listing on U.S. Markets still Beneficial to Foreign Firms?","type":"webpage"},"uris":["http://www.mendeley.com/documents/?uuid=a1b578ba-edcd-4ebe-b6ed-12d63b841e8d"]}],"mendeley":{"formattedCitation":"(Ghosh &amp; He, 2016)","plainTextFormattedCitation":"(Ghosh &amp; He, 2016)","previouslyFormattedCitation":"(Ghosh &amp; He, 2016)"},"properties":{"noteIndex":0},"schema":"https://github.com/citation-style-language/schema/raw/master/csl-citation.json"}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(Ghosh &amp; He, 2016)</w:t>
      </w:r>
      <w:r w:rsidRPr="00943DFA">
        <w:rPr>
          <w:color w:val="0D0D0D" w:themeColor="text1" w:themeTint="F2"/>
        </w:rPr>
        <w:fldChar w:fldCharType="end"/>
      </w:r>
      <w:r w:rsidRPr="00943DFA">
        <w:rPr>
          <w:color w:val="0D0D0D" w:themeColor="text1" w:themeTint="F2"/>
        </w:rPr>
        <w:t xml:space="preserve">. </w:t>
      </w:r>
      <w:r w:rsidRPr="00943DFA">
        <w:rPr>
          <w:color w:val="0D0D0D" w:themeColor="text1" w:themeTint="F2"/>
        </w:rPr>
        <w:lastRenderedPageBreak/>
        <w:t xml:space="preserve">Similarly, Doidge et al. (2001) also state it is widely regarded that foreign firms listing on the U.S. stock markets benefit from enhanced prestige, cheaper cost of capital, larger shareholder base and higher liquidity as compared with listing in other countries (e.g., Canada, Hongkong, France, Germany). How to meet the SEC's reporting requirements is always a challenge for domestic IPOs, so it will be even more difficult for foreign IPOs. Therefore, the results of this study on which firms’ characteristics may attract the attention of the SEC will certainly be more useful to foreign issuers. </w:t>
      </w:r>
      <w:bookmarkEnd w:id="101"/>
    </w:p>
    <w:p w14:paraId="1FB1B399" w14:textId="77777777" w:rsidR="00195130" w:rsidRPr="00943DFA" w:rsidRDefault="00195130" w:rsidP="00195130">
      <w:pPr>
        <w:spacing w:after="240" w:line="360" w:lineRule="auto"/>
        <w:jc w:val="both"/>
        <w:rPr>
          <w:color w:val="0D0D0D" w:themeColor="text1" w:themeTint="F2"/>
        </w:rPr>
      </w:pPr>
      <w:bookmarkStart w:id="103" w:name="_Hlk84075363"/>
      <w:r w:rsidRPr="00943DFA">
        <w:rPr>
          <w:color w:val="0D0D0D" w:themeColor="text1" w:themeTint="F2"/>
        </w:rPr>
        <w:t xml:space="preserve">In addition, underlying regulatory oversight of capital markets is likely to be comparable in other nations. For example, according to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Boskovic","given":"T.","non-dropping-particle":"","parse-names":false,"suffix":""},{"dropping-particle":"","family":"Cerruti","given":"C.","non-dropping-particle":"","parse-names":false,"suffix":""},{"dropping-particle":"","family":"Noel","given":"M.","non-dropping-particle":"","parse-names":false,"suffix":""}],"container-title":"World Bank Working Paper No.1984","id":"ITEM-1","issued":{"date-parts":[["2010"]]},"title":"Comparing European and U.S Secutirities Regulations","type":"article-journal"},"uris":["http://www.mendeley.com/documents/?uuid=8e049a73-407f-4da0-a32c-9682acfc793f"]}],"mendeley":{"formattedCitation":"(Boskovic, Cerruti, &amp; Noel, 2010)","manualFormatting":"Boskovic et al. (2010)","plainTextFormattedCitation":"(Boskovic, Cerruti, &amp; Noel, 2010)","previouslyFormattedCitation":"(Boskovic, Cerruti, &amp; Noel, 2010)"},"properties":{"noteIndex":0},"schema":"https://github.com/citation-style-language/schema/raw/master/csl-citation.json"}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Boskovic et al. (2010)</w:t>
      </w:r>
      <w:r w:rsidRPr="00943DFA">
        <w:rPr>
          <w:color w:val="0D0D0D" w:themeColor="text1" w:themeTint="F2"/>
        </w:rPr>
        <w:fldChar w:fldCharType="end"/>
      </w:r>
      <w:r w:rsidRPr="00943DFA">
        <w:rPr>
          <w:color w:val="0D0D0D" w:themeColor="text1" w:themeTint="F2"/>
        </w:rPr>
        <w:t>, securities regulations in the EU (e.g., the Market in Financial Instruments Directive 2004/39/EC (MiFID)) and United States (e.g., the 1933 Securities Act) have a similar focus on investor protection, fair and orderly markets, and price transparency as well as similar approval procedures for issuing firms.</w:t>
      </w:r>
      <w:r w:rsidRPr="00943DFA">
        <w:rPr>
          <w:rStyle w:val="FootnoteReference"/>
          <w:color w:val="0D0D0D" w:themeColor="text1" w:themeTint="F2"/>
        </w:rPr>
        <w:footnoteReference w:id="21"/>
      </w:r>
      <w:r w:rsidRPr="00943DFA">
        <w:rPr>
          <w:color w:val="0D0D0D" w:themeColor="text1" w:themeTint="F2"/>
        </w:rPr>
        <w:t xml:space="preserve">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{"citationItems":[{"id":"ITEM-1","itemData":{"author":[{"dropping-particle":"","family":"Silvia","given":"J.","non-dropping-particle":"","parse-names":false,"suffix":""}],"container-title":"DePaul Business &amp; Commercial Law Journal","id":"ITEM-1","issue":"6","issued":{"date-parts":[["2006"]]},"page":"247-263","title":"Efficiency and Effectiveness in Securities Regnlation: Comparative Analysis of the United States's Competitive Regulatory Structure and the United Kingdom's Single-Regulator Model","type":"article-journal","volume":"247"},"uris":["http://www.mendeley.com/documents/?uuid=4c3fd0e8-c12c-4c53-bddd-1c883af33417"]}],"mendeley":{"formattedCitation":"(Silvia, 2006)","manualFormatting":"Silvia (2006)","plainTextFormattedCitation":"(Silvia, 2006)","previouslyFormattedCitation":"(Silvia, 2006)"},"properties":{"noteIndex":0},"schema":"https://github.com/citation-style-language/schema/raw/master/csl-citation.json"}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Silvia (2006)</w:t>
      </w:r>
      <w:r w:rsidRPr="00943DFA">
        <w:rPr>
          <w:color w:val="0D0D0D" w:themeColor="text1" w:themeTint="F2"/>
        </w:rPr>
        <w:fldChar w:fldCharType="end"/>
      </w:r>
      <w:r w:rsidRPr="00943DFA">
        <w:rPr>
          <w:color w:val="0D0D0D" w:themeColor="text1" w:themeTint="F2"/>
        </w:rPr>
        <w:t xml:space="preserve"> also states that supervisory authorities in the United Kingdom and the United States maintain similar goals and missions in monitoring the capital market. The Securities and Exchange Commission (SEC) of the US, the Financial Services Authority (FSA) of the UK,</w:t>
      </w:r>
      <w:r w:rsidRPr="00943DFA">
        <w:rPr>
          <w:rFonts w:ascii="Segoe UI" w:hAnsi="Segoe UI" w:cs="Segoe UI"/>
          <w:color w:val="0D0D0D" w:themeColor="text1" w:themeTint="F2"/>
          <w:shd w:val="clear" w:color="auto" w:fill="FFFFFF"/>
        </w:rPr>
        <w:t xml:space="preserve"> </w:t>
      </w:r>
      <w:r w:rsidRPr="00943DFA">
        <w:rPr>
          <w:color w:val="0D0D0D" w:themeColor="text1" w:themeTint="F2"/>
        </w:rPr>
        <w:t xml:space="preserve">the </w:t>
      </w:r>
      <w:hyperlink r:id="rId27" w:tooltip="European Securities and Markets Authority" w:history="1">
        <w:r w:rsidRPr="00943DFA">
          <w:rPr>
            <w:rStyle w:val="Hyperlink"/>
            <w:color w:val="0D0D0D" w:themeColor="text1" w:themeTint="F2"/>
            <w:u w:val="none"/>
          </w:rPr>
          <w:t>European Securities and Markets Authority</w:t>
        </w:r>
      </w:hyperlink>
      <w:r w:rsidRPr="00943DFA">
        <w:rPr>
          <w:color w:val="0D0D0D" w:themeColor="text1" w:themeTint="F2"/>
        </w:rPr>
        <w:t> (ESMA) are all members of the International Organisation of Securities Commissions (IOSCO), who share similar 2003 IOSCO Core Principles of Securities Regulation (</w:t>
      </w:r>
      <w:r w:rsidRPr="00943DFA">
        <w:rPr>
          <w:color w:val="0D0D0D" w:themeColor="text1" w:themeTint="F2"/>
        </w:rPr>
        <w:fldChar w:fldCharType="begin" w:fldLock="1"/>
      </w:r>
      <w:r w:rsidRPr="00943DFA">
        <w:rPr>
          <w:color w:val="0D0D0D" w:themeColor="text1" w:themeTint="F2"/>
        </w:rPr>
        <w:instrText>ADDIN CSL_CITATION {"citationItems":[{"id":"ITEM-1","itemData":{"author":[{"dropping-particle":"","family":"Boskovic","given":"T.","non-dropping-particle":"","parse-names":false,"suffix":""},{"dropping-particle":"","family":"Cerruti","given":"C.","non-dropping-particle":"","parse-names":false,"suffix":""},{"dropping-particle":"","family":"Noel","given":"M.","non-dropping-particle":"","parse-names":false,"suffix":""}],"container-title":"World Bank Working Paper No.1984","id":"ITEM-1","issued":{"date-parts":[["2010"]]},"title":"Comparing European and U.S Secutirities Regulations","type":"article-journal"},"uris":["http://www.mendeley.com/documents/?uuid=8e049a73-407f-4da0-a32c-9682acfc793f"]}],"mendeley":{"formattedCitation":"(Boskovic et al., 2010)","manualFormatting":"Boskovic et al., 2010)","plainTextFormattedCitation":"(Boskovic et al., 2010)","previouslyFormattedCitation":"(Boskovic et al., 2010)"},"properties":{"noteIndex":0},"schema":"https://github.com/citation-style-language/schema/raw/master/csl-citation.json"}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Boskovic et al., 2010)</w:t>
      </w:r>
      <w:r w:rsidRPr="00943DFA">
        <w:rPr>
          <w:color w:val="0D0D0D" w:themeColor="text1" w:themeTint="F2"/>
        </w:rPr>
        <w:fldChar w:fldCharType="end"/>
      </w:r>
      <w:r w:rsidRPr="00943DFA">
        <w:rPr>
          <w:color w:val="0D0D0D" w:themeColor="text1" w:themeTint="F2"/>
        </w:rPr>
        <w:t xml:space="preserve">. Therefore, findings in this study about the focus of the SEC on firms’ characteristics in the U.S context may be applicable to other countries. Furthermore, the findings may have implications for legislators in other countries such as South Korea  </w:t>
      </w:r>
      <w:r w:rsidRPr="00943DFA">
        <w:rPr>
          <w:color w:val="0D0D0D" w:themeColor="text1" w:themeTint="F2"/>
        </w:rPr>
        <w:fldChar w:fldCharType="begin" w:fldLock="1"/>
      </w:r>
      <w:r w:rsidRPr="00943DFA">
        <w:rPr>
          <w:color w:val="0D0D0D" w:themeColor="text1" w:themeTint="F2"/>
        </w:rPr>
        <w:instrText>ADDIN CSL_CITATION {"citationItems":[{"id":"ITEM-1","itemData":{"URL":"https://www.anderson.ucla.edu/documents/areas/fac/accounting/working- papers/workshop papers/MarkPaulKim_JMP_20190106.pdf","accessed":{"date-parts":[["2021","2","10"]]},"author":[{"dropping-particle":"","family":"Kim","given":"M.","non-dropping-particle":"","parse-names":false,"suffix":""}],"id":"ITEM-1","issued":{"date-parts":[["2019"]]},"title":"Principles-Based Accounting Standards and Regulatory Enforcement","type":"webpage"},"uris":["http://www.mendeley.com/documents/?uuid=7dec3cd3-5e19-40a5-9abd-6be40d496936"]}],"mendeley":{"formattedCitation":"(Kim, 2019)","plainTextFormattedCitation":"(Kim, 2019)","previouslyFormattedCitation":"(Kim, 2019)"},"properties":{"noteIndex":0},"schema":"https://github.com/citation-style-language/schema/raw/master/csl-citation.json"}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(Kim, 2019)</w:t>
      </w:r>
      <w:r w:rsidRPr="00943DFA">
        <w:rPr>
          <w:color w:val="0D0D0D" w:themeColor="text1" w:themeTint="F2"/>
        </w:rPr>
        <w:fldChar w:fldCharType="end"/>
      </w:r>
      <w:r w:rsidRPr="00943DFA">
        <w:rPr>
          <w:color w:val="0D0D0D" w:themeColor="text1" w:themeTint="F2"/>
        </w:rPr>
        <w:t xml:space="preserve">, Canada </w:t>
      </w:r>
      <w:r w:rsidRPr="00943DFA">
        <w:rPr>
          <w:color w:val="0D0D0D" w:themeColor="text1" w:themeTint="F2"/>
        </w:rPr>
        <w:fldChar w:fldCharType="begin" w:fldLock="1"/>
      </w:r>
      <w:r w:rsidRPr="00943DFA">
        <w:rPr>
          <w:color w:val="0D0D0D" w:themeColor="text1" w:themeTint="F2"/>
        </w:rPr>
        <w:instrText>ADDIN CSL_CITATION {"citationItems":[{"id":"ITEM-1","itemData":{"URL":"https://www.dwpv.com/en/Insights/Publications/2020/Confidential-Prospectus-Review-Process","accessed":{"date-parts":[["2021","6","21"]]},"author":[{"dropping-particle":"","family":"Murphy","given":"R.S.","non-dropping-particle":"","parse-names":false,"suffix":""},{"dropping-particle":"","family":"Wilson","given":"D.","non-dropping-particle":"","parse-names":false,"suffix":""},{"dropping-particle":"","family":"Cutler","given":"S.J.","non-dropping-particle":"","parse-names":false,"suffix":""}],"container-title":"DAVIES WARD PHILLIPS &amp; VINEBERG","id":"ITEM-1","issued":{"date-parts":[["2020"]]},"title":"Keep It Between Us: Canadian Securities Regulators Adopt Confidential Prospectus Review Process","type":"webpage"},"uris":["http://www.mendeley.com/documents/?uuid=7ab71f2c-e5fd-4ba8-bb85-4e7902aa0520"]}],"mendeley":{"formattedCitation":"(Murphy, Wilson, &amp; Cutler, 2020)","manualFormatting":"(Murphy et al., 2020)","plainTextFormattedCitation":"(Murphy, Wilson, &amp; Cutler, 2020)","previouslyFormattedCitation":"(Murphy, Wilson, &amp; Cutler, 2020)"},"properties":{"noteIndex":0},"schema":"https://github.com/citation-style-language/schema/raw/master/csl-citation.json"}</w:instrText>
      </w:r>
      <w:r w:rsidRPr="00943DFA">
        <w:rPr>
          <w:color w:val="0D0D0D" w:themeColor="text1" w:themeTint="F2"/>
        </w:rPr>
        <w:fldChar w:fldCharType="separate"/>
      </w:r>
      <w:r w:rsidRPr="00943DFA">
        <w:rPr>
          <w:noProof/>
          <w:color w:val="0D0D0D" w:themeColor="text1" w:themeTint="F2"/>
        </w:rPr>
        <w:t>(Murphy et al., 2020)</w:t>
      </w:r>
      <w:r w:rsidRPr="00943DFA">
        <w:rPr>
          <w:color w:val="0D0D0D" w:themeColor="text1" w:themeTint="F2"/>
        </w:rPr>
        <w:fldChar w:fldCharType="end"/>
      </w:r>
      <w:r w:rsidRPr="00943DFA">
        <w:rPr>
          <w:color w:val="0D0D0D" w:themeColor="text1" w:themeTint="F2"/>
        </w:rPr>
        <w:t xml:space="preserve"> who are seeking to replicate the filing review process of the US markets.</w:t>
      </w:r>
      <w:bookmarkEnd w:id="102"/>
    </w:p>
    <w:bookmarkEnd w:id="103"/>
    <w:p w14:paraId="7F43BD09" w14:textId="16CB349B" w:rsidR="00775E2A" w:rsidRPr="00943DFA" w:rsidRDefault="00195130" w:rsidP="00195130">
      <w:pPr>
        <w:spacing w:after="240" w:line="360" w:lineRule="auto"/>
        <w:jc w:val="both"/>
        <w:rPr>
          <w:color w:val="0D0D0D" w:themeColor="text1" w:themeTint="F2"/>
          <w:lang w:eastAsia="en-US"/>
        </w:rPr>
      </w:pPr>
      <w:r w:rsidRPr="00943DFA">
        <w:rPr>
          <w:color w:val="0D0D0D" w:themeColor="text1" w:themeTint="F2"/>
          <w:lang w:eastAsia="en-US"/>
        </w:rPr>
        <w:t>While providing evidence on the determinants of SEC reviews on S-1 filings, this study does not explore whether SEC reviews are effective in addressing deficiencies in the information quality of S-1 filings. There have been extensive arguments about the effectiveness of SEC reviews of IPO registration statements. On the one hand, prior research support the effectiveness of SEC reviews in detecting informational issues around IPOs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w:t>
      </w:r>
      <w:proofErr w:type="spellStart"/>
      <w:r w:rsidRPr="00943DFA">
        <w:rPr>
          <w:color w:val="0D0D0D" w:themeColor="text1" w:themeTint="F2"/>
          <w:lang w:eastAsia="en-US"/>
        </w:rPr>
        <w:t>Colaco</w:t>
      </w:r>
      <w:proofErr w:type="spellEnd"/>
      <w:r w:rsidRPr="00943DFA">
        <w:rPr>
          <w:color w:val="0D0D0D" w:themeColor="text1" w:themeTint="F2"/>
          <w:lang w:eastAsia="en-US"/>
        </w:rPr>
        <w:t xml:space="preserve"> et al., 2018, Schuldt &amp; Vega, 2018 and Lowry, 2020) and improving the IPO informational environment (</w:t>
      </w:r>
      <w:proofErr w:type="spellStart"/>
      <w:r w:rsidRPr="00943DFA">
        <w:rPr>
          <w:color w:val="0D0D0D" w:themeColor="text1" w:themeTint="F2"/>
          <w:lang w:eastAsia="en-US"/>
        </w:rPr>
        <w:t>Ertimur</w:t>
      </w:r>
      <w:proofErr w:type="spellEnd"/>
      <w:r w:rsidRPr="00943DFA">
        <w:rPr>
          <w:color w:val="0D0D0D" w:themeColor="text1" w:themeTint="F2"/>
          <w:lang w:eastAsia="en-US"/>
        </w:rPr>
        <w:t xml:space="preserve"> &amp; </w:t>
      </w:r>
      <w:proofErr w:type="spellStart"/>
      <w:r w:rsidRPr="00943DFA">
        <w:rPr>
          <w:color w:val="0D0D0D" w:themeColor="text1" w:themeTint="F2"/>
          <w:lang w:eastAsia="en-US"/>
        </w:rPr>
        <w:t>Nondorf</w:t>
      </w:r>
      <w:proofErr w:type="spellEnd"/>
      <w:r w:rsidRPr="00943DFA">
        <w:rPr>
          <w:color w:val="0D0D0D" w:themeColor="text1" w:themeTint="F2"/>
          <w:lang w:eastAsia="en-US"/>
        </w:rPr>
        <w:t xml:space="preserve">, 2006; Gupta &amp; </w:t>
      </w:r>
      <w:proofErr w:type="spellStart"/>
      <w:r w:rsidRPr="00943DFA">
        <w:rPr>
          <w:color w:val="0D0D0D" w:themeColor="text1" w:themeTint="F2"/>
          <w:lang w:eastAsia="en-US"/>
        </w:rPr>
        <w:t>Israelsen</w:t>
      </w:r>
      <w:proofErr w:type="spellEnd"/>
      <w:r w:rsidRPr="00943DFA">
        <w:rPr>
          <w:color w:val="0D0D0D" w:themeColor="text1" w:themeTint="F2"/>
          <w:lang w:eastAsia="en-US"/>
        </w:rPr>
        <w:t xml:space="preserve">, 2015; Li &amp; Liu, 2017; Schuldt &amp; Vega, 2018 and Lowry, 2020). On the other hand, the effectiveness of SEC reviews is observed to be constrained by some external factors, such as political </w:t>
      </w:r>
      <w:r w:rsidRPr="00943DFA">
        <w:rPr>
          <w:color w:val="0D0D0D" w:themeColor="text1" w:themeTint="F2"/>
          <w:lang w:eastAsia="en-US"/>
        </w:rPr>
        <w:lastRenderedPageBreak/>
        <w:t>connections and the JOBS Act (</w:t>
      </w:r>
      <w:r w:rsidRPr="00943DFA">
        <w:rPr>
          <w:color w:val="0D0D0D" w:themeColor="text1" w:themeTint="F2"/>
        </w:rPr>
        <w:t xml:space="preserve">Johnston &amp; </w:t>
      </w:r>
      <w:proofErr w:type="spellStart"/>
      <w:r w:rsidRPr="00943DFA">
        <w:rPr>
          <w:color w:val="0D0D0D" w:themeColor="text1" w:themeTint="F2"/>
        </w:rPr>
        <w:t>Petacchi</w:t>
      </w:r>
      <w:proofErr w:type="spellEnd"/>
      <w:r w:rsidRPr="00943DFA">
        <w:rPr>
          <w:color w:val="0D0D0D" w:themeColor="text1" w:themeTint="F2"/>
        </w:rPr>
        <w:t xml:space="preserve">, 2017 and Chaplinsky et al., 2017). </w:t>
      </w:r>
      <w:r w:rsidRPr="00943DFA">
        <w:rPr>
          <w:color w:val="0D0D0D" w:themeColor="text1" w:themeTint="F2"/>
          <w:lang w:eastAsia="en-US"/>
        </w:rPr>
        <w:t>Future research on the sensitivity of SEC reviews to information quality of S-1 filings would therefore be informative. In addition, with the aim of filling the gap in the extant literature on firm-level factors associated with the SEC review, this study solely focuses on IPO firms’ characteristics and their impact on the SEC review extensiveness. Emphasis is placed on firm characteristics in this study because firm characteristics are identified to be among the most important factors on the SEC review of corporate disclosures (e.g., 10-K, 8-K) than S-1 filings, hence, it is worthwhile to investigate the influence of firm characteristics on the SEC S-1 review. Nevertheless, it is worth noting that factors other than firm-level factors may also have some impact on the SEC review extensiveness as suggested by recent research, e.g. the SEC workload (</w:t>
      </w:r>
      <w:proofErr w:type="spellStart"/>
      <w:r w:rsidRPr="00943DFA">
        <w:rPr>
          <w:color w:val="0D0D0D" w:themeColor="text1" w:themeTint="F2"/>
          <w:lang w:eastAsia="en-US"/>
        </w:rPr>
        <w:t>Köchling</w:t>
      </w:r>
      <w:proofErr w:type="spellEnd"/>
      <w:r w:rsidRPr="00943DFA">
        <w:rPr>
          <w:color w:val="0D0D0D" w:themeColor="text1" w:themeTint="F2"/>
          <w:lang w:eastAsia="en-US"/>
        </w:rPr>
        <w:t xml:space="preserve"> et al., 2021). Future research would be useful to investigate the incremental impact of factors other than firm-level factors on the extensiveness of the IPO approval process, e.g. the recent regulatory change, the allocation of the SEC’s budgetary resources. Furthermore, attention should be given to whether </w:t>
      </w:r>
      <w:r w:rsidRPr="00943DFA">
        <w:rPr>
          <w:i/>
          <w:color w:val="0D0D0D" w:themeColor="text1" w:themeTint="F2"/>
          <w:lang w:eastAsia="en-US"/>
        </w:rPr>
        <w:t xml:space="preserve">Duration </w:t>
      </w:r>
      <w:r w:rsidRPr="00943DFA">
        <w:rPr>
          <w:color w:val="0D0D0D" w:themeColor="text1" w:themeTint="F2"/>
          <w:lang w:eastAsia="en-US"/>
        </w:rPr>
        <w:t xml:space="preserve">is an effective indicator for the extensiveness of SEC reviews. This proxy could cover more than just the SEC review period, especially, the time lag between the date when SEC complete their review and date of publishing their comment letters. Consequently, there might be factors other than SEC reviews affecting the length of IPO processes, such as market timing or litigation. Therefore, results on the determinants of </w:t>
      </w:r>
      <w:r w:rsidRPr="00943DFA">
        <w:rPr>
          <w:i/>
          <w:color w:val="0D0D0D" w:themeColor="text1" w:themeTint="F2"/>
          <w:lang w:eastAsia="en-US"/>
        </w:rPr>
        <w:t xml:space="preserve">Duration </w:t>
      </w:r>
      <w:r w:rsidRPr="00943DFA">
        <w:rPr>
          <w:color w:val="0D0D0D" w:themeColor="text1" w:themeTint="F2"/>
          <w:lang w:eastAsia="en-US"/>
        </w:rPr>
        <w:t>should be considered with this limitation in mind.</w:t>
      </w:r>
      <w:r w:rsidR="00775E2A" w:rsidRPr="00943DFA">
        <w:rPr>
          <w:color w:val="0D0D0D" w:themeColor="text1" w:themeTint="F2"/>
          <w:lang w:eastAsia="en-US"/>
        </w:rPr>
        <w:br w:type="page"/>
      </w:r>
    </w:p>
    <w:p w14:paraId="70854907" w14:textId="77777777" w:rsidR="000406B8" w:rsidRPr="000912EF" w:rsidRDefault="000406B8" w:rsidP="000406B8">
      <w:pPr>
        <w:pStyle w:val="Heading1"/>
        <w:rPr>
          <w:b w:val="0"/>
          <w:color w:val="000000" w:themeColor="text1"/>
        </w:rPr>
      </w:pPr>
      <w:bookmarkStart w:id="104" w:name="_Toc9185818"/>
      <w:r w:rsidRPr="000912EF">
        <w:rPr>
          <w:color w:val="000000" w:themeColor="text1"/>
        </w:rPr>
        <w:lastRenderedPageBreak/>
        <w:t>REFERENCES</w:t>
      </w:r>
      <w:bookmarkEnd w:id="104"/>
    </w:p>
    <w:p w14:paraId="444F8921" w14:textId="081F93CC" w:rsidR="000406B8" w:rsidRPr="002B4AD1" w:rsidRDefault="000406B8" w:rsidP="000406B8">
      <w:pPr>
        <w:widowControl w:val="0"/>
        <w:autoSpaceDE w:val="0"/>
        <w:autoSpaceDN w:val="0"/>
        <w:adjustRightInd w:val="0"/>
        <w:spacing w:line="360" w:lineRule="auto"/>
        <w:ind w:left="480" w:hanging="480"/>
        <w:rPr>
          <w:noProof/>
        </w:rPr>
      </w:pPr>
      <w:r w:rsidRPr="000912EF">
        <w:rPr>
          <w:lang w:eastAsia="en-US"/>
        </w:rPr>
        <w:fldChar w:fldCharType="begin" w:fldLock="1"/>
      </w:r>
      <w:r w:rsidRPr="000912EF">
        <w:rPr>
          <w:lang w:eastAsia="en-US"/>
        </w:rPr>
        <w:instrText xml:space="preserve">ADDIN Mendeley Bibliography CSL_BIBLIOGRAPHY </w:instrText>
      </w:r>
      <w:r w:rsidRPr="000912EF">
        <w:rPr>
          <w:lang w:eastAsia="en-US"/>
        </w:rPr>
        <w:fldChar w:fldCharType="separate"/>
      </w:r>
      <w:r>
        <w:rPr>
          <w:noProof/>
        </w:rPr>
        <w:t>SEC</w:t>
      </w:r>
      <w:r w:rsidRPr="002B4AD1">
        <w:rPr>
          <w:noProof/>
        </w:rPr>
        <w:t xml:space="preserve"> (2013). </w:t>
      </w:r>
      <w:r w:rsidRPr="002B4AD1">
        <w:rPr>
          <w:i/>
          <w:iCs/>
          <w:noProof/>
        </w:rPr>
        <w:t>The Investor’s Advocate: How the SEC Protects Investors, Maintains Market Integrity, and Facilitates Capital Formation</w:t>
      </w:r>
      <w:r w:rsidRPr="002B4AD1">
        <w:rPr>
          <w:noProof/>
        </w:rPr>
        <w:t>. Retrieved from http://www.sec.gov/about/whatwedo.shtml</w:t>
      </w:r>
    </w:p>
    <w:p w14:paraId="3A4C8CEF"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Abdolmohammadi, M., &amp; Wright, A. (1987). An examination of the effects of experience and task complexity on audit judgments. </w:t>
      </w:r>
      <w:r w:rsidRPr="002B4AD1">
        <w:rPr>
          <w:i/>
          <w:iCs/>
          <w:noProof/>
        </w:rPr>
        <w:t>The Accounting Review</w:t>
      </w:r>
      <w:r w:rsidRPr="002B4AD1">
        <w:rPr>
          <w:noProof/>
        </w:rPr>
        <w:t xml:space="preserve">, </w:t>
      </w:r>
      <w:r w:rsidRPr="002B4AD1">
        <w:rPr>
          <w:i/>
          <w:iCs/>
          <w:noProof/>
        </w:rPr>
        <w:t>62</w:t>
      </w:r>
      <w:r w:rsidRPr="002B4AD1">
        <w:rPr>
          <w:noProof/>
        </w:rPr>
        <w:t>(1), 1–13.</w:t>
      </w:r>
    </w:p>
    <w:p w14:paraId="25C76D6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Agarwal, S., Gupta, S., &amp; Israelsen, R. D. (2017). Public and Private Information: Firm Disclosure, SEC Letters, and the JOBS Act. </w:t>
      </w:r>
      <w:r w:rsidRPr="002B4AD1">
        <w:rPr>
          <w:i/>
          <w:iCs/>
          <w:noProof/>
        </w:rPr>
        <w:t>Kelley School of Business Research Paper No. 17-4</w:t>
      </w:r>
      <w:r w:rsidRPr="002B4AD1">
        <w:rPr>
          <w:noProof/>
        </w:rPr>
        <w:t>.</w:t>
      </w:r>
    </w:p>
    <w:p w14:paraId="6EBD4503"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Akerlof, G. (1970). The Market for " Lemons ": Quality Uncertainty and the Market Mechanism. </w:t>
      </w:r>
      <w:r w:rsidRPr="002B4AD1">
        <w:rPr>
          <w:i/>
          <w:iCs/>
          <w:noProof/>
        </w:rPr>
        <w:t>The Quarterly Journal of Economics</w:t>
      </w:r>
      <w:r w:rsidRPr="002B4AD1">
        <w:rPr>
          <w:noProof/>
        </w:rPr>
        <w:t xml:space="preserve">, </w:t>
      </w:r>
      <w:r w:rsidRPr="002B4AD1">
        <w:rPr>
          <w:i/>
          <w:iCs/>
          <w:noProof/>
        </w:rPr>
        <w:t>84</w:t>
      </w:r>
      <w:r w:rsidRPr="002B4AD1">
        <w:rPr>
          <w:noProof/>
        </w:rPr>
        <w:t>(3), 488–500.</w:t>
      </w:r>
    </w:p>
    <w:p w14:paraId="6E0D6532"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Altman, E. I. (1969). Financial Ratios, Discriminant Analysis and the Prediction of Corporate Bankruptcy. </w:t>
      </w:r>
      <w:r w:rsidRPr="002B4AD1">
        <w:rPr>
          <w:i/>
          <w:iCs/>
          <w:noProof/>
        </w:rPr>
        <w:t>The Journal of Finance</w:t>
      </w:r>
      <w:r w:rsidRPr="002B4AD1">
        <w:rPr>
          <w:noProof/>
        </w:rPr>
        <w:t xml:space="preserve">, </w:t>
      </w:r>
      <w:r w:rsidRPr="002B4AD1">
        <w:rPr>
          <w:i/>
          <w:iCs/>
          <w:noProof/>
        </w:rPr>
        <w:t>24</w:t>
      </w:r>
      <w:r w:rsidRPr="002B4AD1">
        <w:rPr>
          <w:noProof/>
        </w:rPr>
        <w:t>(3), 558–560.</w:t>
      </w:r>
    </w:p>
    <w:p w14:paraId="12F01897"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Barry, C. B., &amp; Brown, S. J. (1985). Differential Information and Security Market Equilibrium. </w:t>
      </w:r>
      <w:r w:rsidRPr="002B4AD1">
        <w:rPr>
          <w:i/>
          <w:iCs/>
          <w:noProof/>
        </w:rPr>
        <w:t>Journal of Financial and Quantitative Analysis</w:t>
      </w:r>
      <w:r w:rsidRPr="002B4AD1">
        <w:rPr>
          <w:noProof/>
        </w:rPr>
        <w:t xml:space="preserve">, </w:t>
      </w:r>
      <w:r w:rsidRPr="002B4AD1">
        <w:rPr>
          <w:i/>
          <w:iCs/>
          <w:noProof/>
        </w:rPr>
        <w:t>20</w:t>
      </w:r>
      <w:r w:rsidRPr="002B4AD1">
        <w:rPr>
          <w:noProof/>
        </w:rPr>
        <w:t>(4), 407–422.</w:t>
      </w:r>
    </w:p>
    <w:p w14:paraId="1FEC223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Barth, M. E., Landsman, W. R., &amp; Taylor, D. J. (2017). The JOBS Act and Information Uncertainty in IPO Firms. </w:t>
      </w:r>
      <w:r w:rsidRPr="002B4AD1">
        <w:rPr>
          <w:i/>
          <w:iCs/>
          <w:noProof/>
        </w:rPr>
        <w:t>The Accounting Review</w:t>
      </w:r>
      <w:r w:rsidRPr="002B4AD1">
        <w:rPr>
          <w:noProof/>
        </w:rPr>
        <w:t xml:space="preserve">, </w:t>
      </w:r>
      <w:r w:rsidRPr="002B4AD1">
        <w:rPr>
          <w:i/>
          <w:iCs/>
          <w:noProof/>
        </w:rPr>
        <w:t>92</w:t>
      </w:r>
      <w:r w:rsidRPr="002B4AD1">
        <w:rPr>
          <w:noProof/>
        </w:rPr>
        <w:t>(6), 25–47.</w:t>
      </w:r>
    </w:p>
    <w:p w14:paraId="40E944C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Baugh, M., Kim, K., &amp; Lee, K. J. (2017). </w:t>
      </w:r>
      <w:r w:rsidRPr="002B4AD1">
        <w:rPr>
          <w:i/>
          <w:iCs/>
          <w:noProof/>
        </w:rPr>
        <w:t>The Effect of SEC Reviewers on Comment Letters and Financial Reporting Quality</w:t>
      </w:r>
      <w:r w:rsidRPr="002B4AD1">
        <w:rPr>
          <w:noProof/>
        </w:rPr>
        <w:t>. https://doi.org/10.3386/w19846</w:t>
      </w:r>
    </w:p>
    <w:p w14:paraId="5000C4AF"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Becker, C. L., Defond, M. L., Jiambalvo, J., &amp; Subramanyam, K. R. (1998). The Effect of Audit Quality on Earnings Management. </w:t>
      </w:r>
      <w:r w:rsidRPr="002B4AD1">
        <w:rPr>
          <w:i/>
          <w:iCs/>
          <w:noProof/>
        </w:rPr>
        <w:t>Contemporary Accounting Research</w:t>
      </w:r>
      <w:r w:rsidRPr="002B4AD1">
        <w:rPr>
          <w:noProof/>
        </w:rPr>
        <w:t xml:space="preserve">, </w:t>
      </w:r>
      <w:r w:rsidRPr="002B4AD1">
        <w:rPr>
          <w:i/>
          <w:iCs/>
          <w:noProof/>
        </w:rPr>
        <w:t>15</w:t>
      </w:r>
      <w:r w:rsidRPr="002B4AD1">
        <w:rPr>
          <w:noProof/>
        </w:rPr>
        <w:t>(1), 1–24.</w:t>
      </w:r>
    </w:p>
    <w:p w14:paraId="48865C78"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Beyer, A., Cohen, D. A., Lys, T. Z., &amp; Walther, B. R. (2010). The financial reporting environment: Review of the recent literature. </w:t>
      </w:r>
      <w:r w:rsidRPr="002B4AD1">
        <w:rPr>
          <w:i/>
          <w:iCs/>
          <w:noProof/>
        </w:rPr>
        <w:t>Journal of Accounting and Economics</w:t>
      </w:r>
      <w:r w:rsidRPr="002B4AD1">
        <w:rPr>
          <w:noProof/>
        </w:rPr>
        <w:t xml:space="preserve">, </w:t>
      </w:r>
      <w:r w:rsidRPr="002B4AD1">
        <w:rPr>
          <w:i/>
          <w:iCs/>
          <w:noProof/>
        </w:rPr>
        <w:t>50</w:t>
      </w:r>
      <w:r w:rsidRPr="002B4AD1">
        <w:rPr>
          <w:noProof/>
        </w:rPr>
        <w:t>(2–3), 296–343.</w:t>
      </w:r>
    </w:p>
    <w:p w14:paraId="65963AD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Bhabra, H. S., Pettway, R. H., &amp; Molson, J. (2003). IPO Prospectus Information and Subsequent Performance. </w:t>
      </w:r>
      <w:r w:rsidRPr="002B4AD1">
        <w:rPr>
          <w:i/>
          <w:iCs/>
          <w:noProof/>
        </w:rPr>
        <w:t>The Financial ReviewThe Financial Review</w:t>
      </w:r>
      <w:r w:rsidRPr="002B4AD1">
        <w:rPr>
          <w:noProof/>
        </w:rPr>
        <w:t xml:space="preserve">, </w:t>
      </w:r>
      <w:r w:rsidRPr="002B4AD1">
        <w:rPr>
          <w:i/>
          <w:iCs/>
          <w:noProof/>
        </w:rPr>
        <w:t>38</w:t>
      </w:r>
      <w:r w:rsidRPr="002B4AD1">
        <w:rPr>
          <w:noProof/>
        </w:rPr>
        <w:t>(38), 369–397.</w:t>
      </w:r>
    </w:p>
    <w:p w14:paraId="4F5C1C60"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Blackburne, T. (2014). Regulatory Oversight and Reporting Incentives: Evidence from SEC Budget Allocations Terrence. </w:t>
      </w:r>
      <w:r w:rsidRPr="002B4AD1">
        <w:rPr>
          <w:i/>
          <w:iCs/>
          <w:noProof/>
        </w:rPr>
        <w:t>Working Paper</w:t>
      </w:r>
      <w:r w:rsidRPr="002B4AD1">
        <w:rPr>
          <w:noProof/>
        </w:rPr>
        <w:t>.</w:t>
      </w:r>
    </w:p>
    <w:p w14:paraId="1BB979A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Bonner, S. E. (1990). Experience Effects In Auditing: The Role Of Task-Specific Knowledge. </w:t>
      </w:r>
      <w:r w:rsidRPr="002B4AD1">
        <w:rPr>
          <w:i/>
          <w:iCs/>
          <w:noProof/>
        </w:rPr>
        <w:t>The Accounting Review</w:t>
      </w:r>
      <w:r w:rsidRPr="002B4AD1">
        <w:rPr>
          <w:noProof/>
        </w:rPr>
        <w:t xml:space="preserve">, </w:t>
      </w:r>
      <w:r w:rsidRPr="002B4AD1">
        <w:rPr>
          <w:i/>
          <w:iCs/>
          <w:noProof/>
        </w:rPr>
        <w:t>65</w:t>
      </w:r>
      <w:r w:rsidRPr="002B4AD1">
        <w:rPr>
          <w:noProof/>
        </w:rPr>
        <w:t>(1), 72–92.</w:t>
      </w:r>
    </w:p>
    <w:p w14:paraId="357CA8ED"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Boone, J. P., Khurana, I. K., &amp; Raman, K. K. (2010). Do the Big 4 and the Second-tier firms provide audits of similar quality? </w:t>
      </w:r>
      <w:r w:rsidRPr="002B4AD1">
        <w:rPr>
          <w:i/>
          <w:iCs/>
          <w:noProof/>
        </w:rPr>
        <w:t>Journal of Accounting and Public Policy</w:t>
      </w:r>
      <w:r w:rsidRPr="002B4AD1">
        <w:rPr>
          <w:noProof/>
        </w:rPr>
        <w:t xml:space="preserve">, </w:t>
      </w:r>
      <w:r w:rsidRPr="002B4AD1">
        <w:rPr>
          <w:i/>
          <w:iCs/>
          <w:noProof/>
        </w:rPr>
        <w:t>29</w:t>
      </w:r>
      <w:r w:rsidRPr="002B4AD1">
        <w:rPr>
          <w:noProof/>
        </w:rPr>
        <w:t>(4), 330–352. Retrieved from 10.06.007</w:t>
      </w:r>
    </w:p>
    <w:p w14:paraId="0A695AD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lastRenderedPageBreak/>
        <w:t xml:space="preserve">Boone, J. P., Linthicum, C. L., &amp; Poe, A. (2013). Characteristics of accounting standards and SEC review comments. </w:t>
      </w:r>
      <w:r w:rsidRPr="002B4AD1">
        <w:rPr>
          <w:i/>
          <w:iCs/>
          <w:noProof/>
        </w:rPr>
        <w:t>Accounting Horizons</w:t>
      </w:r>
      <w:r w:rsidRPr="002B4AD1">
        <w:rPr>
          <w:noProof/>
        </w:rPr>
        <w:t xml:space="preserve">, </w:t>
      </w:r>
      <w:r w:rsidRPr="002B4AD1">
        <w:rPr>
          <w:i/>
          <w:iCs/>
          <w:noProof/>
        </w:rPr>
        <w:t>27</w:t>
      </w:r>
      <w:r w:rsidRPr="002B4AD1">
        <w:rPr>
          <w:noProof/>
        </w:rPr>
        <w:t>(4), 711–736.</w:t>
      </w:r>
    </w:p>
    <w:p w14:paraId="06CF0D01"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Bozanic, Z., Dietrich, J. R., &amp; Johnson, B. A. (2017). SEC comment letters and firm disclosure. </w:t>
      </w:r>
      <w:r w:rsidRPr="002B4AD1">
        <w:rPr>
          <w:i/>
          <w:iCs/>
          <w:noProof/>
        </w:rPr>
        <w:t>Journal of Accounting and Public Policy</w:t>
      </w:r>
      <w:r w:rsidRPr="002B4AD1">
        <w:rPr>
          <w:noProof/>
        </w:rPr>
        <w:t xml:space="preserve">, </w:t>
      </w:r>
      <w:r w:rsidRPr="002B4AD1">
        <w:rPr>
          <w:i/>
          <w:iCs/>
          <w:noProof/>
        </w:rPr>
        <w:t>36</w:t>
      </w:r>
      <w:r w:rsidRPr="002B4AD1">
        <w:rPr>
          <w:noProof/>
        </w:rPr>
        <w:t>(5), 337–357.</w:t>
      </w:r>
    </w:p>
    <w:p w14:paraId="50328E7E"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Brown, S. V, Tian, X., &amp; Tucker. (2015). </w:t>
      </w:r>
      <w:r w:rsidRPr="002B4AD1">
        <w:rPr>
          <w:i/>
          <w:iCs/>
          <w:noProof/>
        </w:rPr>
        <w:t>The Spillover Effect of SEC Comment Letters on Qualitative Corporate Disclosure: Evidence from the Risk Factor Disclosure Stephen</w:t>
      </w:r>
      <w:r w:rsidRPr="002B4AD1">
        <w:rPr>
          <w:noProof/>
        </w:rPr>
        <w:t>. Retrieved from https://papers.ssrn.com/sol3/Papers.cfm?abstract_id=2551451</w:t>
      </w:r>
    </w:p>
    <w:p w14:paraId="3E915B47"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Cassell, C. A., Dreher, L. M., &amp; Myers, L. A. (2013). Reviewing the SEC’s review process: 10-K comment letters and the cost of remediation. </w:t>
      </w:r>
      <w:r w:rsidRPr="002B4AD1">
        <w:rPr>
          <w:i/>
          <w:iCs/>
          <w:noProof/>
        </w:rPr>
        <w:t>The Accounting Review</w:t>
      </w:r>
      <w:r w:rsidRPr="002B4AD1">
        <w:rPr>
          <w:noProof/>
        </w:rPr>
        <w:t xml:space="preserve">, </w:t>
      </w:r>
      <w:r w:rsidRPr="002B4AD1">
        <w:rPr>
          <w:i/>
          <w:iCs/>
          <w:noProof/>
        </w:rPr>
        <w:t>88</w:t>
      </w:r>
      <w:r w:rsidRPr="002B4AD1">
        <w:rPr>
          <w:noProof/>
        </w:rPr>
        <w:t>(6), 1875–1908.</w:t>
      </w:r>
    </w:p>
    <w:p w14:paraId="6967950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Chahine, S., Mansi, S., &amp; Mazboudi, M. (2015). Media news and earnings management prior to equity offerings. </w:t>
      </w:r>
      <w:r w:rsidRPr="002B4AD1">
        <w:rPr>
          <w:i/>
          <w:iCs/>
          <w:noProof/>
        </w:rPr>
        <w:t>Journal of Corporate Finance</w:t>
      </w:r>
      <w:r w:rsidRPr="002B4AD1">
        <w:rPr>
          <w:noProof/>
        </w:rPr>
        <w:t xml:space="preserve">, </w:t>
      </w:r>
      <w:r w:rsidRPr="002B4AD1">
        <w:rPr>
          <w:i/>
          <w:iCs/>
          <w:noProof/>
        </w:rPr>
        <w:t>35</w:t>
      </w:r>
      <w:r w:rsidRPr="002B4AD1">
        <w:rPr>
          <w:noProof/>
        </w:rPr>
        <w:t>, 177–195. https://doi.org/10.1016/j.jcorpfin.2015.09.002</w:t>
      </w:r>
    </w:p>
    <w:p w14:paraId="45CCE60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Chaplinsky, S., Hanley, K. W., &amp; Moon, S. K. (2017). The JOBS Act and the Costs of Going Public. </w:t>
      </w:r>
      <w:r w:rsidRPr="002B4AD1">
        <w:rPr>
          <w:i/>
          <w:iCs/>
          <w:noProof/>
        </w:rPr>
        <w:t>Journal of Accounting Research</w:t>
      </w:r>
      <w:r w:rsidRPr="002B4AD1">
        <w:rPr>
          <w:noProof/>
        </w:rPr>
        <w:t xml:space="preserve">, </w:t>
      </w:r>
      <w:r w:rsidRPr="002B4AD1">
        <w:rPr>
          <w:i/>
          <w:iCs/>
          <w:noProof/>
        </w:rPr>
        <w:t>55</w:t>
      </w:r>
      <w:r w:rsidRPr="002B4AD1">
        <w:rPr>
          <w:noProof/>
        </w:rPr>
        <w:t>(4), 795–836.</w:t>
      </w:r>
    </w:p>
    <w:p w14:paraId="60A1E5D2"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Chen, K. Y., Lin, K., &amp; Zhou, J. (2005). Audit quality and earnings management for Taiwan IPO firms. </w:t>
      </w:r>
      <w:r w:rsidRPr="002B4AD1">
        <w:rPr>
          <w:i/>
          <w:iCs/>
          <w:noProof/>
        </w:rPr>
        <w:t>Managerial Auditing Journal</w:t>
      </w:r>
      <w:r w:rsidRPr="002B4AD1">
        <w:rPr>
          <w:noProof/>
        </w:rPr>
        <w:t xml:space="preserve">, </w:t>
      </w:r>
      <w:r w:rsidRPr="002B4AD1">
        <w:rPr>
          <w:i/>
          <w:iCs/>
          <w:noProof/>
        </w:rPr>
        <w:t>20</w:t>
      </w:r>
      <w:r w:rsidRPr="002B4AD1">
        <w:rPr>
          <w:noProof/>
        </w:rPr>
        <w:t>(1), 86–104. https://doi.org/10.1108/02686900510570722</w:t>
      </w:r>
    </w:p>
    <w:p w14:paraId="3DFAA179"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Chen, R., &amp; Johnston, R. (2010). The effect of regulator oversight on firms’ information environment: Securities and exchange commission comment letters. </w:t>
      </w:r>
      <w:r w:rsidRPr="002B4AD1">
        <w:rPr>
          <w:i/>
          <w:iCs/>
          <w:noProof/>
        </w:rPr>
        <w:t>Working Paper</w:t>
      </w:r>
      <w:r w:rsidRPr="002B4AD1">
        <w:rPr>
          <w:noProof/>
        </w:rPr>
        <w:t>.</w:t>
      </w:r>
    </w:p>
    <w:p w14:paraId="53118648"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Colaco, H. M. J., De Cesari, A., &amp; Hegde, S. P. (2017). The waiting period of initial public offerings. </w:t>
      </w:r>
      <w:r w:rsidRPr="002B4AD1">
        <w:rPr>
          <w:i/>
          <w:iCs/>
          <w:noProof/>
        </w:rPr>
        <w:t>European Journal of Finance</w:t>
      </w:r>
      <w:r w:rsidRPr="002B4AD1">
        <w:rPr>
          <w:noProof/>
        </w:rPr>
        <w:t xml:space="preserve">, </w:t>
      </w:r>
      <w:r w:rsidRPr="002B4AD1">
        <w:rPr>
          <w:i/>
          <w:iCs/>
          <w:noProof/>
        </w:rPr>
        <w:t>0</w:t>
      </w:r>
      <w:r w:rsidRPr="002B4AD1">
        <w:rPr>
          <w:noProof/>
        </w:rPr>
        <w:t>(0), 1–34.</w:t>
      </w:r>
    </w:p>
    <w:p w14:paraId="62596480"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Dambra, M., Field, L. C., &amp; Gustafson, M. T. (2015). The JOBS Act and IPO volume: Evidence that disclosure costs affect the IPO decision. </w:t>
      </w:r>
      <w:r w:rsidRPr="002B4AD1">
        <w:rPr>
          <w:i/>
          <w:iCs/>
          <w:noProof/>
        </w:rPr>
        <w:t>Journal of Financial Economics</w:t>
      </w:r>
      <w:r w:rsidRPr="002B4AD1">
        <w:rPr>
          <w:noProof/>
        </w:rPr>
        <w:t xml:space="preserve">, </w:t>
      </w:r>
      <w:r w:rsidRPr="002B4AD1">
        <w:rPr>
          <w:i/>
          <w:iCs/>
          <w:noProof/>
        </w:rPr>
        <w:t>116</w:t>
      </w:r>
      <w:r w:rsidRPr="002B4AD1">
        <w:rPr>
          <w:noProof/>
        </w:rPr>
        <w:t>(1), 121–143.</w:t>
      </w:r>
    </w:p>
    <w:p w14:paraId="1A71755E"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DeAngelo, L. E. (1981). Auditor size and audit quality. </w:t>
      </w:r>
      <w:r w:rsidRPr="002B4AD1">
        <w:rPr>
          <w:i/>
          <w:iCs/>
          <w:noProof/>
        </w:rPr>
        <w:t>Journal of Accounting and Economics</w:t>
      </w:r>
      <w:r w:rsidRPr="002B4AD1">
        <w:rPr>
          <w:noProof/>
        </w:rPr>
        <w:t xml:space="preserve">, </w:t>
      </w:r>
      <w:r w:rsidRPr="002B4AD1">
        <w:rPr>
          <w:i/>
          <w:iCs/>
          <w:noProof/>
        </w:rPr>
        <w:t>3</w:t>
      </w:r>
      <w:r w:rsidRPr="002B4AD1">
        <w:rPr>
          <w:noProof/>
        </w:rPr>
        <w:t>(3), 183–199.</w:t>
      </w:r>
    </w:p>
    <w:p w14:paraId="0DB05C1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Doyle, J., Ge, W., &amp; McVay, S. (2007). Determinants of weaknesses in internal control over financial reporting. </w:t>
      </w:r>
      <w:r w:rsidRPr="002B4AD1">
        <w:rPr>
          <w:i/>
          <w:iCs/>
          <w:noProof/>
        </w:rPr>
        <w:t>Journal of Accounting and Economics</w:t>
      </w:r>
      <w:r w:rsidRPr="002B4AD1">
        <w:rPr>
          <w:noProof/>
        </w:rPr>
        <w:t xml:space="preserve">, </w:t>
      </w:r>
      <w:r w:rsidRPr="002B4AD1">
        <w:rPr>
          <w:i/>
          <w:iCs/>
          <w:noProof/>
        </w:rPr>
        <w:t>44</w:t>
      </w:r>
      <w:r w:rsidRPr="002B4AD1">
        <w:rPr>
          <w:noProof/>
        </w:rPr>
        <w:t>(1–2), 193–223.</w:t>
      </w:r>
    </w:p>
    <w:p w14:paraId="41C96FA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Duro, M., Heese, J., &amp; Ormazabal, G. (2017). Does the Public Disclosure of the SEC’s Oversight Actions Matter ? </w:t>
      </w:r>
      <w:r w:rsidRPr="002B4AD1">
        <w:rPr>
          <w:i/>
          <w:iCs/>
          <w:noProof/>
        </w:rPr>
        <w:t>CEPR Discussion Paper No. DP12145</w:t>
      </w:r>
      <w:r w:rsidRPr="002B4AD1">
        <w:rPr>
          <w:noProof/>
        </w:rPr>
        <w:t>.</w:t>
      </w:r>
    </w:p>
    <w:p w14:paraId="67CDA505"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Ernst and Young. (2016). </w:t>
      </w:r>
      <w:r w:rsidRPr="002B4AD1">
        <w:rPr>
          <w:i/>
          <w:iCs/>
          <w:noProof/>
        </w:rPr>
        <w:t>Update on emerging growth companies and the JOBS Act, November 2016</w:t>
      </w:r>
      <w:r w:rsidRPr="002B4AD1">
        <w:rPr>
          <w:noProof/>
        </w:rPr>
        <w:t>.</w:t>
      </w:r>
    </w:p>
    <w:p w14:paraId="5740AFF8"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Ertimur, Y., &amp; Nondorf, M. E. (2006). IPO Firms and the SEC Comment Letter Process. In </w:t>
      </w:r>
      <w:r w:rsidRPr="002B4AD1">
        <w:rPr>
          <w:i/>
          <w:iCs/>
          <w:noProof/>
        </w:rPr>
        <w:lastRenderedPageBreak/>
        <w:t>Working paper</w:t>
      </w:r>
      <w:r w:rsidRPr="002B4AD1">
        <w:rPr>
          <w:noProof/>
        </w:rPr>
        <w:t>.</w:t>
      </w:r>
    </w:p>
    <w:p w14:paraId="67ABA04C"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Ettredge, M., Johnstone, K., Stone, M., &amp; Wang, Q. (2011). The effects of firm size, corporate governance quality, and bad news on disclosure compliance. </w:t>
      </w:r>
      <w:r w:rsidRPr="002B4AD1">
        <w:rPr>
          <w:i/>
          <w:iCs/>
          <w:noProof/>
        </w:rPr>
        <w:t>Review of Accounting Studies</w:t>
      </w:r>
      <w:r w:rsidRPr="002B4AD1">
        <w:rPr>
          <w:noProof/>
        </w:rPr>
        <w:t xml:space="preserve">, </w:t>
      </w:r>
      <w:r w:rsidRPr="002B4AD1">
        <w:rPr>
          <w:i/>
          <w:iCs/>
          <w:noProof/>
        </w:rPr>
        <w:t>16</w:t>
      </w:r>
      <w:r w:rsidRPr="002B4AD1">
        <w:rPr>
          <w:noProof/>
        </w:rPr>
        <w:t>(4), 866–889. https://doi.org/10.1007/s11142-011-9153-8</w:t>
      </w:r>
    </w:p>
    <w:p w14:paraId="3E317055" w14:textId="6DEF7011"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Gao, X., Ritter, J. R., &amp; Zhu, Z. (2013). Where have all the IPOs gone? </w:t>
      </w:r>
      <w:r w:rsidRPr="002B4AD1">
        <w:rPr>
          <w:i/>
          <w:iCs/>
          <w:noProof/>
        </w:rPr>
        <w:t>Journal of Financial and Quantitative Analysis</w:t>
      </w:r>
      <w:r w:rsidRPr="002B4AD1">
        <w:rPr>
          <w:noProof/>
        </w:rPr>
        <w:t xml:space="preserve">, </w:t>
      </w:r>
      <w:r w:rsidRPr="002B4AD1">
        <w:rPr>
          <w:i/>
          <w:iCs/>
          <w:noProof/>
        </w:rPr>
        <w:t>48</w:t>
      </w:r>
      <w:r w:rsidRPr="002B4AD1">
        <w:rPr>
          <w:noProof/>
        </w:rPr>
        <w:t xml:space="preserve">(6), 1663–1692. </w:t>
      </w:r>
    </w:p>
    <w:p w14:paraId="09AF35DD"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Godfrey, J., Hodgson, A., Tarca, A., Jane, H., &amp; Holmes, S. (2010). </w:t>
      </w:r>
      <w:r w:rsidRPr="002B4AD1">
        <w:rPr>
          <w:i/>
          <w:iCs/>
          <w:noProof/>
        </w:rPr>
        <w:t>Accounting Theory</w:t>
      </w:r>
      <w:r w:rsidRPr="002B4AD1">
        <w:rPr>
          <w:noProof/>
        </w:rPr>
        <w:t>. Australia: John Wiley &amp; Sons.</w:t>
      </w:r>
    </w:p>
    <w:p w14:paraId="21B20F9E"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Hambrick, D. C., &amp; Mason, P. A. (1984). Upper Echelons: The Organization as a Reflection of Its Top Managers. </w:t>
      </w:r>
      <w:r w:rsidRPr="002B4AD1">
        <w:rPr>
          <w:i/>
          <w:iCs/>
          <w:noProof/>
        </w:rPr>
        <w:t>Academy of Management Review</w:t>
      </w:r>
      <w:r w:rsidRPr="002B4AD1">
        <w:rPr>
          <w:noProof/>
        </w:rPr>
        <w:t xml:space="preserve">, </w:t>
      </w:r>
      <w:r w:rsidRPr="002B4AD1">
        <w:rPr>
          <w:i/>
          <w:iCs/>
          <w:noProof/>
        </w:rPr>
        <w:t>9</w:t>
      </w:r>
      <w:r w:rsidRPr="002B4AD1">
        <w:rPr>
          <w:noProof/>
        </w:rPr>
        <w:t>(2), 193–206.</w:t>
      </w:r>
    </w:p>
    <w:p w14:paraId="470DD9F1"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Hamilton, B. (n.d.). How Soon Will The SEC Review A Form S-1 Registration Statement? Retrieved April 25, 2019, from Securities and Going Public Lawyer website: https://www.securitieslawyer101.com/2015/sec-review-form-s-1-registration-statement/</w:t>
      </w:r>
    </w:p>
    <w:p w14:paraId="796EDF91"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Healy, P. M., &amp; Palepu, K. G. (2001). Information asymmetry, corporate disclosure, and the capital markets: A review of the empirical disclosure literature. </w:t>
      </w:r>
      <w:r w:rsidRPr="002B4AD1">
        <w:rPr>
          <w:i/>
          <w:iCs/>
          <w:noProof/>
        </w:rPr>
        <w:t>Journal of Accounting and Economics</w:t>
      </w:r>
      <w:r w:rsidRPr="002B4AD1">
        <w:rPr>
          <w:noProof/>
        </w:rPr>
        <w:t xml:space="preserve">, </w:t>
      </w:r>
      <w:r w:rsidRPr="002B4AD1">
        <w:rPr>
          <w:i/>
          <w:iCs/>
          <w:noProof/>
        </w:rPr>
        <w:t>31</w:t>
      </w:r>
      <w:r w:rsidRPr="002B4AD1">
        <w:rPr>
          <w:noProof/>
        </w:rPr>
        <w:t>(1–3), 405–440.</w:t>
      </w:r>
    </w:p>
    <w:p w14:paraId="2D83C8E5"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Heese, J., Khan, M., &amp; Ramanna, K. (2017). Is the SEC captured? Evidence from comment-letter reviews. </w:t>
      </w:r>
      <w:r w:rsidRPr="002B4AD1">
        <w:rPr>
          <w:i/>
          <w:iCs/>
          <w:noProof/>
        </w:rPr>
        <w:t>Journal of Accounting and Economics</w:t>
      </w:r>
      <w:r w:rsidRPr="002B4AD1">
        <w:rPr>
          <w:noProof/>
        </w:rPr>
        <w:t xml:space="preserve">, </w:t>
      </w:r>
      <w:r w:rsidRPr="002B4AD1">
        <w:rPr>
          <w:i/>
          <w:iCs/>
          <w:noProof/>
        </w:rPr>
        <w:t>64</w:t>
      </w:r>
      <w:r w:rsidRPr="002B4AD1">
        <w:rPr>
          <w:noProof/>
        </w:rPr>
        <w:t>(1), 98–122.</w:t>
      </w:r>
    </w:p>
    <w:p w14:paraId="33BEBF8D"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Henderson, J. C., &amp; Nutt, P. C. (1980). The Influence of Decision Style on Decision Making Behavior. </w:t>
      </w:r>
      <w:r w:rsidRPr="002B4AD1">
        <w:rPr>
          <w:i/>
          <w:iCs/>
          <w:noProof/>
        </w:rPr>
        <w:t>Management Science</w:t>
      </w:r>
      <w:r w:rsidRPr="002B4AD1">
        <w:rPr>
          <w:noProof/>
        </w:rPr>
        <w:t xml:space="preserve">, </w:t>
      </w:r>
      <w:r w:rsidRPr="002B4AD1">
        <w:rPr>
          <w:i/>
          <w:iCs/>
          <w:noProof/>
        </w:rPr>
        <w:t>26</w:t>
      </w:r>
      <w:r w:rsidRPr="002B4AD1">
        <w:rPr>
          <w:noProof/>
        </w:rPr>
        <w:t>(4), 371–386.</w:t>
      </w:r>
    </w:p>
    <w:p w14:paraId="57933FBC" w14:textId="15AB2A19"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Irvine, P. J., &amp; Pontiff, J. (2009). Idiosyncratic return volatility, cash flows, and product market competition. </w:t>
      </w:r>
      <w:r w:rsidRPr="002B4AD1">
        <w:rPr>
          <w:i/>
          <w:iCs/>
          <w:noProof/>
        </w:rPr>
        <w:t>Review of Financial Studies</w:t>
      </w:r>
      <w:r w:rsidRPr="002B4AD1">
        <w:rPr>
          <w:noProof/>
        </w:rPr>
        <w:t xml:space="preserve">, </w:t>
      </w:r>
      <w:r w:rsidRPr="002B4AD1">
        <w:rPr>
          <w:i/>
          <w:iCs/>
          <w:noProof/>
        </w:rPr>
        <w:t>22</w:t>
      </w:r>
      <w:r w:rsidRPr="002B4AD1">
        <w:rPr>
          <w:noProof/>
        </w:rPr>
        <w:t xml:space="preserve">(3), 1149–1177. </w:t>
      </w:r>
    </w:p>
    <w:p w14:paraId="4700FBDE"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Jensen, M. C., &amp; Meckling, W. H. (1976). Theory of the firm: Managerial behavior, agency costs and ownership structure. </w:t>
      </w:r>
      <w:r w:rsidRPr="002B4AD1">
        <w:rPr>
          <w:i/>
          <w:iCs/>
          <w:noProof/>
        </w:rPr>
        <w:t>Journal of Financial Economics</w:t>
      </w:r>
      <w:r w:rsidRPr="002B4AD1">
        <w:rPr>
          <w:noProof/>
        </w:rPr>
        <w:t xml:space="preserve">, </w:t>
      </w:r>
      <w:r w:rsidRPr="002B4AD1">
        <w:rPr>
          <w:i/>
          <w:iCs/>
          <w:noProof/>
        </w:rPr>
        <w:t>3</w:t>
      </w:r>
      <w:r w:rsidRPr="002B4AD1">
        <w:rPr>
          <w:noProof/>
        </w:rPr>
        <w:t>(4), 305–360.</w:t>
      </w:r>
    </w:p>
    <w:p w14:paraId="0BCB550F"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Jiang, G., Lee, C. M. C., &amp; Zhang, Y. (2005). Information Uncertainty and Expected Returns. </w:t>
      </w:r>
      <w:r w:rsidRPr="002B4AD1">
        <w:rPr>
          <w:i/>
          <w:iCs/>
          <w:noProof/>
        </w:rPr>
        <w:t>Review of Accounting Studies</w:t>
      </w:r>
      <w:r w:rsidRPr="002B4AD1">
        <w:rPr>
          <w:noProof/>
        </w:rPr>
        <w:t xml:space="preserve">, </w:t>
      </w:r>
      <w:r w:rsidRPr="002B4AD1">
        <w:rPr>
          <w:i/>
          <w:iCs/>
          <w:noProof/>
        </w:rPr>
        <w:t>10</w:t>
      </w:r>
      <w:r w:rsidRPr="002B4AD1">
        <w:rPr>
          <w:noProof/>
        </w:rPr>
        <w:t>(2–3), 185–221.</w:t>
      </w:r>
    </w:p>
    <w:p w14:paraId="128AD90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Johnston, R., &amp; Petacchi, R. (2017). Regulatory Oversight of Financial Reporting: Securities and Exchange Commission Comment Letters. </w:t>
      </w:r>
      <w:r w:rsidRPr="002B4AD1">
        <w:rPr>
          <w:i/>
          <w:iCs/>
          <w:noProof/>
        </w:rPr>
        <w:t>Contemporary Accounting Research</w:t>
      </w:r>
      <w:r w:rsidRPr="002B4AD1">
        <w:rPr>
          <w:noProof/>
        </w:rPr>
        <w:t xml:space="preserve">, </w:t>
      </w:r>
      <w:r w:rsidRPr="002B4AD1">
        <w:rPr>
          <w:i/>
          <w:iCs/>
          <w:noProof/>
        </w:rPr>
        <w:t>34</w:t>
      </w:r>
      <w:r w:rsidRPr="002B4AD1">
        <w:rPr>
          <w:noProof/>
        </w:rPr>
        <w:t>(2), 1128–1155.</w:t>
      </w:r>
    </w:p>
    <w:p w14:paraId="73B473F9"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Keating, T. (2012). The JOBS Act: Shifting into Gear and Accelerating Up the IPO On-Ramp. Retrieved from Keating Investments White Paper website: http://www.otcmarkets.com/content/doc/jobsact/keatingWhitepaper.pdf</w:t>
      </w:r>
    </w:p>
    <w:p w14:paraId="6CD20B85"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Lang, M., &amp; Lundholm, R. (1993). Cross-Sectional Determinants of Analyst Ratings of Corporate Disclosures. </w:t>
      </w:r>
      <w:r w:rsidRPr="002B4AD1">
        <w:rPr>
          <w:i/>
          <w:iCs/>
          <w:noProof/>
        </w:rPr>
        <w:t>Journal of Accounting Research</w:t>
      </w:r>
      <w:r w:rsidRPr="002B4AD1">
        <w:rPr>
          <w:noProof/>
        </w:rPr>
        <w:t xml:space="preserve">, </w:t>
      </w:r>
      <w:r w:rsidRPr="002B4AD1">
        <w:rPr>
          <w:i/>
          <w:iCs/>
          <w:noProof/>
        </w:rPr>
        <w:t>31</w:t>
      </w:r>
      <w:r w:rsidRPr="002B4AD1">
        <w:rPr>
          <w:noProof/>
        </w:rPr>
        <w:t>(2), 246–271.</w:t>
      </w:r>
    </w:p>
    <w:p w14:paraId="5110D517"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lastRenderedPageBreak/>
        <w:t xml:space="preserve">Leuz, C., &amp; Wysocki, P. (2008). Economic consequences of financial reporting and disclosure regulation: A review and suggestions for future research. </w:t>
      </w:r>
      <w:r w:rsidRPr="002B4AD1">
        <w:rPr>
          <w:i/>
          <w:iCs/>
          <w:noProof/>
        </w:rPr>
        <w:t>The CPA Journal</w:t>
      </w:r>
      <w:r w:rsidRPr="002B4AD1">
        <w:rPr>
          <w:noProof/>
        </w:rPr>
        <w:t xml:space="preserve">, </w:t>
      </w:r>
      <w:r w:rsidRPr="002B4AD1">
        <w:rPr>
          <w:i/>
          <w:iCs/>
          <w:noProof/>
        </w:rPr>
        <w:t>79</w:t>
      </w:r>
      <w:r w:rsidRPr="002B4AD1">
        <w:rPr>
          <w:noProof/>
        </w:rPr>
        <w:t>(10), 24.</w:t>
      </w:r>
    </w:p>
    <w:p w14:paraId="0DCBC33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Leuz, Christian, &amp; Wysocki, P. D. (2016). The Economics of Disclosure and Financial Reporting Regulation: Evidence and Suggestions for Future Research. </w:t>
      </w:r>
      <w:r w:rsidRPr="002B4AD1">
        <w:rPr>
          <w:i/>
          <w:iCs/>
          <w:noProof/>
        </w:rPr>
        <w:t>Journal of Accounting Research</w:t>
      </w:r>
      <w:r w:rsidRPr="002B4AD1">
        <w:rPr>
          <w:noProof/>
        </w:rPr>
        <w:t xml:space="preserve">, </w:t>
      </w:r>
      <w:r w:rsidRPr="002B4AD1">
        <w:rPr>
          <w:i/>
          <w:iCs/>
          <w:noProof/>
        </w:rPr>
        <w:t>54</w:t>
      </w:r>
      <w:r w:rsidRPr="002B4AD1">
        <w:rPr>
          <w:noProof/>
        </w:rPr>
        <w:t>(2), 525–622.</w:t>
      </w:r>
    </w:p>
    <w:p w14:paraId="5D0D42D0"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Li, B., &amp; Liu, Z. (2017a). BBThe oversight role of regulators: evidence from SEC comment letters in the BIPO process. </w:t>
      </w:r>
      <w:r w:rsidRPr="002B4AD1">
        <w:rPr>
          <w:i/>
          <w:iCs/>
          <w:noProof/>
        </w:rPr>
        <w:t>Review of Accounting Studies</w:t>
      </w:r>
      <w:r w:rsidRPr="002B4AD1">
        <w:rPr>
          <w:noProof/>
        </w:rPr>
        <w:t xml:space="preserve">, </w:t>
      </w:r>
      <w:r w:rsidRPr="002B4AD1">
        <w:rPr>
          <w:i/>
          <w:iCs/>
          <w:noProof/>
        </w:rPr>
        <w:t>22</w:t>
      </w:r>
      <w:r w:rsidRPr="002B4AD1">
        <w:rPr>
          <w:noProof/>
        </w:rPr>
        <w:t>(3), 1229–1260.</w:t>
      </w:r>
    </w:p>
    <w:p w14:paraId="60C90EFC"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Li, B., &amp; Liu, Z. (2017b). The oversight role of regulators: evidence from SEC comment letters in the IPO process. </w:t>
      </w:r>
      <w:r w:rsidRPr="002B4AD1">
        <w:rPr>
          <w:i/>
          <w:iCs/>
          <w:noProof/>
        </w:rPr>
        <w:t>Review of Accounting Studies</w:t>
      </w:r>
      <w:r w:rsidRPr="002B4AD1">
        <w:rPr>
          <w:noProof/>
        </w:rPr>
        <w:t xml:space="preserve">, </w:t>
      </w:r>
      <w:r w:rsidRPr="002B4AD1">
        <w:rPr>
          <w:i/>
          <w:iCs/>
          <w:noProof/>
        </w:rPr>
        <w:t>22</w:t>
      </w:r>
      <w:r w:rsidRPr="002B4AD1">
        <w:rPr>
          <w:noProof/>
        </w:rPr>
        <w:t>(3), 1229–1260.</w:t>
      </w:r>
    </w:p>
    <w:p w14:paraId="1C50C931"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Loughran, T., &amp; Ritter, J. (2004). Why Has IPO Underpricing Changed Over Time ? </w:t>
      </w:r>
      <w:r w:rsidRPr="002B4AD1">
        <w:rPr>
          <w:i/>
          <w:iCs/>
          <w:noProof/>
        </w:rPr>
        <w:t>Financial Management</w:t>
      </w:r>
      <w:r w:rsidRPr="002B4AD1">
        <w:rPr>
          <w:noProof/>
        </w:rPr>
        <w:t>, 5–37.</w:t>
      </w:r>
    </w:p>
    <w:p w14:paraId="62432900"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McKenney, J., &amp; Keen, P. (1974). How Managers’ Minds Work. </w:t>
      </w:r>
      <w:r w:rsidRPr="002B4AD1">
        <w:rPr>
          <w:i/>
          <w:iCs/>
          <w:noProof/>
        </w:rPr>
        <w:t>Harvard Business Review</w:t>
      </w:r>
      <w:r w:rsidRPr="002B4AD1">
        <w:rPr>
          <w:noProof/>
        </w:rPr>
        <w:t xml:space="preserve">, </w:t>
      </w:r>
      <w:r w:rsidRPr="002B4AD1">
        <w:rPr>
          <w:i/>
          <w:iCs/>
          <w:noProof/>
        </w:rPr>
        <w:t>52</w:t>
      </w:r>
      <w:r w:rsidRPr="002B4AD1">
        <w:rPr>
          <w:noProof/>
        </w:rPr>
        <w:t>(3), 79–90.</w:t>
      </w:r>
    </w:p>
    <w:p w14:paraId="4588DAC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Mitnick, B. M. (1980). </w:t>
      </w:r>
      <w:r w:rsidRPr="002B4AD1">
        <w:rPr>
          <w:i/>
          <w:iCs/>
          <w:noProof/>
        </w:rPr>
        <w:t>The political economy of regulation</w:t>
      </w:r>
      <w:r w:rsidRPr="002B4AD1">
        <w:rPr>
          <w:noProof/>
        </w:rPr>
        <w:t>. New York: Columbia University Press.</w:t>
      </w:r>
    </w:p>
    <w:p w14:paraId="2E3E3F8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Pigou, A. C. (1932). </w:t>
      </w:r>
      <w:r w:rsidRPr="002B4AD1">
        <w:rPr>
          <w:i/>
          <w:iCs/>
          <w:noProof/>
        </w:rPr>
        <w:t>The Economics of Welfare</w:t>
      </w:r>
      <w:r w:rsidRPr="002B4AD1">
        <w:rPr>
          <w:noProof/>
        </w:rPr>
        <w:t>. London: Macmillan and Co.</w:t>
      </w:r>
    </w:p>
    <w:p w14:paraId="251867E7"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Posner, R. A. (1974). Theories of economic regulation. </w:t>
      </w:r>
      <w:r w:rsidRPr="002B4AD1">
        <w:rPr>
          <w:i/>
          <w:iCs/>
          <w:noProof/>
        </w:rPr>
        <w:t>Bell Journal of Economics and Management Science</w:t>
      </w:r>
      <w:r w:rsidRPr="002B4AD1">
        <w:rPr>
          <w:noProof/>
        </w:rPr>
        <w:t xml:space="preserve">, </w:t>
      </w:r>
      <w:r w:rsidRPr="002B4AD1">
        <w:rPr>
          <w:i/>
          <w:iCs/>
          <w:noProof/>
        </w:rPr>
        <w:t>5</w:t>
      </w:r>
      <w:r w:rsidRPr="002B4AD1">
        <w:rPr>
          <w:noProof/>
        </w:rPr>
        <w:t>, 335–358.</w:t>
      </w:r>
    </w:p>
    <w:p w14:paraId="3456C96F" w14:textId="1D10B292"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Robinson, J. R., Xue, Y., &amp; Yu, Y. (2011). Determinants of disclosure noncompliance and the effect of the SEC review: Evidence from the 2006 mandated compensation disclosure regulations. </w:t>
      </w:r>
      <w:r w:rsidRPr="002B4AD1">
        <w:rPr>
          <w:i/>
          <w:iCs/>
          <w:noProof/>
        </w:rPr>
        <w:t>Accounting Review</w:t>
      </w:r>
      <w:r w:rsidRPr="002B4AD1">
        <w:rPr>
          <w:noProof/>
        </w:rPr>
        <w:t xml:space="preserve">, </w:t>
      </w:r>
      <w:r w:rsidRPr="002B4AD1">
        <w:rPr>
          <w:i/>
          <w:iCs/>
          <w:noProof/>
        </w:rPr>
        <w:t>86</w:t>
      </w:r>
      <w:r w:rsidRPr="002B4AD1">
        <w:rPr>
          <w:noProof/>
        </w:rPr>
        <w:t xml:space="preserve">(4), 1415–1444. </w:t>
      </w:r>
    </w:p>
    <w:p w14:paraId="007A69DD"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Singhvi, S. S., &amp; Desai, H. B. (1971). An Empirical Analysis of the Quality of Corporate Financial Disclosure. </w:t>
      </w:r>
      <w:r w:rsidRPr="002B4AD1">
        <w:rPr>
          <w:i/>
          <w:iCs/>
          <w:noProof/>
        </w:rPr>
        <w:t>The Accounting Review</w:t>
      </w:r>
      <w:r w:rsidRPr="002B4AD1">
        <w:rPr>
          <w:noProof/>
        </w:rPr>
        <w:t xml:space="preserve">, </w:t>
      </w:r>
      <w:r w:rsidRPr="002B4AD1">
        <w:rPr>
          <w:i/>
          <w:iCs/>
          <w:noProof/>
        </w:rPr>
        <w:t>46</w:t>
      </w:r>
      <w:r w:rsidRPr="002B4AD1">
        <w:rPr>
          <w:noProof/>
        </w:rPr>
        <w:t>(1), 129–138.</w:t>
      </w:r>
    </w:p>
    <w:p w14:paraId="733C0226"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Skinner, D. (1994). Why Firms Voluntarily Disclose Bad Business. </w:t>
      </w:r>
      <w:r w:rsidRPr="002B4AD1">
        <w:rPr>
          <w:i/>
          <w:iCs/>
          <w:noProof/>
        </w:rPr>
        <w:t>Journal of Accounting Research</w:t>
      </w:r>
      <w:r w:rsidRPr="002B4AD1">
        <w:rPr>
          <w:noProof/>
        </w:rPr>
        <w:t xml:space="preserve">, </w:t>
      </w:r>
      <w:r w:rsidRPr="002B4AD1">
        <w:rPr>
          <w:i/>
          <w:iCs/>
          <w:noProof/>
        </w:rPr>
        <w:t>32</w:t>
      </w:r>
      <w:r w:rsidRPr="002B4AD1">
        <w:rPr>
          <w:noProof/>
        </w:rPr>
        <w:t>(1), 38–60.</w:t>
      </w:r>
    </w:p>
    <w:p w14:paraId="602B54DB"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Stigler, G. J. (1971). The Theory of Economic Regulation. </w:t>
      </w:r>
      <w:r w:rsidRPr="002B4AD1">
        <w:rPr>
          <w:i/>
          <w:iCs/>
          <w:noProof/>
        </w:rPr>
        <w:t>The Bell Journal of Economics and Mangement Science</w:t>
      </w:r>
      <w:r w:rsidRPr="002B4AD1">
        <w:rPr>
          <w:noProof/>
        </w:rPr>
        <w:t xml:space="preserve">, </w:t>
      </w:r>
      <w:r w:rsidRPr="002B4AD1">
        <w:rPr>
          <w:i/>
          <w:iCs/>
          <w:noProof/>
        </w:rPr>
        <w:t>2</w:t>
      </w:r>
      <w:r w:rsidRPr="002B4AD1">
        <w:rPr>
          <w:noProof/>
        </w:rPr>
        <w:t>(1), 3–21.</w:t>
      </w:r>
    </w:p>
    <w:p w14:paraId="79632DE5" w14:textId="249F4C8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Tan, T., &amp; Netessine, S. (2014). When Does the Devil Make Work? An Empirical Study of the Impact of Workload on Worker Productivity. </w:t>
      </w:r>
      <w:r w:rsidRPr="002B4AD1">
        <w:rPr>
          <w:i/>
          <w:iCs/>
          <w:noProof/>
        </w:rPr>
        <w:t>Management Science</w:t>
      </w:r>
      <w:r w:rsidRPr="002B4AD1">
        <w:rPr>
          <w:noProof/>
        </w:rPr>
        <w:t xml:space="preserve">, </w:t>
      </w:r>
      <w:r w:rsidRPr="002B4AD1">
        <w:rPr>
          <w:i/>
          <w:iCs/>
          <w:noProof/>
        </w:rPr>
        <w:t>60</w:t>
      </w:r>
      <w:r w:rsidRPr="002B4AD1">
        <w:rPr>
          <w:noProof/>
        </w:rPr>
        <w:t xml:space="preserve">(6), 1574–1593. </w:t>
      </w:r>
    </w:p>
    <w:p w14:paraId="6CE4B050"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Teoh, S.H., Wong, T. J., &amp; Rao, G. R. (1998). Are accruals during initial public offerings opportunistic? </w:t>
      </w:r>
      <w:r w:rsidRPr="002B4AD1">
        <w:rPr>
          <w:i/>
          <w:iCs/>
          <w:noProof/>
        </w:rPr>
        <w:t>Review of Accounting Studies</w:t>
      </w:r>
      <w:r w:rsidRPr="002B4AD1">
        <w:rPr>
          <w:noProof/>
        </w:rPr>
        <w:t xml:space="preserve">, </w:t>
      </w:r>
      <w:r w:rsidRPr="002B4AD1">
        <w:rPr>
          <w:i/>
          <w:iCs/>
          <w:noProof/>
        </w:rPr>
        <w:t>3</w:t>
      </w:r>
      <w:r w:rsidRPr="002B4AD1">
        <w:rPr>
          <w:noProof/>
        </w:rPr>
        <w:t>(1/2), 175–208.</w:t>
      </w:r>
    </w:p>
    <w:p w14:paraId="1C4CCC4D"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Teoh, Siew Hong, Welch, I., &amp; Wong, T. J. (1998). Earnings Management and the Long-Run </w:t>
      </w:r>
      <w:r w:rsidRPr="002B4AD1">
        <w:rPr>
          <w:noProof/>
        </w:rPr>
        <w:lastRenderedPageBreak/>
        <w:t xml:space="preserve">Market Performance of Initial Public Offerings. </w:t>
      </w:r>
      <w:r w:rsidRPr="002B4AD1">
        <w:rPr>
          <w:i/>
          <w:iCs/>
          <w:noProof/>
        </w:rPr>
        <w:t>The Journal of Finance</w:t>
      </w:r>
      <w:r w:rsidRPr="002B4AD1">
        <w:rPr>
          <w:noProof/>
        </w:rPr>
        <w:t xml:space="preserve">, </w:t>
      </w:r>
      <w:r w:rsidRPr="002B4AD1">
        <w:rPr>
          <w:i/>
          <w:iCs/>
          <w:noProof/>
        </w:rPr>
        <w:t>53</w:t>
      </w:r>
      <w:r w:rsidRPr="002B4AD1">
        <w:rPr>
          <w:noProof/>
        </w:rPr>
        <w:t>(6), 1935–1974.</w:t>
      </w:r>
    </w:p>
    <w:p w14:paraId="4946545A"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Wang, Q. (2016). J . Account . Public Policy Determinants of segment disclosure deficiencies and the effect of the SEC comment letter process q. </w:t>
      </w:r>
      <w:r w:rsidRPr="002B4AD1">
        <w:rPr>
          <w:i/>
          <w:iCs/>
          <w:noProof/>
        </w:rPr>
        <w:t>Journal of Accounting and Public Policy</w:t>
      </w:r>
      <w:r w:rsidRPr="002B4AD1">
        <w:rPr>
          <w:noProof/>
        </w:rPr>
        <w:t xml:space="preserve">, </w:t>
      </w:r>
      <w:r w:rsidRPr="002B4AD1">
        <w:rPr>
          <w:i/>
          <w:iCs/>
          <w:noProof/>
        </w:rPr>
        <w:t>35</w:t>
      </w:r>
      <w:r w:rsidRPr="002B4AD1">
        <w:rPr>
          <w:noProof/>
        </w:rPr>
        <w:t>(2), 109–133. https://doi.org/10.1016/j.jaccpubpol.2015.11.005</w:t>
      </w:r>
    </w:p>
    <w:p w14:paraId="2A1EEB3F" w14:textId="0E47A772"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Watts, R. L., &amp; Zimmerman, J. L. (1978). Towards a Positive Theory of the Determination of Accounting Standards. </w:t>
      </w:r>
      <w:r w:rsidRPr="002B4AD1">
        <w:rPr>
          <w:i/>
          <w:iCs/>
          <w:noProof/>
        </w:rPr>
        <w:t>The Accounting Review</w:t>
      </w:r>
      <w:r w:rsidRPr="002B4AD1">
        <w:rPr>
          <w:noProof/>
        </w:rPr>
        <w:t xml:space="preserve">, </w:t>
      </w:r>
      <w:r w:rsidRPr="002B4AD1">
        <w:rPr>
          <w:i/>
          <w:iCs/>
          <w:noProof/>
        </w:rPr>
        <w:t>53</w:t>
      </w:r>
      <w:r w:rsidRPr="002B4AD1">
        <w:rPr>
          <w:noProof/>
        </w:rPr>
        <w:t xml:space="preserve">(I), 112–134. </w:t>
      </w:r>
    </w:p>
    <w:p w14:paraId="7F338E99"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Watts, R., &amp; Zimmerman, J. (1986). </w:t>
      </w:r>
      <w:r w:rsidRPr="002B4AD1">
        <w:rPr>
          <w:i/>
          <w:iCs/>
          <w:noProof/>
        </w:rPr>
        <w:t>Positive Accounting Theory</w:t>
      </w:r>
      <w:r w:rsidRPr="002B4AD1">
        <w:rPr>
          <w:noProof/>
        </w:rPr>
        <w:t>. Englewood Cliffs, NJ: Prentice-Hall.</w:t>
      </w:r>
    </w:p>
    <w:p w14:paraId="77F2850E"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WilmerHale. (2011). 2011 IPO Report. </w:t>
      </w:r>
      <w:r w:rsidRPr="002B4AD1">
        <w:rPr>
          <w:i/>
          <w:iCs/>
          <w:noProof/>
        </w:rPr>
        <w:t>Wilmer Cutler Pickering Hale And Dorr LLP</w:t>
      </w:r>
      <w:r w:rsidRPr="002B4AD1">
        <w:rPr>
          <w:noProof/>
        </w:rPr>
        <w:t>. Retrieved from www.wilmerhale.com/2011IPOreport</w:t>
      </w:r>
    </w:p>
    <w:p w14:paraId="2DE7657F"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WilmerHale. (2015). 2015 IPO Report. </w:t>
      </w:r>
      <w:r w:rsidRPr="002B4AD1">
        <w:rPr>
          <w:i/>
          <w:iCs/>
          <w:noProof/>
        </w:rPr>
        <w:t>WilmerHale IPO Report</w:t>
      </w:r>
      <w:r w:rsidRPr="002B4AD1">
        <w:rPr>
          <w:noProof/>
        </w:rPr>
        <w:t>, 26.</w:t>
      </w:r>
    </w:p>
    <w:p w14:paraId="212D72E9" w14:textId="77777777" w:rsidR="000406B8" w:rsidRPr="002B4AD1" w:rsidRDefault="000406B8" w:rsidP="000406B8">
      <w:pPr>
        <w:widowControl w:val="0"/>
        <w:autoSpaceDE w:val="0"/>
        <w:autoSpaceDN w:val="0"/>
        <w:adjustRightInd w:val="0"/>
        <w:spacing w:line="360" w:lineRule="auto"/>
        <w:ind w:left="480" w:hanging="480"/>
        <w:rPr>
          <w:noProof/>
        </w:rPr>
      </w:pPr>
      <w:r w:rsidRPr="002B4AD1">
        <w:rPr>
          <w:noProof/>
        </w:rPr>
        <w:t xml:space="preserve">Zhang, X. F. (2006). Information Uncertainty and Stock Returns. </w:t>
      </w:r>
      <w:r w:rsidRPr="002B4AD1">
        <w:rPr>
          <w:i/>
          <w:iCs/>
          <w:noProof/>
        </w:rPr>
        <w:t>The Journal of Finance</w:t>
      </w:r>
      <w:r w:rsidRPr="002B4AD1">
        <w:rPr>
          <w:noProof/>
        </w:rPr>
        <w:t xml:space="preserve">, </w:t>
      </w:r>
      <w:r w:rsidRPr="002B4AD1">
        <w:rPr>
          <w:i/>
          <w:iCs/>
          <w:noProof/>
        </w:rPr>
        <w:t>61</w:t>
      </w:r>
      <w:r w:rsidRPr="002B4AD1">
        <w:rPr>
          <w:noProof/>
        </w:rPr>
        <w:t>(1), 105–137.</w:t>
      </w:r>
    </w:p>
    <w:p w14:paraId="64B7F4E8" w14:textId="679E09D7" w:rsidR="00497E49" w:rsidRPr="00943DFA" w:rsidRDefault="000406B8" w:rsidP="000406B8">
      <w:pPr>
        <w:rPr>
          <w:color w:val="0D0D0D" w:themeColor="text1" w:themeTint="F2"/>
        </w:rPr>
      </w:pPr>
      <w:r w:rsidRPr="000912EF">
        <w:rPr>
          <w:lang w:eastAsia="en-US"/>
        </w:rPr>
        <w:fldChar w:fldCharType="end"/>
      </w:r>
    </w:p>
    <w:sectPr w:rsidR="00497E49" w:rsidRPr="00943D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61189" w14:textId="77777777" w:rsidR="00891016" w:rsidRDefault="00891016" w:rsidP="00195130">
      <w:r>
        <w:separator/>
      </w:r>
    </w:p>
  </w:endnote>
  <w:endnote w:type="continuationSeparator" w:id="0">
    <w:p w14:paraId="274FA609" w14:textId="77777777" w:rsidR="00891016" w:rsidRDefault="00891016" w:rsidP="0019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891165"/>
      <w:docPartObj>
        <w:docPartGallery w:val="Page Numbers (Bottom of Page)"/>
        <w:docPartUnique/>
      </w:docPartObj>
    </w:sdtPr>
    <w:sdtEndPr>
      <w:rPr>
        <w:noProof/>
      </w:rPr>
    </w:sdtEndPr>
    <w:sdtContent>
      <w:p w14:paraId="6E0780EF" w14:textId="77777777" w:rsidR="00195130" w:rsidRDefault="00195130">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14:paraId="30EA47A9" w14:textId="77777777" w:rsidR="00195130" w:rsidRDefault="00195130" w:rsidP="00373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349040"/>
      <w:docPartObj>
        <w:docPartGallery w:val="Page Numbers (Bottom of Page)"/>
        <w:docPartUnique/>
      </w:docPartObj>
    </w:sdtPr>
    <w:sdtEndPr>
      <w:rPr>
        <w:noProof/>
      </w:rPr>
    </w:sdtEndPr>
    <w:sdtContent>
      <w:p w14:paraId="21989E51" w14:textId="77777777" w:rsidR="00195130" w:rsidRDefault="00195130">
        <w:pPr>
          <w:pStyle w:val="Footer"/>
          <w:jc w:val="center"/>
        </w:pPr>
        <w:r>
          <w:t>p.</w:t>
        </w:r>
        <w:r>
          <w:fldChar w:fldCharType="begin"/>
        </w:r>
        <w:r>
          <w:instrText xml:space="preserve"> PAGE   \* MERGEFORMAT </w:instrText>
        </w:r>
        <w:r>
          <w:fldChar w:fldCharType="separate"/>
        </w:r>
        <w:r>
          <w:rPr>
            <w:noProof/>
          </w:rPr>
          <w:t>121</w:t>
        </w:r>
        <w:r>
          <w:rPr>
            <w:noProof/>
          </w:rPr>
          <w:fldChar w:fldCharType="end"/>
        </w:r>
      </w:p>
    </w:sdtContent>
  </w:sdt>
  <w:p w14:paraId="76FE442B" w14:textId="77777777" w:rsidR="00195130" w:rsidRDefault="00195130" w:rsidP="00373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A1CA8" w14:textId="77777777" w:rsidR="00891016" w:rsidRDefault="00891016" w:rsidP="00195130">
      <w:r>
        <w:separator/>
      </w:r>
    </w:p>
  </w:footnote>
  <w:footnote w:type="continuationSeparator" w:id="0">
    <w:p w14:paraId="37559129" w14:textId="77777777" w:rsidR="00891016" w:rsidRDefault="00891016" w:rsidP="00195130">
      <w:r>
        <w:continuationSeparator/>
      </w:r>
    </w:p>
  </w:footnote>
  <w:footnote w:id="1">
    <w:p w14:paraId="0F0B27A7" w14:textId="77777777" w:rsidR="00195130" w:rsidRDefault="00195130" w:rsidP="00195130">
      <w:pPr>
        <w:pStyle w:val="FootnoteText"/>
      </w:pPr>
      <w:r>
        <w:rPr>
          <w:rStyle w:val="FootnoteReference"/>
        </w:rPr>
        <w:footnoteRef/>
      </w:r>
      <w:r>
        <w:t xml:space="preserve"> PRE stands for permanently reinvested earnings. </w:t>
      </w:r>
      <w:r w:rsidRPr="006A4B85">
        <w:t xml:space="preserve">The SEC oversight has concentrated on filers with PRE as PRE-related reports are one of the limited sources containing information about foreign businesses. Because PRE-related reports </w:t>
      </w:r>
      <w:r>
        <w:t>provide limited information</w:t>
      </w:r>
      <w:r w:rsidRPr="006A4B85">
        <w:t>, the SEC can make use of their review, particularly the PRE-related SEC letters, to inquire more details about foreign businesses.</w:t>
      </w:r>
    </w:p>
  </w:footnote>
  <w:footnote w:id="2">
    <w:p w14:paraId="39FCFCF9" w14:textId="77777777" w:rsidR="00195130" w:rsidRDefault="00195130" w:rsidP="00195130">
      <w:pPr>
        <w:pStyle w:val="FootnoteText"/>
        <w:jc w:val="both"/>
      </w:pPr>
      <w:r>
        <w:rPr>
          <w:rStyle w:val="FootnoteReference"/>
        </w:rPr>
        <w:footnoteRef/>
      </w:r>
      <w:r>
        <w:t xml:space="preserve"> The finding of </w:t>
      </w:r>
      <w:r>
        <w:rPr>
          <w:rFonts w:eastAsia="Times New Roman"/>
          <w:color w:val="000000"/>
        </w:rPr>
        <w:fldChar w:fldCharType="begin" w:fldLock="1"/>
      </w:r>
      <w:r>
        <w:rPr>
          <w:rFonts w:eastAsia="Times New Roman"/>
          <w:color w:val="000000"/>
        </w:rPr>
        <w:instrText>ADDIN CSL_CITATION {"citationItems":[{"id":"ITEM-1","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DP12145","id":"ITEM-1","issued":{"date-parts":[["2017"]]},"note":"We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?","type":"article-journal"},"uris":["http://www.mendeley.com/documents/?uuid=1244073f-8151-4447-8b41-8cd7e5d57e28"]}],"mendeley":{"formattedCitation":"(Duro et al., 2017)","manualFormatting":"Duro et al. (2017)","plainTextFormattedCitation":"(Duro et al., 2017)","previouslyFormattedCitation":"(Duro et al., 2017)"},"properties":{"noteIndex":0},"schema":"https://github.com/citation-style-language/schema/raw/master/csl-citation.json"}</w:instrText>
      </w:r>
      <w:r>
        <w:rPr>
          <w:rFonts w:eastAsia="Times New Roman"/>
          <w:color w:val="000000"/>
        </w:rPr>
        <w:fldChar w:fldCharType="separate"/>
      </w:r>
      <w:r>
        <w:rPr>
          <w:rFonts w:eastAsia="Times New Roman"/>
          <w:noProof/>
          <w:color w:val="000000"/>
        </w:rPr>
        <w:t>Duro et al. (2017)</w:t>
      </w:r>
      <w:r>
        <w:rPr>
          <w:rFonts w:eastAsia="Times New Roman"/>
          <w:color w:val="000000"/>
        </w:rPr>
        <w:fldChar w:fldCharType="end"/>
      </w:r>
      <w:r>
        <w:rPr>
          <w:rFonts w:eastAsia="Times New Roman"/>
          <w:color w:val="000000"/>
        </w:rPr>
        <w:t xml:space="preserve"> is demonstrated in the period after May 12th, 2005 when SEC began publishing their comment letters.</w:t>
      </w:r>
    </w:p>
  </w:footnote>
  <w:footnote w:id="3">
    <w:p w14:paraId="3981A4FD" w14:textId="77777777" w:rsidR="00195130" w:rsidRPr="00D87097" w:rsidRDefault="00195130" w:rsidP="00195130">
      <w:pPr>
        <w:pStyle w:val="FootnoteText"/>
        <w:jc w:val="both"/>
        <w:rPr>
          <w:lang w:val="en-US"/>
        </w:rPr>
      </w:pPr>
      <w:r>
        <w:rPr>
          <w:rStyle w:val="FootnoteReference"/>
        </w:rPr>
        <w:footnoteRef/>
      </w:r>
      <w:r>
        <w:t xml:space="preserve"> </w:t>
      </w:r>
      <w:r w:rsidRPr="00D87097">
        <w:rPr>
          <w:lang w:val="en-US"/>
        </w:rPr>
        <w:t xml:space="preserve">Following previous studies (Cassell et al., 2013; </w:t>
      </w:r>
      <w:proofErr w:type="spellStart"/>
      <w:r w:rsidRPr="00D87097">
        <w:rPr>
          <w:lang w:val="en-US"/>
        </w:rPr>
        <w:t>Ertimur</w:t>
      </w:r>
      <w:proofErr w:type="spellEnd"/>
      <w:r w:rsidRPr="00D87097">
        <w:rPr>
          <w:lang w:val="en-US"/>
        </w:rPr>
        <w:t xml:space="preserve"> and </w:t>
      </w:r>
      <w:proofErr w:type="spellStart"/>
      <w:r w:rsidRPr="00D87097">
        <w:rPr>
          <w:lang w:val="en-US"/>
        </w:rPr>
        <w:t>Nondorf</w:t>
      </w:r>
      <w:proofErr w:type="spellEnd"/>
      <w:r w:rsidRPr="00D87097">
        <w:rPr>
          <w:lang w:val="en-US"/>
        </w:rPr>
        <w:t>, 2006; Robinson et al., 2011), in a preliminary test, besides the duality of CEO and chairman, this study also includes other indicators of corporate governance such as the number of directors on the boards, the proportion of board seats held by managers, the proportion of shares held by CEO. However, these indicators did not appear to have a significant impact on SEC reviews. Moreover, the inclusion of these additional indicators of corporate governance reduces the test power due to the problems of data availability in the IPO context, hence this study decides to omit them from the main analyses. Therefore, it should be noted that the findings in this study are limited to one aspect of corporate governance, which is CEO duality.</w:t>
      </w:r>
    </w:p>
  </w:footnote>
  <w:footnote w:id="4">
    <w:p w14:paraId="3DA35128" w14:textId="77777777" w:rsidR="00195130" w:rsidRDefault="00195130" w:rsidP="00195130">
      <w:pPr>
        <w:pStyle w:val="FootnoteText"/>
        <w:jc w:val="both"/>
      </w:pPr>
      <w:r>
        <w:rPr>
          <w:rStyle w:val="FootnoteReference"/>
        </w:rPr>
        <w:footnoteRef/>
      </w:r>
      <w:r>
        <w:t xml:space="preserve"> The SEC started publishing the IPO firms’ filings and the SEC comment letters from 12</w:t>
      </w:r>
      <w:r w:rsidRPr="00F4445A">
        <w:rPr>
          <w:vertAlign w:val="superscript"/>
        </w:rPr>
        <w:t>th</w:t>
      </w:r>
      <w:r>
        <w:t xml:space="preserve"> May, 2005.</w:t>
      </w:r>
    </w:p>
  </w:footnote>
  <w:footnote w:id="5">
    <w:p w14:paraId="3D6D3DCE" w14:textId="77777777" w:rsidR="00195130" w:rsidRDefault="00195130" w:rsidP="00195130">
      <w:pPr>
        <w:pStyle w:val="FootnoteText"/>
        <w:jc w:val="both"/>
      </w:pPr>
      <w:r>
        <w:rPr>
          <w:rStyle w:val="FootnoteReference"/>
        </w:rPr>
        <w:footnoteRef/>
      </w:r>
      <w:r>
        <w:t xml:space="preserve"> Electronic Data Gathering, Analysis, and Retrieval (EDGAR) database is developed by the U.S SEC which contains public firms’ filings required by the SEC, the SEC comment letters and the firms’ correspondence.</w:t>
      </w:r>
    </w:p>
  </w:footnote>
  <w:footnote w:id="6">
    <w:p w14:paraId="3BB329FA" w14:textId="77777777" w:rsidR="00195130" w:rsidRDefault="00195130" w:rsidP="00195130">
      <w:pPr>
        <w:pStyle w:val="FootnoteText"/>
        <w:jc w:val="both"/>
      </w:pPr>
      <w:r>
        <w:rPr>
          <w:rStyle w:val="FootnoteReference"/>
        </w:rPr>
        <w:footnoteRef/>
      </w:r>
      <w:r>
        <w:t xml:space="preserve"> This study </w:t>
      </w:r>
      <w:r w:rsidRPr="00053926">
        <w:t>restrict</w:t>
      </w:r>
      <w:r>
        <w:t>s</w:t>
      </w:r>
      <w:r w:rsidRPr="00053926">
        <w:t xml:space="preserve"> </w:t>
      </w:r>
      <w:r>
        <w:t xml:space="preserve">the </w:t>
      </w:r>
      <w:r w:rsidRPr="00053926">
        <w:t xml:space="preserve">focus to initial comment letters, i.e. the first comment letter issued by the SEC for each IPO. </w:t>
      </w:r>
      <w:r>
        <w:t xml:space="preserve">This study </w:t>
      </w:r>
      <w:r w:rsidRPr="00053926">
        <w:t>do</w:t>
      </w:r>
      <w:r>
        <w:t>es</w:t>
      </w:r>
      <w:r w:rsidRPr="00053926">
        <w:t xml:space="preserve"> so to avoid duplication, as subsequent comment letters tend to involve ongoing discussion of issues identified in the in</w:t>
      </w:r>
      <w:r>
        <w:t>i</w:t>
      </w:r>
      <w:r w:rsidRPr="00053926">
        <w:t>tial letter and/or merely acknowledge the company’s response.</w:t>
      </w:r>
    </w:p>
  </w:footnote>
  <w:footnote w:id="7">
    <w:p w14:paraId="57D78762" w14:textId="79B51658" w:rsidR="001B2E68" w:rsidRPr="00943DFA" w:rsidRDefault="001B2E68" w:rsidP="00233385">
      <w:pPr>
        <w:pStyle w:val="FootnoteText"/>
        <w:jc w:val="both"/>
        <w:rPr>
          <w:color w:val="0D0D0D" w:themeColor="text1" w:themeTint="F2"/>
        </w:rPr>
      </w:pPr>
      <w:r>
        <w:rPr>
          <w:rStyle w:val="FootnoteReference"/>
        </w:rPr>
        <w:footnoteRef/>
      </w:r>
      <w:r>
        <w:t xml:space="preserve"> </w:t>
      </w:r>
      <w:r w:rsidRPr="00943DFA">
        <w:rPr>
          <w:color w:val="0D0D0D" w:themeColor="text1" w:themeTint="F2"/>
        </w:rPr>
        <w:t xml:space="preserve">Another </w:t>
      </w:r>
      <w:r w:rsidR="00233385" w:rsidRPr="00943DFA">
        <w:rPr>
          <w:color w:val="0D0D0D" w:themeColor="text1" w:themeTint="F2"/>
        </w:rPr>
        <w:t xml:space="preserve">Bayes theorem classifier is </w:t>
      </w:r>
      <w:r w:rsidRPr="00943DFA">
        <w:rPr>
          <w:color w:val="0D0D0D" w:themeColor="text1" w:themeTint="F2"/>
        </w:rPr>
        <w:t xml:space="preserve">Latent Dirichlet Allocation (LDA) used by Lowry et al. (2020) </w:t>
      </w:r>
      <w:r w:rsidR="00233385" w:rsidRPr="00943DFA">
        <w:rPr>
          <w:color w:val="0D0D0D" w:themeColor="text1" w:themeTint="F2"/>
        </w:rPr>
        <w:t xml:space="preserve">to </w:t>
      </w:r>
      <w:r w:rsidRPr="00943DFA">
        <w:rPr>
          <w:color w:val="0D0D0D" w:themeColor="text1" w:themeTint="F2"/>
        </w:rPr>
        <w:t xml:space="preserve">classify the issue types of IPO registration statements addressed in SEC comment letters. </w:t>
      </w:r>
      <w:r w:rsidR="00233385" w:rsidRPr="00943DFA">
        <w:rPr>
          <w:color w:val="0D0D0D" w:themeColor="text1" w:themeTint="F2"/>
        </w:rPr>
        <w:t>The main difference between Naïve Bayes and LDA is that</w:t>
      </w:r>
      <w:r w:rsidRPr="00943DFA">
        <w:rPr>
          <w:color w:val="0D0D0D" w:themeColor="text1" w:themeTint="F2"/>
        </w:rPr>
        <w:t xml:space="preserve"> LDA is based purely on computer-aided techniques to conduct the coding whereas the coding assisted by the Naïve Bayes algorithm is developed from the combination of human</w:t>
      </w:r>
      <w:r w:rsidR="00233385" w:rsidRPr="00943DFA">
        <w:rPr>
          <w:color w:val="0D0D0D" w:themeColor="text1" w:themeTint="F2"/>
        </w:rPr>
        <w:t xml:space="preserve"> (i.e.</w:t>
      </w:r>
      <w:r w:rsidR="00EC3993" w:rsidRPr="00943DFA">
        <w:rPr>
          <w:color w:val="0D0D0D" w:themeColor="text1" w:themeTint="F2"/>
        </w:rPr>
        <w:t>,</w:t>
      </w:r>
      <w:r w:rsidR="00233385" w:rsidRPr="00943DFA">
        <w:rPr>
          <w:color w:val="0D0D0D" w:themeColor="text1" w:themeTint="F2"/>
        </w:rPr>
        <w:t xml:space="preserve"> development of coding scheme and training sample)</w:t>
      </w:r>
      <w:r w:rsidRPr="00943DFA">
        <w:rPr>
          <w:color w:val="0D0D0D" w:themeColor="text1" w:themeTint="F2"/>
        </w:rPr>
        <w:t xml:space="preserve"> and computer-aided coding.</w:t>
      </w:r>
    </w:p>
  </w:footnote>
  <w:footnote w:id="8">
    <w:p w14:paraId="635E31FC" w14:textId="77777777" w:rsidR="00195130" w:rsidRPr="00943DFA" w:rsidRDefault="00195130" w:rsidP="00195130">
      <w:pPr>
        <w:pStyle w:val="FootnoteText"/>
        <w:jc w:val="both"/>
        <w:rPr>
          <w:color w:val="0D0D0D" w:themeColor="text1" w:themeTint="F2"/>
          <w:lang w:val="en-US"/>
        </w:rPr>
      </w:pPr>
      <w:r w:rsidRPr="00943DFA">
        <w:rPr>
          <w:rStyle w:val="FootnoteReference"/>
          <w:color w:val="0D0D0D" w:themeColor="text1" w:themeTint="F2"/>
        </w:rPr>
        <w:footnoteRef/>
      </w:r>
      <w:r w:rsidRPr="00943DFA">
        <w:rPr>
          <w:color w:val="0D0D0D" w:themeColor="text1" w:themeTint="F2"/>
        </w:rPr>
        <w:t xml:space="preserve"> Even if it is not realistic, independence is assumed. In the context of a SEC comment letter, for instance, the term "accounting policies" is more likely to be seen in combination with the term "critical". Nevertheless, empirical evidence from other disciplines suggests that although this assumption is unrealistic, it may have minimal influence on the outcomes (</w:t>
      </w:r>
      <w:proofErr w:type="spellStart"/>
      <w:r w:rsidRPr="00943DFA">
        <w:rPr>
          <w:color w:val="0D0D0D" w:themeColor="text1" w:themeTint="F2"/>
        </w:rPr>
        <w:t>Domingos</w:t>
      </w:r>
      <w:proofErr w:type="spellEnd"/>
      <w:r w:rsidRPr="00943DFA">
        <w:rPr>
          <w:color w:val="0D0D0D" w:themeColor="text1" w:themeTint="F2"/>
        </w:rPr>
        <w:t xml:space="preserve"> &amp; </w:t>
      </w:r>
      <w:proofErr w:type="spellStart"/>
      <w:r w:rsidRPr="00943DFA">
        <w:rPr>
          <w:color w:val="0D0D0D" w:themeColor="text1" w:themeTint="F2"/>
        </w:rPr>
        <w:t>Pazzani</w:t>
      </w:r>
      <w:proofErr w:type="spellEnd"/>
      <w:r w:rsidRPr="00943DFA">
        <w:rPr>
          <w:color w:val="0D0D0D" w:themeColor="text1" w:themeTint="F2"/>
        </w:rPr>
        <w:t xml:space="preserve">, 1997; Li, 2010). </w:t>
      </w:r>
      <w:proofErr w:type="spellStart"/>
      <w:r w:rsidRPr="00943DFA">
        <w:rPr>
          <w:color w:val="0D0D0D" w:themeColor="text1" w:themeTint="F2"/>
        </w:rPr>
        <w:t>Domingos</w:t>
      </w:r>
      <w:proofErr w:type="spellEnd"/>
      <w:r w:rsidRPr="00943DFA">
        <w:rPr>
          <w:color w:val="0D0D0D" w:themeColor="text1" w:themeTint="F2"/>
        </w:rPr>
        <w:t xml:space="preserve"> &amp; </w:t>
      </w:r>
      <w:proofErr w:type="spellStart"/>
      <w:r w:rsidRPr="00943DFA">
        <w:rPr>
          <w:color w:val="0D0D0D" w:themeColor="text1" w:themeTint="F2"/>
        </w:rPr>
        <w:t>Pazzani</w:t>
      </w:r>
      <w:proofErr w:type="spellEnd"/>
      <w:r w:rsidRPr="00943DFA">
        <w:rPr>
          <w:color w:val="0D0D0D" w:themeColor="text1" w:themeTint="F2"/>
        </w:rPr>
        <w:t xml:space="preserve"> (1997) identify that attribute independence does not always affect the Bayesian classifier's performance. The mutual independence of word/phrase is an important assumption of all computer-aid textual analysis techniques (e.g., Naïve Bayes algorithm) that most studies using this technique in the field of Accounting and Finance follow (Li, 2010). The reason is that it is exceedingly difficult to create an algorithm that properly incorporates the context in which a word/phrase is used (i.e., natural language).</w:t>
      </w:r>
    </w:p>
  </w:footnote>
  <w:footnote w:id="9">
    <w:p w14:paraId="7110B431" w14:textId="61B9EB79" w:rsidR="009B647D" w:rsidRPr="00943DFA" w:rsidRDefault="009B647D" w:rsidP="009B647D">
      <w:pPr>
        <w:pStyle w:val="FootnoteText"/>
        <w:jc w:val="both"/>
        <w:rPr>
          <w:color w:val="0D0D0D" w:themeColor="text1" w:themeTint="F2"/>
        </w:rPr>
      </w:pPr>
      <w:r w:rsidRPr="00943DFA">
        <w:rPr>
          <w:rStyle w:val="FootnoteReference"/>
          <w:color w:val="0D0D0D" w:themeColor="text1" w:themeTint="F2"/>
        </w:rPr>
        <w:footnoteRef/>
      </w:r>
      <w:r w:rsidRPr="00943DFA">
        <w:rPr>
          <w:color w:val="0D0D0D" w:themeColor="text1" w:themeTint="F2"/>
        </w:rPr>
        <w:t xml:space="preserve"> According to Li (2010), the N-fold cross-validation test is unbiased toward the training data and can discover both underfitting and overfitting.</w:t>
      </w:r>
    </w:p>
  </w:footnote>
  <w:footnote w:id="10">
    <w:p w14:paraId="2FB08C68" w14:textId="77777777" w:rsidR="00195130" w:rsidRPr="00943DFA" w:rsidRDefault="00195130" w:rsidP="00195130">
      <w:pPr>
        <w:pStyle w:val="FootnoteText"/>
        <w:rPr>
          <w:color w:val="0D0D0D" w:themeColor="text1" w:themeTint="F2"/>
        </w:rPr>
      </w:pPr>
      <w:r w:rsidRPr="00943DFA">
        <w:rPr>
          <w:rStyle w:val="FootnoteReference"/>
          <w:color w:val="0D0D0D" w:themeColor="text1" w:themeTint="F2"/>
        </w:rPr>
        <w:footnoteRef/>
      </w:r>
      <w:r w:rsidRPr="00943DFA">
        <w:rPr>
          <w:color w:val="0D0D0D" w:themeColor="text1" w:themeTint="F2"/>
        </w:rPr>
        <w:t xml:space="preserve"> The evaluation is conducted by using the “Cross-validation” test option in Weka which provides summary about the training classifier’s accuracy using Naïve Bayesian algorithm.</w:t>
      </w:r>
    </w:p>
  </w:footnote>
  <w:footnote w:id="11">
    <w:p w14:paraId="21B3A4DF" w14:textId="77777777" w:rsidR="00940BE6" w:rsidRDefault="00940BE6" w:rsidP="00940BE6">
      <w:pPr>
        <w:pStyle w:val="FootnoteText"/>
        <w:jc w:val="both"/>
      </w:pPr>
      <w:r w:rsidRPr="00943DFA">
        <w:rPr>
          <w:rStyle w:val="FootnoteReference"/>
          <w:color w:val="0D0D0D" w:themeColor="text1" w:themeTint="F2"/>
        </w:rPr>
        <w:footnoteRef/>
      </w:r>
      <w:r w:rsidRPr="00943DFA">
        <w:rPr>
          <w:color w:val="0D0D0D" w:themeColor="text1" w:themeTint="F2"/>
        </w:rPr>
        <w:t xml:space="preserve"> Adjustments to the original manual coding of the training dataset</w:t>
      </w:r>
      <w:r w:rsidRPr="007F6E65">
        <w:t xml:space="preserve"> are also implemented until the acceptable values of the training classifier’s accuracy are achieved. Specifically, to conduct the adjustment, this study firstly adjusts self-constructed coding scheme by narrowing the number of issue types as previously developed in the scheme, particularly, grouping issue types, which have precision value equal to 0, with the most relevant issues types, which have precision value greater than 0, to create new and more general types of issue.  Secondly, this study replaces the old codes for issue types in the training dataset with the equivalent codes for issue types according to the new coding scheme.</w:t>
      </w:r>
    </w:p>
  </w:footnote>
  <w:footnote w:id="12">
    <w:p w14:paraId="5E8A1F9D" w14:textId="77777777" w:rsidR="00195130" w:rsidRPr="00BE185C" w:rsidRDefault="00195130" w:rsidP="00195130">
      <w:pPr>
        <w:pStyle w:val="FootnoteText"/>
        <w:rPr>
          <w:lang w:val="en-US"/>
        </w:rPr>
      </w:pPr>
      <w:r>
        <w:rPr>
          <w:rStyle w:val="FootnoteReference"/>
        </w:rPr>
        <w:footnoteRef/>
      </w:r>
      <w:r>
        <w:t xml:space="preserve"> </w:t>
      </w:r>
      <w:r w:rsidRPr="00BE185C">
        <w:t xml:space="preserve">Chi-square test of joint null hypothesis reveals that the coefficients for all S-1 filings years and all </w:t>
      </w:r>
      <w:r>
        <w:t>two-digit SIC</w:t>
      </w:r>
      <w:r w:rsidRPr="00BE185C">
        <w:t xml:space="preserve"> industries are not jointly equal to zero, therefore, this study controls for the year fixed effects and the industry fixed effects in the empirical models. The tests is conducted by applying Stata procedure </w:t>
      </w:r>
      <w:proofErr w:type="spellStart"/>
      <w:r w:rsidRPr="00BE185C">
        <w:t>testparm</w:t>
      </w:r>
      <w:proofErr w:type="spellEnd"/>
      <w:r w:rsidRPr="00BE185C">
        <w:t>.</w:t>
      </w:r>
    </w:p>
  </w:footnote>
  <w:footnote w:id="13">
    <w:p w14:paraId="73EBBCE6" w14:textId="77777777" w:rsidR="00195130" w:rsidRPr="00F12978" w:rsidRDefault="00195130" w:rsidP="00195130">
      <w:pPr>
        <w:pStyle w:val="FootnoteText"/>
        <w:rPr>
          <w:lang w:val="en-US"/>
        </w:rPr>
      </w:pPr>
      <w:r>
        <w:rPr>
          <w:rStyle w:val="FootnoteReference"/>
        </w:rPr>
        <w:footnoteRef/>
      </w:r>
      <w:r>
        <w:t xml:space="preserve"> </w:t>
      </w:r>
      <w:r w:rsidRPr="00F12978">
        <w:t xml:space="preserve">Within-cluster correlation test is undertaken by applying Stata procedure </w:t>
      </w:r>
      <w:proofErr w:type="spellStart"/>
      <w:r w:rsidRPr="00F12978">
        <w:t>loneway</w:t>
      </w:r>
      <w:proofErr w:type="spellEnd"/>
      <w:r w:rsidRPr="00F12978">
        <w:t>.</w:t>
      </w:r>
    </w:p>
  </w:footnote>
  <w:footnote w:id="14">
    <w:p w14:paraId="35BAAEDA" w14:textId="77777777" w:rsidR="00195130" w:rsidRDefault="00195130" w:rsidP="00195130">
      <w:pPr>
        <w:pStyle w:val="FootnoteText"/>
        <w:jc w:val="both"/>
      </w:pPr>
      <w:r>
        <w:rPr>
          <w:rStyle w:val="FootnoteReference"/>
        </w:rPr>
        <w:footnoteRef/>
      </w:r>
      <w:r>
        <w:t xml:space="preserve"> Although the within-correlation test also show that within each filing year of S-1, there are significant correlations across the observation, this study does not cluster at the year level since there in no appreciable difference in clustered standard errors as compared with default standard errors. </w:t>
      </w:r>
      <w:r>
        <w:fldChar w:fldCharType="begin" w:fldLock="1"/>
      </w:r>
      <w:r>
        <w:instrText>ADDIN CSL_CITATION {"citationItems":[{"id":"ITEM-1","itemData":{"abstract":"In corporate finance and asset pricing empirical work, researchers are often confronted with panel data. In these data sets, the residuals may be correlated across firms or across time, and OLS standard errors can be biased. Historically, researchers in the two literatures have used different solutions to this problem. This paper examines the different methods used in the literature and explains when the different methods yield the same (and correct) standard errors and when they diverge. The intent is to provide intuition as to why the different approaches sometimes give different answers and give researchers guidance for their use. © The Author 2008.","author":[{"dropping-particle":"","family":"Petersen","given":"M.A.","non-dropping-particle":"","parse-names":false,"suffix":""}],"container-title":"Review of Financial Studies","id":"ITEM-1","issue":"1","issued":{"date-parts":[["2009"]]},"page":"435-480","title":"Estimating standard errors in finance panel data sets: Comparing approaches","type":"article-journal","volume":"22"},"uris":["http://www.mendeley.com/documents/?uuid=b40b66fe-0c11-4d0b-9157-445cc9d4393d"]}],"mendeley":{"formattedCitation":"(Petersen, 2009)","manualFormatting":"Petersen (2009)","plainTextFormattedCitation":"(Petersen, 2009)","previouslyFormattedCitation":"(Petersen, 2009)"},"properties":{"noteIndex":0},"schema":"https://github.com/citation-style-language/schema/raw/master/csl-citation.json"}</w:instrText>
      </w:r>
      <w:r>
        <w:fldChar w:fldCharType="separate"/>
      </w:r>
      <w:r>
        <w:rPr>
          <w:noProof/>
        </w:rPr>
        <w:t>Petersen (</w:t>
      </w:r>
      <w:r w:rsidRPr="00A951DE">
        <w:rPr>
          <w:noProof/>
        </w:rPr>
        <w:t>2009)</w:t>
      </w:r>
      <w:r>
        <w:fldChar w:fldCharType="end"/>
      </w:r>
      <w:r>
        <w:t xml:space="preserve"> suggests using </w:t>
      </w:r>
      <w:r w:rsidRPr="00A951DE">
        <w:t>cluster when the clustered standard error is 2-4 time higher than white standard error</w:t>
      </w:r>
      <w:r>
        <w:t xml:space="preserve">. </w:t>
      </w:r>
    </w:p>
  </w:footnote>
  <w:footnote w:id="15">
    <w:p w14:paraId="55D2BF3B" w14:textId="77777777" w:rsidR="00195130" w:rsidRDefault="00195130" w:rsidP="00195130">
      <w:pPr>
        <w:pStyle w:val="FootnoteText"/>
      </w:pPr>
      <w:r>
        <w:rPr>
          <w:rStyle w:val="FootnoteReference"/>
        </w:rPr>
        <w:footnoteRef/>
      </w:r>
      <w:r>
        <w:t xml:space="preserve"> The </w:t>
      </w:r>
      <w:r>
        <w:rPr>
          <w:rStyle w:val="normaltextrun"/>
          <w:color w:val="000000"/>
          <w:shd w:val="clear" w:color="auto" w:fill="FFFFFF"/>
        </w:rPr>
        <w:t>JOBS Act was enacted in 5</w:t>
      </w:r>
      <w:r w:rsidRPr="00B165F3">
        <w:rPr>
          <w:rStyle w:val="normaltextrun"/>
          <w:color w:val="000000"/>
          <w:shd w:val="clear" w:color="auto" w:fill="FFFFFF"/>
          <w:vertAlign w:val="superscript"/>
        </w:rPr>
        <w:t>th</w:t>
      </w:r>
      <w:r>
        <w:rPr>
          <w:rStyle w:val="normaltextrun"/>
          <w:color w:val="000000"/>
          <w:shd w:val="clear" w:color="auto" w:fill="FFFFFF"/>
        </w:rPr>
        <w:t xml:space="preserve"> April, 2013 which lessens the mandatory reports and compliance on Emerging Growth Company (EGC) IPOs having total annual gross revenues less than $1 billion in the most recent fiscal year</w:t>
      </w:r>
    </w:p>
  </w:footnote>
  <w:footnote w:id="16">
    <w:p w14:paraId="10FF12B4" w14:textId="77777777" w:rsidR="00195130" w:rsidRDefault="00195130" w:rsidP="00195130">
      <w:pPr>
        <w:pStyle w:val="FootnoteText"/>
      </w:pPr>
      <w:r>
        <w:rPr>
          <w:rStyle w:val="FootnoteReference"/>
        </w:rPr>
        <w:footnoteRef/>
      </w:r>
      <w:r>
        <w:t xml:space="preserve"> The grouping of industries is conducted following </w:t>
      </w:r>
      <w:r>
        <w:fldChar w:fldCharType="begin" w:fldLock="1"/>
      </w:r>
      <w:r>
        <w:instrText>ADDIN CSL_CITATION {"citationItems":[{"id":"ITEM-1","itemData":{"ISBN":"1540-6261","ISSN":"00221082","PMID":"1311802","abstract":"Issuers of initial public offerings (IPOs) can report earnings in excess of cash flows by taking positive accruals. This paper provides evidence that issuers with unusu- ally high accruals in the IPO year experience poor stock return performance in the three years thereafter. IPO issuers in the most “aggressive” quartile of earnings managers have a three-year aftermarket stock return of approximately 20 percent less than IPO issuers in the most “conservative” quartile. They also issue about 20 percent fewer seasoned equity offerings. These differences are statistically and economically significant in a variety of specifications.","author":[{"dropping-particle":"","family":"Teoh","given":"Siew Hong","non-dropping-particle":"","parse-names":false,"suffix":""},{"dropping-particle":"","family":"Welch","given":"Ivo","non-dropping-particle":"","parse-names":false,"suffix":""},{"dropping-particle":"","family":"Wong","given":"T.J.","non-dropping-particle":"","parse-names":false,"suffix":""}],"container-title":"The Journal of Finance","id":"ITEM-1","issue":"6","issued":{"date-parts":[["1998"]]},"note":"4*","page":"1935-1974","title":"Earnings management and the long-run market performance of Initial Public Offerings","type":"article-journal","volume":"53"},"uris":["http://www.mendeley.com/documents/?uuid=df119c60-80fa-4e3c-9236-cb84a3060fd4"]}],"mendeley":{"formattedCitation":"(Siew Hong Teoh et al., 1998b)","manualFormatting":"Teoh et al. (1998)","plainTextFormattedCitation":"(Siew Hong Teoh et al., 1998b)","previouslyFormattedCitation":"(Siew Hong Teoh et al., 1998b)"},"properties":{"noteIndex":0},"schema":"https://github.com/citation-style-language/schema/raw/master/csl-citation.json"}</w:instrText>
      </w:r>
      <w:r>
        <w:fldChar w:fldCharType="separate"/>
      </w:r>
      <w:r>
        <w:rPr>
          <w:noProof/>
        </w:rPr>
        <w:t>Teoh et al. (</w:t>
      </w:r>
      <w:r w:rsidRPr="008E4274">
        <w:rPr>
          <w:noProof/>
        </w:rPr>
        <w:t>1998)</w:t>
      </w:r>
      <w:r>
        <w:fldChar w:fldCharType="end"/>
      </w:r>
      <w:r>
        <w:t>.</w:t>
      </w:r>
    </w:p>
  </w:footnote>
  <w:footnote w:id="17">
    <w:p w14:paraId="247D35D2" w14:textId="77777777" w:rsidR="00195130" w:rsidRPr="00AA0772" w:rsidRDefault="00195130" w:rsidP="00195130">
      <w:pPr>
        <w:pStyle w:val="FootnoteText"/>
        <w:jc w:val="both"/>
        <w:rPr>
          <w:lang w:val="en-US"/>
        </w:rPr>
      </w:pPr>
      <w:r>
        <w:rPr>
          <w:rStyle w:val="FootnoteReference"/>
        </w:rPr>
        <w:footnoteRef/>
      </w:r>
      <w:r>
        <w:t xml:space="preserve"> The </w:t>
      </w:r>
      <w:r>
        <w:rPr>
          <w:lang w:val="en-US"/>
        </w:rPr>
        <w:t>Paper and Paper products industry has the lowest number of IPOs, the Chemical products has the highest number of IPOs</w:t>
      </w:r>
    </w:p>
  </w:footnote>
  <w:footnote w:id="18">
    <w:p w14:paraId="2B6EBCB6" w14:textId="77777777" w:rsidR="00195130" w:rsidRPr="0039248C" w:rsidRDefault="00195130" w:rsidP="00195130">
      <w:pPr>
        <w:pStyle w:val="FootnoteText"/>
        <w:jc w:val="both"/>
      </w:pPr>
      <w:r w:rsidRPr="0039468F">
        <w:rPr>
          <w:rStyle w:val="FootnoteReference"/>
        </w:rPr>
        <w:footnoteRef/>
      </w:r>
      <w:r>
        <w:t xml:space="preserve"> As for continuous or discrete variables (including </w:t>
      </w:r>
      <w:r>
        <w:rPr>
          <w:i/>
        </w:rPr>
        <w:t xml:space="preserve">Size, Leverage, External financing, Age, Segments, </w:t>
      </w:r>
      <w:proofErr w:type="spellStart"/>
      <w:r>
        <w:rPr>
          <w:i/>
        </w:rPr>
        <w:t>Zscore</w:t>
      </w:r>
      <w:proofErr w:type="spellEnd"/>
      <w:r>
        <w:rPr>
          <w:i/>
        </w:rPr>
        <w:t>, IPOs by industry, Herfindahl index)</w:t>
      </w:r>
      <w:r>
        <w:t xml:space="preserve">, this study uses median value rather than mean value to discuss the results in order to eliminate statistical noise caused by outliers. As for binary variable (including </w:t>
      </w:r>
      <w:r>
        <w:rPr>
          <w:i/>
        </w:rPr>
        <w:t xml:space="preserve">Restructuring, M&amp;A firms, Positive earnings, </w:t>
      </w:r>
      <w:proofErr w:type="spellStart"/>
      <w:r>
        <w:rPr>
          <w:i/>
        </w:rPr>
        <w:t>CEOchairperson</w:t>
      </w:r>
      <w:proofErr w:type="spellEnd"/>
      <w:r>
        <w:rPr>
          <w:i/>
        </w:rPr>
        <w:t xml:space="preserve">,), </w:t>
      </w:r>
      <w:r>
        <w:t>this study uses mean value to discuss the results.</w:t>
      </w:r>
    </w:p>
  </w:footnote>
  <w:footnote w:id="19">
    <w:p w14:paraId="524A5B2C" w14:textId="77777777" w:rsidR="00195130" w:rsidRDefault="00195130" w:rsidP="00195130">
      <w:pPr>
        <w:pStyle w:val="FootnoteText"/>
        <w:jc w:val="both"/>
      </w:pPr>
      <w:r w:rsidRPr="0039468F">
        <w:rPr>
          <w:rStyle w:val="FootnoteReference"/>
        </w:rPr>
        <w:footnoteRef/>
      </w:r>
      <w:r>
        <w:t xml:space="preserve"> This study follows classification used by </w:t>
      </w:r>
      <w:r w:rsidRPr="00F50359">
        <w:t>Internal Revenue Service (IRS)</w:t>
      </w:r>
      <w:r>
        <w:t>, which</w:t>
      </w:r>
      <w:r w:rsidRPr="00F50359">
        <w:t xml:space="preserve"> is a U.S. government agency responsible for </w:t>
      </w:r>
      <w:r>
        <w:t>collecting</w:t>
      </w:r>
      <w:r w:rsidRPr="00F50359">
        <w:t xml:space="preserve"> taxes and </w:t>
      </w:r>
      <w:r>
        <w:t>administering</w:t>
      </w:r>
      <w:r w:rsidRPr="00F50359">
        <w:t xml:space="preserve"> tax laws</w:t>
      </w:r>
      <w:r>
        <w:t>. Particularly, following IRS, U.S businesses are classified as small (or large) when they have the total assets less (or greater) than $10 million.</w:t>
      </w:r>
    </w:p>
  </w:footnote>
  <w:footnote w:id="20">
    <w:p w14:paraId="099884A6" w14:textId="77777777" w:rsidR="00195130" w:rsidRPr="00B84857" w:rsidRDefault="00195130" w:rsidP="00195130">
      <w:pPr>
        <w:pStyle w:val="FootnoteText"/>
        <w:jc w:val="both"/>
      </w:pPr>
      <w:r w:rsidRPr="00730500">
        <w:rPr>
          <w:rStyle w:val="FootnoteReference"/>
        </w:rPr>
        <w:footnoteRef/>
      </w:r>
      <w:r>
        <w:t xml:space="preserve"> Approximately 51% IPOs in the sample are going public in the post –JOBS Act period (2012-2017). Under the Act, </w:t>
      </w:r>
      <w:r w:rsidRPr="00B84857">
        <w:t xml:space="preserve">EGC status is </w:t>
      </w:r>
      <w:r>
        <w:t>given to company</w:t>
      </w:r>
      <w:r w:rsidRPr="00B84857">
        <w:t xml:space="preserve"> having total annual gross revenues less than $1 billion.</w:t>
      </w:r>
    </w:p>
    <w:p w14:paraId="3B2589BB" w14:textId="77777777" w:rsidR="00195130" w:rsidRDefault="00195130" w:rsidP="00195130">
      <w:pPr>
        <w:pStyle w:val="FootnoteText"/>
      </w:pPr>
    </w:p>
  </w:footnote>
  <w:footnote w:id="21">
    <w:p w14:paraId="6F9547C7" w14:textId="77777777" w:rsidR="00195130" w:rsidRPr="00060803" w:rsidRDefault="00195130" w:rsidP="00195130">
      <w:pPr>
        <w:pStyle w:val="FootnoteText"/>
      </w:pPr>
      <w:r w:rsidRPr="00060803">
        <w:rPr>
          <w:rStyle w:val="FootnoteReference"/>
        </w:rPr>
        <w:footnoteRef/>
      </w:r>
      <w:r w:rsidRPr="00060803">
        <w:t xml:space="preserve"> https://openknowledge.worldbank.org/bitstream/handle/10986/13528/52460.pdf?sequence=1&amp;isAllowed=y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195130" w14:paraId="374F7595" w14:textId="77777777" w:rsidTr="00373B60">
      <w:tc>
        <w:tcPr>
          <w:tcW w:w="3063" w:type="dxa"/>
        </w:tcPr>
        <w:p w14:paraId="57FC8590" w14:textId="77777777" w:rsidR="00195130" w:rsidRDefault="00195130" w:rsidP="00373B60">
          <w:pPr>
            <w:pStyle w:val="Header"/>
            <w:ind w:left="-115"/>
          </w:pPr>
        </w:p>
      </w:tc>
      <w:tc>
        <w:tcPr>
          <w:tcW w:w="3063" w:type="dxa"/>
        </w:tcPr>
        <w:p w14:paraId="0D9CD0EA" w14:textId="77777777" w:rsidR="00195130" w:rsidRDefault="00195130" w:rsidP="00373B60">
          <w:pPr>
            <w:pStyle w:val="Header"/>
            <w:jc w:val="center"/>
          </w:pPr>
        </w:p>
      </w:tc>
      <w:tc>
        <w:tcPr>
          <w:tcW w:w="3063" w:type="dxa"/>
        </w:tcPr>
        <w:p w14:paraId="54074E30" w14:textId="77777777" w:rsidR="00195130" w:rsidRDefault="00195130" w:rsidP="00373B60">
          <w:pPr>
            <w:pStyle w:val="Header"/>
            <w:ind w:right="-115"/>
            <w:jc w:val="right"/>
          </w:pPr>
        </w:p>
      </w:tc>
    </w:tr>
  </w:tbl>
  <w:p w14:paraId="7E5EAF6A" w14:textId="77777777" w:rsidR="00195130" w:rsidRDefault="00195130" w:rsidP="00373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195130" w14:paraId="46E1FFCA" w14:textId="77777777" w:rsidTr="00373B60">
      <w:tc>
        <w:tcPr>
          <w:tcW w:w="3063" w:type="dxa"/>
        </w:tcPr>
        <w:p w14:paraId="7A7D61C6" w14:textId="77777777" w:rsidR="00195130" w:rsidRDefault="00195130" w:rsidP="00373B60">
          <w:pPr>
            <w:pStyle w:val="Header"/>
            <w:ind w:left="-115"/>
          </w:pPr>
        </w:p>
      </w:tc>
      <w:tc>
        <w:tcPr>
          <w:tcW w:w="3063" w:type="dxa"/>
        </w:tcPr>
        <w:p w14:paraId="371CF32C" w14:textId="77777777" w:rsidR="00195130" w:rsidRDefault="00195130" w:rsidP="00373B60">
          <w:pPr>
            <w:pStyle w:val="Header"/>
            <w:jc w:val="center"/>
          </w:pPr>
        </w:p>
      </w:tc>
      <w:tc>
        <w:tcPr>
          <w:tcW w:w="3063" w:type="dxa"/>
        </w:tcPr>
        <w:p w14:paraId="6CA9BDC4" w14:textId="77777777" w:rsidR="00195130" w:rsidRDefault="00195130" w:rsidP="00373B60">
          <w:pPr>
            <w:pStyle w:val="Header"/>
            <w:ind w:right="-115"/>
            <w:jc w:val="right"/>
          </w:pPr>
        </w:p>
      </w:tc>
    </w:tr>
  </w:tbl>
  <w:p w14:paraId="671EBE53" w14:textId="77777777" w:rsidR="00195130" w:rsidRDefault="00195130" w:rsidP="00373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D0A"/>
    <w:multiLevelType w:val="hybridMultilevel"/>
    <w:tmpl w:val="79427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C94919"/>
    <w:multiLevelType w:val="hybridMultilevel"/>
    <w:tmpl w:val="F8964F5A"/>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 w15:restartNumberingAfterBreak="0">
    <w:nsid w:val="0C4852D7"/>
    <w:multiLevelType w:val="multilevel"/>
    <w:tmpl w:val="6D164696"/>
    <w:lvl w:ilvl="0">
      <w:start w:val="2"/>
      <w:numFmt w:val="decimal"/>
      <w:lvlText w:val="%1."/>
      <w:lvlJc w:val="left"/>
      <w:pPr>
        <w:ind w:left="360" w:hanging="360"/>
      </w:pPr>
      <w:rPr>
        <w:rFonts w:hint="default"/>
      </w:rPr>
    </w:lvl>
    <w:lvl w:ilvl="1">
      <w:start w:val="1"/>
      <w:numFmt w:val="decimal"/>
      <w:lvlText w:val="%1.%2."/>
      <w:lvlJc w:val="left"/>
      <w:pPr>
        <w:ind w:left="4590" w:hanging="360"/>
      </w:pPr>
      <w:rPr>
        <w:rFonts w:hint="default"/>
        <w:color w:val="000000" w:themeColor="text1"/>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381067"/>
    <w:multiLevelType w:val="hybridMultilevel"/>
    <w:tmpl w:val="D2606C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50F0A2D"/>
    <w:multiLevelType w:val="hybridMultilevel"/>
    <w:tmpl w:val="0F6872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069DC"/>
    <w:multiLevelType w:val="multilevel"/>
    <w:tmpl w:val="76A29DFC"/>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4265"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6D5150A"/>
    <w:multiLevelType w:val="multilevel"/>
    <w:tmpl w:val="6D164696"/>
    <w:lvl w:ilvl="0">
      <w:start w:val="2"/>
      <w:numFmt w:val="decimal"/>
      <w:lvlText w:val="%1."/>
      <w:lvlJc w:val="left"/>
      <w:pPr>
        <w:ind w:left="360" w:hanging="360"/>
      </w:pPr>
      <w:rPr>
        <w:rFonts w:hint="default"/>
      </w:rPr>
    </w:lvl>
    <w:lvl w:ilvl="1">
      <w:start w:val="1"/>
      <w:numFmt w:val="decimal"/>
      <w:lvlText w:val="%1.%2."/>
      <w:lvlJc w:val="left"/>
      <w:pPr>
        <w:ind w:left="4590" w:hanging="360"/>
      </w:pPr>
      <w:rPr>
        <w:rFonts w:hint="default"/>
        <w:color w:val="000000" w:themeColor="text1"/>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FA2A75"/>
    <w:multiLevelType w:val="hybridMultilevel"/>
    <w:tmpl w:val="47B2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27029"/>
    <w:multiLevelType w:val="hybridMultilevel"/>
    <w:tmpl w:val="7496179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5104AA"/>
    <w:multiLevelType w:val="multilevel"/>
    <w:tmpl w:val="1A7C4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341732"/>
    <w:multiLevelType w:val="hybridMultilevel"/>
    <w:tmpl w:val="7882A614"/>
    <w:lvl w:ilvl="0" w:tplc="2032A8BA">
      <w:start w:val="90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6E2AD6"/>
    <w:multiLevelType w:val="multilevel"/>
    <w:tmpl w:val="1BC485E8"/>
    <w:lvl w:ilvl="0">
      <w:start w:val="3"/>
      <w:numFmt w:val="decimal"/>
      <w:lvlText w:val="%1."/>
      <w:lvlJc w:val="left"/>
      <w:pPr>
        <w:ind w:left="360" w:hanging="360"/>
      </w:pPr>
      <w:rPr>
        <w:rFonts w:hint="default"/>
      </w:rPr>
    </w:lvl>
    <w:lvl w:ilvl="1">
      <w:start w:val="1"/>
      <w:numFmt w:val="decimal"/>
      <w:lvlText w:val="%1.%2."/>
      <w:lvlJc w:val="left"/>
      <w:pPr>
        <w:ind w:left="1914" w:hanging="360"/>
      </w:pPr>
      <w:rPr>
        <w:rFonts w:hint="default"/>
      </w:rPr>
    </w:lvl>
    <w:lvl w:ilvl="2">
      <w:start w:val="1"/>
      <w:numFmt w:val="decimal"/>
      <w:lvlText w:val="%1.%2.%3."/>
      <w:lvlJc w:val="left"/>
      <w:pPr>
        <w:ind w:left="3828" w:hanging="720"/>
      </w:pPr>
      <w:rPr>
        <w:rFonts w:hint="default"/>
      </w:rPr>
    </w:lvl>
    <w:lvl w:ilvl="3">
      <w:start w:val="1"/>
      <w:numFmt w:val="decimal"/>
      <w:lvlText w:val="%1.%2.%3.%4."/>
      <w:lvlJc w:val="left"/>
      <w:pPr>
        <w:ind w:left="5382" w:hanging="720"/>
      </w:pPr>
      <w:rPr>
        <w:rFonts w:hint="default"/>
      </w:rPr>
    </w:lvl>
    <w:lvl w:ilvl="4">
      <w:start w:val="1"/>
      <w:numFmt w:val="decimal"/>
      <w:lvlText w:val="%1.%2.%3.%4.%5."/>
      <w:lvlJc w:val="left"/>
      <w:pPr>
        <w:ind w:left="7296" w:hanging="1080"/>
      </w:pPr>
      <w:rPr>
        <w:rFonts w:hint="default"/>
      </w:rPr>
    </w:lvl>
    <w:lvl w:ilvl="5">
      <w:start w:val="1"/>
      <w:numFmt w:val="decimal"/>
      <w:lvlText w:val="%1.%2.%3.%4.%5.%6."/>
      <w:lvlJc w:val="left"/>
      <w:pPr>
        <w:ind w:left="8850" w:hanging="1080"/>
      </w:pPr>
      <w:rPr>
        <w:rFonts w:hint="default"/>
      </w:rPr>
    </w:lvl>
    <w:lvl w:ilvl="6">
      <w:start w:val="1"/>
      <w:numFmt w:val="decimal"/>
      <w:lvlText w:val="%1.%2.%3.%4.%5.%6.%7."/>
      <w:lvlJc w:val="left"/>
      <w:pPr>
        <w:ind w:left="10764" w:hanging="1440"/>
      </w:pPr>
      <w:rPr>
        <w:rFonts w:hint="default"/>
      </w:rPr>
    </w:lvl>
    <w:lvl w:ilvl="7">
      <w:start w:val="1"/>
      <w:numFmt w:val="decimal"/>
      <w:lvlText w:val="%1.%2.%3.%4.%5.%6.%7.%8."/>
      <w:lvlJc w:val="left"/>
      <w:pPr>
        <w:ind w:left="12318" w:hanging="1440"/>
      </w:pPr>
      <w:rPr>
        <w:rFonts w:hint="default"/>
      </w:rPr>
    </w:lvl>
    <w:lvl w:ilvl="8">
      <w:start w:val="1"/>
      <w:numFmt w:val="decimal"/>
      <w:lvlText w:val="%1.%2.%3.%4.%5.%6.%7.%8.%9."/>
      <w:lvlJc w:val="left"/>
      <w:pPr>
        <w:ind w:left="14232" w:hanging="1800"/>
      </w:pPr>
      <w:rPr>
        <w:rFonts w:hint="default"/>
      </w:rPr>
    </w:lvl>
  </w:abstractNum>
  <w:abstractNum w:abstractNumId="12" w15:restartNumberingAfterBreak="0">
    <w:nsid w:val="1FCB5A5B"/>
    <w:multiLevelType w:val="hybridMultilevel"/>
    <w:tmpl w:val="296C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6290E"/>
    <w:multiLevelType w:val="multilevel"/>
    <w:tmpl w:val="CBE6C472"/>
    <w:lvl w:ilvl="0">
      <w:start w:val="1"/>
      <w:numFmt w:val="decimal"/>
      <w:lvlText w:val="%1."/>
      <w:lvlJc w:val="left"/>
      <w:pPr>
        <w:ind w:left="360" w:hanging="360"/>
      </w:pPr>
      <w:rPr>
        <w:rFonts w:hint="default"/>
      </w:rPr>
    </w:lvl>
    <w:lvl w:ilvl="1">
      <w:start w:val="3"/>
      <w:numFmt w:val="decimal"/>
      <w:lvlText w:val="%1.%2."/>
      <w:lvlJc w:val="left"/>
      <w:pPr>
        <w:ind w:left="1430" w:hanging="360"/>
      </w:pPr>
      <w:rPr>
        <w:rFonts w:hint="default"/>
        <w:color w:val="000000" w:themeColor="text1"/>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14" w15:restartNumberingAfterBreak="0">
    <w:nsid w:val="25E86482"/>
    <w:multiLevelType w:val="multilevel"/>
    <w:tmpl w:val="6D16469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D1A6DB4"/>
    <w:multiLevelType w:val="multilevel"/>
    <w:tmpl w:val="C28E7AA0"/>
    <w:lvl w:ilvl="0">
      <w:start w:val="1"/>
      <w:numFmt w:val="decimal"/>
      <w:lvlText w:val="%1."/>
      <w:lvlJc w:val="left"/>
      <w:pPr>
        <w:ind w:left="360" w:hanging="360"/>
      </w:pPr>
    </w:lvl>
    <w:lvl w:ilvl="1">
      <w:start w:val="1"/>
      <w:numFmt w:val="decimal"/>
      <w:lvlText w:val="%1.%2."/>
      <w:lvlJc w:val="left"/>
      <w:pPr>
        <w:ind w:left="426" w:hanging="360"/>
      </w:pPr>
    </w:lvl>
    <w:lvl w:ilvl="2">
      <w:start w:val="1"/>
      <w:numFmt w:val="decimal"/>
      <w:lvlText w:val="%1.%2.%3."/>
      <w:lvlJc w:val="left"/>
      <w:pPr>
        <w:ind w:left="852" w:hanging="720"/>
      </w:pPr>
    </w:lvl>
    <w:lvl w:ilvl="3">
      <w:start w:val="1"/>
      <w:numFmt w:val="decimal"/>
      <w:lvlText w:val="%1.%2.%3.%4."/>
      <w:lvlJc w:val="left"/>
      <w:pPr>
        <w:ind w:left="918" w:hanging="720"/>
      </w:pPr>
    </w:lvl>
    <w:lvl w:ilvl="4">
      <w:start w:val="1"/>
      <w:numFmt w:val="decimal"/>
      <w:lvlText w:val="%1.%2.%3.%4.%5."/>
      <w:lvlJc w:val="left"/>
      <w:pPr>
        <w:ind w:left="1344" w:hanging="1080"/>
      </w:pPr>
    </w:lvl>
    <w:lvl w:ilvl="5">
      <w:start w:val="1"/>
      <w:numFmt w:val="decimal"/>
      <w:lvlText w:val="%1.%2.%3.%4.%5.%6."/>
      <w:lvlJc w:val="left"/>
      <w:pPr>
        <w:ind w:left="1410" w:hanging="1080"/>
      </w:pPr>
    </w:lvl>
    <w:lvl w:ilvl="6">
      <w:start w:val="1"/>
      <w:numFmt w:val="decimal"/>
      <w:lvlText w:val="%1.%2.%3.%4.%5.%6.%7."/>
      <w:lvlJc w:val="left"/>
      <w:pPr>
        <w:ind w:left="1836" w:hanging="1440"/>
      </w:pPr>
    </w:lvl>
    <w:lvl w:ilvl="7">
      <w:start w:val="1"/>
      <w:numFmt w:val="decimal"/>
      <w:lvlText w:val="%1.%2.%3.%4.%5.%6.%7.%8."/>
      <w:lvlJc w:val="left"/>
      <w:pPr>
        <w:ind w:left="1902" w:hanging="1440"/>
      </w:pPr>
    </w:lvl>
    <w:lvl w:ilvl="8">
      <w:start w:val="1"/>
      <w:numFmt w:val="decimal"/>
      <w:lvlText w:val="%1.%2.%3.%4.%5.%6.%7.%8.%9."/>
      <w:lvlJc w:val="left"/>
      <w:pPr>
        <w:ind w:left="2328" w:hanging="1800"/>
      </w:pPr>
    </w:lvl>
  </w:abstractNum>
  <w:abstractNum w:abstractNumId="16" w15:restartNumberingAfterBreak="0">
    <w:nsid w:val="2E356224"/>
    <w:multiLevelType w:val="hybridMultilevel"/>
    <w:tmpl w:val="0A02465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A7276"/>
    <w:multiLevelType w:val="hybridMultilevel"/>
    <w:tmpl w:val="E190F2D4"/>
    <w:lvl w:ilvl="0" w:tplc="313AFE14">
      <w:start w:val="1"/>
      <w:numFmt w:val="decimal"/>
      <w:lvlText w:val="%1."/>
      <w:lvlJc w:val="left"/>
      <w:pPr>
        <w:ind w:left="1554" w:hanging="360"/>
      </w:pPr>
      <w:rPr>
        <w:rFonts w:hint="default"/>
      </w:rPr>
    </w:lvl>
    <w:lvl w:ilvl="1" w:tplc="313AFE14">
      <w:start w:val="1"/>
      <w:numFmt w:val="decimal"/>
      <w:lvlText w:val="%2."/>
      <w:lvlJc w:val="left"/>
      <w:pPr>
        <w:ind w:left="1500" w:hanging="360"/>
      </w:pPr>
      <w:rPr>
        <w:rFonts w:hint="default"/>
      </w:rPr>
    </w:lvl>
    <w:lvl w:ilvl="2" w:tplc="0809001B">
      <w:start w:val="1"/>
      <w:numFmt w:val="lowerRoman"/>
      <w:lvlText w:val="%3."/>
      <w:lvlJc w:val="right"/>
      <w:pPr>
        <w:ind w:left="2220" w:hanging="180"/>
      </w:pPr>
    </w:lvl>
    <w:lvl w:ilvl="3" w:tplc="56BCC4AC">
      <w:start w:val="1"/>
      <w:numFmt w:val="upperLetter"/>
      <w:lvlText w:val="%4."/>
      <w:lvlJc w:val="left"/>
      <w:pPr>
        <w:ind w:left="2940" w:hanging="360"/>
      </w:pPr>
      <w:rPr>
        <w:rFonts w:hint="default"/>
      </w:r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15:restartNumberingAfterBreak="0">
    <w:nsid w:val="2FED4F37"/>
    <w:multiLevelType w:val="hybridMultilevel"/>
    <w:tmpl w:val="53EAB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723705"/>
    <w:multiLevelType w:val="hybridMultilevel"/>
    <w:tmpl w:val="139A4F1C"/>
    <w:lvl w:ilvl="0" w:tplc="6E08AB6C">
      <w:start w:val="1"/>
      <w:numFmt w:val="decimal"/>
      <w:lvlText w:val="%1."/>
      <w:lvlJc w:val="left"/>
      <w:pPr>
        <w:ind w:left="840" w:hanging="720"/>
        <w:jc w:val="right"/>
      </w:pPr>
      <w:rPr>
        <w:rFonts w:ascii="Times New Roman" w:eastAsia="Times New Roman" w:hAnsi="Times New Roman" w:cs="Times New Roman" w:hint="default"/>
        <w:spacing w:val="-2"/>
        <w:w w:val="99"/>
        <w:sz w:val="24"/>
        <w:szCs w:val="24"/>
        <w:lang w:val="en-US" w:eastAsia="en-US" w:bidi="ar-SA"/>
      </w:rPr>
    </w:lvl>
    <w:lvl w:ilvl="1" w:tplc="F1AE61C4">
      <w:numFmt w:val="bullet"/>
      <w:lvlText w:val="•"/>
      <w:lvlJc w:val="left"/>
      <w:pPr>
        <w:ind w:left="1642" w:hanging="720"/>
      </w:pPr>
      <w:rPr>
        <w:rFonts w:hint="default"/>
        <w:lang w:val="en-US" w:eastAsia="en-US" w:bidi="ar-SA"/>
      </w:rPr>
    </w:lvl>
    <w:lvl w:ilvl="2" w:tplc="2E0031D0">
      <w:numFmt w:val="bullet"/>
      <w:lvlText w:val="•"/>
      <w:lvlJc w:val="left"/>
      <w:pPr>
        <w:ind w:left="2444" w:hanging="720"/>
      </w:pPr>
      <w:rPr>
        <w:rFonts w:hint="default"/>
        <w:lang w:val="en-US" w:eastAsia="en-US" w:bidi="ar-SA"/>
      </w:rPr>
    </w:lvl>
    <w:lvl w:ilvl="3" w:tplc="57E8CF36">
      <w:numFmt w:val="bullet"/>
      <w:lvlText w:val="•"/>
      <w:lvlJc w:val="left"/>
      <w:pPr>
        <w:ind w:left="3246" w:hanging="720"/>
      </w:pPr>
      <w:rPr>
        <w:rFonts w:hint="default"/>
        <w:lang w:val="en-US" w:eastAsia="en-US" w:bidi="ar-SA"/>
      </w:rPr>
    </w:lvl>
    <w:lvl w:ilvl="4" w:tplc="CFF0A470">
      <w:numFmt w:val="bullet"/>
      <w:lvlText w:val="•"/>
      <w:lvlJc w:val="left"/>
      <w:pPr>
        <w:ind w:left="4048" w:hanging="720"/>
      </w:pPr>
      <w:rPr>
        <w:rFonts w:hint="default"/>
        <w:lang w:val="en-US" w:eastAsia="en-US" w:bidi="ar-SA"/>
      </w:rPr>
    </w:lvl>
    <w:lvl w:ilvl="5" w:tplc="04E2C6A6">
      <w:numFmt w:val="bullet"/>
      <w:lvlText w:val="•"/>
      <w:lvlJc w:val="left"/>
      <w:pPr>
        <w:ind w:left="4850" w:hanging="720"/>
      </w:pPr>
      <w:rPr>
        <w:rFonts w:hint="default"/>
        <w:lang w:val="en-US" w:eastAsia="en-US" w:bidi="ar-SA"/>
      </w:rPr>
    </w:lvl>
    <w:lvl w:ilvl="6" w:tplc="79341ACE">
      <w:numFmt w:val="bullet"/>
      <w:lvlText w:val="•"/>
      <w:lvlJc w:val="left"/>
      <w:pPr>
        <w:ind w:left="5652" w:hanging="720"/>
      </w:pPr>
      <w:rPr>
        <w:rFonts w:hint="default"/>
        <w:lang w:val="en-US" w:eastAsia="en-US" w:bidi="ar-SA"/>
      </w:rPr>
    </w:lvl>
    <w:lvl w:ilvl="7" w:tplc="C00E6A52">
      <w:numFmt w:val="bullet"/>
      <w:lvlText w:val="•"/>
      <w:lvlJc w:val="left"/>
      <w:pPr>
        <w:ind w:left="6454" w:hanging="720"/>
      </w:pPr>
      <w:rPr>
        <w:rFonts w:hint="default"/>
        <w:lang w:val="en-US" w:eastAsia="en-US" w:bidi="ar-SA"/>
      </w:rPr>
    </w:lvl>
    <w:lvl w:ilvl="8" w:tplc="5CDE4CD8">
      <w:numFmt w:val="bullet"/>
      <w:lvlText w:val="•"/>
      <w:lvlJc w:val="left"/>
      <w:pPr>
        <w:ind w:left="7256" w:hanging="720"/>
      </w:pPr>
      <w:rPr>
        <w:rFonts w:hint="default"/>
        <w:lang w:val="en-US" w:eastAsia="en-US" w:bidi="ar-SA"/>
      </w:rPr>
    </w:lvl>
  </w:abstractNum>
  <w:abstractNum w:abstractNumId="20" w15:restartNumberingAfterBreak="0">
    <w:nsid w:val="41AF23DE"/>
    <w:multiLevelType w:val="hybridMultilevel"/>
    <w:tmpl w:val="448E63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449748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7B4313"/>
    <w:multiLevelType w:val="hybridMultilevel"/>
    <w:tmpl w:val="07326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0B4D68"/>
    <w:multiLevelType w:val="hybridMultilevel"/>
    <w:tmpl w:val="C4AA22CA"/>
    <w:lvl w:ilvl="0" w:tplc="1DC80572">
      <w:start w:val="1"/>
      <w:numFmt w:val="decimal"/>
      <w:lvlText w:val="Appendix %1."/>
      <w:lvlJc w:val="left"/>
      <w:pPr>
        <w:ind w:left="588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A276EE"/>
    <w:multiLevelType w:val="multilevel"/>
    <w:tmpl w:val="A69C532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5D01414C"/>
    <w:multiLevelType w:val="hybridMultilevel"/>
    <w:tmpl w:val="86C83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0A571DE"/>
    <w:multiLevelType w:val="hybridMultilevel"/>
    <w:tmpl w:val="1CBA7EC4"/>
    <w:lvl w:ilvl="0" w:tplc="6C3A655E">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132F2"/>
    <w:multiLevelType w:val="hybridMultilevel"/>
    <w:tmpl w:val="53EE56A6"/>
    <w:lvl w:ilvl="0" w:tplc="8DF6B18A">
      <w:numFmt w:val="bullet"/>
      <w:lvlText w:val=""/>
      <w:lvlJc w:val="left"/>
      <w:pPr>
        <w:ind w:left="840" w:hanging="360"/>
      </w:pPr>
      <w:rPr>
        <w:rFonts w:ascii="Symbol" w:eastAsia="Symbol" w:hAnsi="Symbol" w:cs="Symbol" w:hint="default"/>
        <w:w w:val="100"/>
        <w:sz w:val="24"/>
        <w:szCs w:val="24"/>
        <w:lang w:val="en-US" w:eastAsia="en-US" w:bidi="ar-SA"/>
      </w:rPr>
    </w:lvl>
    <w:lvl w:ilvl="1" w:tplc="6F1E5632">
      <w:numFmt w:val="bullet"/>
      <w:lvlText w:val="•"/>
      <w:lvlJc w:val="left"/>
      <w:pPr>
        <w:ind w:left="1642" w:hanging="360"/>
      </w:pPr>
      <w:rPr>
        <w:rFonts w:hint="default"/>
        <w:lang w:val="en-US" w:eastAsia="en-US" w:bidi="ar-SA"/>
      </w:rPr>
    </w:lvl>
    <w:lvl w:ilvl="2" w:tplc="350093D4">
      <w:numFmt w:val="bullet"/>
      <w:lvlText w:val="•"/>
      <w:lvlJc w:val="left"/>
      <w:pPr>
        <w:ind w:left="2444" w:hanging="360"/>
      </w:pPr>
      <w:rPr>
        <w:rFonts w:hint="default"/>
        <w:lang w:val="en-US" w:eastAsia="en-US" w:bidi="ar-SA"/>
      </w:rPr>
    </w:lvl>
    <w:lvl w:ilvl="3" w:tplc="A65CA15C">
      <w:numFmt w:val="bullet"/>
      <w:lvlText w:val="•"/>
      <w:lvlJc w:val="left"/>
      <w:pPr>
        <w:ind w:left="3246" w:hanging="360"/>
      </w:pPr>
      <w:rPr>
        <w:rFonts w:hint="default"/>
        <w:lang w:val="en-US" w:eastAsia="en-US" w:bidi="ar-SA"/>
      </w:rPr>
    </w:lvl>
    <w:lvl w:ilvl="4" w:tplc="DEEED2C4">
      <w:numFmt w:val="bullet"/>
      <w:lvlText w:val="•"/>
      <w:lvlJc w:val="left"/>
      <w:pPr>
        <w:ind w:left="4048" w:hanging="360"/>
      </w:pPr>
      <w:rPr>
        <w:rFonts w:hint="default"/>
        <w:lang w:val="en-US" w:eastAsia="en-US" w:bidi="ar-SA"/>
      </w:rPr>
    </w:lvl>
    <w:lvl w:ilvl="5" w:tplc="3680191A">
      <w:numFmt w:val="bullet"/>
      <w:lvlText w:val="•"/>
      <w:lvlJc w:val="left"/>
      <w:pPr>
        <w:ind w:left="4850" w:hanging="360"/>
      </w:pPr>
      <w:rPr>
        <w:rFonts w:hint="default"/>
        <w:lang w:val="en-US" w:eastAsia="en-US" w:bidi="ar-SA"/>
      </w:rPr>
    </w:lvl>
    <w:lvl w:ilvl="6" w:tplc="6BD89CCC">
      <w:numFmt w:val="bullet"/>
      <w:lvlText w:val="•"/>
      <w:lvlJc w:val="left"/>
      <w:pPr>
        <w:ind w:left="5652" w:hanging="360"/>
      </w:pPr>
      <w:rPr>
        <w:rFonts w:hint="default"/>
        <w:lang w:val="en-US" w:eastAsia="en-US" w:bidi="ar-SA"/>
      </w:rPr>
    </w:lvl>
    <w:lvl w:ilvl="7" w:tplc="A49C902C">
      <w:numFmt w:val="bullet"/>
      <w:lvlText w:val="•"/>
      <w:lvlJc w:val="left"/>
      <w:pPr>
        <w:ind w:left="6454" w:hanging="360"/>
      </w:pPr>
      <w:rPr>
        <w:rFonts w:hint="default"/>
        <w:lang w:val="en-US" w:eastAsia="en-US" w:bidi="ar-SA"/>
      </w:rPr>
    </w:lvl>
    <w:lvl w:ilvl="8" w:tplc="5AC0085E">
      <w:numFmt w:val="bullet"/>
      <w:lvlText w:val="•"/>
      <w:lvlJc w:val="left"/>
      <w:pPr>
        <w:ind w:left="7256" w:hanging="360"/>
      </w:pPr>
      <w:rPr>
        <w:rFonts w:hint="default"/>
        <w:lang w:val="en-US" w:eastAsia="en-US" w:bidi="ar-SA"/>
      </w:rPr>
    </w:lvl>
  </w:abstractNum>
  <w:abstractNum w:abstractNumId="28" w15:restartNumberingAfterBreak="0">
    <w:nsid w:val="64D03D7D"/>
    <w:multiLevelType w:val="multilevel"/>
    <w:tmpl w:val="39304BCA"/>
    <w:lvl w:ilvl="0">
      <w:start w:val="2"/>
      <w:numFmt w:val="decimal"/>
      <w:lvlText w:val="%1."/>
      <w:lvlJc w:val="left"/>
      <w:pPr>
        <w:ind w:left="720" w:hanging="720"/>
      </w:pPr>
      <w:rPr>
        <w:rFonts w:hint="default"/>
      </w:rPr>
    </w:lvl>
    <w:lvl w:ilvl="1">
      <w:start w:val="3"/>
      <w:numFmt w:val="decimal"/>
      <w:lvlText w:val="%1.%2."/>
      <w:lvlJc w:val="left"/>
      <w:pPr>
        <w:ind w:left="1076" w:hanging="720"/>
      </w:pPr>
      <w:rPr>
        <w:rFonts w:hint="default"/>
      </w:rPr>
    </w:lvl>
    <w:lvl w:ilvl="2">
      <w:start w:val="3"/>
      <w:numFmt w:val="decimal"/>
      <w:lvlText w:val="%1.%2.%3."/>
      <w:lvlJc w:val="left"/>
      <w:pPr>
        <w:ind w:left="1432" w:hanging="720"/>
      </w:pPr>
      <w:rPr>
        <w:rFonts w:hint="default"/>
      </w:rPr>
    </w:lvl>
    <w:lvl w:ilvl="3">
      <w:start w:val="4"/>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29" w15:restartNumberingAfterBreak="0">
    <w:nsid w:val="68CA4B10"/>
    <w:multiLevelType w:val="hybridMultilevel"/>
    <w:tmpl w:val="1ABA9CB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0D549A"/>
    <w:multiLevelType w:val="hybridMultilevel"/>
    <w:tmpl w:val="A62C51AE"/>
    <w:lvl w:ilvl="0" w:tplc="1DC80572">
      <w:start w:val="1"/>
      <w:numFmt w:val="decimal"/>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050283"/>
    <w:multiLevelType w:val="hybridMultilevel"/>
    <w:tmpl w:val="0592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53782"/>
    <w:multiLevelType w:val="hybridMultilevel"/>
    <w:tmpl w:val="EACC2F20"/>
    <w:lvl w:ilvl="0" w:tplc="313AFE1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7075085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BF2941"/>
    <w:multiLevelType w:val="hybridMultilevel"/>
    <w:tmpl w:val="A236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F398C"/>
    <w:multiLevelType w:val="hybridMultilevel"/>
    <w:tmpl w:val="C464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267747">
    <w:abstractNumId w:val="5"/>
  </w:num>
  <w:num w:numId="2" w16cid:durableId="1672486067">
    <w:abstractNumId w:val="31"/>
  </w:num>
  <w:num w:numId="3" w16cid:durableId="1134788429">
    <w:abstractNumId w:val="16"/>
  </w:num>
  <w:num w:numId="4" w16cid:durableId="63072137">
    <w:abstractNumId w:val="27"/>
  </w:num>
  <w:num w:numId="5" w16cid:durableId="951130259">
    <w:abstractNumId w:val="19"/>
  </w:num>
  <w:num w:numId="6" w16cid:durableId="1861503577">
    <w:abstractNumId w:val="26"/>
  </w:num>
  <w:num w:numId="7" w16cid:durableId="1807699332">
    <w:abstractNumId w:val="29"/>
  </w:num>
  <w:num w:numId="8" w16cid:durableId="2017805195">
    <w:abstractNumId w:val="10"/>
  </w:num>
  <w:num w:numId="9" w16cid:durableId="1651442327">
    <w:abstractNumId w:val="4"/>
  </w:num>
  <w:num w:numId="10" w16cid:durableId="16007415">
    <w:abstractNumId w:val="20"/>
  </w:num>
  <w:num w:numId="11" w16cid:durableId="2099132997">
    <w:abstractNumId w:val="23"/>
  </w:num>
  <w:num w:numId="12" w16cid:durableId="998775160">
    <w:abstractNumId w:val="33"/>
  </w:num>
  <w:num w:numId="13" w16cid:durableId="1422799640">
    <w:abstractNumId w:val="7"/>
  </w:num>
  <w:num w:numId="14" w16cid:durableId="1408310257">
    <w:abstractNumId w:val="21"/>
  </w:num>
  <w:num w:numId="15" w16cid:durableId="503517710">
    <w:abstractNumId w:val="18"/>
  </w:num>
  <w:num w:numId="16" w16cid:durableId="659769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4803450">
    <w:abstractNumId w:val="3"/>
  </w:num>
  <w:num w:numId="18" w16cid:durableId="1960529938">
    <w:abstractNumId w:val="30"/>
  </w:num>
  <w:num w:numId="19" w16cid:durableId="2558702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5620855">
    <w:abstractNumId w:val="1"/>
  </w:num>
  <w:num w:numId="21" w16cid:durableId="48038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34867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0367234">
    <w:abstractNumId w:val="25"/>
  </w:num>
  <w:num w:numId="24" w16cid:durableId="644163837">
    <w:abstractNumId w:val="22"/>
  </w:num>
  <w:num w:numId="25" w16cid:durableId="449860595">
    <w:abstractNumId w:val="28"/>
  </w:num>
  <w:num w:numId="26" w16cid:durableId="1309021157">
    <w:abstractNumId w:val="13"/>
  </w:num>
  <w:num w:numId="27" w16cid:durableId="2086955157">
    <w:abstractNumId w:val="9"/>
  </w:num>
  <w:num w:numId="28" w16cid:durableId="1723480120">
    <w:abstractNumId w:val="0"/>
  </w:num>
  <w:num w:numId="29" w16cid:durableId="1888570567">
    <w:abstractNumId w:val="14"/>
  </w:num>
  <w:num w:numId="30" w16cid:durableId="705325969">
    <w:abstractNumId w:val="8"/>
  </w:num>
  <w:num w:numId="31" w16cid:durableId="1439566131">
    <w:abstractNumId w:val="2"/>
  </w:num>
  <w:num w:numId="32" w16cid:durableId="753210443">
    <w:abstractNumId w:val="6"/>
  </w:num>
  <w:num w:numId="33" w16cid:durableId="1123578347">
    <w:abstractNumId w:val="35"/>
  </w:num>
  <w:num w:numId="34" w16cid:durableId="161239819">
    <w:abstractNumId w:val="12"/>
  </w:num>
  <w:num w:numId="35" w16cid:durableId="186480403">
    <w:abstractNumId w:val="34"/>
  </w:num>
  <w:num w:numId="36" w16cid:durableId="1044913984">
    <w:abstractNumId w:val="32"/>
  </w:num>
  <w:num w:numId="37" w16cid:durableId="369689040">
    <w:abstractNumId w:val="17"/>
  </w:num>
  <w:num w:numId="38" w16cid:durableId="10572385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G0MLe0NDQ2MjE2NDBV0lEKTi0uzszPAykwrgUAkZ1pOSwAAAA="/>
  </w:docVars>
  <w:rsids>
    <w:rsidRoot w:val="00195130"/>
    <w:rsid w:val="0000516A"/>
    <w:rsid w:val="00014EE5"/>
    <w:rsid w:val="000406B8"/>
    <w:rsid w:val="00040A1F"/>
    <w:rsid w:val="00040F9D"/>
    <w:rsid w:val="0008504A"/>
    <w:rsid w:val="00097199"/>
    <w:rsid w:val="000E5C33"/>
    <w:rsid w:val="00142657"/>
    <w:rsid w:val="001512E1"/>
    <w:rsid w:val="001721E7"/>
    <w:rsid w:val="00186E23"/>
    <w:rsid w:val="00195130"/>
    <w:rsid w:val="001B2E68"/>
    <w:rsid w:val="001B5B3B"/>
    <w:rsid w:val="001F6874"/>
    <w:rsid w:val="002035BF"/>
    <w:rsid w:val="00233385"/>
    <w:rsid w:val="00240A46"/>
    <w:rsid w:val="002445DB"/>
    <w:rsid w:val="00246664"/>
    <w:rsid w:val="002523E5"/>
    <w:rsid w:val="00267BF9"/>
    <w:rsid w:val="002B750D"/>
    <w:rsid w:val="002D3BC5"/>
    <w:rsid w:val="002E0B86"/>
    <w:rsid w:val="002E42FE"/>
    <w:rsid w:val="00301CB1"/>
    <w:rsid w:val="00303360"/>
    <w:rsid w:val="00306560"/>
    <w:rsid w:val="00313836"/>
    <w:rsid w:val="0033057F"/>
    <w:rsid w:val="0034401A"/>
    <w:rsid w:val="0037382E"/>
    <w:rsid w:val="00373B60"/>
    <w:rsid w:val="003824BC"/>
    <w:rsid w:val="003902D7"/>
    <w:rsid w:val="003B2F94"/>
    <w:rsid w:val="00491E76"/>
    <w:rsid w:val="00493F47"/>
    <w:rsid w:val="00497E49"/>
    <w:rsid w:val="00556AF7"/>
    <w:rsid w:val="005721F1"/>
    <w:rsid w:val="005A447C"/>
    <w:rsid w:val="005D192A"/>
    <w:rsid w:val="005E696B"/>
    <w:rsid w:val="006E2294"/>
    <w:rsid w:val="00700E2B"/>
    <w:rsid w:val="0072126D"/>
    <w:rsid w:val="00721EFE"/>
    <w:rsid w:val="00740662"/>
    <w:rsid w:val="00745EB9"/>
    <w:rsid w:val="00775E2A"/>
    <w:rsid w:val="007A0653"/>
    <w:rsid w:val="007A6487"/>
    <w:rsid w:val="007E4D13"/>
    <w:rsid w:val="007F6E65"/>
    <w:rsid w:val="00820CDF"/>
    <w:rsid w:val="00837B8D"/>
    <w:rsid w:val="00854BD0"/>
    <w:rsid w:val="00857D2F"/>
    <w:rsid w:val="0088706C"/>
    <w:rsid w:val="00891016"/>
    <w:rsid w:val="00891F04"/>
    <w:rsid w:val="008A7CBD"/>
    <w:rsid w:val="008B693E"/>
    <w:rsid w:val="008E0897"/>
    <w:rsid w:val="008E1026"/>
    <w:rsid w:val="00927AC6"/>
    <w:rsid w:val="009343D4"/>
    <w:rsid w:val="00940BE6"/>
    <w:rsid w:val="00943DFA"/>
    <w:rsid w:val="00947171"/>
    <w:rsid w:val="0095543A"/>
    <w:rsid w:val="009A7957"/>
    <w:rsid w:val="009B647D"/>
    <w:rsid w:val="009C5BA7"/>
    <w:rsid w:val="00A31B4C"/>
    <w:rsid w:val="00A6568D"/>
    <w:rsid w:val="00A70548"/>
    <w:rsid w:val="00A71E73"/>
    <w:rsid w:val="00A72EB8"/>
    <w:rsid w:val="00A80138"/>
    <w:rsid w:val="00AA38B5"/>
    <w:rsid w:val="00AC7DE5"/>
    <w:rsid w:val="00B04AD6"/>
    <w:rsid w:val="00B249B5"/>
    <w:rsid w:val="00B26C97"/>
    <w:rsid w:val="00B42FDF"/>
    <w:rsid w:val="00B61DF6"/>
    <w:rsid w:val="00B7633C"/>
    <w:rsid w:val="00BE1456"/>
    <w:rsid w:val="00C248C3"/>
    <w:rsid w:val="00C5252F"/>
    <w:rsid w:val="00C575C6"/>
    <w:rsid w:val="00CC120F"/>
    <w:rsid w:val="00CC6426"/>
    <w:rsid w:val="00CD171D"/>
    <w:rsid w:val="00CE789E"/>
    <w:rsid w:val="00CF0EA6"/>
    <w:rsid w:val="00CF7E79"/>
    <w:rsid w:val="00D41E18"/>
    <w:rsid w:val="00D9452A"/>
    <w:rsid w:val="00E27D8A"/>
    <w:rsid w:val="00E7470A"/>
    <w:rsid w:val="00E91BFC"/>
    <w:rsid w:val="00EA5594"/>
    <w:rsid w:val="00EB14EB"/>
    <w:rsid w:val="00EB491F"/>
    <w:rsid w:val="00EC3993"/>
    <w:rsid w:val="00F11618"/>
    <w:rsid w:val="00F34C33"/>
    <w:rsid w:val="00F37A29"/>
    <w:rsid w:val="00F71928"/>
    <w:rsid w:val="00FB5757"/>
    <w:rsid w:val="00FC442E"/>
    <w:rsid w:val="00FD4D40"/>
    <w:rsid w:val="00FF1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CE8A"/>
  <w15:docId w15:val="{47020421-8321-4F7E-8DBC-7DC6251E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130"/>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195130"/>
    <w:pPr>
      <w:widowControl w:val="0"/>
      <w:autoSpaceDE w:val="0"/>
      <w:autoSpaceDN w:val="0"/>
      <w:ind w:left="840"/>
      <w:outlineLvl w:val="0"/>
    </w:pPr>
    <w:rPr>
      <w:rFonts w:eastAsia="Times New Roman"/>
      <w:b/>
      <w:bCs/>
      <w:lang w:val="en-US" w:eastAsia="en-US"/>
    </w:rPr>
  </w:style>
  <w:style w:type="paragraph" w:styleId="Heading2">
    <w:name w:val="heading 2"/>
    <w:basedOn w:val="Normal"/>
    <w:next w:val="Normal"/>
    <w:link w:val="Heading2Char"/>
    <w:uiPriority w:val="9"/>
    <w:unhideWhenUsed/>
    <w:qFormat/>
    <w:rsid w:val="001951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51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9513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130"/>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195130"/>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195130"/>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semiHidden/>
    <w:rsid w:val="00195130"/>
    <w:rPr>
      <w:rFonts w:asciiTheme="majorHAnsi" w:eastAsiaTheme="majorEastAsia" w:hAnsiTheme="majorHAnsi" w:cstheme="majorBidi"/>
      <w:i/>
      <w:iCs/>
      <w:color w:val="2F5496" w:themeColor="accent1" w:themeShade="BF"/>
      <w:sz w:val="24"/>
      <w:szCs w:val="24"/>
      <w:lang w:eastAsia="en-GB"/>
    </w:rPr>
  </w:style>
  <w:style w:type="paragraph" w:styleId="ListParagraph">
    <w:name w:val="List Paragraph"/>
    <w:basedOn w:val="Normal"/>
    <w:uiPriority w:val="34"/>
    <w:qFormat/>
    <w:rsid w:val="00195130"/>
    <w:pPr>
      <w:ind w:left="720"/>
      <w:contextualSpacing/>
    </w:pPr>
  </w:style>
  <w:style w:type="paragraph" w:styleId="FootnoteText">
    <w:name w:val="footnote text"/>
    <w:basedOn w:val="Normal"/>
    <w:link w:val="FootnoteTextChar"/>
    <w:uiPriority w:val="99"/>
    <w:semiHidden/>
    <w:unhideWhenUsed/>
    <w:rsid w:val="00195130"/>
    <w:rPr>
      <w:sz w:val="20"/>
      <w:szCs w:val="20"/>
    </w:rPr>
  </w:style>
  <w:style w:type="character" w:customStyle="1" w:styleId="FootnoteTextChar">
    <w:name w:val="Footnote Text Char"/>
    <w:basedOn w:val="DefaultParagraphFont"/>
    <w:link w:val="FootnoteText"/>
    <w:uiPriority w:val="99"/>
    <w:semiHidden/>
    <w:rsid w:val="00195130"/>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195130"/>
    <w:rPr>
      <w:vertAlign w:val="superscript"/>
    </w:rPr>
  </w:style>
  <w:style w:type="character" w:styleId="Hyperlink">
    <w:name w:val="Hyperlink"/>
    <w:basedOn w:val="DefaultParagraphFont"/>
    <w:uiPriority w:val="99"/>
    <w:unhideWhenUsed/>
    <w:rsid w:val="00195130"/>
    <w:rPr>
      <w:color w:val="0563C1" w:themeColor="hyperlink"/>
      <w:u w:val="single"/>
    </w:rPr>
  </w:style>
  <w:style w:type="paragraph" w:styleId="Caption">
    <w:name w:val="caption"/>
    <w:basedOn w:val="Normal"/>
    <w:next w:val="Normal"/>
    <w:uiPriority w:val="35"/>
    <w:unhideWhenUsed/>
    <w:qFormat/>
    <w:rsid w:val="00195130"/>
    <w:pPr>
      <w:spacing w:after="200"/>
    </w:pPr>
    <w:rPr>
      <w:i/>
      <w:iCs/>
      <w:color w:val="44546A" w:themeColor="text2"/>
      <w:sz w:val="18"/>
      <w:szCs w:val="18"/>
    </w:rPr>
  </w:style>
  <w:style w:type="table" w:styleId="TableGrid">
    <w:name w:val="Table Grid"/>
    <w:basedOn w:val="TableNormal"/>
    <w:uiPriority w:val="39"/>
    <w:rsid w:val="00195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5130"/>
    <w:pPr>
      <w:tabs>
        <w:tab w:val="center" w:pos="4513"/>
        <w:tab w:val="right" w:pos="9026"/>
      </w:tabs>
    </w:pPr>
  </w:style>
  <w:style w:type="character" w:customStyle="1" w:styleId="HeaderChar">
    <w:name w:val="Header Char"/>
    <w:basedOn w:val="DefaultParagraphFont"/>
    <w:link w:val="Header"/>
    <w:uiPriority w:val="99"/>
    <w:rsid w:val="00195130"/>
    <w:rPr>
      <w:rFonts w:ascii="Times New Roman" w:hAnsi="Times New Roman" w:cs="Times New Roman"/>
      <w:sz w:val="24"/>
      <w:szCs w:val="24"/>
      <w:lang w:eastAsia="en-GB"/>
    </w:rPr>
  </w:style>
  <w:style w:type="paragraph" w:styleId="Footer">
    <w:name w:val="footer"/>
    <w:basedOn w:val="Normal"/>
    <w:link w:val="FooterChar"/>
    <w:uiPriority w:val="99"/>
    <w:unhideWhenUsed/>
    <w:rsid w:val="00195130"/>
    <w:pPr>
      <w:tabs>
        <w:tab w:val="center" w:pos="4513"/>
        <w:tab w:val="right" w:pos="9026"/>
      </w:tabs>
    </w:pPr>
  </w:style>
  <w:style w:type="character" w:customStyle="1" w:styleId="FooterChar">
    <w:name w:val="Footer Char"/>
    <w:basedOn w:val="DefaultParagraphFont"/>
    <w:link w:val="Footer"/>
    <w:uiPriority w:val="99"/>
    <w:rsid w:val="00195130"/>
    <w:rPr>
      <w:rFonts w:ascii="Times New Roman" w:hAnsi="Times New Roman" w:cs="Times New Roman"/>
      <w:sz w:val="24"/>
      <w:szCs w:val="24"/>
      <w:lang w:eastAsia="en-GB"/>
    </w:rPr>
  </w:style>
  <w:style w:type="paragraph" w:styleId="BodyText">
    <w:name w:val="Body Text"/>
    <w:basedOn w:val="Normal"/>
    <w:link w:val="BodyTextChar"/>
    <w:uiPriority w:val="1"/>
    <w:qFormat/>
    <w:rsid w:val="00195130"/>
    <w:pPr>
      <w:widowControl w:val="0"/>
      <w:autoSpaceDE w:val="0"/>
      <w:autoSpaceDN w:val="0"/>
    </w:pPr>
    <w:rPr>
      <w:rFonts w:eastAsia="Times New Roman"/>
      <w:lang w:val="en-US" w:eastAsia="en-US"/>
    </w:rPr>
  </w:style>
  <w:style w:type="character" w:customStyle="1" w:styleId="BodyTextChar">
    <w:name w:val="Body Text Char"/>
    <w:basedOn w:val="DefaultParagraphFont"/>
    <w:link w:val="BodyText"/>
    <w:uiPriority w:val="1"/>
    <w:rsid w:val="00195130"/>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95130"/>
  </w:style>
  <w:style w:type="paragraph" w:styleId="TOC1">
    <w:name w:val="toc 1"/>
    <w:basedOn w:val="Normal"/>
    <w:next w:val="Normal"/>
    <w:autoRedefine/>
    <w:uiPriority w:val="39"/>
    <w:unhideWhenUsed/>
    <w:rsid w:val="00195130"/>
    <w:pPr>
      <w:spacing w:after="100"/>
    </w:pPr>
  </w:style>
  <w:style w:type="paragraph" w:styleId="TOC2">
    <w:name w:val="toc 2"/>
    <w:basedOn w:val="Normal"/>
    <w:next w:val="Normal"/>
    <w:autoRedefine/>
    <w:uiPriority w:val="39"/>
    <w:unhideWhenUsed/>
    <w:rsid w:val="00195130"/>
    <w:pPr>
      <w:spacing w:after="100"/>
      <w:ind w:left="240"/>
    </w:pPr>
  </w:style>
  <w:style w:type="paragraph" w:styleId="TOC3">
    <w:name w:val="toc 3"/>
    <w:basedOn w:val="Normal"/>
    <w:next w:val="Normal"/>
    <w:autoRedefine/>
    <w:uiPriority w:val="39"/>
    <w:unhideWhenUsed/>
    <w:rsid w:val="00195130"/>
    <w:pPr>
      <w:spacing w:after="100"/>
      <w:ind w:left="480"/>
    </w:pPr>
  </w:style>
  <w:style w:type="character" w:styleId="FollowedHyperlink">
    <w:name w:val="FollowedHyperlink"/>
    <w:basedOn w:val="DefaultParagraphFont"/>
    <w:uiPriority w:val="99"/>
    <w:semiHidden/>
    <w:unhideWhenUsed/>
    <w:rsid w:val="00195130"/>
    <w:rPr>
      <w:color w:val="954F72"/>
      <w:u w:val="single"/>
    </w:rPr>
  </w:style>
  <w:style w:type="paragraph" w:customStyle="1" w:styleId="msonormal0">
    <w:name w:val="msonormal"/>
    <w:basedOn w:val="Normal"/>
    <w:rsid w:val="00195130"/>
    <w:pPr>
      <w:spacing w:before="100" w:beforeAutospacing="1" w:after="100" w:afterAutospacing="1"/>
    </w:pPr>
    <w:rPr>
      <w:rFonts w:eastAsia="Times New Roman"/>
    </w:rPr>
  </w:style>
  <w:style w:type="paragraph" w:customStyle="1" w:styleId="xl65">
    <w:name w:val="xl65"/>
    <w:basedOn w:val="Normal"/>
    <w:rsid w:val="00195130"/>
    <w:pPr>
      <w:spacing w:before="100" w:beforeAutospacing="1" w:after="100" w:afterAutospacing="1"/>
      <w:jc w:val="center"/>
    </w:pPr>
    <w:rPr>
      <w:rFonts w:eastAsia="Times New Roman"/>
    </w:rPr>
  </w:style>
  <w:style w:type="paragraph" w:customStyle="1" w:styleId="xl66">
    <w:name w:val="xl66"/>
    <w:basedOn w:val="Normal"/>
    <w:rsid w:val="00195130"/>
    <w:pPr>
      <w:shd w:val="clear" w:color="000000" w:fill="BDD7EE"/>
      <w:spacing w:before="100" w:beforeAutospacing="1" w:after="100" w:afterAutospacing="1"/>
      <w:jc w:val="center"/>
    </w:pPr>
    <w:rPr>
      <w:rFonts w:eastAsia="Times New Roman"/>
      <w:b/>
      <w:bCs/>
    </w:rPr>
  </w:style>
  <w:style w:type="paragraph" w:customStyle="1" w:styleId="xl67">
    <w:name w:val="xl67"/>
    <w:basedOn w:val="Normal"/>
    <w:rsid w:val="00195130"/>
    <w:pPr>
      <w:pBdr>
        <w:bottom w:val="single" w:sz="4" w:space="0" w:color="auto"/>
      </w:pBdr>
      <w:shd w:val="clear" w:color="000000" w:fill="BDD7EE"/>
      <w:spacing w:before="100" w:beforeAutospacing="1" w:after="100" w:afterAutospacing="1"/>
      <w:jc w:val="center"/>
    </w:pPr>
    <w:rPr>
      <w:rFonts w:eastAsia="Times New Roman"/>
      <w:b/>
      <w:bCs/>
    </w:rPr>
  </w:style>
  <w:style w:type="paragraph" w:customStyle="1" w:styleId="xl68">
    <w:name w:val="xl68"/>
    <w:basedOn w:val="Normal"/>
    <w:rsid w:val="00195130"/>
    <w:pPr>
      <w:shd w:val="clear" w:color="000000" w:fill="BDD7EE"/>
      <w:spacing w:before="100" w:beforeAutospacing="1" w:after="100" w:afterAutospacing="1"/>
      <w:jc w:val="center"/>
    </w:pPr>
    <w:rPr>
      <w:rFonts w:eastAsia="Times New Roman"/>
    </w:rPr>
  </w:style>
  <w:style w:type="paragraph" w:customStyle="1" w:styleId="xl69">
    <w:name w:val="xl69"/>
    <w:basedOn w:val="Normal"/>
    <w:rsid w:val="00195130"/>
    <w:pPr>
      <w:pBdr>
        <w:bottom w:val="single" w:sz="4" w:space="0" w:color="auto"/>
      </w:pBdr>
      <w:shd w:val="clear" w:color="000000" w:fill="BDD7EE"/>
      <w:spacing w:before="100" w:beforeAutospacing="1" w:after="100" w:afterAutospacing="1"/>
      <w:jc w:val="center"/>
      <w:textAlignment w:val="center"/>
    </w:pPr>
    <w:rPr>
      <w:rFonts w:eastAsia="Times New Roman"/>
    </w:rPr>
  </w:style>
  <w:style w:type="paragraph" w:customStyle="1" w:styleId="xl70">
    <w:name w:val="xl70"/>
    <w:basedOn w:val="Normal"/>
    <w:rsid w:val="00195130"/>
    <w:pPr>
      <w:shd w:val="clear" w:color="000000" w:fill="BDD7EE"/>
      <w:spacing w:before="100" w:beforeAutospacing="1" w:after="100" w:afterAutospacing="1"/>
      <w:jc w:val="center"/>
      <w:textAlignment w:val="center"/>
    </w:pPr>
    <w:rPr>
      <w:rFonts w:eastAsia="Times New Roman"/>
    </w:rPr>
  </w:style>
  <w:style w:type="paragraph" w:customStyle="1" w:styleId="xl71">
    <w:name w:val="xl71"/>
    <w:basedOn w:val="Normal"/>
    <w:rsid w:val="00195130"/>
    <w:pPr>
      <w:pBdr>
        <w:top w:val="single" w:sz="4" w:space="0" w:color="auto"/>
        <w:bottom w:val="single" w:sz="4" w:space="0" w:color="auto"/>
      </w:pBdr>
      <w:shd w:val="clear" w:color="000000" w:fill="BDD7EE"/>
      <w:spacing w:before="100" w:beforeAutospacing="1" w:after="100" w:afterAutospacing="1"/>
      <w:jc w:val="center"/>
      <w:textAlignment w:val="center"/>
    </w:pPr>
    <w:rPr>
      <w:rFonts w:eastAsia="Times New Roman"/>
    </w:rPr>
  </w:style>
  <w:style w:type="paragraph" w:customStyle="1" w:styleId="xl72">
    <w:name w:val="xl72"/>
    <w:basedOn w:val="Normal"/>
    <w:rsid w:val="00195130"/>
    <w:pPr>
      <w:shd w:val="clear" w:color="000000" w:fill="BDD7EE"/>
      <w:spacing w:before="100" w:beforeAutospacing="1" w:after="100" w:afterAutospacing="1"/>
      <w:jc w:val="center"/>
    </w:pPr>
    <w:rPr>
      <w:rFonts w:eastAsia="Times New Roman"/>
    </w:rPr>
  </w:style>
  <w:style w:type="paragraph" w:customStyle="1" w:styleId="xl73">
    <w:name w:val="xl73"/>
    <w:basedOn w:val="Normal"/>
    <w:rsid w:val="00195130"/>
    <w:pPr>
      <w:shd w:val="clear" w:color="000000" w:fill="BDD7EE"/>
      <w:spacing w:before="100" w:beforeAutospacing="1" w:after="100" w:afterAutospacing="1"/>
    </w:pPr>
    <w:rPr>
      <w:rFonts w:eastAsia="Times New Roman"/>
    </w:rPr>
  </w:style>
  <w:style w:type="paragraph" w:customStyle="1" w:styleId="xl74">
    <w:name w:val="xl74"/>
    <w:basedOn w:val="Normal"/>
    <w:rsid w:val="00195130"/>
    <w:pPr>
      <w:shd w:val="clear" w:color="000000" w:fill="BDD7EE"/>
      <w:spacing w:before="100" w:beforeAutospacing="1" w:after="100" w:afterAutospacing="1"/>
    </w:pPr>
    <w:rPr>
      <w:rFonts w:eastAsia="Times New Roman"/>
    </w:rPr>
  </w:style>
  <w:style w:type="paragraph" w:customStyle="1" w:styleId="xl75">
    <w:name w:val="xl75"/>
    <w:basedOn w:val="Normal"/>
    <w:rsid w:val="00195130"/>
    <w:pPr>
      <w:shd w:val="clear" w:color="000000" w:fill="BDD7EE"/>
      <w:spacing w:before="100" w:beforeAutospacing="1" w:after="100" w:afterAutospacing="1"/>
      <w:jc w:val="center"/>
    </w:pPr>
    <w:rPr>
      <w:rFonts w:eastAsia="Times New Roman"/>
      <w:b/>
      <w:bCs/>
    </w:rPr>
  </w:style>
  <w:style w:type="paragraph" w:customStyle="1" w:styleId="xl76">
    <w:name w:val="xl76"/>
    <w:basedOn w:val="Normal"/>
    <w:rsid w:val="00195130"/>
    <w:pPr>
      <w:pBdr>
        <w:bottom w:val="single" w:sz="4" w:space="0" w:color="auto"/>
      </w:pBdr>
      <w:shd w:val="clear" w:color="000000" w:fill="BDD7EE"/>
      <w:spacing w:before="100" w:beforeAutospacing="1" w:after="100" w:afterAutospacing="1"/>
      <w:jc w:val="center"/>
    </w:pPr>
    <w:rPr>
      <w:rFonts w:eastAsia="Times New Roman"/>
      <w:b/>
      <w:bCs/>
    </w:rPr>
  </w:style>
  <w:style w:type="paragraph" w:styleId="TOCHeading">
    <w:name w:val="TOC Heading"/>
    <w:basedOn w:val="Heading1"/>
    <w:next w:val="Normal"/>
    <w:uiPriority w:val="39"/>
    <w:unhideWhenUsed/>
    <w:qFormat/>
    <w:rsid w:val="0019513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4">
    <w:name w:val="toc 4"/>
    <w:basedOn w:val="Normal"/>
    <w:next w:val="Normal"/>
    <w:autoRedefine/>
    <w:uiPriority w:val="39"/>
    <w:unhideWhenUsed/>
    <w:rsid w:val="00195130"/>
    <w:pPr>
      <w:spacing w:after="100"/>
      <w:ind w:left="720"/>
    </w:pPr>
  </w:style>
  <w:style w:type="paragraph" w:customStyle="1" w:styleId="xl77">
    <w:name w:val="xl77"/>
    <w:basedOn w:val="Normal"/>
    <w:rsid w:val="00195130"/>
    <w:pPr>
      <w:shd w:val="clear" w:color="000000" w:fill="BDD7EE"/>
      <w:spacing w:before="100" w:beforeAutospacing="1" w:after="100" w:afterAutospacing="1"/>
      <w:textAlignment w:val="center"/>
    </w:pPr>
    <w:rPr>
      <w:rFonts w:eastAsia="Times New Roman"/>
    </w:rPr>
  </w:style>
  <w:style w:type="paragraph" w:customStyle="1" w:styleId="xl78">
    <w:name w:val="xl78"/>
    <w:basedOn w:val="Normal"/>
    <w:rsid w:val="00195130"/>
    <w:pPr>
      <w:shd w:val="clear" w:color="000000" w:fill="BDD7EE"/>
      <w:spacing w:before="100" w:beforeAutospacing="1" w:after="100" w:afterAutospacing="1"/>
      <w:jc w:val="center"/>
    </w:pPr>
    <w:rPr>
      <w:rFonts w:eastAsia="Times New Roman"/>
    </w:rPr>
  </w:style>
  <w:style w:type="paragraph" w:customStyle="1" w:styleId="xl79">
    <w:name w:val="xl79"/>
    <w:basedOn w:val="Normal"/>
    <w:rsid w:val="00195130"/>
    <w:pPr>
      <w:shd w:val="clear" w:color="000000" w:fill="BDD7EE"/>
      <w:spacing w:before="100" w:beforeAutospacing="1" w:after="100" w:afterAutospacing="1"/>
    </w:pPr>
    <w:rPr>
      <w:rFonts w:eastAsia="Times New Roman"/>
    </w:rPr>
  </w:style>
  <w:style w:type="paragraph" w:customStyle="1" w:styleId="xl80">
    <w:name w:val="xl80"/>
    <w:basedOn w:val="Normal"/>
    <w:rsid w:val="00195130"/>
    <w:pPr>
      <w:shd w:val="clear" w:color="000000" w:fill="BDD7EE"/>
      <w:spacing w:before="100" w:beforeAutospacing="1" w:after="100" w:afterAutospacing="1"/>
    </w:pPr>
    <w:rPr>
      <w:rFonts w:eastAsia="Times New Roman"/>
    </w:rPr>
  </w:style>
  <w:style w:type="paragraph" w:styleId="TableofFigures">
    <w:name w:val="table of figures"/>
    <w:basedOn w:val="Normal"/>
    <w:next w:val="Normal"/>
    <w:uiPriority w:val="99"/>
    <w:unhideWhenUsed/>
    <w:rsid w:val="00195130"/>
  </w:style>
  <w:style w:type="table" w:styleId="PlainTable2">
    <w:name w:val="Plain Table 2"/>
    <w:basedOn w:val="TableNormal"/>
    <w:uiPriority w:val="42"/>
    <w:rsid w:val="001951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195130"/>
    <w:rPr>
      <w:color w:val="808080"/>
    </w:rPr>
  </w:style>
  <w:style w:type="paragraph" w:styleId="BalloonText">
    <w:name w:val="Balloon Text"/>
    <w:basedOn w:val="Normal"/>
    <w:link w:val="BalloonTextChar"/>
    <w:uiPriority w:val="99"/>
    <w:semiHidden/>
    <w:unhideWhenUsed/>
    <w:rsid w:val="001951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130"/>
    <w:rPr>
      <w:rFonts w:ascii="Segoe UI" w:hAnsi="Segoe UI" w:cs="Segoe UI"/>
      <w:sz w:val="18"/>
      <w:szCs w:val="18"/>
      <w:lang w:eastAsia="en-GB"/>
    </w:rPr>
  </w:style>
  <w:style w:type="paragraph" w:customStyle="1" w:styleId="xl81">
    <w:name w:val="xl81"/>
    <w:basedOn w:val="Normal"/>
    <w:rsid w:val="00195130"/>
    <w:pPr>
      <w:pBdr>
        <w:bottom w:val="single" w:sz="4" w:space="0" w:color="auto"/>
      </w:pBdr>
      <w:spacing w:before="100" w:beforeAutospacing="1" w:after="100" w:afterAutospacing="1"/>
      <w:textAlignment w:val="center"/>
    </w:pPr>
    <w:rPr>
      <w:rFonts w:eastAsia="Times New Roman"/>
      <w:color w:val="000000"/>
      <w:sz w:val="18"/>
      <w:szCs w:val="18"/>
    </w:rPr>
  </w:style>
  <w:style w:type="paragraph" w:customStyle="1" w:styleId="xl82">
    <w:name w:val="xl82"/>
    <w:basedOn w:val="Normal"/>
    <w:rsid w:val="00195130"/>
    <w:pPr>
      <w:pBdr>
        <w:bottom w:val="single" w:sz="4" w:space="0" w:color="auto"/>
      </w:pBdr>
      <w:spacing w:before="100" w:beforeAutospacing="1" w:after="100" w:afterAutospacing="1"/>
    </w:pPr>
    <w:rPr>
      <w:rFonts w:eastAsia="Times New Roman"/>
      <w:sz w:val="18"/>
      <w:szCs w:val="18"/>
    </w:rPr>
  </w:style>
  <w:style w:type="paragraph" w:customStyle="1" w:styleId="xl83">
    <w:name w:val="xl83"/>
    <w:basedOn w:val="Normal"/>
    <w:rsid w:val="00195130"/>
    <w:pPr>
      <w:pBdr>
        <w:bottom w:val="single" w:sz="4" w:space="0" w:color="auto"/>
      </w:pBdr>
      <w:spacing w:before="100" w:beforeAutospacing="1" w:after="100" w:afterAutospacing="1"/>
      <w:jc w:val="center"/>
      <w:textAlignment w:val="center"/>
    </w:pPr>
    <w:rPr>
      <w:rFonts w:eastAsia="Times New Roman"/>
      <w:color w:val="000000"/>
      <w:sz w:val="18"/>
      <w:szCs w:val="18"/>
    </w:rPr>
  </w:style>
  <w:style w:type="paragraph" w:customStyle="1" w:styleId="xl84">
    <w:name w:val="xl84"/>
    <w:basedOn w:val="Normal"/>
    <w:rsid w:val="00195130"/>
    <w:pPr>
      <w:spacing w:before="100" w:beforeAutospacing="1" w:after="100" w:afterAutospacing="1"/>
    </w:pPr>
    <w:rPr>
      <w:rFonts w:eastAsia="Times New Roman"/>
      <w:sz w:val="16"/>
      <w:szCs w:val="16"/>
    </w:rPr>
  </w:style>
  <w:style w:type="paragraph" w:customStyle="1" w:styleId="xl85">
    <w:name w:val="xl85"/>
    <w:basedOn w:val="Normal"/>
    <w:rsid w:val="00195130"/>
    <w:pPr>
      <w:spacing w:before="100" w:beforeAutospacing="1" w:after="100" w:afterAutospacing="1"/>
    </w:pPr>
    <w:rPr>
      <w:rFonts w:eastAsia="Times New Roman"/>
      <w:b/>
      <w:bCs/>
      <w:color w:val="000000"/>
      <w:sz w:val="16"/>
      <w:szCs w:val="16"/>
    </w:rPr>
  </w:style>
  <w:style w:type="paragraph" w:customStyle="1" w:styleId="xl86">
    <w:name w:val="xl86"/>
    <w:basedOn w:val="Normal"/>
    <w:rsid w:val="00195130"/>
    <w:pPr>
      <w:spacing w:before="100" w:beforeAutospacing="1" w:after="100" w:afterAutospacing="1"/>
      <w:jc w:val="center"/>
    </w:pPr>
    <w:rPr>
      <w:rFonts w:eastAsia="Times New Roman"/>
      <w:sz w:val="16"/>
      <w:szCs w:val="16"/>
    </w:rPr>
  </w:style>
  <w:style w:type="paragraph" w:customStyle="1" w:styleId="xl87">
    <w:name w:val="xl87"/>
    <w:basedOn w:val="Normal"/>
    <w:rsid w:val="00195130"/>
    <w:pPr>
      <w:pBdr>
        <w:right w:val="single" w:sz="4" w:space="0" w:color="auto"/>
      </w:pBdr>
      <w:spacing w:before="100" w:beforeAutospacing="1" w:after="100" w:afterAutospacing="1"/>
      <w:textAlignment w:val="center"/>
    </w:pPr>
    <w:rPr>
      <w:rFonts w:eastAsia="Times New Roman"/>
      <w:sz w:val="16"/>
      <w:szCs w:val="16"/>
    </w:rPr>
  </w:style>
  <w:style w:type="paragraph" w:customStyle="1" w:styleId="xl88">
    <w:name w:val="xl88"/>
    <w:basedOn w:val="Normal"/>
    <w:rsid w:val="00195130"/>
    <w:pPr>
      <w:spacing w:before="100" w:beforeAutospacing="1" w:after="100" w:afterAutospacing="1"/>
      <w:jc w:val="center"/>
      <w:textAlignment w:val="center"/>
    </w:pPr>
    <w:rPr>
      <w:rFonts w:eastAsia="Times New Roman"/>
      <w:sz w:val="16"/>
      <w:szCs w:val="16"/>
    </w:rPr>
  </w:style>
  <w:style w:type="paragraph" w:customStyle="1" w:styleId="xl89">
    <w:name w:val="xl89"/>
    <w:basedOn w:val="Normal"/>
    <w:rsid w:val="00195130"/>
    <w:pPr>
      <w:spacing w:before="100" w:beforeAutospacing="1" w:after="100" w:afterAutospacing="1"/>
      <w:jc w:val="center"/>
      <w:textAlignment w:val="center"/>
    </w:pPr>
    <w:rPr>
      <w:rFonts w:eastAsia="Times New Roman"/>
      <w:sz w:val="16"/>
      <w:szCs w:val="16"/>
    </w:rPr>
  </w:style>
  <w:style w:type="paragraph" w:customStyle="1" w:styleId="xl90">
    <w:name w:val="xl90"/>
    <w:basedOn w:val="Normal"/>
    <w:rsid w:val="00195130"/>
    <w:pPr>
      <w:spacing w:before="100" w:beforeAutospacing="1" w:after="100" w:afterAutospacing="1"/>
      <w:jc w:val="center"/>
      <w:textAlignment w:val="center"/>
    </w:pPr>
    <w:rPr>
      <w:rFonts w:eastAsia="Times New Roman"/>
      <w:color w:val="000000"/>
      <w:sz w:val="16"/>
      <w:szCs w:val="16"/>
    </w:rPr>
  </w:style>
  <w:style w:type="paragraph" w:customStyle="1" w:styleId="xl91">
    <w:name w:val="xl91"/>
    <w:basedOn w:val="Normal"/>
    <w:rsid w:val="00195130"/>
    <w:pPr>
      <w:pBdr>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92">
    <w:name w:val="xl92"/>
    <w:basedOn w:val="Normal"/>
    <w:rsid w:val="00195130"/>
    <w:pPr>
      <w:spacing w:before="100" w:beforeAutospacing="1" w:after="100" w:afterAutospacing="1"/>
    </w:pPr>
    <w:rPr>
      <w:rFonts w:eastAsia="Times New Roman"/>
      <w:sz w:val="16"/>
      <w:szCs w:val="16"/>
    </w:rPr>
  </w:style>
  <w:style w:type="paragraph" w:customStyle="1" w:styleId="xl93">
    <w:name w:val="xl93"/>
    <w:basedOn w:val="Normal"/>
    <w:rsid w:val="00195130"/>
    <w:pPr>
      <w:pBdr>
        <w:bottom w:val="single" w:sz="4" w:space="0" w:color="auto"/>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94">
    <w:name w:val="xl94"/>
    <w:basedOn w:val="Normal"/>
    <w:rsid w:val="00195130"/>
    <w:pPr>
      <w:pBdr>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95">
    <w:name w:val="xl95"/>
    <w:basedOn w:val="Normal"/>
    <w:rsid w:val="00195130"/>
    <w:pPr>
      <w:pBdr>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96">
    <w:name w:val="xl96"/>
    <w:basedOn w:val="Normal"/>
    <w:rsid w:val="00195130"/>
    <w:pPr>
      <w:pBdr>
        <w:bottom w:val="single" w:sz="4" w:space="0" w:color="auto"/>
      </w:pBdr>
      <w:spacing w:before="100" w:beforeAutospacing="1" w:after="100" w:afterAutospacing="1"/>
      <w:jc w:val="center"/>
      <w:textAlignment w:val="center"/>
    </w:pPr>
    <w:rPr>
      <w:rFonts w:eastAsia="Times New Roman"/>
      <w:color w:val="000000"/>
      <w:sz w:val="16"/>
      <w:szCs w:val="16"/>
    </w:rPr>
  </w:style>
  <w:style w:type="paragraph" w:customStyle="1" w:styleId="xl97">
    <w:name w:val="xl97"/>
    <w:basedOn w:val="Normal"/>
    <w:rsid w:val="00195130"/>
    <w:pPr>
      <w:spacing w:before="100" w:beforeAutospacing="1" w:after="100" w:afterAutospacing="1"/>
      <w:jc w:val="center"/>
      <w:textAlignment w:val="center"/>
    </w:pPr>
    <w:rPr>
      <w:rFonts w:eastAsia="Times New Roman"/>
      <w:sz w:val="16"/>
      <w:szCs w:val="16"/>
    </w:rPr>
  </w:style>
  <w:style w:type="paragraph" w:customStyle="1" w:styleId="xl98">
    <w:name w:val="xl98"/>
    <w:basedOn w:val="Normal"/>
    <w:rsid w:val="00195130"/>
    <w:pPr>
      <w:spacing w:before="100" w:beforeAutospacing="1" w:after="100" w:afterAutospacing="1"/>
      <w:jc w:val="center"/>
      <w:textAlignment w:val="center"/>
    </w:pPr>
    <w:rPr>
      <w:rFonts w:eastAsia="Times New Roman"/>
      <w:sz w:val="16"/>
      <w:szCs w:val="16"/>
    </w:rPr>
  </w:style>
  <w:style w:type="paragraph" w:customStyle="1" w:styleId="xl99">
    <w:name w:val="xl99"/>
    <w:basedOn w:val="Normal"/>
    <w:rsid w:val="00195130"/>
    <w:pPr>
      <w:pBdr>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100">
    <w:name w:val="xl100"/>
    <w:basedOn w:val="Normal"/>
    <w:rsid w:val="00195130"/>
    <w:pPr>
      <w:pBdr>
        <w:top w:val="single" w:sz="4" w:space="0" w:color="auto"/>
      </w:pBdr>
      <w:spacing w:before="100" w:beforeAutospacing="1" w:after="100" w:afterAutospacing="1"/>
    </w:pPr>
    <w:rPr>
      <w:rFonts w:eastAsia="Times New Roman"/>
      <w:sz w:val="16"/>
      <w:szCs w:val="16"/>
    </w:rPr>
  </w:style>
  <w:style w:type="character" w:styleId="EndnoteReference">
    <w:name w:val="endnote reference"/>
    <w:basedOn w:val="DefaultParagraphFont"/>
    <w:uiPriority w:val="99"/>
    <w:semiHidden/>
    <w:unhideWhenUsed/>
    <w:rsid w:val="00195130"/>
    <w:rPr>
      <w:vertAlign w:val="superscript"/>
    </w:rPr>
  </w:style>
  <w:style w:type="paragraph" w:styleId="NoSpacing">
    <w:name w:val="No Spacing"/>
    <w:link w:val="NoSpacingChar"/>
    <w:uiPriority w:val="1"/>
    <w:qFormat/>
    <w:rsid w:val="0019513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5130"/>
    <w:rPr>
      <w:rFonts w:eastAsiaTheme="minorEastAsia"/>
      <w:lang w:val="en-US"/>
    </w:rPr>
  </w:style>
  <w:style w:type="paragraph" w:customStyle="1" w:styleId="paragraph">
    <w:name w:val="paragraph"/>
    <w:basedOn w:val="Normal"/>
    <w:rsid w:val="00195130"/>
    <w:pPr>
      <w:spacing w:before="100" w:beforeAutospacing="1" w:after="100" w:afterAutospacing="1"/>
    </w:pPr>
    <w:rPr>
      <w:rFonts w:eastAsia="Times New Roman"/>
    </w:rPr>
  </w:style>
  <w:style w:type="character" w:customStyle="1" w:styleId="eop">
    <w:name w:val="eop"/>
    <w:basedOn w:val="DefaultParagraphFont"/>
    <w:rsid w:val="00195130"/>
  </w:style>
  <w:style w:type="character" w:customStyle="1" w:styleId="spellingerror">
    <w:name w:val="spellingerror"/>
    <w:basedOn w:val="DefaultParagraphFont"/>
    <w:rsid w:val="00195130"/>
  </w:style>
  <w:style w:type="character" w:styleId="CommentReference">
    <w:name w:val="annotation reference"/>
    <w:basedOn w:val="DefaultParagraphFont"/>
    <w:uiPriority w:val="99"/>
    <w:semiHidden/>
    <w:unhideWhenUsed/>
    <w:rsid w:val="00195130"/>
    <w:rPr>
      <w:sz w:val="16"/>
      <w:szCs w:val="16"/>
    </w:rPr>
  </w:style>
  <w:style w:type="paragraph" w:styleId="CommentText">
    <w:name w:val="annotation text"/>
    <w:basedOn w:val="Normal"/>
    <w:link w:val="CommentTextChar"/>
    <w:uiPriority w:val="99"/>
    <w:unhideWhenUsed/>
    <w:rsid w:val="00195130"/>
    <w:rPr>
      <w:sz w:val="20"/>
      <w:szCs w:val="20"/>
    </w:rPr>
  </w:style>
  <w:style w:type="character" w:customStyle="1" w:styleId="CommentTextChar">
    <w:name w:val="Comment Text Char"/>
    <w:basedOn w:val="DefaultParagraphFont"/>
    <w:link w:val="CommentText"/>
    <w:uiPriority w:val="99"/>
    <w:rsid w:val="00195130"/>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95130"/>
    <w:rPr>
      <w:b/>
      <w:bCs/>
    </w:rPr>
  </w:style>
  <w:style w:type="character" w:customStyle="1" w:styleId="CommentSubjectChar">
    <w:name w:val="Comment Subject Char"/>
    <w:basedOn w:val="CommentTextChar"/>
    <w:link w:val="CommentSubject"/>
    <w:uiPriority w:val="99"/>
    <w:semiHidden/>
    <w:rsid w:val="00195130"/>
    <w:rPr>
      <w:rFonts w:ascii="Times New Roman" w:hAnsi="Times New Roman" w:cs="Times New Roman"/>
      <w:b/>
      <w:bCs/>
      <w:sz w:val="20"/>
      <w:szCs w:val="20"/>
      <w:lang w:eastAsia="en-GB"/>
    </w:rPr>
  </w:style>
  <w:style w:type="paragraph" w:styleId="Title">
    <w:name w:val="Title"/>
    <w:basedOn w:val="Normal"/>
    <w:next w:val="Normal"/>
    <w:link w:val="TitleChar"/>
    <w:uiPriority w:val="10"/>
    <w:qFormat/>
    <w:rsid w:val="0019513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5130"/>
    <w:rPr>
      <w:rFonts w:asciiTheme="majorHAnsi" w:eastAsiaTheme="majorEastAsia" w:hAnsiTheme="majorHAnsi" w:cstheme="majorBidi"/>
      <w:spacing w:val="-10"/>
      <w:kern w:val="28"/>
      <w:sz w:val="56"/>
      <w:szCs w:val="56"/>
      <w:lang w:eastAsia="en-GB"/>
    </w:rPr>
  </w:style>
  <w:style w:type="table" w:customStyle="1" w:styleId="TableGridLight1">
    <w:name w:val="Table Grid Light1"/>
    <w:basedOn w:val="TableNormal"/>
    <w:uiPriority w:val="40"/>
    <w:rsid w:val="001951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ndnoteTextChar">
    <w:name w:val="Endnote Text Char"/>
    <w:basedOn w:val="DefaultParagraphFont"/>
    <w:link w:val="EndnoteText"/>
    <w:uiPriority w:val="99"/>
    <w:semiHidden/>
    <w:rsid w:val="00195130"/>
    <w:rPr>
      <w:sz w:val="20"/>
      <w:szCs w:val="20"/>
    </w:rPr>
  </w:style>
  <w:style w:type="paragraph" w:styleId="EndnoteText">
    <w:name w:val="endnote text"/>
    <w:basedOn w:val="Normal"/>
    <w:link w:val="EndnoteTextChar"/>
    <w:uiPriority w:val="99"/>
    <w:semiHidden/>
    <w:unhideWhenUsed/>
    <w:rsid w:val="00195130"/>
    <w:rPr>
      <w:rFonts w:asciiTheme="minorHAnsi" w:hAnsiTheme="minorHAnsi" w:cstheme="minorBidi"/>
      <w:sz w:val="20"/>
      <w:szCs w:val="20"/>
      <w:lang w:eastAsia="en-US"/>
    </w:rPr>
  </w:style>
  <w:style w:type="character" w:customStyle="1" w:styleId="EndnoteTextChar1">
    <w:name w:val="Endnote Text Char1"/>
    <w:basedOn w:val="DefaultParagraphFont"/>
    <w:uiPriority w:val="99"/>
    <w:semiHidden/>
    <w:rsid w:val="00195130"/>
    <w:rPr>
      <w:rFonts w:ascii="Times New Roman" w:hAnsi="Times New Roman" w:cs="Times New Roman"/>
      <w:sz w:val="20"/>
      <w:szCs w:val="20"/>
      <w:lang w:eastAsia="en-GB"/>
    </w:rPr>
  </w:style>
  <w:style w:type="character" w:styleId="Strong">
    <w:name w:val="Strong"/>
    <w:basedOn w:val="DefaultParagraphFont"/>
    <w:uiPriority w:val="22"/>
    <w:qFormat/>
    <w:rsid w:val="00195130"/>
    <w:rPr>
      <w:b/>
      <w:bCs/>
    </w:rPr>
  </w:style>
  <w:style w:type="paragraph" w:styleId="Revision">
    <w:name w:val="Revision"/>
    <w:hidden/>
    <w:uiPriority w:val="99"/>
    <w:semiHidden/>
    <w:rsid w:val="00195130"/>
    <w:pPr>
      <w:spacing w:after="0" w:line="240" w:lineRule="auto"/>
    </w:pPr>
  </w:style>
  <w:style w:type="paragraph" w:styleId="NormalWeb">
    <w:name w:val="Normal (Web)"/>
    <w:basedOn w:val="Normal"/>
    <w:uiPriority w:val="99"/>
    <w:unhideWhenUsed/>
    <w:rsid w:val="00195130"/>
    <w:pPr>
      <w:spacing w:before="100" w:beforeAutospacing="1" w:after="100" w:afterAutospacing="1"/>
    </w:pPr>
    <w:rPr>
      <w:rFonts w:eastAsia="Times New Roman"/>
    </w:rPr>
  </w:style>
  <w:style w:type="character" w:customStyle="1" w:styleId="acopre">
    <w:name w:val="acopre"/>
    <w:basedOn w:val="DefaultParagraphFont"/>
    <w:rsid w:val="00195130"/>
  </w:style>
  <w:style w:type="paragraph" w:styleId="TOC5">
    <w:name w:val="toc 5"/>
    <w:basedOn w:val="Normal"/>
    <w:next w:val="Normal"/>
    <w:autoRedefine/>
    <w:uiPriority w:val="39"/>
    <w:unhideWhenUsed/>
    <w:rsid w:val="0019513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9513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9513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9513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95130"/>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195130"/>
    <w:rPr>
      <w:color w:val="605E5C"/>
      <w:shd w:val="clear" w:color="auto" w:fill="E1DFDD"/>
    </w:rPr>
  </w:style>
  <w:style w:type="character" w:styleId="UnresolvedMention">
    <w:name w:val="Unresolved Mention"/>
    <w:basedOn w:val="DefaultParagraphFont"/>
    <w:uiPriority w:val="99"/>
    <w:semiHidden/>
    <w:unhideWhenUsed/>
    <w:rsid w:val="00195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8544">
      <w:bodyDiv w:val="1"/>
      <w:marLeft w:val="0"/>
      <w:marRight w:val="0"/>
      <w:marTop w:val="0"/>
      <w:marBottom w:val="0"/>
      <w:divBdr>
        <w:top w:val="none" w:sz="0" w:space="0" w:color="auto"/>
        <w:left w:val="none" w:sz="0" w:space="0" w:color="auto"/>
        <w:bottom w:val="none" w:sz="0" w:space="0" w:color="auto"/>
        <w:right w:val="none" w:sz="0" w:space="0" w:color="auto"/>
      </w:divBdr>
      <w:divsChild>
        <w:div w:id="1346906976">
          <w:marLeft w:val="0"/>
          <w:marRight w:val="0"/>
          <w:marTop w:val="0"/>
          <w:marBottom w:val="0"/>
          <w:divBdr>
            <w:top w:val="none" w:sz="0" w:space="0" w:color="auto"/>
            <w:left w:val="none" w:sz="0" w:space="0" w:color="auto"/>
            <w:bottom w:val="none" w:sz="0" w:space="0" w:color="auto"/>
            <w:right w:val="none" w:sz="0" w:space="0" w:color="auto"/>
          </w:divBdr>
        </w:div>
      </w:divsChild>
    </w:div>
    <w:div w:id="1924099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s://www.sec.gov/info/edgar/siccodes.htm?fbclid=IwAR05YInQ45LdvKZX1AJRrg-RQUG8p91Jz4wpn7EEBF13Ak4U2NSW_CC8hP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ec.gov/divisions/corpfin/ad-lookup.shtm" TargetMode="External"/><Relationship Id="rId27" Type="http://schemas.openxmlformats.org/officeDocument/2006/relationships/hyperlink" Target="https://en.m.wikipedia.org/wiki/European_Securities_and_Markets_Author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d956ced2db056583/PhD%20Journey/Paper%201_Determinants%20of%20SEC%20review%20on%20S-1%20filings/Paper%201_Determinants%20of%20SEC%20S-1%20review_%20IPO%20firms,%20special%20events,%20industry%20and%20reviewer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Number of IPOs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'Population distribution'!$A$5:$A$17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'Population distribution'!$C$5:$C$17</c:f>
              <c:numCache>
                <c:formatCode>General</c:formatCode>
                <c:ptCount val="13"/>
                <c:pt idx="0">
                  <c:v>57</c:v>
                </c:pt>
                <c:pt idx="1">
                  <c:v>103</c:v>
                </c:pt>
                <c:pt idx="2">
                  <c:v>94</c:v>
                </c:pt>
                <c:pt idx="3">
                  <c:v>19</c:v>
                </c:pt>
                <c:pt idx="4">
                  <c:v>41</c:v>
                </c:pt>
                <c:pt idx="5">
                  <c:v>66</c:v>
                </c:pt>
                <c:pt idx="6">
                  <c:v>68</c:v>
                </c:pt>
                <c:pt idx="7">
                  <c:v>41</c:v>
                </c:pt>
                <c:pt idx="8">
                  <c:v>114</c:v>
                </c:pt>
                <c:pt idx="9">
                  <c:v>123</c:v>
                </c:pt>
                <c:pt idx="10">
                  <c:v>78</c:v>
                </c:pt>
                <c:pt idx="11">
                  <c:v>58</c:v>
                </c:pt>
                <c:pt idx="12">
                  <c:v>47</c:v>
                </c:pt>
              </c:numCache>
            </c:numRef>
          </c:val>
          <c:extLst>
            <c:ext xmlns:c16="http://schemas.microsoft.com/office/drawing/2014/chart" uri="{C3380CC4-5D6E-409C-BE32-E72D297353CC}">
              <c16:uniqueId val="{00000000-3EE6-459A-9E4E-9C0B902D5605}"/>
            </c:ext>
          </c:extLst>
        </c:ser>
        <c:ser>
          <c:idx val="2"/>
          <c:order val="2"/>
          <c:tx>
            <c:v>Number of IPO receiving initial comment letters</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'Population distribution'!$A$5:$A$17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'Population distribution'!$F$5:$F$17</c:f>
              <c:numCache>
                <c:formatCode>General</c:formatCode>
                <c:ptCount val="13"/>
                <c:pt idx="0">
                  <c:v>48</c:v>
                </c:pt>
                <c:pt idx="1">
                  <c:v>93</c:v>
                </c:pt>
                <c:pt idx="2">
                  <c:v>83</c:v>
                </c:pt>
                <c:pt idx="3">
                  <c:v>16</c:v>
                </c:pt>
                <c:pt idx="4">
                  <c:v>40</c:v>
                </c:pt>
                <c:pt idx="5">
                  <c:v>59</c:v>
                </c:pt>
                <c:pt idx="6">
                  <c:v>66</c:v>
                </c:pt>
                <c:pt idx="7">
                  <c:v>38</c:v>
                </c:pt>
                <c:pt idx="8">
                  <c:v>90</c:v>
                </c:pt>
                <c:pt idx="9">
                  <c:v>75</c:v>
                </c:pt>
                <c:pt idx="10">
                  <c:v>49</c:v>
                </c:pt>
                <c:pt idx="11">
                  <c:v>38</c:v>
                </c:pt>
                <c:pt idx="12">
                  <c:v>15</c:v>
                </c:pt>
              </c:numCache>
            </c:numRef>
          </c:val>
          <c:extLst>
            <c:ext xmlns:c16="http://schemas.microsoft.com/office/drawing/2014/chart" uri="{C3380CC4-5D6E-409C-BE32-E72D297353CC}">
              <c16:uniqueId val="{00000001-3EE6-459A-9E4E-9C0B902D5605}"/>
            </c:ext>
          </c:extLst>
        </c:ser>
        <c:dLbls>
          <c:showLegendKey val="0"/>
          <c:showVal val="1"/>
          <c:showCatName val="0"/>
          <c:showSerName val="0"/>
          <c:showPercent val="0"/>
          <c:showBubbleSize val="0"/>
        </c:dLbls>
        <c:gapWidth val="150"/>
        <c:axId val="780369824"/>
        <c:axId val="78037507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'Population distribution'!$A$5:$A$17</c15:sqref>
                        </c15:formulaRef>
                      </c:ext>
                    </c:extLst>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extLst>
                      <c:ext uri="{02D57815-91ED-43cb-92C2-25804820EDAC}">
                        <c15:formulaRef>
                          <c15:sqref>'Population distribution'!$A$5:$A$17</c15:sqref>
                        </c15:formulaRef>
                      </c:ext>
                    </c:extLst>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val>
                <c:extLst>
                  <c:ext xmlns:c16="http://schemas.microsoft.com/office/drawing/2014/chart" uri="{C3380CC4-5D6E-409C-BE32-E72D297353CC}">
                    <c16:uniqueId val="{00000003-3EE6-459A-9E4E-9C0B902D5605}"/>
                  </c:ext>
                </c:extLst>
              </c15:ser>
            </c15:filteredBarSeries>
          </c:ext>
        </c:extLst>
      </c:barChart>
      <c:lineChart>
        <c:grouping val="standard"/>
        <c:varyColors val="0"/>
        <c:ser>
          <c:idx val="3"/>
          <c:order val="3"/>
          <c:tx>
            <c:v>Proportion of IPO receiving iniial comment letters</c:v>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'Population distribution'!$A$5:$A$17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'Population distribution'!$I$5:$I$17</c:f>
              <c:numCache>
                <c:formatCode>0.00</c:formatCode>
                <c:ptCount val="13"/>
                <c:pt idx="0">
                  <c:v>84.210526315789465</c:v>
                </c:pt>
                <c:pt idx="1">
                  <c:v>90.291262135922338</c:v>
                </c:pt>
                <c:pt idx="2">
                  <c:v>88.297872340425528</c:v>
                </c:pt>
                <c:pt idx="3">
                  <c:v>84.210526315789465</c:v>
                </c:pt>
                <c:pt idx="4">
                  <c:v>97.560975609756099</c:v>
                </c:pt>
                <c:pt idx="5">
                  <c:v>89.393939393939391</c:v>
                </c:pt>
                <c:pt idx="6">
                  <c:v>97.058823529411768</c:v>
                </c:pt>
                <c:pt idx="7">
                  <c:v>92.682926829268297</c:v>
                </c:pt>
                <c:pt idx="8">
                  <c:v>78.94736842105263</c:v>
                </c:pt>
                <c:pt idx="9">
                  <c:v>60.975609756097562</c:v>
                </c:pt>
                <c:pt idx="10">
                  <c:v>62.820512820512818</c:v>
                </c:pt>
                <c:pt idx="11">
                  <c:v>65.517241379310349</c:v>
                </c:pt>
                <c:pt idx="12">
                  <c:v>31.914893617021278</c:v>
                </c:pt>
              </c:numCache>
            </c:numRef>
          </c:val>
          <c:smooth val="0"/>
          <c:extLst>
            <c:ext xmlns:c16="http://schemas.microsoft.com/office/drawing/2014/chart" uri="{C3380CC4-5D6E-409C-BE32-E72D297353CC}">
              <c16:uniqueId val="{00000002-3EE6-459A-9E4E-9C0B902D5605}"/>
            </c:ext>
          </c:extLst>
        </c:ser>
        <c:dLbls>
          <c:showLegendKey val="0"/>
          <c:showVal val="1"/>
          <c:showCatName val="0"/>
          <c:showSerName val="0"/>
          <c:showPercent val="0"/>
          <c:showBubbleSize val="0"/>
        </c:dLbls>
        <c:marker val="1"/>
        <c:smooth val="0"/>
        <c:axId val="780369824"/>
        <c:axId val="780375072"/>
      </c:lineChart>
      <c:catAx>
        <c:axId val="7803698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75072"/>
        <c:crosses val="autoZero"/>
        <c:auto val="1"/>
        <c:lblAlgn val="ctr"/>
        <c:lblOffset val="100"/>
        <c:noMultiLvlLbl val="0"/>
      </c:catAx>
      <c:valAx>
        <c:axId val="78037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'Descriptives statistics_by year'!$C$2:$C$3</c:f>
              <c:strCache>
                <c:ptCount val="2"/>
                <c:pt idx="1">
                  <c:v>Mean</c:v>
                </c:pt>
              </c:strCache>
            </c:strRef>
          </c:tx>
          <c:spPr>
            <a:ln w="28575" cap="rnd">
              <a:solidFill>
                <a:schemeClr val="accent1"/>
              </a:solidFill>
              <a:round/>
            </a:ln>
            <a:effectLst/>
          </c:spPr>
          <c:marker>
            <c:symbol val="none"/>
          </c:marker>
          <c:dLbls>
            <c:delete val="1"/>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year'!$C$4:$C$16</c:f>
              <c:numCache>
                <c:formatCode>0.00</c:formatCode>
                <c:ptCount val="13"/>
                <c:pt idx="0">
                  <c:v>129.0351</c:v>
                </c:pt>
                <c:pt idx="1">
                  <c:v>130.09</c:v>
                </c:pt>
                <c:pt idx="2">
                  <c:v>149.90430000000001</c:v>
                </c:pt>
                <c:pt idx="3">
                  <c:v>426</c:v>
                </c:pt>
                <c:pt idx="4">
                  <c:v>144.8537</c:v>
                </c:pt>
                <c:pt idx="5">
                  <c:v>217.07579999999999</c:v>
                </c:pt>
                <c:pt idx="6">
                  <c:v>188.47059999999999</c:v>
                </c:pt>
                <c:pt idx="7">
                  <c:v>131.41460000000001</c:v>
                </c:pt>
                <c:pt idx="8">
                  <c:v>63.578949999999999</c:v>
                </c:pt>
                <c:pt idx="9">
                  <c:v>73.463409999999996</c:v>
                </c:pt>
                <c:pt idx="10">
                  <c:v>73.141030000000001</c:v>
                </c:pt>
                <c:pt idx="11">
                  <c:v>69.896550000000005</c:v>
                </c:pt>
                <c:pt idx="12">
                  <c:v>36.787230000000001</c:v>
                </c:pt>
              </c:numCache>
            </c:numRef>
          </c:val>
          <c:smooth val="0"/>
          <c:extLst>
            <c:ext xmlns:c16="http://schemas.microsoft.com/office/drawing/2014/chart" uri="{C3380CC4-5D6E-409C-BE32-E72D297353CC}">
              <c16:uniqueId val="{00000000-1903-44B3-B503-D3E753213606}"/>
            </c:ext>
          </c:extLst>
        </c:ser>
        <c:ser>
          <c:idx val="1"/>
          <c:order val="1"/>
          <c:tx>
            <c:strRef>
              <c:f>'Descriptives statistics_by year'!$D$2:$D$3</c:f>
              <c:strCache>
                <c:ptCount val="2"/>
                <c:pt idx="1">
                  <c:v>Median</c:v>
                </c:pt>
              </c:strCache>
            </c:strRef>
          </c:tx>
          <c:spPr>
            <a:ln w="28575" cap="rnd">
              <a:solidFill>
                <a:schemeClr val="accent2"/>
              </a:solidFill>
              <a:round/>
            </a:ln>
            <a:effectLst/>
          </c:spPr>
          <c:marker>
            <c:symbol val="none"/>
          </c:marker>
          <c:dLbls>
            <c:delete val="1"/>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year'!$D$4:$D$16</c:f>
              <c:numCache>
                <c:formatCode>General</c:formatCode>
                <c:ptCount val="13"/>
                <c:pt idx="0">
                  <c:v>108</c:v>
                </c:pt>
                <c:pt idx="1">
                  <c:v>107</c:v>
                </c:pt>
                <c:pt idx="2">
                  <c:v>100</c:v>
                </c:pt>
                <c:pt idx="3">
                  <c:v>427</c:v>
                </c:pt>
                <c:pt idx="4">
                  <c:v>105</c:v>
                </c:pt>
                <c:pt idx="5">
                  <c:v>124.5</c:v>
                </c:pt>
                <c:pt idx="6">
                  <c:v>144.5</c:v>
                </c:pt>
                <c:pt idx="7">
                  <c:v>108</c:v>
                </c:pt>
                <c:pt idx="8">
                  <c:v>44.5</c:v>
                </c:pt>
                <c:pt idx="9">
                  <c:v>42</c:v>
                </c:pt>
                <c:pt idx="10">
                  <c:v>37</c:v>
                </c:pt>
                <c:pt idx="11">
                  <c:v>36</c:v>
                </c:pt>
                <c:pt idx="12">
                  <c:v>27</c:v>
                </c:pt>
              </c:numCache>
            </c:numRef>
          </c:val>
          <c:smooth val="0"/>
          <c:extLst>
            <c:ext xmlns:c16="http://schemas.microsoft.com/office/drawing/2014/chart" uri="{C3380CC4-5D6E-409C-BE32-E72D297353CC}">
              <c16:uniqueId val="{00000001-1903-44B3-B503-D3E753213606}"/>
            </c:ext>
          </c:extLst>
        </c:ser>
        <c:dLbls>
          <c:dLblPos val="t"/>
          <c:showLegendKey val="0"/>
          <c:showVal val="1"/>
          <c:showCatName val="0"/>
          <c:showSerName val="0"/>
          <c:showPercent val="0"/>
          <c:showBubbleSize val="0"/>
        </c:dLbls>
        <c:smooth val="0"/>
        <c:axId val="617505968"/>
        <c:axId val="617510888"/>
      </c:lineChart>
      <c:catAx>
        <c:axId val="61750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10888"/>
        <c:crosses val="autoZero"/>
        <c:auto val="1"/>
        <c:lblAlgn val="ctr"/>
        <c:lblOffset val="100"/>
        <c:noMultiLvlLbl val="0"/>
      </c:catAx>
      <c:valAx>
        <c:axId val="617510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0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'Descriptives statistics_by year'!$G$3</c:f>
              <c:strCache>
                <c:ptCount val="1"/>
                <c:pt idx="0">
                  <c:v>Mean </c:v>
                </c:pt>
              </c:strCache>
            </c:strRef>
          </c:tx>
          <c:spPr>
            <a:ln w="28575" cap="rnd">
              <a:solidFill>
                <a:schemeClr val="accent1"/>
              </a:solidFill>
              <a:round/>
            </a:ln>
            <a:effectLst/>
          </c:spPr>
          <c:marker>
            <c:symbol val="none"/>
          </c:marker>
          <c:dLbls>
            <c:delete val="1"/>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year'!$G$4:$G$16</c:f>
              <c:numCache>
                <c:formatCode>0.00</c:formatCode>
                <c:ptCount val="13"/>
                <c:pt idx="0">
                  <c:v>2.6666669999999999</c:v>
                </c:pt>
                <c:pt idx="1">
                  <c:v>3.427184</c:v>
                </c:pt>
                <c:pt idx="2">
                  <c:v>3.4574470000000002</c:v>
                </c:pt>
                <c:pt idx="3">
                  <c:v>4.8947370000000001</c:v>
                </c:pt>
                <c:pt idx="4">
                  <c:v>4.0243900000000004</c:v>
                </c:pt>
                <c:pt idx="5">
                  <c:v>4.3030299999999997</c:v>
                </c:pt>
                <c:pt idx="6">
                  <c:v>4.4852939999999997</c:v>
                </c:pt>
                <c:pt idx="7">
                  <c:v>3.4390239999999999</c:v>
                </c:pt>
                <c:pt idx="8">
                  <c:v>2.1052629999999999</c:v>
                </c:pt>
                <c:pt idx="9">
                  <c:v>1.650407</c:v>
                </c:pt>
                <c:pt idx="10">
                  <c:v>1.7179489999999999</c:v>
                </c:pt>
                <c:pt idx="11">
                  <c:v>1.4137930000000001</c:v>
                </c:pt>
                <c:pt idx="12">
                  <c:v>0.87234040000000002</c:v>
                </c:pt>
              </c:numCache>
            </c:numRef>
          </c:val>
          <c:smooth val="0"/>
          <c:extLst>
            <c:ext xmlns:c16="http://schemas.microsoft.com/office/drawing/2014/chart" uri="{C3380CC4-5D6E-409C-BE32-E72D297353CC}">
              <c16:uniqueId val="{00000000-B303-463A-859F-7EE50C899B3E}"/>
            </c:ext>
          </c:extLst>
        </c:ser>
        <c:ser>
          <c:idx val="1"/>
          <c:order val="1"/>
          <c:tx>
            <c:strRef>
              <c:f>'Descriptives statistics_by year'!$H$3</c:f>
              <c:strCache>
                <c:ptCount val="1"/>
                <c:pt idx="0">
                  <c:v>Median</c:v>
                </c:pt>
              </c:strCache>
            </c:strRef>
          </c:tx>
          <c:spPr>
            <a:ln w="28575" cap="rnd">
              <a:solidFill>
                <a:schemeClr val="accent2"/>
              </a:solidFill>
              <a:round/>
            </a:ln>
            <a:effectLst/>
          </c:spPr>
          <c:marker>
            <c:symbol val="none"/>
          </c:marker>
          <c:dLbls>
            <c:delete val="1"/>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year'!$H$4:$H$16</c:f>
              <c:numCache>
                <c:formatCode>0.00</c:formatCode>
                <c:ptCount val="13"/>
                <c:pt idx="0">
                  <c:v>3</c:v>
                </c:pt>
                <c:pt idx="1">
                  <c:v>3</c:v>
                </c:pt>
                <c:pt idx="2">
                  <c:v>3</c:v>
                </c:pt>
                <c:pt idx="3">
                  <c:v>5</c:v>
                </c:pt>
                <c:pt idx="4">
                  <c:v>4</c:v>
                </c:pt>
                <c:pt idx="5">
                  <c:v>4</c:v>
                </c:pt>
                <c:pt idx="6">
                  <c:v>4</c:v>
                </c:pt>
                <c:pt idx="7">
                  <c:v>3</c:v>
                </c:pt>
                <c:pt idx="8">
                  <c:v>2</c:v>
                </c:pt>
                <c:pt idx="9">
                  <c:v>1</c:v>
                </c:pt>
                <c:pt idx="10">
                  <c:v>1</c:v>
                </c:pt>
                <c:pt idx="11">
                  <c:v>1</c:v>
                </c:pt>
                <c:pt idx="12">
                  <c:v>0</c:v>
                </c:pt>
              </c:numCache>
            </c:numRef>
          </c:val>
          <c:smooth val="0"/>
          <c:extLst>
            <c:ext xmlns:c16="http://schemas.microsoft.com/office/drawing/2014/chart" uri="{C3380CC4-5D6E-409C-BE32-E72D297353CC}">
              <c16:uniqueId val="{00000001-B303-463A-859F-7EE50C899B3E}"/>
            </c:ext>
          </c:extLst>
        </c:ser>
        <c:dLbls>
          <c:dLblPos val="t"/>
          <c:showLegendKey val="0"/>
          <c:showVal val="1"/>
          <c:showCatName val="0"/>
          <c:showSerName val="0"/>
          <c:showPercent val="0"/>
          <c:showBubbleSize val="0"/>
        </c:dLbls>
        <c:smooth val="0"/>
        <c:axId val="617507608"/>
        <c:axId val="617508920"/>
      </c:lineChart>
      <c:catAx>
        <c:axId val="61750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08920"/>
        <c:crosses val="autoZero"/>
        <c:auto val="1"/>
        <c:lblAlgn val="ctr"/>
        <c:lblOffset val="100"/>
        <c:noMultiLvlLbl val="0"/>
      </c:catAx>
      <c:valAx>
        <c:axId val="617508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0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'Descriptives statistics_by year'!$K$3</c:f>
              <c:strCache>
                <c:ptCount val="1"/>
                <c:pt idx="0">
                  <c:v>Mean</c:v>
                </c:pt>
              </c:strCache>
            </c:strRef>
          </c:tx>
          <c:spPr>
            <a:ln w="28575" cap="rnd">
              <a:solidFill>
                <a:schemeClr val="accent1"/>
              </a:solidFill>
              <a:round/>
            </a:ln>
            <a:effectLst/>
          </c:spPr>
          <c:marker>
            <c:symbol val="none"/>
          </c:marker>
          <c:dLbls>
            <c:delete val="1"/>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year'!$K$4:$K$16</c:f>
              <c:numCache>
                <c:formatCode>0.00</c:formatCode>
                <c:ptCount val="13"/>
                <c:pt idx="0">
                  <c:v>44.32</c:v>
                </c:pt>
                <c:pt idx="1">
                  <c:v>48.69</c:v>
                </c:pt>
                <c:pt idx="2">
                  <c:v>42.16</c:v>
                </c:pt>
                <c:pt idx="3">
                  <c:v>44.53</c:v>
                </c:pt>
                <c:pt idx="4">
                  <c:v>40.1</c:v>
                </c:pt>
                <c:pt idx="5">
                  <c:v>43.26</c:v>
                </c:pt>
                <c:pt idx="6">
                  <c:v>44.03</c:v>
                </c:pt>
                <c:pt idx="7">
                  <c:v>30.95</c:v>
                </c:pt>
                <c:pt idx="8">
                  <c:v>11.18</c:v>
                </c:pt>
                <c:pt idx="9">
                  <c:v>8.0500000000000007</c:v>
                </c:pt>
                <c:pt idx="10">
                  <c:v>3.99</c:v>
                </c:pt>
                <c:pt idx="11">
                  <c:v>6.53</c:v>
                </c:pt>
                <c:pt idx="12">
                  <c:v>2.96</c:v>
                </c:pt>
              </c:numCache>
            </c:numRef>
          </c:val>
          <c:smooth val="0"/>
          <c:extLst>
            <c:ext xmlns:c16="http://schemas.microsoft.com/office/drawing/2014/chart" uri="{C3380CC4-5D6E-409C-BE32-E72D297353CC}">
              <c16:uniqueId val="{00000000-C88F-4FAA-89CC-C2E68197468D}"/>
            </c:ext>
          </c:extLst>
        </c:ser>
        <c:ser>
          <c:idx val="1"/>
          <c:order val="1"/>
          <c:tx>
            <c:strRef>
              <c:f>'Descriptives statistics_by year'!$L$3</c:f>
              <c:strCache>
                <c:ptCount val="1"/>
                <c:pt idx="0">
                  <c:v>Median</c:v>
                </c:pt>
              </c:strCache>
            </c:strRef>
          </c:tx>
          <c:spPr>
            <a:ln w="28575" cap="rnd">
              <a:solidFill>
                <a:schemeClr val="accent2"/>
              </a:solidFill>
              <a:round/>
            </a:ln>
            <a:effectLst/>
          </c:spPr>
          <c:marker>
            <c:symbol val="none"/>
          </c:marker>
          <c:dLbls>
            <c:delete val="1"/>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year'!$L$4:$L$16</c:f>
              <c:numCache>
                <c:formatCode>General</c:formatCode>
                <c:ptCount val="13"/>
                <c:pt idx="0">
                  <c:v>50</c:v>
                </c:pt>
                <c:pt idx="1">
                  <c:v>52</c:v>
                </c:pt>
                <c:pt idx="2">
                  <c:v>44.5</c:v>
                </c:pt>
                <c:pt idx="3">
                  <c:v>42</c:v>
                </c:pt>
                <c:pt idx="4">
                  <c:v>37</c:v>
                </c:pt>
                <c:pt idx="5">
                  <c:v>44</c:v>
                </c:pt>
                <c:pt idx="6">
                  <c:v>43</c:v>
                </c:pt>
                <c:pt idx="7">
                  <c:v>37</c:v>
                </c:pt>
                <c:pt idx="8">
                  <c:v>4</c:v>
                </c:pt>
                <c:pt idx="9">
                  <c:v>2</c:v>
                </c:pt>
                <c:pt idx="10">
                  <c:v>1</c:v>
                </c:pt>
                <c:pt idx="11">
                  <c:v>2</c:v>
                </c:pt>
                <c:pt idx="12">
                  <c:v>0</c:v>
                </c:pt>
              </c:numCache>
            </c:numRef>
          </c:val>
          <c:smooth val="0"/>
          <c:extLst>
            <c:ext xmlns:c16="http://schemas.microsoft.com/office/drawing/2014/chart" uri="{C3380CC4-5D6E-409C-BE32-E72D297353CC}">
              <c16:uniqueId val="{00000001-C88F-4FAA-89CC-C2E68197468D}"/>
            </c:ext>
          </c:extLst>
        </c:ser>
        <c:dLbls>
          <c:dLblPos val="t"/>
          <c:showLegendKey val="0"/>
          <c:showVal val="1"/>
          <c:showCatName val="0"/>
          <c:showSerName val="0"/>
          <c:showPercent val="0"/>
          <c:showBubbleSize val="0"/>
        </c:dLbls>
        <c:smooth val="0"/>
        <c:axId val="517066000"/>
        <c:axId val="517069280"/>
      </c:lineChart>
      <c:catAx>
        <c:axId val="5170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69280"/>
        <c:crosses val="autoZero"/>
        <c:auto val="1"/>
        <c:lblAlgn val="ctr"/>
        <c:lblOffset val="100"/>
        <c:noMultiLvlLbl val="0"/>
      </c:catAx>
      <c:valAx>
        <c:axId val="517069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'[Paper 1_Determinants of SEC S-1 review_ IPO firms, special events, industry and reviewers.xlsx]Des. stat. SEC review attribute'!$W$11</c:f>
              <c:strCache>
                <c:ptCount val="1"/>
                <c:pt idx="0">
                  <c:v>Mean</c:v>
                </c:pt>
              </c:strCache>
            </c:strRef>
          </c:tx>
          <c:spPr>
            <a:ln w="28575" cap="rnd">
              <a:solidFill>
                <a:schemeClr val="accent1"/>
              </a:solidFill>
              <a:round/>
            </a:ln>
            <a:effectLst/>
          </c:spPr>
          <c:marker>
            <c:symbol val="none"/>
          </c:marker>
          <c:cat>
            <c:numRef>
              <c:f>'[Paper 1_Determinants of SEC S-1 review_ IPO firms, special events, industry and reviewers.xlsx]Des. stat. SEC review attribute'!$V$12:$V$24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'[Paper 1_Determinants of SEC S-1 review_ IPO firms, special events, industry and reviewers.xlsx]Des. stat. SEC review attribute'!$W$12:$W$24</c:f>
              <c:numCache>
                <c:formatCode>General</c:formatCode>
                <c:ptCount val="13"/>
                <c:pt idx="0">
                  <c:v>4.2300000000000004</c:v>
                </c:pt>
                <c:pt idx="1">
                  <c:v>4.51</c:v>
                </c:pt>
                <c:pt idx="2">
                  <c:v>4.6399999999999997</c:v>
                </c:pt>
                <c:pt idx="3">
                  <c:v>5</c:v>
                </c:pt>
                <c:pt idx="4">
                  <c:v>5.39</c:v>
                </c:pt>
                <c:pt idx="5">
                  <c:v>5.27</c:v>
                </c:pt>
                <c:pt idx="6">
                  <c:v>5.59</c:v>
                </c:pt>
                <c:pt idx="7">
                  <c:v>4.41</c:v>
                </c:pt>
                <c:pt idx="8">
                  <c:v>2.6</c:v>
                </c:pt>
                <c:pt idx="9">
                  <c:v>1.98</c:v>
                </c:pt>
                <c:pt idx="10">
                  <c:v>1.6</c:v>
                </c:pt>
                <c:pt idx="11">
                  <c:v>1.88</c:v>
                </c:pt>
                <c:pt idx="12">
                  <c:v>0.94</c:v>
                </c:pt>
              </c:numCache>
            </c:numRef>
          </c:val>
          <c:smooth val="0"/>
          <c:extLst>
            <c:ext xmlns:c16="http://schemas.microsoft.com/office/drawing/2014/chart" uri="{C3380CC4-5D6E-409C-BE32-E72D297353CC}">
              <c16:uniqueId val="{00000000-7092-4C4B-9F57-EB6523A89D85}"/>
            </c:ext>
          </c:extLst>
        </c:ser>
        <c:ser>
          <c:idx val="1"/>
          <c:order val="1"/>
          <c:tx>
            <c:strRef>
              <c:f>'[Paper 1_Determinants of SEC S-1 review_ IPO firms, special events, industry and reviewers.xlsx]Des. stat. SEC review attribute'!$X$11</c:f>
              <c:strCache>
                <c:ptCount val="1"/>
                <c:pt idx="0">
                  <c:v>Median</c:v>
                </c:pt>
              </c:strCache>
            </c:strRef>
          </c:tx>
          <c:spPr>
            <a:ln w="28575" cap="rnd">
              <a:solidFill>
                <a:schemeClr val="accent2"/>
              </a:solidFill>
              <a:round/>
            </a:ln>
            <a:effectLst/>
          </c:spPr>
          <c:marker>
            <c:symbol val="none"/>
          </c:marker>
          <c:cat>
            <c:numRef>
              <c:f>'[Paper 1_Determinants of SEC S-1 review_ IPO firms, special events, industry and reviewers.xlsx]Des. stat. SEC review attribute'!$V$12:$V$24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'[Paper 1_Determinants of SEC S-1 review_ IPO firms, special events, industry and reviewers.xlsx]Des. stat. SEC review attribute'!$X$12:$X$24</c:f>
              <c:numCache>
                <c:formatCode>General</c:formatCode>
                <c:ptCount val="13"/>
                <c:pt idx="0">
                  <c:v>5</c:v>
                </c:pt>
                <c:pt idx="1">
                  <c:v>5</c:v>
                </c:pt>
                <c:pt idx="2">
                  <c:v>5</c:v>
                </c:pt>
                <c:pt idx="3">
                  <c:v>6</c:v>
                </c:pt>
                <c:pt idx="4">
                  <c:v>6</c:v>
                </c:pt>
                <c:pt idx="5">
                  <c:v>6</c:v>
                </c:pt>
                <c:pt idx="6">
                  <c:v>6</c:v>
                </c:pt>
                <c:pt idx="7">
                  <c:v>5</c:v>
                </c:pt>
                <c:pt idx="8">
                  <c:v>2.5</c:v>
                </c:pt>
                <c:pt idx="9">
                  <c:v>1</c:v>
                </c:pt>
                <c:pt idx="10">
                  <c:v>1</c:v>
                </c:pt>
                <c:pt idx="11">
                  <c:v>1.5</c:v>
                </c:pt>
                <c:pt idx="12">
                  <c:v>0</c:v>
                </c:pt>
              </c:numCache>
            </c:numRef>
          </c:val>
          <c:smooth val="0"/>
          <c:extLst>
            <c:ext xmlns:c16="http://schemas.microsoft.com/office/drawing/2014/chart" uri="{C3380CC4-5D6E-409C-BE32-E72D297353CC}">
              <c16:uniqueId val="{00000001-7092-4C4B-9F57-EB6523A89D85}"/>
            </c:ext>
          </c:extLst>
        </c:ser>
        <c:dLbls>
          <c:showLegendKey val="0"/>
          <c:showVal val="0"/>
          <c:showCatName val="0"/>
          <c:showSerName val="0"/>
          <c:showPercent val="0"/>
          <c:showBubbleSize val="0"/>
        </c:dLbls>
        <c:smooth val="0"/>
        <c:axId val="579163976"/>
        <c:axId val="579164304"/>
      </c:lineChart>
      <c:catAx>
        <c:axId val="57916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64304"/>
        <c:crosses val="autoZero"/>
        <c:auto val="1"/>
        <c:lblAlgn val="ctr"/>
        <c:lblOffset val="100"/>
        <c:noMultiLvlLbl val="0"/>
      </c:catAx>
      <c:valAx>
        <c:axId val="57916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6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5A509-C674-4AA6-9EA7-0FC9189C6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49490</Words>
  <Characters>282097</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330926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 Tran</dc:creator>
  <cp:keywords/>
  <dc:description/>
  <cp:lastModifiedBy>Tran, Vy 4</cp:lastModifiedBy>
  <cp:revision>5</cp:revision>
  <dcterms:created xsi:type="dcterms:W3CDTF">2023-01-18T13:29:00Z</dcterms:created>
  <dcterms:modified xsi:type="dcterms:W3CDTF">2023-01-18T13:37:00Z</dcterms:modified>
</cp:coreProperties>
</file>